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1938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620FF43D">
      <w:pPr>
        <w:rPr>
          <w:rFonts w:hint="eastAsia"/>
        </w:rPr>
        <w:sectPr>
          <w:pgSz w:w="11906" w:h="16838"/>
          <w:pgMar w:top="1134" w:right="850" w:bottom="1440" w:left="850" w:header="851" w:footer="992" w:gutter="0"/>
          <w:pgBorders>
            <w:top w:val="none" w:sz="0" w:space="0"/>
            <w:left w:val="none" w:sz="0" w:space="0"/>
            <w:bottom w:val="none" w:sz="0" w:space="0"/>
            <w:right w:val="none" w:sz="0" w:space="0"/>
          </w:pgBorders>
          <w:cols w:space="425" w:num="1"/>
          <w:docGrid w:type="lines" w:linePitch="312" w:charSpace="0"/>
        </w:sectPr>
      </w:pPr>
    </w:p>
    <w:p w14:paraId="4B632287">
      <w:pPr>
        <w:pStyle w:val="2"/>
        <w:bidi w:val="0"/>
        <w:rPr>
          <w:rFonts w:hint="default"/>
          <w:lang w:val="en-US" w:eastAsia="zh-CN"/>
        </w:rPr>
      </w:pPr>
      <w:r>
        <w:rPr>
          <w:rFonts w:hint="eastAsia"/>
          <w:lang w:val="en-US" w:eastAsia="zh-CN"/>
        </w:rPr>
        <w:t>一、建设项目基本情况</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2542"/>
        <w:gridCol w:w="1783"/>
        <w:gridCol w:w="3336"/>
      </w:tblGrid>
      <w:tr w14:paraId="23A1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15BF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建设项目</w:t>
            </w:r>
          </w:p>
          <w:p w14:paraId="3E5A5C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名称</w:t>
            </w:r>
          </w:p>
        </w:tc>
        <w:tc>
          <w:tcPr>
            <w:tcW w:w="7339" w:type="dxa"/>
            <w:gridSpan w:val="3"/>
            <w:vAlign w:val="center"/>
          </w:tcPr>
          <w:p w14:paraId="416C96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北京至爱动物医院项目</w:t>
            </w:r>
          </w:p>
        </w:tc>
      </w:tr>
      <w:tr w14:paraId="6D7E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9D83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项目代码</w:t>
            </w:r>
          </w:p>
        </w:tc>
        <w:tc>
          <w:tcPr>
            <w:tcW w:w="7339" w:type="dxa"/>
            <w:gridSpan w:val="3"/>
            <w:vAlign w:val="center"/>
          </w:tcPr>
          <w:p w14:paraId="60B331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5902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63B4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建设单位</w:t>
            </w:r>
          </w:p>
          <w:p w14:paraId="30700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联系人</w:t>
            </w:r>
          </w:p>
        </w:tc>
        <w:tc>
          <w:tcPr>
            <w:tcW w:w="2595" w:type="dxa"/>
            <w:vAlign w:val="center"/>
          </w:tcPr>
          <w:p w14:paraId="65D62D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李焜民</w:t>
            </w:r>
          </w:p>
        </w:tc>
        <w:tc>
          <w:tcPr>
            <w:tcW w:w="1560" w:type="dxa"/>
            <w:vAlign w:val="center"/>
          </w:tcPr>
          <w:p w14:paraId="414DAD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联系方式</w:t>
            </w:r>
          </w:p>
        </w:tc>
        <w:tc>
          <w:tcPr>
            <w:tcW w:w="3184" w:type="dxa"/>
            <w:vAlign w:val="center"/>
          </w:tcPr>
          <w:p w14:paraId="3EEF3C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bookmarkStart w:id="0" w:name="_GoBack"/>
            <w:bookmarkEnd w:id="0"/>
            <w:r>
              <w:rPr>
                <w:rFonts w:hint="eastAsia"/>
                <w:vertAlign w:val="baseline"/>
              </w:rPr>
              <w:t>13691284064</w:t>
            </w:r>
          </w:p>
        </w:tc>
      </w:tr>
      <w:tr w14:paraId="371A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1C9E2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建设地点</w:t>
            </w:r>
          </w:p>
        </w:tc>
        <w:tc>
          <w:tcPr>
            <w:tcW w:w="7339" w:type="dxa"/>
            <w:gridSpan w:val="3"/>
            <w:vAlign w:val="center"/>
          </w:tcPr>
          <w:p w14:paraId="031F73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北京市房山区良乡拱辰星园4号楼1层0102底商</w:t>
            </w:r>
          </w:p>
        </w:tc>
      </w:tr>
      <w:tr w14:paraId="21E7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344A5F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地理坐标</w:t>
            </w:r>
          </w:p>
        </w:tc>
        <w:tc>
          <w:tcPr>
            <w:tcW w:w="7339" w:type="dxa"/>
            <w:gridSpan w:val="3"/>
            <w:vAlign w:val="center"/>
          </w:tcPr>
          <w:p w14:paraId="69E9F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highlight w:val="none"/>
                <w:vertAlign w:val="baseline"/>
              </w:rPr>
              <w:t>东经</w:t>
            </w:r>
            <w:r>
              <w:rPr>
                <w:rFonts w:hint="eastAsia"/>
                <w:highlight w:val="none"/>
                <w:u w:val="single"/>
                <w:vertAlign w:val="baseline"/>
              </w:rPr>
              <w:t xml:space="preserve"> 116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7</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56.461</w:t>
            </w:r>
            <w:r>
              <w:rPr>
                <w:rFonts w:hint="eastAsia"/>
                <w:highlight w:val="none"/>
                <w:u w:val="single"/>
                <w:vertAlign w:val="baseline"/>
              </w:rPr>
              <w:t xml:space="preserve"> </w:t>
            </w:r>
            <w:r>
              <w:rPr>
                <w:rFonts w:hint="eastAsia"/>
                <w:highlight w:val="none"/>
                <w:vertAlign w:val="baseline"/>
              </w:rPr>
              <w:t>秒，北纬</w:t>
            </w:r>
            <w:r>
              <w:rPr>
                <w:rFonts w:hint="eastAsia"/>
                <w:highlight w:val="none"/>
                <w:u w:val="single"/>
                <w:vertAlign w:val="baseline"/>
              </w:rPr>
              <w:t xml:space="preserve"> 39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43</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56.786</w:t>
            </w:r>
            <w:r>
              <w:rPr>
                <w:rFonts w:hint="eastAsia"/>
                <w:highlight w:val="none"/>
                <w:u w:val="single"/>
                <w:vertAlign w:val="baseline"/>
              </w:rPr>
              <w:t xml:space="preserve"> </w:t>
            </w:r>
            <w:r>
              <w:rPr>
                <w:rFonts w:hint="eastAsia"/>
                <w:highlight w:val="none"/>
                <w:vertAlign w:val="baseline"/>
              </w:rPr>
              <w:t>秒</w:t>
            </w:r>
          </w:p>
        </w:tc>
      </w:tr>
      <w:tr w14:paraId="626F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7B0DC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国民经济</w:t>
            </w:r>
          </w:p>
          <w:p w14:paraId="423544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行业类别</w:t>
            </w:r>
          </w:p>
        </w:tc>
        <w:tc>
          <w:tcPr>
            <w:tcW w:w="2595" w:type="dxa"/>
            <w:vAlign w:val="center"/>
          </w:tcPr>
          <w:p w14:paraId="152C6D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O8222</w:t>
            </w:r>
          </w:p>
          <w:p w14:paraId="255FC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宠物医院服务</w:t>
            </w:r>
          </w:p>
        </w:tc>
        <w:tc>
          <w:tcPr>
            <w:tcW w:w="1560" w:type="dxa"/>
            <w:vAlign w:val="center"/>
          </w:tcPr>
          <w:p w14:paraId="3FE3B1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建设项目行业类别</w:t>
            </w:r>
          </w:p>
        </w:tc>
        <w:tc>
          <w:tcPr>
            <w:tcW w:w="3184" w:type="dxa"/>
            <w:vAlign w:val="center"/>
          </w:tcPr>
          <w:p w14:paraId="7CC263D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lang w:val="en-US" w:eastAsia="zh-CN"/>
              </w:rPr>
              <w:t>五十</w:t>
            </w:r>
            <w:r>
              <w:rPr>
                <w:rFonts w:hint="eastAsia"/>
                <w:vertAlign w:val="baseline"/>
              </w:rPr>
              <w:t>、</w:t>
            </w:r>
            <w:r>
              <w:rPr>
                <w:rFonts w:hint="eastAsia"/>
                <w:vertAlign w:val="baseline"/>
                <w:lang w:val="en-US" w:eastAsia="zh-CN"/>
              </w:rPr>
              <w:t>社会事业与服务业</w:t>
            </w:r>
            <w:r>
              <w:rPr>
                <w:rFonts w:hint="eastAsia"/>
                <w:vertAlign w:val="baseline"/>
              </w:rPr>
              <w:t>：</w:t>
            </w:r>
            <w:r>
              <w:rPr>
                <w:rFonts w:hint="eastAsia"/>
                <w:vertAlign w:val="baseline"/>
                <w:lang w:val="en-US" w:eastAsia="zh-CN"/>
              </w:rPr>
              <w:t>123动物医院：设有动物颅腔、胸腔或腹腔手术设施的</w:t>
            </w:r>
          </w:p>
        </w:tc>
      </w:tr>
      <w:tr w14:paraId="0533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6FBA1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建设性质</w:t>
            </w:r>
          </w:p>
        </w:tc>
        <w:tc>
          <w:tcPr>
            <w:tcW w:w="2595" w:type="dxa"/>
            <w:vAlign w:val="center"/>
          </w:tcPr>
          <w:p w14:paraId="72F34B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新建（迁建）</w:t>
            </w:r>
          </w:p>
          <w:p w14:paraId="53A7D05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改建</w:t>
            </w:r>
          </w:p>
          <w:p w14:paraId="55C6543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扩建</w:t>
            </w:r>
          </w:p>
          <w:p w14:paraId="0809ADB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技术改造</w:t>
            </w:r>
          </w:p>
        </w:tc>
        <w:tc>
          <w:tcPr>
            <w:tcW w:w="1560" w:type="dxa"/>
            <w:vAlign w:val="center"/>
          </w:tcPr>
          <w:p w14:paraId="4E1AF0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建设项目申报情形</w:t>
            </w:r>
          </w:p>
        </w:tc>
        <w:tc>
          <w:tcPr>
            <w:tcW w:w="3184" w:type="dxa"/>
            <w:vAlign w:val="center"/>
          </w:tcPr>
          <w:p w14:paraId="20ABED9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首次申报项目</w:t>
            </w:r>
          </w:p>
          <w:p w14:paraId="52F460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不予批准后再次申报项目</w:t>
            </w:r>
          </w:p>
          <w:p w14:paraId="660892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超五年重新审核项目</w:t>
            </w:r>
          </w:p>
          <w:p w14:paraId="2020D6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重大变动重新报批项目</w:t>
            </w:r>
          </w:p>
        </w:tc>
      </w:tr>
      <w:tr w14:paraId="2757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93122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项目审批（核准/备案）部门（选填）</w:t>
            </w:r>
          </w:p>
        </w:tc>
        <w:tc>
          <w:tcPr>
            <w:tcW w:w="2595" w:type="dxa"/>
            <w:vAlign w:val="center"/>
          </w:tcPr>
          <w:p w14:paraId="751BE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c>
          <w:tcPr>
            <w:tcW w:w="1560" w:type="dxa"/>
            <w:vAlign w:val="center"/>
          </w:tcPr>
          <w:p w14:paraId="627CA8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项目审批（核准/备案）文号（选填）</w:t>
            </w:r>
          </w:p>
        </w:tc>
        <w:tc>
          <w:tcPr>
            <w:tcW w:w="3184" w:type="dxa"/>
            <w:vAlign w:val="center"/>
          </w:tcPr>
          <w:p w14:paraId="48BC00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1A27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7E8E7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总投资</w:t>
            </w:r>
          </w:p>
          <w:p w14:paraId="4A9711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（万元）</w:t>
            </w:r>
          </w:p>
        </w:tc>
        <w:tc>
          <w:tcPr>
            <w:tcW w:w="2595" w:type="dxa"/>
            <w:vAlign w:val="center"/>
          </w:tcPr>
          <w:p w14:paraId="7E357D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120</w:t>
            </w:r>
          </w:p>
        </w:tc>
        <w:tc>
          <w:tcPr>
            <w:tcW w:w="1560" w:type="dxa"/>
            <w:vAlign w:val="center"/>
          </w:tcPr>
          <w:p w14:paraId="7E486A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环保投资（万元）</w:t>
            </w:r>
          </w:p>
        </w:tc>
        <w:tc>
          <w:tcPr>
            <w:tcW w:w="3184" w:type="dxa"/>
            <w:vAlign w:val="center"/>
          </w:tcPr>
          <w:p w14:paraId="78F063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3</w:t>
            </w:r>
          </w:p>
        </w:tc>
      </w:tr>
      <w:tr w14:paraId="1F4E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9C62F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环保投资</w:t>
            </w:r>
          </w:p>
          <w:p w14:paraId="090D1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占比（%）</w:t>
            </w:r>
          </w:p>
        </w:tc>
        <w:tc>
          <w:tcPr>
            <w:tcW w:w="2595" w:type="dxa"/>
            <w:vAlign w:val="center"/>
          </w:tcPr>
          <w:p w14:paraId="5C6CBC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2.5</w:t>
            </w:r>
          </w:p>
        </w:tc>
        <w:tc>
          <w:tcPr>
            <w:tcW w:w="1560" w:type="dxa"/>
            <w:vAlign w:val="center"/>
          </w:tcPr>
          <w:p w14:paraId="001B51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施工工期</w:t>
            </w:r>
          </w:p>
        </w:tc>
        <w:tc>
          <w:tcPr>
            <w:tcW w:w="3184" w:type="dxa"/>
            <w:vAlign w:val="center"/>
          </w:tcPr>
          <w:p w14:paraId="01F4AE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1个月</w:t>
            </w:r>
          </w:p>
        </w:tc>
      </w:tr>
      <w:tr w14:paraId="687CB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7EAD6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是否开工</w:t>
            </w:r>
          </w:p>
          <w:p w14:paraId="75114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w:t>
            </w:r>
          </w:p>
        </w:tc>
        <w:tc>
          <w:tcPr>
            <w:tcW w:w="2595" w:type="dxa"/>
            <w:vAlign w:val="center"/>
          </w:tcPr>
          <w:p w14:paraId="400CAC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lang w:val="en-US" w:eastAsia="zh-CN"/>
              </w:rPr>
            </w:pPr>
            <w:r>
              <w:rPr>
                <w:rFonts w:hint="eastAsia"/>
                <w:vertAlign w:val="baseline"/>
              </w:rPr>
              <w:sym w:font="Wingdings" w:char="00FE"/>
            </w:r>
            <w:r>
              <w:rPr>
                <w:rFonts w:hint="eastAsia"/>
                <w:vertAlign w:val="baseline"/>
                <w:lang w:val="en-US" w:eastAsia="zh-CN"/>
              </w:rPr>
              <w:t>否：</w:t>
            </w:r>
          </w:p>
          <w:p w14:paraId="0F8E57D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rPr>
              <w:sym w:font="Wingdings" w:char="00A8"/>
            </w:r>
            <w:r>
              <w:rPr>
                <w:rFonts w:hint="eastAsia"/>
                <w:vertAlign w:val="baseline"/>
                <w:lang w:val="en-US" w:eastAsia="zh-CN"/>
              </w:rPr>
              <w:t>是：</w:t>
            </w:r>
          </w:p>
        </w:tc>
        <w:tc>
          <w:tcPr>
            <w:tcW w:w="1560" w:type="dxa"/>
            <w:vAlign w:val="center"/>
          </w:tcPr>
          <w:p w14:paraId="760579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用地（用海）面积（m</w:t>
            </w:r>
            <w:r>
              <w:rPr>
                <w:rFonts w:hint="eastAsia"/>
                <w:vertAlign w:val="superscript"/>
                <w:lang w:val="en-US" w:eastAsia="zh-CN"/>
              </w:rPr>
              <w:t>2</w:t>
            </w:r>
            <w:r>
              <w:rPr>
                <w:rFonts w:hint="eastAsia"/>
                <w:vertAlign w:val="baseline"/>
                <w:lang w:val="en-US" w:eastAsia="zh-CN"/>
              </w:rPr>
              <w:t>）</w:t>
            </w:r>
          </w:p>
        </w:tc>
        <w:tc>
          <w:tcPr>
            <w:tcW w:w="3184" w:type="dxa"/>
            <w:vAlign w:val="center"/>
          </w:tcPr>
          <w:p w14:paraId="049FB4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125.98</w:t>
            </w:r>
          </w:p>
        </w:tc>
      </w:tr>
      <w:tr w14:paraId="0399C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F060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专项评价</w:t>
            </w:r>
          </w:p>
          <w:p w14:paraId="71653E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设置情况</w:t>
            </w:r>
          </w:p>
        </w:tc>
        <w:tc>
          <w:tcPr>
            <w:tcW w:w="7339" w:type="dxa"/>
            <w:gridSpan w:val="3"/>
            <w:vAlign w:val="center"/>
          </w:tcPr>
          <w:p w14:paraId="254EE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rFonts w:hint="eastAsia"/>
                <w:highlight w:val="none"/>
                <w:vertAlign w:val="baseline"/>
                <w:lang w:val="en-US" w:eastAsia="zh-CN"/>
              </w:rPr>
              <w:t>无</w:t>
            </w:r>
          </w:p>
        </w:tc>
      </w:tr>
      <w:tr w14:paraId="164B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E52CE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规划情况</w:t>
            </w:r>
          </w:p>
        </w:tc>
        <w:tc>
          <w:tcPr>
            <w:tcW w:w="7339" w:type="dxa"/>
            <w:gridSpan w:val="3"/>
            <w:vAlign w:val="center"/>
          </w:tcPr>
          <w:p w14:paraId="0F0634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w:t>
            </w:r>
            <w:r>
              <w:rPr>
                <w:rFonts w:hint="eastAsia"/>
                <w:vertAlign w:val="baseline"/>
                <w:lang w:val="en-US" w:eastAsia="zh-CN"/>
              </w:rPr>
              <w:t>房山分区</w:t>
            </w:r>
            <w:r>
              <w:rPr>
                <w:rFonts w:hint="eastAsia"/>
                <w:vertAlign w:val="baseline"/>
              </w:rPr>
              <w:t>规划（国土空间规划）（2017年-2035年）》；</w:t>
            </w:r>
          </w:p>
          <w:p w14:paraId="2261FB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0B05B6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审批文件名称：北京市人民政府关于对《</w:t>
            </w:r>
            <w:r>
              <w:rPr>
                <w:rFonts w:hint="eastAsia"/>
                <w:vertAlign w:val="baseline"/>
                <w:lang w:val="en-US" w:eastAsia="zh-CN"/>
              </w:rPr>
              <w:t>房山</w:t>
            </w:r>
            <w:r>
              <w:rPr>
                <w:rFonts w:hint="eastAsia"/>
                <w:vertAlign w:val="baseline"/>
              </w:rPr>
              <w:t>分区规划（国土空间规划）（2017年—2035年）》的批复（2019.11.20）</w:t>
            </w:r>
          </w:p>
          <w:p w14:paraId="4DFE1E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2、《落实“三区三线”〈</w:t>
            </w:r>
            <w:r>
              <w:rPr>
                <w:rFonts w:hint="eastAsia"/>
                <w:vertAlign w:val="baseline"/>
                <w:lang w:val="en-US" w:eastAsia="zh-CN"/>
              </w:rPr>
              <w:t>房山</w:t>
            </w:r>
            <w:r>
              <w:rPr>
                <w:rFonts w:hint="eastAsia"/>
                <w:vertAlign w:val="baseline"/>
              </w:rPr>
              <w:t>分区规划（国土空间规划）（2017年-2035年）〉修改成果》；</w:t>
            </w:r>
          </w:p>
          <w:p w14:paraId="2D42D2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3AE4F1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审批文件名称：《北京市人民政府关于对朝阳等13个区分区规划及亦庄新城规划修改方案的批复》（2023.3.25）</w:t>
            </w:r>
          </w:p>
        </w:tc>
      </w:tr>
      <w:tr w14:paraId="6676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5A34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规划环境影响评价情况</w:t>
            </w:r>
          </w:p>
        </w:tc>
        <w:tc>
          <w:tcPr>
            <w:tcW w:w="7339" w:type="dxa"/>
            <w:gridSpan w:val="3"/>
            <w:vAlign w:val="center"/>
          </w:tcPr>
          <w:p w14:paraId="70711EB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vertAlign w:val="baseline"/>
                <w:lang w:val="en-US" w:eastAsia="zh-CN"/>
              </w:rPr>
              <w:t>无</w:t>
            </w:r>
          </w:p>
        </w:tc>
      </w:tr>
      <w:tr w14:paraId="5AD3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3E6B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规划及规划环境影响评价符合性分析</w:t>
            </w:r>
          </w:p>
        </w:tc>
        <w:tc>
          <w:tcPr>
            <w:tcW w:w="7339" w:type="dxa"/>
            <w:gridSpan w:val="3"/>
            <w:vAlign w:val="center"/>
          </w:tcPr>
          <w:p w14:paraId="54BBD8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1、与《房山分区规划（国土空间规划）（2017年—2035年）》符合性分析</w:t>
            </w:r>
          </w:p>
          <w:p w14:paraId="6F6D5A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根据北京市人民政府关于对《房山分区规划（国土空间规划）（2017年—2035年）》的批复（2019.11.20），第27条“建设便利高效、宜业宜居的公共服务体系：加强品质建设，做优公共服务中心及社区服务圈，建设便利高效、宜业有活力、宜居有魅力的新城。补充教育设施增量，引进优质教育资源。补足医疗卫生设施及基层医疗卫生服务机构，提升医疗卫生服务水平。完善文化设施建设，提升文化氛围。丰富商业配套，提高生活便利度。提升公共空间品质，营造舒适环境。”</w:t>
            </w:r>
          </w:p>
          <w:p w14:paraId="79CFF7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本项目为动物医院，属于社区事业与服务业，符合房山分区规划要求。</w:t>
            </w:r>
          </w:p>
          <w:p w14:paraId="16DB9C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2、与《落实“三区三线”〈房山分区规划（国土空间规划）（2017年-2035年）〉修改成果》符合性分析</w:t>
            </w:r>
          </w:p>
          <w:p w14:paraId="0474B0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落实的“三区三线”划定成果，第二章第二节第20条，“生态保护红线面积不低于627.0平方公里”，修改为“生态保护红线面积不低于685.9平方公里”；附表修改成果为房山分区规划（国土空间规划）指标体系中的“生态保护红线面积（平方公里）”，2035年数值由“</w:t>
            </w:r>
            <w:r>
              <w:rPr>
                <w:rFonts w:hint="default" w:ascii="Times New Roman" w:hAnsi="Times New Roman" w:cs="Times New Roman"/>
                <w:vertAlign w:val="baseline"/>
                <w:lang w:val="en-US" w:eastAsia="zh-CN"/>
              </w:rPr>
              <w:t>≥627.0</w:t>
            </w:r>
            <w:r>
              <w:rPr>
                <w:rFonts w:hint="eastAsia" w:ascii="Times New Roman" w:hAnsi="Times New Roman" w:cs="Times New Roman"/>
                <w:vertAlign w:val="baseline"/>
                <w:lang w:val="en-US" w:eastAsia="zh-CN"/>
              </w:rPr>
              <w:t>”</w:t>
            </w:r>
            <w:r>
              <w:rPr>
                <w:rFonts w:hint="default" w:ascii="Times New Roman" w:hAnsi="Times New Roman" w:cs="Times New Roman"/>
                <w:vertAlign w:val="baseline"/>
                <w:lang w:val="en-US" w:eastAsia="zh-CN"/>
              </w:rPr>
              <w:t>修改为</w:t>
            </w:r>
            <w:r>
              <w:rPr>
                <w:rFonts w:hint="eastAsia" w:ascii="Times New Roman" w:hAnsi="Times New Roman" w:cs="Times New Roman"/>
                <w:vertAlign w:val="baseline"/>
                <w:lang w:val="en-US" w:eastAsia="zh-CN"/>
              </w:rPr>
              <w:t>“</w:t>
            </w:r>
            <w:r>
              <w:rPr>
                <w:rFonts w:hint="default" w:ascii="Times New Roman" w:hAnsi="Times New Roman" w:cs="Times New Roman"/>
                <w:vertAlign w:val="baseline"/>
                <w:lang w:val="en-US" w:eastAsia="zh-CN"/>
              </w:rPr>
              <w:t>≥685.9</w:t>
            </w:r>
            <w:r>
              <w:rPr>
                <w:rFonts w:hint="eastAsia" w:ascii="Times New Roman" w:hAnsi="Times New Roman" w:cs="Times New Roman"/>
                <w:vertAlign w:val="baseline"/>
                <w:lang w:val="en-US" w:eastAsia="zh-CN"/>
              </w:rPr>
              <w:t>”</w:t>
            </w:r>
            <w:r>
              <w:rPr>
                <w:rFonts w:hint="default" w:ascii="Times New Roman" w:hAnsi="Times New Roman" w:cs="Times New Roman"/>
                <w:vertAlign w:val="baseline"/>
                <w:lang w:val="en-US" w:eastAsia="zh-CN"/>
              </w:rPr>
              <w:t>；附图05两线三区规划图、附图06</w:t>
            </w:r>
            <w:r>
              <w:rPr>
                <w:rFonts w:hint="eastAsia"/>
                <w:vertAlign w:val="baseline"/>
                <w:lang w:val="en-US" w:eastAsia="zh-CN"/>
              </w:rPr>
              <w:t>国土空间规划分区图按照本次修改方案进行更新。</w:t>
            </w:r>
          </w:p>
          <w:p w14:paraId="5BAE67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本项目位于北京市房山区良乡拱辰星园4号楼1层0102底商，不涉及生态保护红线区域，本项目符合《落实“三区三线”〈房山分区规划（国土空间规划）（2017年—2035年）〉修改成果》要求。本项目在两线三区规划分区中位置见下图。</w:t>
            </w:r>
          </w:p>
          <w:p w14:paraId="21D2A7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F1530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C9065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08EF2B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3E755D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2551430</wp:posOffset>
                      </wp:positionH>
                      <wp:positionV relativeFrom="paragraph">
                        <wp:posOffset>1032510</wp:posOffset>
                      </wp:positionV>
                      <wp:extent cx="828675" cy="332105"/>
                      <wp:effectExtent l="6350" t="6350" r="22225" b="499745"/>
                      <wp:wrapNone/>
                      <wp:docPr id="3" name="圆角矩形标注 3"/>
                      <wp:cNvGraphicFramePr/>
                      <a:graphic xmlns:a="http://schemas.openxmlformats.org/drawingml/2006/main">
                        <a:graphicData uri="http://schemas.microsoft.com/office/word/2010/wordprocessingShape">
                          <wps:wsp>
                            <wps:cNvSpPr/>
                            <wps:spPr>
                              <a:xfrm>
                                <a:off x="4304030" y="2154555"/>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00.9pt;margin-top:81.3pt;height:26.15pt;width:65.25pt;z-index:251661312;v-text-anchor:middle;mso-width-relative:page;mso-height-relative:page;" filled="f" stroked="t" coordsize="21600,21600" o:gfxdata="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CimGBz&#10;2QAAAAsBAAAPAAAAAAAAAAEAIAAAACIAAABkcnMvZG93bnJldi54bWxQSwECFAAUAAAACACHTuJA&#10;WwIPAMsCAAB0BQAADgAAAAAAAAABACAAAAAoAQAAZHJzL2Uyb0RvYy54bWxQSwUGAAAAAAYABgBZ&#10;AQAAZQYAAAAA&#10;" adj="17975,51543,14400">
                      <v:fill on="f" focussize="0,0"/>
                      <v:stroke weight="1pt" color="#000000 [3213]" miterlimit="8" joinstyle="miter"/>
                      <v:imagedata o:title=""/>
                      <o:lock v:ext="edit" aspectratio="f"/>
                      <v:textbo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3199130</wp:posOffset>
                      </wp:positionH>
                      <wp:positionV relativeFrom="paragraph">
                        <wp:posOffset>1810385</wp:posOffset>
                      </wp:positionV>
                      <wp:extent cx="90170" cy="90170"/>
                      <wp:effectExtent l="6350" t="6350" r="17780" b="17780"/>
                      <wp:wrapNone/>
                      <wp:docPr id="2" name="椭圆 2"/>
                      <wp:cNvGraphicFramePr/>
                      <a:graphic xmlns:a="http://schemas.openxmlformats.org/drawingml/2006/main">
                        <a:graphicData uri="http://schemas.microsoft.com/office/word/2010/wordprocessingShape">
                          <wps:wsp>
                            <wps:cNvSpPr/>
                            <wps:spPr>
                              <a:xfrm>
                                <a:off x="4218305" y="262890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1.9pt;margin-top:142.55pt;height:7.1pt;width:7.1pt;z-index:251660288;v-text-anchor:middle;mso-width-relative:page;mso-height-relative:page;" fillcolor="#000000 [3213]" filled="t" stroked="t" coordsize="21600,21600" o:gfxdata="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FVsAg/aAAAACwEAAA8AAAAAAAAAAQAgAAAAIgAAAGRycy9k&#10;b3ducmV2LnhtbFBLAQIUABQAAAAIAIdO4kAbMG6ZcgIAAAAFAAAOAAAAAAAAAAEAIAAAACkBAABk&#10;cnMvZTJvRG9jLnhtbFBLBQYAAAAABgAGAFkBAAANBgAAAAA=&#10;">
                      <v:fill on="t" focussize="0,0"/>
                      <v:stroke weight="1pt" color="#000000 [3213]" miterlimit="8" joinstyle="miter"/>
                      <v:imagedata o:title=""/>
                      <o:lock v:ext="edit" aspectratio="f"/>
                    </v:shape>
                  </w:pict>
                </mc:Fallback>
              </mc:AlternateContent>
            </w:r>
            <w:r>
              <w:drawing>
                <wp:inline distT="0" distB="0" distL="114300" distR="114300">
                  <wp:extent cx="4679950" cy="3243580"/>
                  <wp:effectExtent l="0" t="0" r="6350"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7"/>
                          <a:srcRect l="2535" t="3600" r="2644" b="3514"/>
                          <a:stretch>
                            <a:fillRect/>
                          </a:stretch>
                        </pic:blipFill>
                        <pic:spPr>
                          <a:xfrm>
                            <a:off x="0" y="0"/>
                            <a:ext cx="4679950" cy="3243580"/>
                          </a:xfrm>
                          <a:prstGeom prst="rect">
                            <a:avLst/>
                          </a:prstGeom>
                          <a:noFill/>
                          <a:ln>
                            <a:noFill/>
                          </a:ln>
                        </pic:spPr>
                      </pic:pic>
                    </a:graphicData>
                  </a:graphic>
                </wp:inline>
              </w:drawing>
            </w:r>
          </w:p>
          <w:p w14:paraId="4AB939D3">
            <w:pPr>
              <w:pStyle w:val="11"/>
              <w:bidi w:val="0"/>
              <w:rPr>
                <w:rFonts w:hint="default"/>
                <w:lang w:val="en-US" w:eastAsia="zh-CN"/>
              </w:rPr>
            </w:pPr>
            <w:r>
              <w:rPr>
                <w:rFonts w:hint="eastAsia"/>
                <w:lang w:val="en-US" w:eastAsia="zh-CN"/>
              </w:rPr>
              <w:t>图1-1 本项目与房山分区规划（国土空间规划分区图）位置关系</w:t>
            </w:r>
          </w:p>
          <w:p w14:paraId="4F4AD9F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9504" behindDoc="0" locked="0" layoutInCell="1" allowOverlap="1">
                      <wp:simplePos x="0" y="0"/>
                      <wp:positionH relativeFrom="column">
                        <wp:posOffset>2522220</wp:posOffset>
                      </wp:positionH>
                      <wp:positionV relativeFrom="paragraph">
                        <wp:posOffset>1029970</wp:posOffset>
                      </wp:positionV>
                      <wp:extent cx="828675" cy="332105"/>
                      <wp:effectExtent l="6350" t="6350" r="22225" b="499745"/>
                      <wp:wrapNone/>
                      <wp:docPr id="23" name="圆角矩形标注 23"/>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98.6pt;margin-top:81.1pt;height:26.15pt;width:65.25pt;z-index:251669504;v-text-anchor:middle;mso-width-relative:page;mso-height-relative:page;" filled="f" stroked="t" coordsize="21600,21600" o:gfxdata="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BW5Vv52QAAAAsBAAAPAAAA&#10;AAAAAAEAIAAAACIAAABkcnMvZG93bnJldi54bWxQSwECFAAUAAAACACHTuJA+Gu8Nb8CAABqBQAA&#10;DgAAAAAAAAABACAAAAAoAQAAZHJzL2Uyb0RvYy54bWxQSwUGAAAAAAYABgBZAQAAWQYAAAAA&#10;" adj="17975,51543,14400">
                      <v:fill on="f" focussize="0,0"/>
                      <v:stroke weight="1pt" color="#000000 [3213]" miterlimit="8" joinstyle="miter"/>
                      <v:imagedata o:title=""/>
                      <o:lock v:ext="edit" aspectratio="f"/>
                      <v:textbo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3169920</wp:posOffset>
                      </wp:positionH>
                      <wp:positionV relativeFrom="paragraph">
                        <wp:posOffset>1807845</wp:posOffset>
                      </wp:positionV>
                      <wp:extent cx="90170" cy="90170"/>
                      <wp:effectExtent l="6350" t="6350" r="17780" b="17780"/>
                      <wp:wrapNone/>
                      <wp:docPr id="15" name="椭圆 15"/>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9.6pt;margin-top:142.35pt;height:7.1pt;width:7.1pt;z-index:251668480;v-text-anchor:middle;mso-width-relative:page;mso-height-relative:page;" fillcolor="#000000 [3213]" filled="t" stroked="t" coordsize="21600,21600" o:gfxdata="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M2Qyz/aAAAACwEAAA8AAAAAAAAAAQAgAAAAIgAAAGRycy9kb3ducmV2LnhtbFBL&#10;AQIUABQAAAAIAIdO4kCfP9CoZgIAAPYEAAAOAAAAAAAAAAEAIAAAACkBAABkcnMvZTJvRG9jLnht&#10;bFBLBQYAAAAABgAGAFkBAAABBgAAAAA=&#10;">
                      <v:fill on="t" focussize="0,0"/>
                      <v:stroke weight="1pt" color="#000000 [3213]" miterlimit="8" joinstyle="miter"/>
                      <v:imagedata o:title=""/>
                      <o:lock v:ext="edit" aspectratio="f"/>
                    </v:shape>
                  </w:pict>
                </mc:Fallback>
              </mc:AlternateContent>
            </w:r>
            <w:r>
              <w:drawing>
                <wp:inline distT="0" distB="0" distL="114300" distR="114300">
                  <wp:extent cx="4679950" cy="3230880"/>
                  <wp:effectExtent l="0" t="0" r="6350" b="762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8"/>
                          <a:srcRect l="2718" t="3858" r="2657" b="3806"/>
                          <a:stretch>
                            <a:fillRect/>
                          </a:stretch>
                        </pic:blipFill>
                        <pic:spPr>
                          <a:xfrm>
                            <a:off x="0" y="0"/>
                            <a:ext cx="4679950" cy="3230880"/>
                          </a:xfrm>
                          <a:prstGeom prst="rect">
                            <a:avLst/>
                          </a:prstGeom>
                          <a:noFill/>
                          <a:ln>
                            <a:noFill/>
                          </a:ln>
                        </pic:spPr>
                      </pic:pic>
                    </a:graphicData>
                  </a:graphic>
                </wp:inline>
              </w:drawing>
            </w:r>
          </w:p>
          <w:p w14:paraId="7FCE83C9">
            <w:pPr>
              <w:pStyle w:val="11"/>
              <w:bidi w:val="0"/>
              <w:rPr>
                <w:rFonts w:hint="eastAsia"/>
                <w:lang w:val="en-US" w:eastAsia="zh-CN"/>
              </w:rPr>
            </w:pPr>
            <w:r>
              <w:rPr>
                <w:rFonts w:hint="eastAsia"/>
                <w:lang w:val="en-US" w:eastAsia="zh-CN"/>
              </w:rPr>
              <w:t>图1-2 本项目与房山分区规划（两线三区规划图）位置关系</w:t>
            </w:r>
          </w:p>
          <w:p w14:paraId="7809E8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根据房山分区规划，本项目位于城镇建设用地和集中建设区，符合房山分区规划（国土空间规划）（2017年—2035年）〉修改成果要求。</w:t>
            </w:r>
          </w:p>
        </w:tc>
      </w:tr>
      <w:tr w14:paraId="378A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00AB3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其他符合性分析</w:t>
            </w:r>
          </w:p>
        </w:tc>
        <w:tc>
          <w:tcPr>
            <w:tcW w:w="7339" w:type="dxa"/>
            <w:gridSpan w:val="3"/>
            <w:vAlign w:val="center"/>
          </w:tcPr>
          <w:p w14:paraId="318A76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1、产业政策符合性分析</w:t>
            </w:r>
          </w:p>
          <w:p w14:paraId="50A38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w:t>
            </w:r>
            <w:r>
              <w:rPr>
                <w:rFonts w:hint="eastAsia"/>
                <w:vertAlign w:val="baseline"/>
                <w:lang w:val="en-US" w:eastAsia="zh-CN"/>
              </w:rPr>
              <w:t>为动物医院</w:t>
            </w:r>
            <w:r>
              <w:rPr>
                <w:rFonts w:hint="eastAsia"/>
                <w:vertAlign w:val="baseline"/>
              </w:rPr>
              <w:t>，属于</w:t>
            </w:r>
            <w:r>
              <w:rPr>
                <w:rFonts w:hint="eastAsia"/>
                <w:vertAlign w:val="baseline"/>
                <w:lang w:val="en-US" w:eastAsia="zh-CN"/>
              </w:rPr>
              <w:t>社区事业与服务业</w:t>
            </w:r>
            <w:r>
              <w:rPr>
                <w:rFonts w:hint="eastAsia"/>
                <w:vertAlign w:val="baseline"/>
              </w:rPr>
              <w:t>，根据国民经济行业分类（GB/T4754-2017），本项目行业类别代码为“</w:t>
            </w:r>
            <w:r>
              <w:rPr>
                <w:rFonts w:hint="eastAsia"/>
                <w:vertAlign w:val="baseline"/>
                <w:lang w:val="en-US" w:eastAsia="zh-CN"/>
              </w:rPr>
              <w:t>O8222宠物医院服务</w:t>
            </w:r>
            <w:r>
              <w:rPr>
                <w:rFonts w:hint="eastAsia"/>
                <w:vertAlign w:val="baseline"/>
              </w:rPr>
              <w:t>”。</w:t>
            </w:r>
          </w:p>
          <w:p w14:paraId="638989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）与国家产业政策符合性分析</w:t>
            </w:r>
          </w:p>
          <w:p w14:paraId="558B09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对照《产业结构调整指导目录（2024年本）》，本项目为“允许类”项目。</w:t>
            </w:r>
          </w:p>
          <w:p w14:paraId="2D4935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（2）与北京市相关产业政策性符合性分析</w:t>
            </w:r>
          </w:p>
          <w:p w14:paraId="6899DB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对照《北京市新增产业的禁止和限制目录（2022年版）》，本项目不属于北京市禁止和限制项目。</w:t>
            </w:r>
          </w:p>
          <w:p w14:paraId="7DCFC1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国家发展改革委、商务部关于印发《市场准入负面清单（2022版）》的通知（发改体改规[2022]397号），动物诊疗类项目属于许可准入类。本项目场所内不存在动物交易、寄养活动，不属于与市场准入相关的禁止性规定范畴之内。</w:t>
            </w:r>
          </w:p>
          <w:p w14:paraId="587927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综上所述，本项目的建设符合国家、北京市的相关产业政策。</w:t>
            </w:r>
          </w:p>
          <w:p w14:paraId="3772FF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2、“三线一单”符合性分析</w:t>
            </w:r>
          </w:p>
          <w:p w14:paraId="0B5DA3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2020年12月24日中共北京市委生态文明建设委员会办公室发布了《关于北京市生态环境分区管控（“三线一单”）的实施意见》的通知，为贯彻落实《中共中央、国务院关于全面加强生态环境保护坚决打好污染防治攻坚战的意见》，推动生态环境高水平保护和经济高质量发展协同并进，持续优化营商环境，就本市“三线一单”（生态保护红线、环境质量底线、资源利用上线和生态环境准入清单）生态环境分区管控工作，提出了实施意见。现就本项目“三线一单”符合性进行分析。</w:t>
            </w:r>
          </w:p>
          <w:p w14:paraId="351245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）生态保护红线符合性分析</w:t>
            </w:r>
          </w:p>
          <w:p w14:paraId="52F824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78E391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w:t>
            </w:r>
            <w:r>
              <w:rPr>
                <w:rFonts w:hint="eastAsia"/>
                <w:vertAlign w:val="baseline"/>
                <w:lang w:eastAsia="zh-CN"/>
              </w:rPr>
              <w:t>北京市房山区良乡拱辰星园4号楼1层0102底商</w:t>
            </w:r>
            <w:r>
              <w:rPr>
                <w:rFonts w:hint="eastAsia"/>
                <w:vertAlign w:val="baseline"/>
              </w:rPr>
              <w:t>，所在周边无重点生态功能区、生态敏感区、生态脆弱区、生物多样性保护优先区，本项目</w:t>
            </w:r>
            <w:r>
              <w:rPr>
                <w:rFonts w:hint="eastAsia"/>
                <w:vertAlign w:val="baseline"/>
                <w:lang w:val="en-US" w:eastAsia="zh-CN"/>
              </w:rPr>
              <w:t>的</w:t>
            </w:r>
            <w:r>
              <w:rPr>
                <w:rFonts w:hint="eastAsia"/>
                <w:vertAlign w:val="baseline"/>
              </w:rPr>
              <w:t>建设</w:t>
            </w:r>
            <w:r>
              <w:rPr>
                <w:rFonts w:hint="eastAsia"/>
                <w:vertAlign w:val="baseline"/>
                <w:lang w:val="en-US" w:eastAsia="zh-CN"/>
              </w:rPr>
              <w:t>不会突破</w:t>
            </w:r>
            <w:r>
              <w:rPr>
                <w:rFonts w:hint="eastAsia"/>
                <w:vertAlign w:val="baseline"/>
              </w:rPr>
              <w:t>生态保护红线。</w:t>
            </w:r>
            <w:r>
              <w:rPr>
                <w:rFonts w:hint="eastAsia"/>
                <w:vertAlign w:val="baseline"/>
                <w:lang w:val="en-US" w:eastAsia="zh-CN"/>
              </w:rPr>
              <w:t>本项目与北京市生态保护红线位置关系见下图。</w:t>
            </w:r>
          </w:p>
          <w:p w14:paraId="6BB6FF9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3360" behindDoc="0" locked="0" layoutInCell="1" allowOverlap="1">
                      <wp:simplePos x="0" y="0"/>
                      <wp:positionH relativeFrom="column">
                        <wp:posOffset>1486535</wp:posOffset>
                      </wp:positionH>
                      <wp:positionV relativeFrom="paragraph">
                        <wp:posOffset>2834640</wp:posOffset>
                      </wp:positionV>
                      <wp:extent cx="808990" cy="313690"/>
                      <wp:effectExtent l="6350" t="6350" r="22860" b="365760"/>
                      <wp:wrapNone/>
                      <wp:docPr id="9" name="圆角矩形标注 9"/>
                      <wp:cNvGraphicFramePr/>
                      <a:graphic xmlns:a="http://schemas.openxmlformats.org/drawingml/2006/main">
                        <a:graphicData uri="http://schemas.microsoft.com/office/word/2010/wordprocessingShape">
                          <wps:wsp>
                            <wps:cNvSpPr/>
                            <wps:spPr>
                              <a:xfrm>
                                <a:off x="3475990" y="4338320"/>
                                <a:ext cx="808990" cy="313690"/>
                              </a:xfrm>
                              <a:prstGeom prst="wedgeRoundRectCallout">
                                <a:avLst>
                                  <a:gd name="adj1" fmla="val -11381"/>
                                  <a:gd name="adj2" fmla="val 155517"/>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17.05pt;margin-top:223.2pt;height:24.7pt;width:63.7pt;z-index:251663360;v-text-anchor:middle;mso-width-relative:page;mso-height-relative:page;" filled="f" stroked="t" coordsize="21600,21600" o:gfxdata="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JR+Ns3Y&#10;AAAACwEAAA8AAAAAAAAAAQAgAAAAIgAAAGRycy9kb3ducmV2LnhtbFBLAQIUABQAAAAIAIdO4kBF&#10;d+0vywIAAHUFAAAOAAAAAAAAAAEAIAAAACcBAABkcnMvZTJvRG9jLnhtbFBLBQYAAAAABgAGAFkB&#10;AABkBgAAAAA=&#10;" adj="8342,44392,14400">
                      <v:fill on="f" focussize="0,0"/>
                      <v:stroke weight="1pt" color="#FF0000 [2404]" miterlimit="8" joinstyle="miter"/>
                      <v:imagedata o:title=""/>
                      <o:lock v:ext="edit" aspectratio="f"/>
                      <v:textbo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1754505</wp:posOffset>
                      </wp:positionH>
                      <wp:positionV relativeFrom="paragraph">
                        <wp:posOffset>3413760</wp:posOffset>
                      </wp:positionV>
                      <wp:extent cx="90170" cy="90170"/>
                      <wp:effectExtent l="6350" t="6350" r="17780" b="17780"/>
                      <wp:wrapNone/>
                      <wp:docPr id="7" name="椭圆 7"/>
                      <wp:cNvGraphicFramePr/>
                      <a:graphic xmlns:a="http://schemas.openxmlformats.org/drawingml/2006/main">
                        <a:graphicData uri="http://schemas.microsoft.com/office/word/2010/wordprocessingShape">
                          <wps:wsp>
                            <wps:cNvSpPr/>
                            <wps:spPr>
                              <a:xfrm>
                                <a:off x="4389755" y="4242435"/>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8.15pt;margin-top:268.8pt;height:7.1pt;width:7.1pt;z-index:251662336;v-text-anchor:middle;mso-width-relative:page;mso-height-relative:page;" fillcolor="#FF0000" filled="t" stroked="t" coordsize="21600,21600" o:gfxdata="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LDcE/XAAAACwEAAA8AAAAAAAAAAQAgAAAAIgAAAGRycy9k&#10;b3ducmV2LnhtbFBLAQIUABQAAAAIAIdO4kCVdhcjdQIAAAAFAAAOAAAAAAAAAAEAIAAAACYBAABk&#10;cnMvZTJvRG9jLnhtbFBLBQYAAAAABgAGAFkBAAANBgAAAAA=&#10;">
                      <v:fill on="t" focussize="0,0"/>
                      <v:stroke weight="1pt" color="#FF0000 [2404]" miterlimit="8" joinstyle="miter"/>
                      <v:imagedata o:title=""/>
                      <o:lock v:ext="edit" aspectratio="f"/>
                    </v:shape>
                  </w:pict>
                </mc:Fallback>
              </mc:AlternateContent>
            </w:r>
            <w:r>
              <w:rPr>
                <w:rFonts w:hint="eastAsia" w:cs="Times New Roman"/>
                <w:kern w:val="0"/>
                <w:sz w:val="24"/>
                <w:highlight w:val="none"/>
                <w:lang w:val="en-US" w:eastAsia="zh-CN"/>
              </w:rPr>
              <w:drawing>
                <wp:inline distT="0" distB="0" distL="114300" distR="114300">
                  <wp:extent cx="4319905" cy="4484370"/>
                  <wp:effectExtent l="0" t="0" r="4445" b="11430"/>
                  <wp:docPr id="8" name="图片 8" descr="201807121344211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8071213442119750"/>
                          <pic:cNvPicPr>
                            <a:picLocks noChangeAspect="1"/>
                          </pic:cNvPicPr>
                        </pic:nvPicPr>
                        <pic:blipFill>
                          <a:blip r:embed="rId9"/>
                          <a:stretch>
                            <a:fillRect/>
                          </a:stretch>
                        </pic:blipFill>
                        <pic:spPr>
                          <a:xfrm>
                            <a:off x="0" y="0"/>
                            <a:ext cx="4319905" cy="4484370"/>
                          </a:xfrm>
                          <a:prstGeom prst="rect">
                            <a:avLst/>
                          </a:prstGeom>
                        </pic:spPr>
                      </pic:pic>
                    </a:graphicData>
                  </a:graphic>
                </wp:inline>
              </w:drawing>
            </w:r>
          </w:p>
          <w:p w14:paraId="171398F3">
            <w:pPr>
              <w:pStyle w:val="11"/>
              <w:bidi w:val="0"/>
              <w:rPr>
                <w:rFonts w:hint="default"/>
                <w:lang w:val="en-US" w:eastAsia="zh-CN"/>
              </w:rPr>
            </w:pPr>
            <w:r>
              <w:rPr>
                <w:rFonts w:hint="eastAsia"/>
                <w:lang w:val="en-US" w:eastAsia="zh-CN"/>
              </w:rPr>
              <w:t>图1-3 本项目与北京市生态保护红线位置关系图</w:t>
            </w:r>
          </w:p>
          <w:p w14:paraId="682049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）环境质量底线符合性分析</w:t>
            </w:r>
          </w:p>
          <w:p w14:paraId="78CC62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所排废水为动物诊疗废水及生活废水。其中诊疗废水经消毒处理后与生活废水排入所在建筑化粪池预处理，然后经市政污水管网汇入</w:t>
            </w:r>
            <w:r>
              <w:rPr>
                <w:rFonts w:hint="eastAsia"/>
                <w:highlight w:val="none"/>
                <w:vertAlign w:val="baseline"/>
                <w:lang w:val="en-US" w:eastAsia="zh-CN"/>
              </w:rPr>
              <w:t>北京中设水处理有限公司良乡污水处理厂，废</w:t>
            </w:r>
            <w:r>
              <w:rPr>
                <w:rFonts w:hint="eastAsia"/>
                <w:vertAlign w:val="baseline"/>
                <w:lang w:val="en-US" w:eastAsia="zh-CN"/>
              </w:rPr>
              <w:t>水不直接排入地表水体，不会突破水环境质量底线。动物医院经营过程中产生的异味在采取有效的污染防治措施后，能达标排放，不会突破大气环境质量底线。项目运营期产生的生活垃圾分类收集，妥善处置；包装物等一般工业固体废物交由废品回收站再利用；诊疗及手术等环节产生的医疗废物在医疗废物暂存间暂存，定期委托有处置资质的单位回收处置，不会污染土壤和地下水环境，不会突破土壤环境底线。项目噪声经治理后，能够达标排放。</w:t>
            </w:r>
          </w:p>
          <w:p w14:paraId="2DC2A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项目区域环境质量可以保持现有水平，符合环境质量底线要求。</w:t>
            </w:r>
          </w:p>
          <w:p w14:paraId="46596F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w:t>
            </w:r>
            <w:r>
              <w:rPr>
                <w:rFonts w:hint="eastAsia"/>
                <w:vertAlign w:val="baseline"/>
                <w:lang w:val="en-US" w:eastAsia="zh-CN"/>
              </w:rPr>
              <w:t>资源利用上线符合性分析</w:t>
            </w:r>
          </w:p>
          <w:p w14:paraId="3501E3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为动物医院，属于社区事业与服务业，从事动物疫病诊疗及相关手术。本项目不属于高能耗行业，不会超出区域资源利用上线。</w:t>
            </w:r>
          </w:p>
          <w:p w14:paraId="7C7377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4</w:t>
            </w:r>
            <w:r>
              <w:rPr>
                <w:rFonts w:hint="eastAsia"/>
                <w:vertAlign w:val="baseline"/>
                <w:lang w:eastAsia="zh-CN"/>
              </w:rPr>
              <w:t>）生态准入清单符合性分析</w:t>
            </w:r>
          </w:p>
          <w:p w14:paraId="70AE39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共北京市委生态文明建设委员会办公室关于印发〈关于北京市生态环境分区管控（“三线一单”）的实施意见〉的通知》，生态环境管控分为优先保护单元、重点管控单元和一般管控单元三类区域。重点管控单元指涉及水、大气、土壤、水资源、土地资源、能源等资源环境要素重点管控的区域，主要包括具有工业排放性质的国家级、市级产业园区，以及污染物排放量较大的街道（乡镇）。对重点管控单元，以环境污染</w:t>
            </w:r>
            <w:r>
              <w:rPr>
                <w:rFonts w:hint="eastAsia"/>
                <w:vertAlign w:val="baseline"/>
                <w:lang w:eastAsia="zh-CN"/>
              </w:rPr>
              <w:t>；</w:t>
            </w:r>
            <w:r>
              <w:rPr>
                <w:rFonts w:hint="eastAsia"/>
                <w:vertAlign w:val="baseline"/>
              </w:rPr>
              <w:t>治理和风险防范为主，要优化空间布局，促进产业转型升级，加强污染排放控制和环境风险防控，不断提升资源利用效率。</w:t>
            </w:r>
          </w:p>
          <w:p w14:paraId="2B27E2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w:t>
            </w:r>
            <w:r>
              <w:rPr>
                <w:rFonts w:hint="eastAsia"/>
                <w:vertAlign w:val="baseline"/>
                <w:lang w:eastAsia="zh-CN"/>
              </w:rPr>
              <w:t>北京市房山区良乡拱辰星园4号楼1层0102底商</w:t>
            </w:r>
            <w:r>
              <w:rPr>
                <w:rFonts w:hint="eastAsia"/>
                <w:highlight w:val="none"/>
                <w:vertAlign w:val="baseline"/>
              </w:rPr>
              <w:t>，</w:t>
            </w:r>
            <w:r>
              <w:rPr>
                <w:rFonts w:hint="eastAsia"/>
                <w:highlight w:val="none"/>
                <w:vertAlign w:val="baseline"/>
                <w:lang w:val="en-US" w:eastAsia="zh-CN"/>
              </w:rPr>
              <w:t>属于街道（乡镇）重点管控单元，管控单元编码：ZH11011120013。在</w:t>
            </w:r>
            <w:r>
              <w:rPr>
                <w:rFonts w:hint="eastAsia"/>
                <w:vertAlign w:val="baseline"/>
                <w:lang w:val="en-US" w:eastAsia="zh-CN"/>
              </w:rPr>
              <w:t>北京市生态环境管控单元图中的位置见下图。</w:t>
            </w:r>
          </w:p>
          <w:p w14:paraId="08B288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DD77F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DDDF9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EF80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68CF6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AAB60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2F138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F8AD5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7269C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C40CF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983FB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CCE77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r>
              <w:rPr>
                <w:sz w:val="24"/>
              </w:rPr>
              <mc:AlternateContent>
                <mc:Choice Requires="wps">
                  <w:drawing>
                    <wp:anchor distT="0" distB="0" distL="114300" distR="114300" simplePos="0" relativeHeight="251664384" behindDoc="0" locked="0" layoutInCell="1" allowOverlap="1">
                      <wp:simplePos x="0" y="0"/>
                      <wp:positionH relativeFrom="column">
                        <wp:posOffset>1828800</wp:posOffset>
                      </wp:positionH>
                      <wp:positionV relativeFrom="paragraph">
                        <wp:posOffset>3340100</wp:posOffset>
                      </wp:positionV>
                      <wp:extent cx="90170" cy="90170"/>
                      <wp:effectExtent l="6350" t="6350" r="17780" b="17780"/>
                      <wp:wrapNone/>
                      <wp:docPr id="10" name="椭圆 10"/>
                      <wp:cNvGraphicFramePr/>
                      <a:graphic xmlns:a="http://schemas.openxmlformats.org/drawingml/2006/main">
                        <a:graphicData uri="http://schemas.microsoft.com/office/word/2010/wordprocessingShape">
                          <wps:wsp>
                            <wps:cNvSpPr/>
                            <wps:spPr>
                              <a:xfrm>
                                <a:off x="3975735" y="314833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4pt;margin-top:263pt;height:7.1pt;width:7.1pt;z-index:251664384;v-text-anchor:middle;mso-width-relative:page;mso-height-relative:page;" fillcolor="#000000 [3213]" filled="t" stroked="t" coordsize="21600,21600" o:gfxdata="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Gcyqw3aAAAACwEAAA8AAAAAAAAAAQAgAAAAIgAAAGRycy9k&#10;b3ducmV2LnhtbFBLAQIUABQAAAAIAIdO4kDhgLdHcgIAAAIFAAAOAAAAAAAAAAEAIAAAACkBAABk&#10;cnMvZTJvRG9jLnhtbFBLBQYAAAAABgAGAFkBAAANBgAAAAA=&#10;">
                      <v:fill on="t" focussize="0,0"/>
                      <v:stroke weight="1pt" color="#000000 [3213]" miterlimit="8" joinstyle="miter"/>
                      <v:imagedata o:title=""/>
                      <o:lock v:ext="edit" aspectratio="f"/>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1333500</wp:posOffset>
                      </wp:positionH>
                      <wp:positionV relativeFrom="paragraph">
                        <wp:posOffset>3663315</wp:posOffset>
                      </wp:positionV>
                      <wp:extent cx="780415" cy="304800"/>
                      <wp:effectExtent l="6350" t="295275" r="13335" b="9525"/>
                      <wp:wrapNone/>
                      <wp:docPr id="11" name="圆角矩形标注 11"/>
                      <wp:cNvGraphicFramePr/>
                      <a:graphic xmlns:a="http://schemas.openxmlformats.org/drawingml/2006/main">
                        <a:graphicData uri="http://schemas.microsoft.com/office/word/2010/wordprocessingShape">
                          <wps:wsp>
                            <wps:cNvSpPr/>
                            <wps:spPr>
                              <a:xfrm>
                                <a:off x="3862070" y="330835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05pt;margin-top:288.45pt;height:24pt;width:61.45pt;z-index:251665408;v-text-anchor:middle;mso-width-relative:page;mso-height-relative:page;" filled="f" stroked="t" coordsize="21600,21600" o:gfxdata="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Fhj3&#10;ytsAAAALAQAADwAAAAAAAAABACAAAAAiAAAAZHJzL2Rvd25yZXYueG1sUEsBAhQAFAAAAAgAh07i&#10;QJ2G9QPKAgAAdwUAAA4AAAAAAAAAAQAgAAAAKgEAAGRycy9lMm9Eb2MueG1sUEsFBgAAAAAGAAYA&#10;WQEAAGYGAAAAAA==&#10;" adj="14728,-19575,14400">
                      <v:fill on="f" focussize="0,0"/>
                      <v:stroke weight="1pt" color="#000000 [3213]" miterlimit="8" joinstyle="miter"/>
                      <v:imagedata o:title=""/>
                      <o:lock v:ext="edit" aspectratio="f"/>
                      <v:textbo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v:textbox>
                    </v:shape>
                  </w:pict>
                </mc:Fallback>
              </mc:AlternateContent>
            </w:r>
            <w:r>
              <w:rPr>
                <w:rFonts w:hint="default"/>
              </w:rPr>
              <w:drawing>
                <wp:inline distT="0" distB="0" distL="114300" distR="114300">
                  <wp:extent cx="4679950" cy="4184650"/>
                  <wp:effectExtent l="0" t="0" r="6350" b="635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0"/>
                          <a:srcRect l="1995" t="8968" r="3826" b="881"/>
                          <a:stretch>
                            <a:fillRect/>
                          </a:stretch>
                        </pic:blipFill>
                        <pic:spPr>
                          <a:xfrm>
                            <a:off x="0" y="0"/>
                            <a:ext cx="4679950" cy="4184650"/>
                          </a:xfrm>
                          <a:prstGeom prst="rect">
                            <a:avLst/>
                          </a:prstGeom>
                          <a:noFill/>
                          <a:ln>
                            <a:noFill/>
                          </a:ln>
                        </pic:spPr>
                      </pic:pic>
                    </a:graphicData>
                  </a:graphic>
                </wp:inline>
              </w:drawing>
            </w:r>
          </w:p>
          <w:p w14:paraId="7F3727A0">
            <w:pPr>
              <w:pStyle w:val="11"/>
              <w:bidi w:val="0"/>
              <w:rPr>
                <w:rFonts w:hint="default"/>
                <w:lang w:val="en-US" w:eastAsia="zh-CN"/>
              </w:rPr>
            </w:pPr>
            <w:r>
              <w:rPr>
                <w:rFonts w:hint="eastAsia"/>
                <w:lang w:val="en-US" w:eastAsia="zh-CN"/>
              </w:rPr>
              <w:t>图1-4 北京市生态环境管控单元图</w:t>
            </w:r>
          </w:p>
          <w:p w14:paraId="7DD50E7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C0BB89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CF7E2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2167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CCFC5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169CB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526045A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67762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AA07B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B9525D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06D6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F9C5BD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FF53F5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DCDF13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61B23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sz w:val="24"/>
              </w:rPr>
              <w:drawing>
                <wp:inline distT="0" distB="0" distL="114300" distR="114300">
                  <wp:extent cx="4679950" cy="6613525"/>
                  <wp:effectExtent l="0" t="0" r="6350" b="15875"/>
                  <wp:docPr id="16" name="图片 16" descr="拱辰街道重点管控单元（乡镇街道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拱辰街道重点管控单元（乡镇街道类）"/>
                          <pic:cNvPicPr>
                            <a:picLocks noChangeAspect="1"/>
                          </pic:cNvPicPr>
                        </pic:nvPicPr>
                        <pic:blipFill>
                          <a:blip r:embed="rId11"/>
                          <a:stretch>
                            <a:fillRect/>
                          </a:stretch>
                        </pic:blipFill>
                        <pic:spPr>
                          <a:xfrm>
                            <a:off x="0" y="0"/>
                            <a:ext cx="4679950" cy="6613525"/>
                          </a:xfrm>
                          <a:prstGeom prst="rect">
                            <a:avLst/>
                          </a:prstGeom>
                        </pic:spPr>
                      </pic:pic>
                    </a:graphicData>
                  </a:graphic>
                </wp:inline>
              </w:drawing>
            </w:r>
            <w:r>
              <w:rPr>
                <w:sz w:val="24"/>
              </w:rPr>
              <mc:AlternateContent>
                <mc:Choice Requires="wps">
                  <w:drawing>
                    <wp:anchor distT="0" distB="0" distL="114300" distR="114300" simplePos="0" relativeHeight="251666432" behindDoc="0" locked="0" layoutInCell="1" allowOverlap="1">
                      <wp:simplePos x="0" y="0"/>
                      <wp:positionH relativeFrom="column">
                        <wp:posOffset>1539875</wp:posOffset>
                      </wp:positionH>
                      <wp:positionV relativeFrom="paragraph">
                        <wp:posOffset>2268855</wp:posOffset>
                      </wp:positionV>
                      <wp:extent cx="90170" cy="90170"/>
                      <wp:effectExtent l="6350" t="6350" r="17780" b="17780"/>
                      <wp:wrapNone/>
                      <wp:docPr id="19" name="椭圆 19"/>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1.25pt;margin-top:178.65pt;height:7.1pt;width:7.1pt;z-index:251666432;v-text-anchor:middle;mso-width-relative:page;mso-height-relative:page;" fillcolor="#000000 [3213]" filled="t" stroked="t" coordsize="21600,21600" o:gfxdata="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rQDS82wAAAAsBAAAPAAAAAAAAAAEAIAAAACIAAABkcnMvZG93bnJldi54bWxQ&#10;SwECFAAUAAAACACHTuJAnlUBUWYCAAD2BAAADgAAAAAAAAABACAAAAAqAQAAZHJzL2Uyb0RvYy54&#10;bWxQSwUGAAAAAAYABgBZAQAAAgYAAAAA&#10;">
                      <v:fill on="t" focussize="0,0"/>
                      <v:stroke weight="1pt" color="#000000 [3213]" miterlimit="8" joinstyle="miter"/>
                      <v:imagedata o:title=""/>
                      <o:lock v:ext="edit" aspectratio="f"/>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1044575</wp:posOffset>
                      </wp:positionH>
                      <wp:positionV relativeFrom="paragraph">
                        <wp:posOffset>2592070</wp:posOffset>
                      </wp:positionV>
                      <wp:extent cx="780415" cy="304800"/>
                      <wp:effectExtent l="6350" t="295275" r="13335" b="9525"/>
                      <wp:wrapNone/>
                      <wp:docPr id="18" name="圆角矩形标注 18"/>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82.25pt;margin-top:204.1pt;height:24pt;width:61.45pt;z-index:251667456;v-text-anchor:middle;mso-width-relative:page;mso-height-relative:page;" filled="f" stroked="t" coordsize="21600,21600" o:gfxdata="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5tSWSdkAAAALAQAADwAA&#10;AAAAAAABACAAAAAiAAAAZHJzL2Rvd25yZXYueG1sUEsBAhQAFAAAAAgAh07iQDgkQbnAAgAAawUA&#10;AA4AAAAAAAAAAQAgAAAAKAEAAGRycy9lMm9Eb2MueG1sUEsFBgAAAAAGAAYAWQEAAFoGAAAAAA==&#10;" adj="14728,-19575,14400">
                      <v:fill on="f" focussize="0,0"/>
                      <v:stroke weight="1pt" color="#000000 [3213]" miterlimit="8" joinstyle="miter"/>
                      <v:imagedata o:title=""/>
                      <o:lock v:ext="edit" aspectratio="f"/>
                      <v:textbo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p>
          <w:p w14:paraId="6AD2712F">
            <w:pPr>
              <w:pStyle w:val="11"/>
              <w:bidi w:val="0"/>
              <w:rPr>
                <w:rFonts w:hint="default"/>
                <w:highlight w:val="none"/>
                <w:lang w:val="en-US" w:eastAsia="zh-CN"/>
              </w:rPr>
            </w:pPr>
            <w:r>
              <w:rPr>
                <w:rFonts w:hint="eastAsia"/>
                <w:highlight w:val="none"/>
                <w:lang w:val="en-US" w:eastAsia="zh-CN"/>
              </w:rPr>
              <w:t>图1-5 重点管控类街道（乡镇）管控单元图</w:t>
            </w:r>
          </w:p>
          <w:p w14:paraId="789F5F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本项目从全市总体、五大功能区及环境管控单元三个等级逐级分析准入要求符合性。</w:t>
            </w:r>
          </w:p>
          <w:p w14:paraId="2EA22D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1）全市总体生态环境准入清单符合性分析</w:t>
            </w:r>
          </w:p>
          <w:p w14:paraId="0D325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所在位置不涉及永久基本农田、具有重要生态价值的山地、森林、河流湖泊等现状生态用地，和饮用水水源保护区及准保护区、自然保护区、风景名胜区、森林公园、地质公园、湿地公园等法定保护空间，以及对生态安全格局具有重要作用的部分大型公园和结构性绿地。项目所在地属于涉及水、大气、土壤、水资源、土地资源、能源等资源环境要素重点管控的区域。且不在39个具有工业污染排放性质的国家级和市级开发区、新型工业化产业示范基地内，应属于重点管控类街道（乡镇）类管控单元。</w:t>
            </w:r>
          </w:p>
          <w:p w14:paraId="01419A88">
            <w:pPr>
              <w:pStyle w:val="11"/>
              <w:bidi w:val="0"/>
              <w:rPr>
                <w:rFonts w:hint="default"/>
                <w:lang w:val="en-US" w:eastAsia="zh-CN"/>
              </w:rPr>
            </w:pPr>
            <w:r>
              <w:rPr>
                <w:rFonts w:hint="eastAsia"/>
                <w:lang w:val="en-US" w:eastAsia="zh-CN"/>
              </w:rPr>
              <w:t>表1-1 与重点管控类[街道（乡镇）]生态环境准入清单管控要求符合性分析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6E301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8CA85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41C114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5A6394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0F46B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1CFC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37CA5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39C7B6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p>
                <w:p w14:paraId="3BEE12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2.严格执行《北京市工业污染行业生产工艺调整退出及设备淘汰目录（2022年版）》。</w:t>
                  </w:r>
                </w:p>
                <w:p w14:paraId="4A31E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3.严格执行《北京城市总体规划(2016年-2035年)》《北京市国土空间近期规划(2021年—2025年)》及分区规划中的空间布局约束管控要求。</w:t>
                  </w:r>
                </w:p>
                <w:p w14:paraId="65E19D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4.严格执行《北京市高污染燃料禁燃区划定方案（试行）》，高污染燃料禁燃区内任何单位不得新建、扩建高污染燃料燃用设施，不得将其他燃料燃用设施改造为高污染燃料燃用设施。</w:t>
                  </w:r>
                </w:p>
                <w:p w14:paraId="16B252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5.严格执行《北京市水污染防治条例》，通过合理规划工业布局，引导工业企业入驻工业园区；规划禁养区内已有的畜禽养殖场、养殖小区项目，由所在地区人民政府限期拆除。</w:t>
                  </w:r>
                </w:p>
                <w:p w14:paraId="6E33FE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9611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7.严格执行《北京历史文化名城保护条例》，严格控制建设规模和建筑高度，保护景观视廊和空间格局；逐步开展环境整治、生态修复，恢复大尺度绿色空间。</w:t>
                  </w:r>
                </w:p>
              </w:tc>
              <w:tc>
                <w:tcPr>
                  <w:tcW w:w="3038" w:type="dxa"/>
                  <w:tcBorders>
                    <w:tl2br w:val="nil"/>
                    <w:tr2bl w:val="nil"/>
                  </w:tcBorders>
                  <w:vAlign w:val="center"/>
                </w:tcPr>
                <w:p w14:paraId="372A5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项目不属于《北京市新增产业的禁止和限制目录（2022年版）》中禁止和限制类项目，未列入北京市《建设项目规划使用性质正面和负面清单》、《外商投资准入特别管理措施（负面清单）（2021年版）》《自由贸易试验区外商投资准入特别管理措施（负面清单）（2021年版）》中负面清单，本项目严格执行《北京市“十四五”时期高精尖产业发展规划》《北京市“十四五”时期生态环境保护规划》中相关要求。</w:t>
                  </w:r>
                </w:p>
                <w:p w14:paraId="1CCAE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2.项目为动物医院，属于社区事业与服务业，项目工艺和设备不属于《北京市工业污染行业生产工艺调整退出及设备淘汰目录（2022年版）》中工艺及设备。</w:t>
                  </w:r>
                </w:p>
                <w:p w14:paraId="75518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3.项目符合《北京城市总体规划（2016年-2035年）》及分区规划中的空间布局约束管控要求。</w:t>
                  </w:r>
                </w:p>
                <w:p w14:paraId="5D6FC9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4.项目不涉及高污染燃料燃用设施使用。</w:t>
                  </w:r>
                </w:p>
                <w:p w14:paraId="3878C5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5.项目严格执行《北京市水污染防治条例》；不涉及工业园区和畜禽养殖场等。</w:t>
                  </w:r>
                </w:p>
                <w:p w14:paraId="04E688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6.项目严格执行《北京市大气污染防治条例》，不涉及销售散煤及制品；项目为动物医院，属于社区事业与服务业，不涉及饮食服务、服装干洗和机动车维修等。</w:t>
                  </w:r>
                </w:p>
                <w:p w14:paraId="35ABC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7.项目不涉及。</w:t>
                  </w:r>
                </w:p>
              </w:tc>
              <w:tc>
                <w:tcPr>
                  <w:tcW w:w="510" w:type="dxa"/>
                  <w:tcBorders>
                    <w:tl2br w:val="nil"/>
                    <w:tr2bl w:val="nil"/>
                  </w:tcBorders>
                  <w:vAlign w:val="center"/>
                </w:tcPr>
                <w:p w14:paraId="6EAD8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9E78A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E691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7C26BD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p>
                <w:p w14:paraId="1D845C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2.严格执行《北京市机动车和非道路移动机械排放污染防治条例》，优化道路设置和运输结构，推广新能源的机动车和非道路移动机械应用，加强机动车和非道路移动机械排放污染防治。</w:t>
                  </w:r>
                </w:p>
                <w:p w14:paraId="7E523A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3.严格执行《绿色施工管理规程》。</w:t>
                  </w:r>
                </w:p>
                <w:p w14:paraId="290BF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p>
                <w:p w14:paraId="12D688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5.严格执行《中华人民共和国清洁生产促进法》《中华人民共和国循环经济促进法》。</w:t>
                  </w:r>
                </w:p>
                <w:p w14:paraId="3D958D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6.严格执行《建设项目主要污染物排放总量指标审核及管理暂行办法》《原北京市环境保护局关于建设项目主要污染物排放总量指标审核及管理的补充通知》。</w:t>
                  </w:r>
                </w:p>
                <w:p w14:paraId="7C56ED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7.严格执行废气、废水、噪声、固体废物等国家、地方污染物排放标准；严格执行锅炉、餐饮、加油站、储油库、印刷业等地方大气污染物排放标准，强化重点领域大气污染管控。</w:t>
                  </w:r>
                </w:p>
                <w:p w14:paraId="3F55D9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6D4B48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9.严格执行《北京市烟花爆竹安全管理规定》，五环路以内（含五环路）及各区人民政府划定的禁放区域禁止燃放烟花爆竹。</w:t>
                  </w:r>
                </w:p>
                <w:p w14:paraId="3029C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严格执行《中共中央国务院关于深入打好污染防治攻坚战的意见》《中共北京市委北京市人民政府关于深入打好北京市污染防治攻坚战的实施意见》，开展大气面源治理；推动规模化畜禽养殖场全部配备粪污处理设施，畜禽粪污综合利用率达到95%以上。</w:t>
                  </w:r>
                </w:p>
                <w:p w14:paraId="68FB3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11.严格执行《北京市“十四五”时期生态环境保护规划》《北京市“十四五”时期土壤污染防治规划》。</w:t>
                  </w:r>
                </w:p>
                <w:p w14:paraId="3E65D4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严格执行《北京市“十四五”时期应对气候变化和节能规划》《北京市“十四五”时期能源发展规划》《北京市碳达峰实施方案》《北京市“十四五”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p>
                <w:p w14:paraId="051C6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13.严格执行《北京市建设工程扬尘治理综合监管实施方案(试行)》《北京市预拌混凝土行业减量集约高质量发展指导意见（2019—2026年）》，坚持施工扬尘和站点扬尘高效精准治理，。</w:t>
                  </w:r>
                </w:p>
              </w:tc>
              <w:tc>
                <w:tcPr>
                  <w:tcW w:w="3038" w:type="dxa"/>
                  <w:tcBorders>
                    <w:tl2br w:val="nil"/>
                    <w:tr2bl w:val="nil"/>
                  </w:tcBorders>
                  <w:vAlign w:val="center"/>
                </w:tcPr>
                <w:p w14:paraId="2E1DF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1.项目废气、废水、噪声均达标排放，固体废物合理处置，满足国家、地方相关法律法规、环境质量标准和污染物排放标准要求。</w:t>
                  </w:r>
                </w:p>
                <w:p w14:paraId="00A73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w:t>
                  </w:r>
                  <w:r>
                    <w:rPr>
                      <w:rFonts w:hint="eastAsia"/>
                      <w:sz w:val="21"/>
                      <w:szCs w:val="21"/>
                      <w:vertAlign w:val="baseline"/>
                    </w:rPr>
                    <w:t>新能源的机动车和非道路移动机械应用。</w:t>
                  </w:r>
                </w:p>
                <w:p w14:paraId="360D6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3.项目严格执行《绿色施工管理规程》</w:t>
                  </w:r>
                </w:p>
                <w:p w14:paraId="7F410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4.项目</w:t>
                  </w:r>
                  <w:r>
                    <w:rPr>
                      <w:rFonts w:hint="eastAsia"/>
                      <w:sz w:val="21"/>
                      <w:szCs w:val="21"/>
                      <w:vertAlign w:val="baseline"/>
                      <w:lang w:val="en-US" w:eastAsia="zh-CN"/>
                    </w:rPr>
                    <w:t>废水合理处置，不涉及</w:t>
                  </w:r>
                  <w:r>
                    <w:rPr>
                      <w:rFonts w:hint="eastAsia"/>
                      <w:sz w:val="21"/>
                      <w:szCs w:val="21"/>
                      <w:vertAlign w:val="baseline"/>
                    </w:rPr>
                    <w:t>规模化畜禽养殖场</w:t>
                  </w:r>
                  <w:r>
                    <w:rPr>
                      <w:rFonts w:hint="eastAsia"/>
                      <w:sz w:val="21"/>
                      <w:szCs w:val="21"/>
                      <w:vertAlign w:val="baseline"/>
                      <w:lang w:val="en-US" w:eastAsia="zh-CN"/>
                    </w:rPr>
                    <w:t>等。</w:t>
                  </w:r>
                </w:p>
                <w:p w14:paraId="46FD6E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5.项目严格执行《中华人民共和国清洁生产促进法》《中华人民共和国循环经济促进法》。</w:t>
                  </w:r>
                </w:p>
                <w:p w14:paraId="14AAA1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6.项目严格执行《建设项目主要污染物排放总量指标审核及管理暂行办法》《原北京市环境保护局关于建设项目主要污染物排放总量指标审核及管理的补充通知》。</w:t>
                  </w:r>
                </w:p>
                <w:p w14:paraId="63CFE7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7.项目严格执行废气、废水、噪声、固体废物等国家、地方污染物排放标准；项目不涉及锅炉、餐饮、加油站、储油库、印刷业等。</w:t>
                  </w:r>
                </w:p>
                <w:p w14:paraId="6B50C8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8.项目不涉及污染地块。</w:t>
                  </w:r>
                </w:p>
                <w:p w14:paraId="5734C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9.项目不涉及烟花爆竹燃放。</w:t>
                  </w:r>
                </w:p>
                <w:p w14:paraId="3BCA0C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10.项目不涉及规模化畜禽养殖。</w:t>
                  </w:r>
                </w:p>
                <w:p w14:paraId="0844F6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11.项目严格执行《北京市“十四五”时期生态环境保护规划》《北京市“十四五”时期土壤污染防治规划》。</w:t>
                  </w:r>
                </w:p>
                <w:p w14:paraId="0E427B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12.项目严格执行《北京市“十四五”时期应对气候变化和节能规划》《北京市“十四五”时期能源发展规划》《北京市碳达峰实施方案》《北京市“十四五”时期制造业绿色低碳发展行动方案》。</w:t>
                  </w:r>
                </w:p>
                <w:p w14:paraId="14C17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13.项目严格执行《北京市建设工程扬尘治理综合监管实施方案(试行)》《北京市预拌混凝土行业减量集约高质量发展指导意见（2019—2026年）》，坚持施工扬尘和站点扬尘高效精准治理。</w:t>
                  </w:r>
                </w:p>
              </w:tc>
              <w:tc>
                <w:tcPr>
                  <w:tcW w:w="510" w:type="dxa"/>
                  <w:tcBorders>
                    <w:tl2br w:val="nil"/>
                    <w:tr2bl w:val="nil"/>
                  </w:tcBorders>
                  <w:vAlign w:val="center"/>
                </w:tcPr>
                <w:p w14:paraId="0ED90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36F28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12915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3FC2AC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246287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2.落实《北京城市总体规划(2016年-2035年)》要求，强化土壤污染源头管控，加强污染地块再开发利用的联动监管。</w:t>
                  </w:r>
                </w:p>
              </w:tc>
              <w:tc>
                <w:tcPr>
                  <w:tcW w:w="3038" w:type="dxa"/>
                  <w:tcBorders>
                    <w:tl2br w:val="nil"/>
                    <w:tr2bl w:val="nil"/>
                  </w:tcBorders>
                  <w:vAlign w:val="center"/>
                </w:tcPr>
                <w:p w14:paraId="11D52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1.项目废气、废水、噪声均达标排放，固体废物合理处置，满足国家、地方相关法律法规、环境质量标准和污染物排放标准要求。</w:t>
                  </w:r>
                </w:p>
                <w:p w14:paraId="72E887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2.项目落实《北京城市总体规划(2016年-2035年)》要求。</w:t>
                  </w:r>
                </w:p>
              </w:tc>
              <w:tc>
                <w:tcPr>
                  <w:tcW w:w="510" w:type="dxa"/>
                  <w:tcBorders>
                    <w:tl2br w:val="nil"/>
                    <w:tr2bl w:val="nil"/>
                  </w:tcBorders>
                  <w:vAlign w:val="center"/>
                </w:tcPr>
                <w:p w14:paraId="7E715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3E8D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F5043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0DBAF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3A3035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2.落实《北京城市总体规划</w:t>
                  </w:r>
                  <w:r>
                    <w:rPr>
                      <w:rFonts w:hint="eastAsia"/>
                      <w:sz w:val="21"/>
                      <w:szCs w:val="21"/>
                      <w:vertAlign w:val="baseline"/>
                      <w:lang w:eastAsia="zh-CN"/>
                    </w:rPr>
                    <w:t>（</w:t>
                  </w:r>
                  <w:r>
                    <w:rPr>
                      <w:rFonts w:hint="eastAsia"/>
                      <w:sz w:val="21"/>
                      <w:szCs w:val="21"/>
                      <w:vertAlign w:val="baseline"/>
                    </w:rPr>
                    <w:t>2016年</w:t>
                  </w:r>
                  <w:r>
                    <w:rPr>
                      <w:rFonts w:hint="eastAsia"/>
                      <w:sz w:val="21"/>
                      <w:szCs w:val="21"/>
                      <w:vertAlign w:val="baseline"/>
                      <w:lang w:eastAsia="zh-CN"/>
                    </w:rPr>
                    <w:t>—</w:t>
                  </w:r>
                  <w:r>
                    <w:rPr>
                      <w:rFonts w:hint="eastAsia"/>
                      <w:sz w:val="21"/>
                      <w:szCs w:val="21"/>
                      <w:vertAlign w:val="baseline"/>
                    </w:rPr>
                    <w:t>2035年</w:t>
                  </w:r>
                  <w:r>
                    <w:rPr>
                      <w:rFonts w:hint="eastAsia"/>
                      <w:sz w:val="21"/>
                      <w:szCs w:val="21"/>
                      <w:vertAlign w:val="baseline"/>
                      <w:lang w:eastAsia="zh-CN"/>
                    </w:rPr>
                    <w:t>）</w:t>
                  </w:r>
                  <w:r>
                    <w:rPr>
                      <w:rFonts w:hint="eastAsia"/>
                      <w:sz w:val="21"/>
                      <w:szCs w:val="21"/>
                      <w:vertAlign w:val="baseline"/>
                    </w:rPr>
                    <w:t>》要求，坚守建设用地规模底线，严格落实土地用途管制制度，腾退低效集体产业用地，实现城乡建设用地规模减量。</w:t>
                  </w:r>
                </w:p>
                <w:p w14:paraId="36EAF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 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3038" w:type="dxa"/>
                  <w:tcBorders>
                    <w:tl2br w:val="nil"/>
                    <w:tr2bl w:val="nil"/>
                  </w:tcBorders>
                  <w:vAlign w:val="center"/>
                </w:tcPr>
                <w:p w14:paraId="59EB5B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w:t>
                  </w:r>
                  <w:r>
                    <w:rPr>
                      <w:rFonts w:hint="eastAsia"/>
                      <w:sz w:val="21"/>
                      <w:szCs w:val="21"/>
                      <w:vertAlign w:val="baseline"/>
                      <w:lang w:val="en-US" w:eastAsia="zh-CN"/>
                    </w:rPr>
                    <w:t>项目</w:t>
                  </w:r>
                  <w:r>
                    <w:rPr>
                      <w:rFonts w:hint="eastAsia"/>
                      <w:sz w:val="21"/>
                      <w:szCs w:val="21"/>
                      <w:vertAlign w:val="baseline"/>
                    </w:rPr>
                    <w:t>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4A05F9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w:t>
                  </w:r>
                  <w:r>
                    <w:rPr>
                      <w:rFonts w:hint="eastAsia"/>
                      <w:sz w:val="21"/>
                      <w:szCs w:val="21"/>
                      <w:vertAlign w:val="baseline"/>
                      <w:lang w:val="en-US" w:eastAsia="zh-CN"/>
                    </w:rPr>
                    <w:t>项目</w:t>
                  </w:r>
                  <w:r>
                    <w:rPr>
                      <w:rFonts w:hint="eastAsia"/>
                      <w:sz w:val="21"/>
                      <w:szCs w:val="21"/>
                      <w:vertAlign w:val="baseline"/>
                    </w:rPr>
                    <w:t>落实《北京城市总体规划</w:t>
                  </w:r>
                  <w:r>
                    <w:rPr>
                      <w:rFonts w:hint="eastAsia"/>
                      <w:sz w:val="21"/>
                      <w:szCs w:val="21"/>
                      <w:vertAlign w:val="baseline"/>
                      <w:lang w:eastAsia="zh-CN"/>
                    </w:rPr>
                    <w:t>（</w:t>
                  </w:r>
                  <w:r>
                    <w:rPr>
                      <w:rFonts w:hint="eastAsia"/>
                      <w:sz w:val="21"/>
                      <w:szCs w:val="21"/>
                      <w:vertAlign w:val="baseline"/>
                    </w:rPr>
                    <w:t>2016年</w:t>
                  </w:r>
                  <w:r>
                    <w:rPr>
                      <w:rFonts w:hint="eastAsia"/>
                      <w:sz w:val="21"/>
                      <w:szCs w:val="21"/>
                      <w:vertAlign w:val="baseline"/>
                      <w:lang w:eastAsia="zh-CN"/>
                    </w:rPr>
                    <w:t>—</w:t>
                  </w:r>
                  <w:r>
                    <w:rPr>
                      <w:rFonts w:hint="eastAsia"/>
                      <w:sz w:val="21"/>
                      <w:szCs w:val="21"/>
                      <w:vertAlign w:val="baseline"/>
                    </w:rPr>
                    <w:t>2035年</w:t>
                  </w:r>
                  <w:r>
                    <w:rPr>
                      <w:rFonts w:hint="eastAsia"/>
                      <w:sz w:val="21"/>
                      <w:szCs w:val="21"/>
                      <w:vertAlign w:val="baseline"/>
                      <w:lang w:eastAsia="zh-CN"/>
                    </w:rPr>
                    <w:t>）</w:t>
                  </w:r>
                  <w:r>
                    <w:rPr>
                      <w:rFonts w:hint="eastAsia"/>
                      <w:sz w:val="21"/>
                      <w:szCs w:val="21"/>
                      <w:vertAlign w:val="baseline"/>
                    </w:rPr>
                    <w:t>》要求。</w:t>
                  </w:r>
                </w:p>
                <w:p w14:paraId="73FCB7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rPr>
                    <w:t>3.</w:t>
                  </w:r>
                  <w:r>
                    <w:rPr>
                      <w:rFonts w:hint="eastAsia"/>
                      <w:sz w:val="21"/>
                      <w:szCs w:val="21"/>
                      <w:vertAlign w:val="baseline"/>
                      <w:lang w:val="en-US" w:eastAsia="zh-CN"/>
                    </w:rPr>
                    <w:t>项目</w:t>
                  </w:r>
                  <w:r>
                    <w:rPr>
                      <w:rFonts w:hint="eastAsia"/>
                      <w:sz w:val="21"/>
                      <w:szCs w:val="21"/>
                      <w:vertAlign w:val="baseline"/>
                    </w:rPr>
                    <w:t>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510" w:type="dxa"/>
                  <w:tcBorders>
                    <w:tl2br w:val="nil"/>
                    <w:tr2bl w:val="nil"/>
                  </w:tcBorders>
                  <w:vAlign w:val="center"/>
                </w:tcPr>
                <w:p w14:paraId="7BBD5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2C735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）五大功能区清单符合性分析</w:t>
            </w:r>
          </w:p>
          <w:p w14:paraId="0C8ACE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val="en-US" w:eastAsia="zh-CN"/>
              </w:rPr>
              <w:t>属于平原新城，项目与平原新城生态环境准入清单</w:t>
            </w:r>
            <w:r>
              <w:rPr>
                <w:rFonts w:hint="eastAsia"/>
                <w:vertAlign w:val="baseline"/>
              </w:rPr>
              <w:t>符合性分析</w:t>
            </w:r>
            <w:r>
              <w:rPr>
                <w:rFonts w:hint="eastAsia"/>
                <w:vertAlign w:val="baseline"/>
                <w:lang w:val="en-US" w:eastAsia="zh-CN"/>
              </w:rPr>
              <w:t>详</w:t>
            </w:r>
            <w:r>
              <w:rPr>
                <w:rFonts w:hint="eastAsia"/>
                <w:vertAlign w:val="baseline"/>
              </w:rPr>
              <w:t>见</w:t>
            </w:r>
            <w:r>
              <w:rPr>
                <w:rFonts w:hint="eastAsia"/>
                <w:vertAlign w:val="baseline"/>
                <w:lang w:val="en-US" w:eastAsia="zh-CN"/>
              </w:rPr>
              <w:t>下表。</w:t>
            </w:r>
          </w:p>
          <w:p w14:paraId="44F31F06">
            <w:pPr>
              <w:pStyle w:val="11"/>
              <w:bidi w:val="0"/>
              <w:rPr>
                <w:rFonts w:hint="default"/>
                <w:lang w:val="en-US" w:eastAsia="zh-CN"/>
              </w:rPr>
            </w:pPr>
            <w:r>
              <w:rPr>
                <w:rFonts w:hint="eastAsia"/>
                <w:lang w:val="en-US" w:eastAsia="zh-CN"/>
              </w:rPr>
              <w:t>表1-2 与平原新城生态环境准入清单的符合性分析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59A177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8148B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63159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3F0384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3B1748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B41CD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28F0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0A5709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1.执行《北京市新增产业的禁止和限制目录（2022年版）》适用于中心城区、北京城市副中心以外的平原地区的管控要求。</w:t>
                  </w:r>
                </w:p>
                <w:p w14:paraId="569A9FC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2.执行《建设项目规划使用性质正面和负面清单》适用于顺义、大兴、亦庄、昌平、房山等新城的管控要求。</w:t>
                  </w:r>
                </w:p>
                <w:p w14:paraId="7A934B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3.涉及生态保护红线及相关法定保护空间的应执行优先保护类总体准入清单。</w:t>
                  </w:r>
                </w:p>
              </w:tc>
              <w:tc>
                <w:tcPr>
                  <w:tcW w:w="3038" w:type="dxa"/>
                  <w:tcBorders>
                    <w:tl2br w:val="nil"/>
                    <w:tr2bl w:val="nil"/>
                  </w:tcBorders>
                  <w:vAlign w:val="center"/>
                </w:tcPr>
                <w:p w14:paraId="3A7B76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1.项目执行《北京市新增产业的禁止和限制目录（2022年版）》适用于中心城区、北京城市副中心以外的平原地区的管控要求。</w:t>
                  </w:r>
                </w:p>
                <w:p w14:paraId="4ABF6F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2.项目执行《建设项目规划使用性质正面和负面清单》适用于顺义、大兴、亦庄、昌平、房山等新城的管控要求。</w:t>
                  </w:r>
                </w:p>
                <w:p w14:paraId="255D2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3.项目不涉及生态保护红线及相关法定保护空间。</w:t>
                  </w:r>
                </w:p>
              </w:tc>
              <w:tc>
                <w:tcPr>
                  <w:tcW w:w="510" w:type="dxa"/>
                  <w:tcBorders>
                    <w:tl2br w:val="nil"/>
                    <w:tr2bl w:val="nil"/>
                  </w:tcBorders>
                  <w:vAlign w:val="center"/>
                </w:tcPr>
                <w:p w14:paraId="5C1B1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6696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86F7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01F11B3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全域禁止使用高排放非道路移动机械。</w:t>
                  </w:r>
                </w:p>
                <w:p w14:paraId="21D5484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2.新增和更新的机场大巴</w:t>
                  </w:r>
                  <w:r>
                    <w:rPr>
                      <w:rFonts w:hint="eastAsia"/>
                      <w:sz w:val="21"/>
                      <w:szCs w:val="21"/>
                      <w:vertAlign w:val="baseline"/>
                      <w:lang w:eastAsia="zh-CN"/>
                    </w:rPr>
                    <w:t>（</w:t>
                  </w:r>
                  <w:r>
                    <w:rPr>
                      <w:rFonts w:hint="eastAsia"/>
                      <w:sz w:val="21"/>
                      <w:szCs w:val="21"/>
                      <w:vertAlign w:val="baseline"/>
                    </w:rPr>
                    <w:t>不含省际机场巴士业务</w:t>
                  </w:r>
                  <w:r>
                    <w:rPr>
                      <w:rFonts w:hint="eastAsia"/>
                      <w:sz w:val="21"/>
                      <w:szCs w:val="21"/>
                      <w:vertAlign w:val="baseline"/>
                      <w:lang w:eastAsia="zh-CN"/>
                    </w:rPr>
                    <w:t>）</w:t>
                  </w:r>
                  <w:r>
                    <w:rPr>
                      <w:rFonts w:hint="eastAsia"/>
                      <w:sz w:val="21"/>
                      <w:szCs w:val="21"/>
                      <w:vertAlign w:val="baseline"/>
                    </w:rPr>
                    <w:t>为纯电动或氢燃料电池车；大兴区落实氢能产业发展行动计划</w:t>
                  </w:r>
                  <w:r>
                    <w:rPr>
                      <w:rFonts w:hint="eastAsia"/>
                      <w:sz w:val="21"/>
                      <w:szCs w:val="21"/>
                      <w:vertAlign w:val="baseline"/>
                      <w:lang w:eastAsia="zh-CN"/>
                    </w:rPr>
                    <w:t>，</w:t>
                  </w:r>
                  <w:r>
                    <w:rPr>
                      <w:rFonts w:hint="eastAsia"/>
                      <w:sz w:val="21"/>
                      <w:szCs w:val="21"/>
                      <w:vertAlign w:val="baseline"/>
                    </w:rPr>
                    <w:t>在机场服务、物流配送等领域</w:t>
                  </w:r>
                  <w:r>
                    <w:rPr>
                      <w:rFonts w:hint="eastAsia"/>
                      <w:sz w:val="21"/>
                      <w:szCs w:val="21"/>
                      <w:vertAlign w:val="baseline"/>
                      <w:lang w:eastAsia="zh-CN"/>
                    </w:rPr>
                    <w:t>，</w:t>
                  </w:r>
                  <w:r>
                    <w:rPr>
                      <w:rFonts w:hint="eastAsia"/>
                      <w:sz w:val="21"/>
                      <w:szCs w:val="21"/>
                      <w:vertAlign w:val="baseline"/>
                    </w:rPr>
                    <w:t>实现100辆氢燃料电池车示范应用</w:t>
                  </w:r>
                  <w:r>
                    <w:rPr>
                      <w:rFonts w:hint="eastAsia"/>
                      <w:sz w:val="21"/>
                      <w:szCs w:val="21"/>
                      <w:vertAlign w:val="baseline"/>
                      <w:lang w:eastAsia="zh-CN"/>
                    </w:rPr>
                    <w:t>，</w:t>
                  </w:r>
                  <w:r>
                    <w:rPr>
                      <w:rFonts w:hint="eastAsia"/>
                      <w:sz w:val="21"/>
                      <w:szCs w:val="21"/>
                      <w:vertAlign w:val="baseline"/>
                    </w:rPr>
                    <w:t>推动“零排放”物流示范区建设。</w:t>
                  </w:r>
                </w:p>
                <w:p w14:paraId="253805F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3.房山区制定石化新材料基地VOCs精细化管控工作方案</w:t>
                  </w:r>
                  <w:r>
                    <w:rPr>
                      <w:rFonts w:hint="eastAsia"/>
                      <w:sz w:val="21"/>
                      <w:szCs w:val="21"/>
                      <w:vertAlign w:val="baseline"/>
                      <w:lang w:eastAsia="zh-CN"/>
                    </w:rPr>
                    <w:t>，</w:t>
                  </w:r>
                  <w:r>
                    <w:rPr>
                      <w:rFonts w:hint="eastAsia"/>
                      <w:sz w:val="21"/>
                      <w:szCs w:val="21"/>
                      <w:vertAlign w:val="baseline"/>
                    </w:rPr>
                    <w:t>并组织实施；顺义区、大兴区分别组织中关村顺义园、黄村印刷包装产业基地开展VOCs排放溯源分析及减排措施跟踪评估,推进精细化管理；顺义区开展汽车制造行业整体清洁生产审核试点。</w:t>
                  </w:r>
                </w:p>
                <w:p w14:paraId="06E6B6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4.必须遵守污染物排放的国家标准和地方标准；在实施重点污染物排放总量控制的区域内，还必须符合重点污染物排放总量控制的要求。</w:t>
                  </w:r>
                </w:p>
                <w:p w14:paraId="54A11D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5.工业园区配套建设废水集中处理设施。</w:t>
                  </w:r>
                </w:p>
                <w:p w14:paraId="0422EEF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6.按照循环经济和清洁生产的要求推动生态工业园区建设，通过合理规划工业布局，引导工业企业入驻工业园区。</w:t>
                  </w:r>
                </w:p>
                <w:p w14:paraId="41C5316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rPr>
                  </w:pPr>
                  <w:r>
                    <w:rPr>
                      <w:rFonts w:hint="eastAsia"/>
                      <w:sz w:val="21"/>
                      <w:szCs w:val="21"/>
                      <w:vertAlign w:val="baseline"/>
                    </w:rPr>
                    <w:t>7.依法关闭或搬迁禁养区内的畜禽养殖场（小区）和养殖专业户。新建、改建、扩建规模化畜禽养殖场（小区）要实施雨污分流、粪便污水资源化利用。</w:t>
                  </w:r>
                </w:p>
                <w:p w14:paraId="585DF55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8.推进石化行业重点企业开展VOCs治理提升行动，强化炼油总量控制，实现VOCs年减排10%以上。</w:t>
                  </w:r>
                </w:p>
              </w:tc>
              <w:tc>
                <w:tcPr>
                  <w:tcW w:w="3038" w:type="dxa"/>
                  <w:tcBorders>
                    <w:tl2br w:val="nil"/>
                    <w:tr2bl w:val="nil"/>
                  </w:tcBorders>
                  <w:vAlign w:val="center"/>
                </w:tcPr>
                <w:p w14:paraId="533C5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1.项目不使用高排放非道路移动机械。</w:t>
                  </w:r>
                </w:p>
                <w:p w14:paraId="615A51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w:t>
                  </w:r>
                  <w:r>
                    <w:rPr>
                      <w:rFonts w:hint="eastAsia"/>
                      <w:sz w:val="21"/>
                      <w:szCs w:val="21"/>
                      <w:vertAlign w:val="baseline"/>
                    </w:rPr>
                    <w:t>。</w:t>
                  </w:r>
                </w:p>
                <w:p w14:paraId="7E645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w:t>
                  </w:r>
                  <w:r>
                    <w:rPr>
                      <w:rFonts w:hint="eastAsia"/>
                      <w:sz w:val="21"/>
                      <w:szCs w:val="21"/>
                      <w:vertAlign w:val="baseline"/>
                      <w:lang w:val="en-US" w:eastAsia="zh-CN"/>
                    </w:rPr>
                    <w:t>不涉及</w:t>
                  </w:r>
                  <w:r>
                    <w:rPr>
                      <w:rFonts w:hint="eastAsia"/>
                      <w:sz w:val="21"/>
                      <w:szCs w:val="21"/>
                      <w:vertAlign w:val="baseline"/>
                    </w:rPr>
                    <w:t>。</w:t>
                  </w:r>
                </w:p>
                <w:p w14:paraId="628628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4.项目</w:t>
                  </w:r>
                  <w:r>
                    <w:rPr>
                      <w:rFonts w:hint="eastAsia"/>
                      <w:sz w:val="21"/>
                      <w:szCs w:val="21"/>
                      <w:vertAlign w:val="baseline"/>
                      <w:lang w:val="en-US" w:eastAsia="zh-CN"/>
                    </w:rPr>
                    <w:t>严格遵守</w:t>
                  </w:r>
                  <w:r>
                    <w:rPr>
                      <w:rFonts w:hint="eastAsia"/>
                      <w:sz w:val="21"/>
                      <w:szCs w:val="21"/>
                      <w:vertAlign w:val="baseline"/>
                    </w:rPr>
                    <w:t>污染物排放的国家标准和地方标准。</w:t>
                  </w:r>
                </w:p>
                <w:p w14:paraId="66D343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5.项目不涉及。</w:t>
                  </w:r>
                </w:p>
                <w:p w14:paraId="3CC81A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w:t>
                  </w:r>
                  <w:r>
                    <w:rPr>
                      <w:rFonts w:hint="eastAsia"/>
                      <w:sz w:val="21"/>
                      <w:szCs w:val="21"/>
                      <w:vertAlign w:val="baseline"/>
                      <w:lang w:val="en-US" w:eastAsia="zh-CN"/>
                    </w:rPr>
                    <w:t>不涉及</w:t>
                  </w:r>
                  <w:r>
                    <w:rPr>
                      <w:rFonts w:hint="eastAsia"/>
                      <w:sz w:val="21"/>
                      <w:szCs w:val="21"/>
                      <w:vertAlign w:val="baseline"/>
                    </w:rPr>
                    <w:t>。</w:t>
                  </w:r>
                </w:p>
                <w:p w14:paraId="1B43CE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7.项目不涉及。</w:t>
                  </w:r>
                </w:p>
                <w:p w14:paraId="2F4368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8.项目不涉及。</w:t>
                  </w:r>
                </w:p>
              </w:tc>
              <w:tc>
                <w:tcPr>
                  <w:tcW w:w="510" w:type="dxa"/>
                  <w:tcBorders>
                    <w:tl2br w:val="nil"/>
                    <w:tr2bl w:val="nil"/>
                  </w:tcBorders>
                  <w:vAlign w:val="center"/>
                </w:tcPr>
                <w:p w14:paraId="7F495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5027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7D56D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5FEE22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1.做好突发环境事件的风险控制、应急准备、应急处置和事后恢复等工作。</w:t>
                  </w:r>
                </w:p>
                <w:p w14:paraId="7220DC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2.应充分考虑污染地块的环境风险，合理确定土地用途。</w:t>
                  </w:r>
                </w:p>
                <w:p w14:paraId="15781D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3.有效落实空气重污染各项应急减排措施，引导提高施工工地和应急减排清单企业的绩效等级，引导使用纯电动、氢燃料电池的车辆和非道路移动机械。</w:t>
                  </w:r>
                </w:p>
              </w:tc>
              <w:tc>
                <w:tcPr>
                  <w:tcW w:w="3038" w:type="dxa"/>
                  <w:tcBorders>
                    <w:tl2br w:val="nil"/>
                    <w:tr2bl w:val="nil"/>
                  </w:tcBorders>
                  <w:vAlign w:val="center"/>
                </w:tcPr>
                <w:p w14:paraId="39D46A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highlight w:val="none"/>
                      <w:vertAlign w:val="baseline"/>
                      <w:lang w:val="en-US" w:eastAsia="zh-CN"/>
                    </w:rPr>
                  </w:pPr>
                  <w:r>
                    <w:rPr>
                      <w:rFonts w:hint="default" w:eastAsia="宋体"/>
                      <w:sz w:val="21"/>
                      <w:szCs w:val="21"/>
                      <w:highlight w:val="none"/>
                      <w:vertAlign w:val="baseline"/>
                      <w:lang w:val="en-US" w:eastAsia="zh-CN"/>
                    </w:rPr>
                    <w:t>1.项目</w:t>
                  </w:r>
                  <w:r>
                    <w:rPr>
                      <w:rFonts w:hint="eastAsia"/>
                      <w:sz w:val="21"/>
                      <w:szCs w:val="21"/>
                      <w:highlight w:val="none"/>
                      <w:vertAlign w:val="baseline"/>
                      <w:lang w:val="en-US" w:eastAsia="zh-CN"/>
                    </w:rPr>
                    <w:t>建设完成后按照相关规定做好突发环境事件的风险控制、应急准备、应急处置和事后恢复等工作。</w:t>
                  </w:r>
                </w:p>
                <w:p w14:paraId="0CDE0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highlight w:val="none"/>
                      <w:vertAlign w:val="baseline"/>
                      <w:lang w:val="en-US" w:eastAsia="zh-CN"/>
                    </w:rPr>
                  </w:pPr>
                  <w:r>
                    <w:rPr>
                      <w:rFonts w:hint="default" w:eastAsia="宋体"/>
                      <w:sz w:val="21"/>
                      <w:szCs w:val="21"/>
                      <w:highlight w:val="none"/>
                      <w:vertAlign w:val="baseline"/>
                      <w:lang w:val="en-US" w:eastAsia="zh-CN"/>
                    </w:rPr>
                    <w:t>2.项目</w:t>
                  </w:r>
                  <w:r>
                    <w:rPr>
                      <w:rFonts w:hint="eastAsia"/>
                      <w:sz w:val="21"/>
                      <w:szCs w:val="21"/>
                      <w:highlight w:val="none"/>
                      <w:vertAlign w:val="baseline"/>
                      <w:lang w:val="en-US" w:eastAsia="zh-CN"/>
                    </w:rPr>
                    <w:t>不涉及。</w:t>
                  </w:r>
                </w:p>
                <w:p w14:paraId="3F4FA5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3.项目不涉及。</w:t>
                  </w:r>
                </w:p>
              </w:tc>
              <w:tc>
                <w:tcPr>
                  <w:tcW w:w="510" w:type="dxa"/>
                  <w:tcBorders>
                    <w:tl2br w:val="nil"/>
                    <w:tr2bl w:val="nil"/>
                  </w:tcBorders>
                  <w:vAlign w:val="center"/>
                </w:tcPr>
                <w:p w14:paraId="40266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EAF3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04E5A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090060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坚持集约高效发展，控制建设规模。</w:t>
                  </w:r>
                </w:p>
                <w:p w14:paraId="71BBD5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2.实施最严格的水资源管理制度，到2035年亦庄新城单位地区生产总值水耗达到国际先进水平。</w:t>
                  </w:r>
                </w:p>
              </w:tc>
              <w:tc>
                <w:tcPr>
                  <w:tcW w:w="3038" w:type="dxa"/>
                  <w:tcBorders>
                    <w:tl2br w:val="nil"/>
                    <w:tr2bl w:val="nil"/>
                  </w:tcBorders>
                  <w:vAlign w:val="center"/>
                </w:tcPr>
                <w:p w14:paraId="4042AD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rPr>
                    <w:t>坚持集约高效发展，控制建设规模。</w:t>
                  </w:r>
                </w:p>
                <w:p w14:paraId="647BD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2.项目严格实施水资源管理制度。</w:t>
                  </w:r>
                </w:p>
              </w:tc>
              <w:tc>
                <w:tcPr>
                  <w:tcW w:w="510" w:type="dxa"/>
                  <w:tcBorders>
                    <w:tl2br w:val="nil"/>
                    <w:tr2bl w:val="nil"/>
                  </w:tcBorders>
                  <w:vAlign w:val="center"/>
                </w:tcPr>
                <w:p w14:paraId="1BFA48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56EA4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（3）环境管控单元符合性分析</w:t>
            </w:r>
          </w:p>
          <w:p w14:paraId="1310EC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本项目属于重点管控单元[街道（乡镇）]，与重点管控单元[街道（乡镇）]准入清单的符合性分析见下表。</w:t>
            </w:r>
          </w:p>
          <w:p w14:paraId="610C2A33">
            <w:pPr>
              <w:pStyle w:val="11"/>
              <w:bidi w:val="0"/>
              <w:rPr>
                <w:rFonts w:hint="default"/>
                <w:lang w:val="en-US" w:eastAsia="zh-CN"/>
              </w:rPr>
            </w:pPr>
            <w:r>
              <w:rPr>
                <w:rFonts w:hint="eastAsia"/>
                <w:lang w:val="en-US" w:eastAsia="zh-CN"/>
              </w:rPr>
              <w:t>表1-3 与</w:t>
            </w:r>
            <w:r>
              <w:rPr>
                <w:rFonts w:hint="eastAsia"/>
                <w:vertAlign w:val="baseline"/>
                <w:lang w:val="en-US" w:eastAsia="zh-CN"/>
              </w:rPr>
              <w:t>重点管控单元[街道（乡镇）]</w:t>
            </w:r>
            <w:r>
              <w:rPr>
                <w:rFonts w:hint="eastAsia"/>
                <w:lang w:val="en-US" w:eastAsia="zh-CN"/>
              </w:rPr>
              <w:t>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3A5F2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AA54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07FB4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035FA1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2E03CA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7B1B4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B4B78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682FF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执行重点管控类[街道（乡镇）]生态环境总体准入清单和平原新城生态环境准入清单的空间布局约束准入要求。</w:t>
                  </w:r>
                </w:p>
              </w:tc>
              <w:tc>
                <w:tcPr>
                  <w:tcW w:w="3038" w:type="dxa"/>
                  <w:tcBorders>
                    <w:tl2br w:val="nil"/>
                    <w:tr2bl w:val="nil"/>
                  </w:tcBorders>
                  <w:vAlign w:val="center"/>
                </w:tcPr>
                <w:p w14:paraId="3CA14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项目严格执行重点管控类[街道（乡镇）]生态环境总体准入清单和平原新城生态环境准入清单的空间布局约束准入要求。</w:t>
                  </w:r>
                </w:p>
              </w:tc>
              <w:tc>
                <w:tcPr>
                  <w:tcW w:w="510" w:type="dxa"/>
                  <w:tcBorders>
                    <w:tl2br w:val="nil"/>
                    <w:tr2bl w:val="nil"/>
                  </w:tcBorders>
                  <w:vAlign w:val="center"/>
                </w:tcPr>
                <w:p w14:paraId="7C0E3B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BD3A7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75348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4F932A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1.执行重点管控类[街道（乡镇）]生态环境总体准入清单和平原新城生态环境准入清单的资源利用效率准入要求。</w:t>
                  </w:r>
                </w:p>
                <w:p w14:paraId="062427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2.严格高污染燃料禁燃区管控，禁燃区内任何单位不得新建、扩建高污染燃料燃用设施，不得将其他燃料燃用设施改造为高污染燃料燃用设施。</w:t>
                  </w:r>
                </w:p>
              </w:tc>
              <w:tc>
                <w:tcPr>
                  <w:tcW w:w="3038" w:type="dxa"/>
                  <w:tcBorders>
                    <w:tl2br w:val="nil"/>
                    <w:tr2bl w:val="nil"/>
                  </w:tcBorders>
                  <w:vAlign w:val="center"/>
                </w:tcPr>
                <w:p w14:paraId="52B048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1.项目</w:t>
                  </w:r>
                  <w:r>
                    <w:rPr>
                      <w:rFonts w:hint="eastAsia"/>
                      <w:sz w:val="21"/>
                      <w:szCs w:val="21"/>
                      <w:vertAlign w:val="baseline"/>
                      <w:lang w:val="en-US" w:eastAsia="zh-CN"/>
                    </w:rPr>
                    <w:t>严格执行</w:t>
                  </w:r>
                  <w:r>
                    <w:rPr>
                      <w:rFonts w:hint="eastAsia"/>
                      <w:sz w:val="21"/>
                      <w:szCs w:val="21"/>
                      <w:vertAlign w:val="baseline"/>
                    </w:rPr>
                    <w:t>重点管控类[街道（乡镇）]生态环境总体准入清单和</w:t>
                  </w:r>
                  <w:r>
                    <w:rPr>
                      <w:rFonts w:hint="eastAsia"/>
                      <w:sz w:val="21"/>
                      <w:szCs w:val="21"/>
                      <w:vertAlign w:val="baseline"/>
                      <w:lang w:val="en-US" w:eastAsia="zh-CN"/>
                    </w:rPr>
                    <w:t>平原新城</w:t>
                  </w:r>
                  <w:r>
                    <w:rPr>
                      <w:rFonts w:hint="eastAsia"/>
                      <w:sz w:val="21"/>
                      <w:szCs w:val="21"/>
                      <w:vertAlign w:val="baseline"/>
                    </w:rPr>
                    <w:t>生态环境准入清单的污染物排放管控准入要求。</w:t>
                  </w:r>
                </w:p>
                <w:p w14:paraId="1D6810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不涉及燃料燃用</w:t>
                  </w:r>
                  <w:r>
                    <w:rPr>
                      <w:rFonts w:hint="eastAsia"/>
                      <w:sz w:val="21"/>
                      <w:szCs w:val="21"/>
                      <w:vertAlign w:val="baseline"/>
                    </w:rPr>
                    <w:t>。</w:t>
                  </w:r>
                </w:p>
              </w:tc>
              <w:tc>
                <w:tcPr>
                  <w:tcW w:w="510" w:type="dxa"/>
                  <w:tcBorders>
                    <w:tl2br w:val="nil"/>
                    <w:tr2bl w:val="nil"/>
                  </w:tcBorders>
                  <w:vAlign w:val="center"/>
                </w:tcPr>
                <w:p w14:paraId="26B31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C3BE1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9687C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7C8A6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执行重点管控类[街道（乡镇）]生态环境总体准入清单和平原新城生态环境准入清单的环境风险防范准入要求。</w:t>
                  </w:r>
                </w:p>
              </w:tc>
              <w:tc>
                <w:tcPr>
                  <w:tcW w:w="3038" w:type="dxa"/>
                  <w:tcBorders>
                    <w:tl2br w:val="nil"/>
                    <w:tr2bl w:val="nil"/>
                  </w:tcBorders>
                  <w:vAlign w:val="center"/>
                </w:tcPr>
                <w:p w14:paraId="0FD9D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项目严格执行重点管控类[街道（乡镇）]生态环境总体准入清单和平原新城生态环境准入清单的环境风险防范准入要求。</w:t>
                  </w:r>
                </w:p>
              </w:tc>
              <w:tc>
                <w:tcPr>
                  <w:tcW w:w="510" w:type="dxa"/>
                  <w:tcBorders>
                    <w:tl2br w:val="nil"/>
                    <w:tr2bl w:val="nil"/>
                  </w:tcBorders>
                  <w:vAlign w:val="center"/>
                </w:tcPr>
                <w:p w14:paraId="62A8F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53F8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B37C2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64F310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执行重点管控类[街道（乡镇）]生态环境总体准入清单和平原新城生态环境准入清单的资源利用效率准入要求。</w:t>
                  </w:r>
                </w:p>
              </w:tc>
              <w:tc>
                <w:tcPr>
                  <w:tcW w:w="3038" w:type="dxa"/>
                  <w:tcBorders>
                    <w:tl2br w:val="nil"/>
                    <w:tr2bl w:val="nil"/>
                  </w:tcBorders>
                  <w:vAlign w:val="center"/>
                </w:tcPr>
                <w:p w14:paraId="032390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项目严格执行重点管控类[街道（乡镇）]生态环境总体准入清单和平原新城生态环境准入清单的资源利用效率准入要求。</w:t>
                  </w:r>
                </w:p>
              </w:tc>
              <w:tc>
                <w:tcPr>
                  <w:tcW w:w="510" w:type="dxa"/>
                  <w:tcBorders>
                    <w:tl2br w:val="nil"/>
                    <w:tr2bl w:val="nil"/>
                  </w:tcBorders>
                  <w:vAlign w:val="center"/>
                </w:tcPr>
                <w:p w14:paraId="358397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55399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综上所述，本项目符合北京市生态环境分区管控（“三线一单”）的要求。</w:t>
            </w:r>
          </w:p>
          <w:p w14:paraId="35628D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3、选址合理性分析</w:t>
            </w:r>
          </w:p>
          <w:p w14:paraId="319AA9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本项目位于</w:t>
            </w:r>
            <w:r>
              <w:rPr>
                <w:rFonts w:hint="eastAsia"/>
                <w:vertAlign w:val="baseline"/>
                <w:lang w:eastAsia="zh-CN"/>
              </w:rPr>
              <w:t>北京市房山区良乡拱辰星园4号楼1层0102底商</w:t>
            </w:r>
            <w:r>
              <w:rPr>
                <w:rFonts w:hint="eastAsia"/>
                <w:vertAlign w:val="baseline"/>
              </w:rPr>
              <w:t>，根据建设单位提供的房权证（</w:t>
            </w:r>
            <w:r>
              <w:rPr>
                <w:rFonts w:hint="eastAsia"/>
                <w:vertAlign w:val="baseline"/>
                <w:lang w:val="en-US" w:eastAsia="zh-CN"/>
              </w:rPr>
              <w:t>X</w:t>
            </w:r>
            <w:r>
              <w:rPr>
                <w:rFonts w:hint="eastAsia"/>
                <w:highlight w:val="none"/>
                <w:vertAlign w:val="baseline"/>
              </w:rPr>
              <w:t>京房权证</w:t>
            </w:r>
            <w:r>
              <w:rPr>
                <w:rFonts w:hint="eastAsia"/>
                <w:highlight w:val="none"/>
                <w:vertAlign w:val="baseline"/>
                <w:lang w:val="en-US" w:eastAsia="zh-CN"/>
              </w:rPr>
              <w:t>房</w:t>
            </w:r>
            <w:r>
              <w:rPr>
                <w:rFonts w:hint="eastAsia"/>
                <w:highlight w:val="none"/>
                <w:vertAlign w:val="baseline"/>
              </w:rPr>
              <w:t>字</w:t>
            </w:r>
            <w:r>
              <w:rPr>
                <w:rFonts w:hint="eastAsia"/>
                <w:highlight w:val="none"/>
                <w:vertAlign w:val="baseline"/>
                <w:lang w:val="en-US" w:eastAsia="zh-CN"/>
              </w:rPr>
              <w:t>第029960号</w:t>
            </w:r>
            <w:r>
              <w:rPr>
                <w:rFonts w:hint="eastAsia"/>
                <w:vertAlign w:val="baseline"/>
              </w:rPr>
              <w:t>），</w:t>
            </w:r>
            <w:r>
              <w:rPr>
                <w:rFonts w:hint="eastAsia"/>
                <w:vertAlign w:val="baseline"/>
                <w:lang w:val="en-US" w:eastAsia="zh-CN"/>
              </w:rPr>
              <w:t>房屋规划性质为商业用房，用于从事动物医院经营，符合房屋规划性质要求。</w:t>
            </w:r>
          </w:p>
          <w:p w14:paraId="04B6D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4、碳排放</w:t>
            </w:r>
          </w:p>
          <w:p w14:paraId="2B2FC9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本项目为动物医院项目，属于《国民经济行业分类》（GB/T4754-2017）中“O8222宠物医院服务”，二氧化碳排放应按照《二氧化碳排放核算和报告要求 服务业》（DB11/T 1785-2020）的相关要求进行核算。本项目不使用化石燃料，无化石燃料消耗。项目主要使用外购电力和热力（冬季采暖），其二氧化碳排放核算如下：</w:t>
            </w:r>
          </w:p>
          <w:p w14:paraId="700181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（1）碳排放量</w:t>
            </w:r>
          </w:p>
          <w:p w14:paraId="6ED8E7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①消耗外购电力产生的排放</w:t>
            </w:r>
          </w:p>
          <w:p w14:paraId="7CE818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报告主体消耗外购电力产生的二氧化碳排放量E外购电按下式计算：</w:t>
            </w:r>
          </w:p>
          <w:p w14:paraId="72BD54E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5" o:spt="75" type="#_x0000_t75" style="height:19pt;width:114pt;" o:ole="t" filled="f" o:preferrelative="t" stroked="f" coordsize="21600,21600">
                  <v:path/>
                  <v:fill on="f" focussize="0,0"/>
                  <v:stroke on="f"/>
                  <v:imagedata r:id="rId13" o:title=""/>
                  <o:lock v:ext="edit" aspectratio="t"/>
                  <w10:wrap type="none"/>
                  <w10:anchorlock/>
                </v:shape>
                <o:OLEObject Type="Embed" ProgID="Equation.KSEE3" ShapeID="_x0000_i1025" DrawAspect="Content" ObjectID="_1468075725" r:id="rId12">
                  <o:LockedField>false</o:LockedField>
                </o:OLEObject>
              </w:object>
            </w:r>
          </w:p>
          <w:p w14:paraId="4AC4CC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2B9D9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外购电</w:t>
            </w:r>
            <w:r>
              <w:rPr>
                <w:rFonts w:hint="eastAsia"/>
                <w:vertAlign w:val="baseline"/>
                <w:lang w:val="en-US" w:eastAsia="zh-CN"/>
              </w:rPr>
              <w:t>—消耗外购电力产生的二氧化碳排放量，单位为（tCO</w:t>
            </w:r>
            <w:r>
              <w:rPr>
                <w:rFonts w:hint="eastAsia"/>
                <w:vertAlign w:val="subscript"/>
                <w:lang w:val="en-US" w:eastAsia="zh-CN"/>
              </w:rPr>
              <w:t>2</w:t>
            </w:r>
            <w:r>
              <w:rPr>
                <w:rFonts w:hint="eastAsia"/>
                <w:vertAlign w:val="baseline"/>
                <w:lang w:val="en-US" w:eastAsia="zh-CN"/>
              </w:rPr>
              <w:t>/a）；</w:t>
            </w:r>
          </w:p>
          <w:p w14:paraId="47B183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外购电</w:t>
            </w:r>
            <w:r>
              <w:rPr>
                <w:rFonts w:hint="eastAsia"/>
                <w:vertAlign w:val="baseline"/>
              </w:rPr>
              <w:t>—报告主体核算和报告年度内消耗外购电力电量，单位为兆瓦时（MWh）；</w:t>
            </w:r>
          </w:p>
          <w:p w14:paraId="22873C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rPr>
              <w:t>电</w:t>
            </w:r>
            <w:r>
              <w:rPr>
                <w:rFonts w:hint="eastAsia"/>
                <w:vertAlign w:val="baseline"/>
              </w:rPr>
              <w:t>—电网年平均供电排放因子，单位为吨二氧化碳每兆瓦时（tCO</w:t>
            </w:r>
            <w:r>
              <w:rPr>
                <w:rFonts w:hint="eastAsia"/>
                <w:vertAlign w:val="subscript"/>
              </w:rPr>
              <w:t>2</w:t>
            </w:r>
            <w:r>
              <w:rPr>
                <w:rFonts w:hint="eastAsia"/>
                <w:vertAlign w:val="baseline"/>
              </w:rPr>
              <w:t>/MWh）。</w:t>
            </w:r>
          </w:p>
          <w:p w14:paraId="6E1EE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本项目年耗电量为</w:t>
            </w:r>
            <w:r>
              <w:rPr>
                <w:rFonts w:hint="eastAsia"/>
                <w:vertAlign w:val="baseline"/>
                <w:lang w:val="en-US" w:eastAsia="zh-CN"/>
              </w:rPr>
              <w:t>1.5</w:t>
            </w:r>
            <w:r>
              <w:rPr>
                <w:rFonts w:hint="eastAsia"/>
                <w:vertAlign w:val="baseline"/>
              </w:rPr>
              <w:t>万度，即</w:t>
            </w:r>
            <w:r>
              <w:rPr>
                <w:rFonts w:hint="eastAsia"/>
                <w:vertAlign w:val="baseline"/>
                <w:lang w:val="en-US" w:eastAsia="zh-CN"/>
              </w:rPr>
              <w:t>15</w:t>
            </w:r>
            <w:r>
              <w:rPr>
                <w:rFonts w:hint="eastAsia"/>
                <w:vertAlign w:val="baseline"/>
              </w:rPr>
              <w:t>兆瓦时。根据《二氧化碳排放核算和报告要求 服务业》（DB11/T 1785-2020）中附录A中表A.2推荐的供电排放因子数据，EF</w:t>
            </w:r>
            <w:r>
              <w:rPr>
                <w:rFonts w:hint="eastAsia"/>
                <w:vertAlign w:val="subscript"/>
              </w:rPr>
              <w:t>电</w:t>
            </w:r>
            <w:r>
              <w:rPr>
                <w:rFonts w:hint="eastAsia"/>
                <w:vertAlign w:val="baseline"/>
              </w:rPr>
              <w:t>取值为0.604。通过计算可知，项目外购电力产生的二氧化碳排放量为</w:t>
            </w:r>
            <w:r>
              <w:rPr>
                <w:rFonts w:hint="eastAsia"/>
                <w:vertAlign w:val="baseline"/>
                <w:lang w:val="en-US" w:eastAsia="zh-CN"/>
              </w:rPr>
              <w:t>9.06</w:t>
            </w:r>
            <w:r>
              <w:rPr>
                <w:rFonts w:hint="eastAsia"/>
                <w:vertAlign w:val="baseline"/>
              </w:rPr>
              <w:t>tCO</w:t>
            </w:r>
            <w:r>
              <w:rPr>
                <w:rFonts w:hint="eastAsia"/>
                <w:vertAlign w:val="subscript"/>
              </w:rPr>
              <w:t>2</w:t>
            </w:r>
            <w:r>
              <w:rPr>
                <w:rFonts w:hint="eastAsia"/>
                <w:vertAlign w:val="baseline"/>
              </w:rPr>
              <w:t>/a。</w:t>
            </w:r>
          </w:p>
          <w:p w14:paraId="62FA98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val="en-US" w:eastAsia="zh-CN"/>
              </w:rPr>
              <w:t>②</w:t>
            </w:r>
            <w:r>
              <w:rPr>
                <w:rFonts w:hint="eastAsia"/>
                <w:vertAlign w:val="baseline"/>
                <w:lang w:eastAsia="zh-CN"/>
              </w:rPr>
              <w:t>消耗外购热力产生的排放</w:t>
            </w:r>
          </w:p>
          <w:p w14:paraId="4AE0AE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报告主体消耗外购热力产生的二氧化碳排放量E外购电按下式计算：</w:t>
            </w:r>
          </w:p>
          <w:p w14:paraId="45828BB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6" o:spt="75" type="#_x0000_t75" style="height:19pt;width:163pt;" o:ole="t" filled="f" o:preferrelative="t" stroked="f" coordsize="21600,21600">
                  <v:path/>
                  <v:fill on="f" focussize="0,0"/>
                  <v:stroke on="f"/>
                  <v:imagedata r:id="rId15" o:title=""/>
                  <o:lock v:ext="edit" aspectratio="t"/>
                  <w10:wrap type="none"/>
                  <w10:anchorlock/>
                </v:shape>
                <o:OLEObject Type="Embed" ProgID="Equation.KSEE3" ShapeID="_x0000_i1026" DrawAspect="Content" ObjectID="_1468075726" r:id="rId14">
                  <o:LockedField>false</o:LockedField>
                </o:OLEObject>
              </w:object>
            </w:r>
          </w:p>
          <w:p w14:paraId="6285B2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4E1527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外购热（热水）</w:t>
            </w:r>
            <w:r>
              <w:rPr>
                <w:rFonts w:hint="eastAsia"/>
                <w:vertAlign w:val="baseline"/>
                <w:lang w:val="en-US" w:eastAsia="zh-CN"/>
              </w:rPr>
              <w:t>—消耗外购热力产生的二氧化碳排放量，单位为（tCO</w:t>
            </w:r>
            <w:r>
              <w:rPr>
                <w:rFonts w:hint="eastAsia"/>
                <w:vertAlign w:val="subscript"/>
                <w:lang w:val="en-US" w:eastAsia="zh-CN"/>
              </w:rPr>
              <w:t>2</w:t>
            </w:r>
            <w:r>
              <w:rPr>
                <w:rFonts w:hint="eastAsia"/>
                <w:vertAlign w:val="baseline"/>
                <w:lang w:val="en-US" w:eastAsia="zh-CN"/>
              </w:rPr>
              <w:t>/a）；</w:t>
            </w:r>
          </w:p>
          <w:p w14:paraId="56F8A3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w:t>
            </w:r>
            <w:r>
              <w:rPr>
                <w:rFonts w:hint="eastAsia"/>
                <w:vertAlign w:val="subscript"/>
                <w:lang w:val="en-US" w:eastAsia="zh-CN"/>
              </w:rPr>
              <w:t>热（热水）</w:t>
            </w:r>
            <w:r>
              <w:rPr>
                <w:rFonts w:hint="eastAsia"/>
                <w:vertAlign w:val="baseline"/>
              </w:rPr>
              <w:t>—报告主体核算和报告年度内消耗外购</w:t>
            </w:r>
            <w:r>
              <w:rPr>
                <w:rFonts w:hint="eastAsia"/>
                <w:vertAlign w:val="baseline"/>
                <w:lang w:val="en-US" w:eastAsia="zh-CN"/>
              </w:rPr>
              <w:t>热力热量</w:t>
            </w:r>
            <w:r>
              <w:rPr>
                <w:rFonts w:hint="eastAsia"/>
                <w:vertAlign w:val="baseline"/>
              </w:rPr>
              <w:t>，单位为</w:t>
            </w:r>
            <w:r>
              <w:rPr>
                <w:rFonts w:hint="eastAsia"/>
                <w:vertAlign w:val="baseline"/>
                <w:lang w:val="en-US" w:eastAsia="zh-CN"/>
              </w:rPr>
              <w:t>吉焦</w:t>
            </w:r>
            <w:r>
              <w:rPr>
                <w:rFonts w:hint="eastAsia"/>
                <w:vertAlign w:val="baseline"/>
              </w:rPr>
              <w:t>（</w:t>
            </w:r>
            <w:r>
              <w:rPr>
                <w:rFonts w:hint="eastAsia"/>
                <w:vertAlign w:val="baseline"/>
                <w:lang w:val="en-US" w:eastAsia="zh-CN"/>
              </w:rPr>
              <w:t>GJ</w:t>
            </w:r>
            <w:r>
              <w:rPr>
                <w:rFonts w:hint="eastAsia"/>
                <w:vertAlign w:val="baseline"/>
              </w:rPr>
              <w:t>）；</w:t>
            </w:r>
          </w:p>
          <w:p w14:paraId="15C1D0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lang w:val="en-US" w:eastAsia="zh-CN"/>
              </w:rPr>
              <w:t>热</w:t>
            </w:r>
            <w:r>
              <w:rPr>
                <w:rFonts w:hint="eastAsia"/>
                <w:vertAlign w:val="baseline"/>
              </w:rPr>
              <w:t>—</w:t>
            </w:r>
            <w:r>
              <w:rPr>
                <w:rFonts w:hint="eastAsia"/>
                <w:vertAlign w:val="baseline"/>
                <w:lang w:val="en-US" w:eastAsia="zh-CN"/>
              </w:rPr>
              <w:t>热力供应</w:t>
            </w:r>
            <w:r>
              <w:rPr>
                <w:rFonts w:hint="eastAsia"/>
                <w:vertAlign w:val="baseline"/>
              </w:rPr>
              <w:t>排放因子，单位为吨二氧化碳每</w:t>
            </w:r>
            <w:r>
              <w:rPr>
                <w:rFonts w:hint="eastAsia"/>
                <w:vertAlign w:val="baseline"/>
                <w:lang w:val="en-US" w:eastAsia="zh-CN"/>
              </w:rPr>
              <w:t>吉焦</w:t>
            </w:r>
            <w:r>
              <w:rPr>
                <w:rFonts w:hint="eastAsia"/>
                <w:vertAlign w:val="baseline"/>
              </w:rPr>
              <w:t>（tCO</w:t>
            </w:r>
            <w:r>
              <w:rPr>
                <w:rFonts w:hint="eastAsia"/>
                <w:vertAlign w:val="subscript"/>
              </w:rPr>
              <w:t>2</w:t>
            </w:r>
            <w:r>
              <w:rPr>
                <w:rFonts w:hint="eastAsia"/>
                <w:vertAlign w:val="baseline"/>
              </w:rPr>
              <w:t>/</w:t>
            </w:r>
            <w:r>
              <w:rPr>
                <w:rFonts w:hint="eastAsia"/>
                <w:vertAlign w:val="baseline"/>
                <w:lang w:val="en-US" w:eastAsia="zh-CN"/>
              </w:rPr>
              <w:t>GJ</w:t>
            </w:r>
            <w:r>
              <w:rPr>
                <w:rFonts w:hint="eastAsia"/>
                <w:vertAlign w:val="baseline"/>
              </w:rPr>
              <w:t>）。</w:t>
            </w:r>
          </w:p>
          <w:p w14:paraId="73BD23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其中AD</w:t>
            </w:r>
            <w:r>
              <w:rPr>
                <w:rFonts w:hint="eastAsia"/>
                <w:vertAlign w:val="subscript"/>
              </w:rPr>
              <w:t>外购热（热水）</w:t>
            </w:r>
            <w:r>
              <w:rPr>
                <w:rFonts w:hint="eastAsia"/>
                <w:vertAlign w:val="baseline"/>
              </w:rPr>
              <w:t>取值按照供暖季1个吉焦可供热1.5</w:t>
            </w:r>
            <w:r>
              <w:rPr>
                <w:rFonts w:hint="eastAsia"/>
                <w:vertAlign w:val="baseline"/>
                <w:lang w:val="en-US" w:eastAsia="zh-CN"/>
              </w:rPr>
              <w:t>~</w:t>
            </w:r>
            <w:r>
              <w:rPr>
                <w:rFonts w:hint="eastAsia"/>
                <w:vertAlign w:val="baseline"/>
              </w:rPr>
              <w:t>3m</w:t>
            </w:r>
            <w:r>
              <w:rPr>
                <w:rFonts w:hint="eastAsia"/>
                <w:vertAlign w:val="superscript"/>
              </w:rPr>
              <w:t>2</w:t>
            </w:r>
            <w:r>
              <w:rPr>
                <w:rFonts w:hint="eastAsia"/>
                <w:vertAlign w:val="baseline"/>
              </w:rPr>
              <w:t>面积，取2m</w:t>
            </w:r>
            <w:r>
              <w:rPr>
                <w:rFonts w:hint="eastAsia"/>
                <w:vertAlign w:val="superscript"/>
              </w:rPr>
              <w:t>2</w:t>
            </w:r>
            <w:r>
              <w:rPr>
                <w:rFonts w:hint="eastAsia"/>
                <w:vertAlign w:val="baseline"/>
              </w:rPr>
              <w:t>数值。项目建筑面积</w:t>
            </w:r>
            <w:r>
              <w:rPr>
                <w:rFonts w:hint="eastAsia"/>
                <w:vertAlign w:val="baseline"/>
                <w:lang w:val="en-US" w:eastAsia="zh-CN"/>
              </w:rPr>
              <w:t>125.98</w:t>
            </w:r>
            <w:r>
              <w:rPr>
                <w:rFonts w:hint="eastAsia"/>
                <w:vertAlign w:val="baseline"/>
              </w:rPr>
              <w:t>m</w:t>
            </w:r>
            <w:r>
              <w:rPr>
                <w:rFonts w:hint="eastAsia"/>
                <w:vertAlign w:val="superscript"/>
              </w:rPr>
              <w:t>2</w:t>
            </w:r>
            <w:r>
              <w:rPr>
                <w:rFonts w:hint="eastAsia"/>
                <w:vertAlign w:val="baseline"/>
              </w:rPr>
              <w:t>，计算后为每年消耗热量</w:t>
            </w:r>
            <w:r>
              <w:rPr>
                <w:rFonts w:hint="eastAsia"/>
                <w:vertAlign w:val="baseline"/>
                <w:lang w:val="en-US" w:eastAsia="zh-CN"/>
              </w:rPr>
              <w:t>62.99</w:t>
            </w:r>
            <w:r>
              <w:rPr>
                <w:rFonts w:hint="eastAsia"/>
                <w:vertAlign w:val="baseline"/>
              </w:rPr>
              <w:t>GJ。根据《二氧化碳排放核算和报告要求 服务业》（DB11/T 1785-2020）中附录A中表A.2推荐的热力供应排放因子数据，EF</w:t>
            </w:r>
            <w:r>
              <w:rPr>
                <w:rFonts w:hint="eastAsia"/>
                <w:vertAlign w:val="subscript"/>
              </w:rPr>
              <w:t>热</w:t>
            </w:r>
            <w:r>
              <w:rPr>
                <w:rFonts w:hint="eastAsia"/>
                <w:vertAlign w:val="baseline"/>
              </w:rPr>
              <w:t>取值为0.11。通过计算可知，项目外购</w:t>
            </w:r>
            <w:r>
              <w:rPr>
                <w:rFonts w:hint="eastAsia"/>
                <w:vertAlign w:val="baseline"/>
                <w:lang w:val="en-US" w:eastAsia="zh-CN"/>
              </w:rPr>
              <w:t>热力</w:t>
            </w:r>
            <w:r>
              <w:rPr>
                <w:rFonts w:hint="eastAsia"/>
                <w:vertAlign w:val="baseline"/>
              </w:rPr>
              <w:t>产生的二氧化碳排放量为</w:t>
            </w:r>
            <w:r>
              <w:rPr>
                <w:rFonts w:hint="eastAsia"/>
                <w:vertAlign w:val="baseline"/>
                <w:lang w:val="en-US" w:eastAsia="zh-CN"/>
              </w:rPr>
              <w:t>6.93</w:t>
            </w:r>
            <w:r>
              <w:rPr>
                <w:rFonts w:hint="eastAsia"/>
                <w:vertAlign w:val="baseline"/>
              </w:rPr>
              <w:t>tCO</w:t>
            </w:r>
            <w:r>
              <w:rPr>
                <w:rFonts w:hint="eastAsia"/>
                <w:vertAlign w:val="subscript"/>
              </w:rPr>
              <w:t>2</w:t>
            </w:r>
            <w:r>
              <w:rPr>
                <w:rFonts w:hint="eastAsia"/>
                <w:vertAlign w:val="baseline"/>
              </w:rPr>
              <w:t>/a。</w:t>
            </w:r>
          </w:p>
          <w:p w14:paraId="735E5F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③二氧化碳排放</w:t>
            </w:r>
          </w:p>
          <w:p w14:paraId="108334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综上，本项目外购电力和热力</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为：9.06tCO</w:t>
            </w:r>
            <w:r>
              <w:rPr>
                <w:rFonts w:hint="eastAsia"/>
                <w:vertAlign w:val="subscript"/>
                <w:lang w:val="en-US" w:eastAsia="zh-CN"/>
              </w:rPr>
              <w:t>2</w:t>
            </w:r>
            <w:r>
              <w:rPr>
                <w:rFonts w:hint="eastAsia"/>
                <w:vertAlign w:val="baseline"/>
                <w:lang w:val="en-US" w:eastAsia="zh-CN"/>
              </w:rPr>
              <w:t>/a+6.93tCO</w:t>
            </w:r>
            <w:r>
              <w:rPr>
                <w:rFonts w:hint="eastAsia"/>
                <w:vertAlign w:val="subscript"/>
                <w:lang w:val="en-US" w:eastAsia="zh-CN"/>
              </w:rPr>
              <w:t>2</w:t>
            </w:r>
            <w:r>
              <w:rPr>
                <w:rFonts w:hint="eastAsia"/>
                <w:vertAlign w:val="baseline"/>
                <w:lang w:val="en-US" w:eastAsia="zh-CN"/>
              </w:rPr>
              <w:t>/a=15.99tCO</w:t>
            </w:r>
            <w:r>
              <w:rPr>
                <w:rFonts w:hint="eastAsia"/>
                <w:vertAlign w:val="subscript"/>
                <w:lang w:val="en-US" w:eastAsia="zh-CN"/>
              </w:rPr>
              <w:t>2</w:t>
            </w:r>
            <w:r>
              <w:rPr>
                <w:rFonts w:hint="eastAsia"/>
                <w:vertAlign w:val="baseline"/>
                <w:lang w:val="en-US" w:eastAsia="zh-CN"/>
              </w:rPr>
              <w:t>/a</w:t>
            </w:r>
          </w:p>
          <w:p w14:paraId="0A4BE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15.99tCO</w:t>
            </w:r>
            <w:r>
              <w:rPr>
                <w:rFonts w:hint="eastAsia"/>
                <w:vertAlign w:val="subscript"/>
                <w:lang w:val="en-US" w:eastAsia="zh-CN"/>
              </w:rPr>
              <w:t>2</w:t>
            </w:r>
            <w:r>
              <w:rPr>
                <w:rFonts w:hint="eastAsia"/>
                <w:vertAlign w:val="baseline"/>
                <w:lang w:val="en-US" w:eastAsia="zh-CN"/>
              </w:rPr>
              <w:t>/a＜5000tCO</w:t>
            </w:r>
            <w:r>
              <w:rPr>
                <w:rFonts w:hint="eastAsia"/>
                <w:vertAlign w:val="subscript"/>
                <w:lang w:val="en-US" w:eastAsia="zh-CN"/>
              </w:rPr>
              <w:t>2</w:t>
            </w:r>
            <w:r>
              <w:rPr>
                <w:rFonts w:hint="eastAsia"/>
                <w:vertAlign w:val="baseline"/>
                <w:lang w:val="en-US" w:eastAsia="zh-CN"/>
              </w:rPr>
              <w:t>/a，不属于重点排放单位。</w:t>
            </w:r>
          </w:p>
          <w:p w14:paraId="4F78E4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（2）碳排放强度先进值</w:t>
            </w:r>
          </w:p>
          <w:p w14:paraId="1C0F3E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所在行业不属于北京市发展和改革委员会《关于发布行业碳排放强度先进值的通知》（京发改[2014]905号），及该部门分别于2015年4月13日和2016年8月26日发布的《关于发布本市第二批行业碳排放强度先进值的通知》和《关于发布本市第三批行业碳排放强度先进值的通知》中所列行业。现阶段尚未有与本项目相应行业的碳排放强度先进值参考数据，故本报告不对该项内容进行计算和对照。</w:t>
            </w:r>
          </w:p>
          <w:p w14:paraId="3ED2DF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本项目优先选用节能低耗的设备，符合碳排放的相关政策</w:t>
            </w:r>
          </w:p>
          <w:p w14:paraId="28F73E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5、环境影响评价依据</w:t>
            </w:r>
          </w:p>
          <w:p w14:paraId="5F8624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华人民共和国环境保护法》（2015年1月1日施行）、《中华人民共和国环境影响评价法》（2018年12月29日修订）和《国务院关于修改&lt;建设项目环境保护管理条例&gt;的决定》（国务院令第682号）中的有关规定，本项目需进行环境影响评价。根据《建设项目环境影响评价分类管理名录》（2021年版），以及《建设项目环境影响评价分类管理名录》北京市实施细化规定（2022年本）中的分类要求。本项目属于“五十、社会事业与服务业，123、动物医院。项目设有动物颅腔、胸腔及腹腔手术设施，具有开展相关手术的能力，故应编制环境影响报告表。</w:t>
            </w:r>
          </w:p>
          <w:p w14:paraId="1AF35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70DAE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94C1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1640E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2109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2ED971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834E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5485A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725BF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BB77C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196F8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tc>
      </w:tr>
    </w:tbl>
    <w:p w14:paraId="3BD8A1B5">
      <w:pPr>
        <w:sectPr>
          <w:footerReference r:id="rId5" w:type="default"/>
          <w:pgSz w:w="11906" w:h="16838"/>
          <w:pgMar w:top="1440" w:right="1587" w:bottom="1440" w:left="1587" w:header="964" w:footer="964" w:gutter="0"/>
          <w:pgBorders>
            <w:top w:val="none" w:sz="0" w:space="0"/>
            <w:left w:val="none" w:sz="0" w:space="0"/>
            <w:bottom w:val="none" w:sz="0" w:space="0"/>
            <w:right w:val="none" w:sz="0" w:space="0"/>
          </w:pgBorders>
          <w:pgNumType w:fmt="decimal" w:start="1"/>
          <w:cols w:space="425" w:num="1"/>
          <w:docGrid w:type="lines" w:linePitch="312" w:charSpace="0"/>
        </w:sectPr>
      </w:pPr>
    </w:p>
    <w:p w14:paraId="575229FB">
      <w:pPr>
        <w:pStyle w:val="2"/>
        <w:bidi w:val="0"/>
        <w:rPr>
          <w:rFonts w:hint="default"/>
          <w:lang w:val="en-US" w:eastAsia="zh-CN"/>
        </w:rPr>
      </w:pPr>
      <w:r>
        <w:rPr>
          <w:rFonts w:hint="eastAsia"/>
          <w:lang w:val="en-US" w:eastAsia="zh-CN"/>
        </w:rPr>
        <w:t>二、建设项目工程分析</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373E8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F6CB6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建设内容</w:t>
            </w:r>
          </w:p>
        </w:tc>
        <w:tc>
          <w:tcPr>
            <w:tcW w:w="8239" w:type="dxa"/>
            <w:vAlign w:val="center"/>
          </w:tcPr>
          <w:p w14:paraId="7638889D">
            <w:pPr>
              <w:rPr>
                <w:rFonts w:hint="default" w:eastAsia="宋体"/>
                <w:vertAlign w:val="baseline"/>
                <w:lang w:val="en-US" w:eastAsia="zh-CN"/>
              </w:rPr>
            </w:pPr>
            <w:r>
              <w:rPr>
                <w:rFonts w:hint="eastAsia"/>
                <w:vertAlign w:val="baseline"/>
                <w:lang w:val="en-US" w:eastAsia="zh-CN"/>
              </w:rPr>
              <w:t>1、项目建设内容及规模</w:t>
            </w:r>
          </w:p>
          <w:p w14:paraId="45B602CB">
            <w:pPr>
              <w:rPr>
                <w:rFonts w:hint="eastAsia"/>
                <w:vertAlign w:val="baseline"/>
                <w:lang w:val="en-US" w:eastAsia="zh-CN"/>
              </w:rPr>
            </w:pPr>
            <w:r>
              <w:rPr>
                <w:rFonts w:hint="eastAsia"/>
                <w:vertAlign w:val="baseline"/>
                <w:lang w:val="en-US" w:eastAsia="zh-CN"/>
              </w:rPr>
              <w:t>建设内容：本项目租用北京市房山区良乡拱辰星园4号楼1层0102底商，建筑面积125.98m</w:t>
            </w:r>
            <w:r>
              <w:rPr>
                <w:rFonts w:hint="eastAsia"/>
                <w:vertAlign w:val="superscript"/>
                <w:lang w:val="en-US" w:eastAsia="zh-CN"/>
              </w:rPr>
              <w:t>2</w:t>
            </w:r>
            <w:r>
              <w:rPr>
                <w:rFonts w:hint="eastAsia"/>
                <w:vertAlign w:val="baseline"/>
                <w:lang w:val="en-US" w:eastAsia="zh-CN"/>
              </w:rPr>
              <w:t>，建设动物医院，从事开展动物诊疗服务，主要诊疗科目为：动物疫病预防、诊疗、治疗、绝育手术服务。该动物医院具备从事动物颅腔、胸腔和腹腔手术的设施和运营能力。项目接待的动物全部为猫科、犬科类家庭宠物。</w:t>
            </w:r>
          </w:p>
          <w:p w14:paraId="3E454F68">
            <w:pPr>
              <w:rPr>
                <w:rFonts w:hint="default"/>
                <w:vertAlign w:val="baseline"/>
                <w:lang w:val="en-US" w:eastAsia="zh-CN"/>
              </w:rPr>
            </w:pPr>
            <w:r>
              <w:rPr>
                <w:rFonts w:hint="eastAsia"/>
                <w:vertAlign w:val="baseline"/>
                <w:lang w:val="en-US" w:eastAsia="zh-CN"/>
              </w:rPr>
              <w:t>规模：预计本项目年接待就诊动物约1460例（其中普通病例约1095例，手术病例约365例），即日均接待约6例；年接待宠物美容洗浴1460例，即日均接待约6例。</w:t>
            </w:r>
          </w:p>
          <w:p w14:paraId="3717FFB7">
            <w:pPr>
              <w:rPr>
                <w:rFonts w:hint="default"/>
                <w:vertAlign w:val="baseline"/>
                <w:lang w:val="en-US" w:eastAsia="zh-CN"/>
              </w:rPr>
            </w:pPr>
            <w:r>
              <w:rPr>
                <w:rFonts w:hint="eastAsia"/>
                <w:vertAlign w:val="baseline"/>
                <w:lang w:val="en-US" w:eastAsia="zh-CN"/>
              </w:rPr>
              <w:t>投资金额：总投资120万元，其中环保投资3.0万元。</w:t>
            </w:r>
          </w:p>
          <w:p w14:paraId="3647F926">
            <w:pPr>
              <w:rPr>
                <w:rFonts w:hint="eastAsia"/>
                <w:vertAlign w:val="baseline"/>
                <w:lang w:val="en-US" w:eastAsia="zh-CN"/>
              </w:rPr>
            </w:pPr>
            <w:r>
              <w:rPr>
                <w:rFonts w:hint="eastAsia"/>
                <w:vertAlign w:val="baseline"/>
                <w:lang w:val="en-US" w:eastAsia="zh-CN"/>
              </w:rPr>
              <w:t>工作时间：年工作日264天，门诊营运时间为9:00~21:00，夜间不接诊，不寄养动物。医院不设动物住院观察服务，故项目无夜间运行。</w:t>
            </w:r>
          </w:p>
          <w:p w14:paraId="007AFC52">
            <w:pPr>
              <w:rPr>
                <w:rFonts w:hint="eastAsia"/>
                <w:vertAlign w:val="baseline"/>
                <w:lang w:val="en-US" w:eastAsia="zh-CN"/>
              </w:rPr>
            </w:pPr>
            <w:r>
              <w:rPr>
                <w:rFonts w:hint="eastAsia"/>
                <w:vertAlign w:val="baseline"/>
                <w:lang w:val="en-US" w:eastAsia="zh-CN"/>
              </w:rPr>
              <w:t>员工人数：拟定4人。</w:t>
            </w:r>
          </w:p>
          <w:p w14:paraId="2CC11395">
            <w:pPr>
              <w:rPr>
                <w:rFonts w:hint="eastAsia"/>
                <w:vertAlign w:val="baseline"/>
                <w:lang w:val="en-US" w:eastAsia="zh-CN"/>
              </w:rPr>
            </w:pPr>
            <w:r>
              <w:rPr>
                <w:rFonts w:hint="eastAsia"/>
                <w:vertAlign w:val="baseline"/>
                <w:lang w:val="en-US" w:eastAsia="zh-CN"/>
              </w:rPr>
              <w:t>项目涉及射线装置使用的，须另行向生态环境部门申报相关手续，该部分内容不在本次评价范围之内。</w:t>
            </w:r>
          </w:p>
          <w:p w14:paraId="740804A0">
            <w:pPr>
              <w:pStyle w:val="11"/>
              <w:bidi w:val="0"/>
              <w:rPr>
                <w:rFonts w:hint="default"/>
                <w:lang w:val="en-US" w:eastAsia="zh-CN"/>
              </w:rPr>
            </w:pPr>
            <w:r>
              <w:rPr>
                <w:rFonts w:hint="eastAsia"/>
                <w:lang w:val="en-US" w:eastAsia="zh-CN"/>
              </w:rPr>
              <w:t>表2-1 项目建设规模及内容一览表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185"/>
              <w:gridCol w:w="6098"/>
            </w:tblGrid>
            <w:tr w14:paraId="702A3D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6447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类别</w:t>
                  </w:r>
                </w:p>
              </w:tc>
              <w:tc>
                <w:tcPr>
                  <w:tcW w:w="1185" w:type="dxa"/>
                  <w:tcBorders>
                    <w:tl2br w:val="nil"/>
                    <w:tr2bl w:val="nil"/>
                  </w:tcBorders>
                  <w:vAlign w:val="center"/>
                </w:tcPr>
                <w:p w14:paraId="2EB5E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工程名称</w:t>
                  </w:r>
                </w:p>
              </w:tc>
              <w:tc>
                <w:tcPr>
                  <w:tcW w:w="6098" w:type="dxa"/>
                  <w:tcBorders>
                    <w:tl2br w:val="nil"/>
                    <w:tr2bl w:val="nil"/>
                  </w:tcBorders>
                  <w:vAlign w:val="center"/>
                </w:tcPr>
                <w:p w14:paraId="556AE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项目建设内容</w:t>
                  </w:r>
                </w:p>
              </w:tc>
            </w:tr>
            <w:tr w14:paraId="4EA552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5D76E8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主体工程</w:t>
                  </w:r>
                </w:p>
              </w:tc>
              <w:tc>
                <w:tcPr>
                  <w:tcW w:w="1185" w:type="dxa"/>
                  <w:tcBorders>
                    <w:tl2br w:val="nil"/>
                    <w:tr2bl w:val="nil"/>
                  </w:tcBorders>
                  <w:vAlign w:val="center"/>
                </w:tcPr>
                <w:p w14:paraId="66FDEE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2F16B6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建设动物医院，从事开展动物美容洗浴、动物诊疗服务，主要诊疗科目为：动物疫病预防、诊疗、治疗、绝育手术服务。预计项目年接待就诊动物约1460例（其中普通病例约1095例，手术病例约365例），即日均接待约6例；年接待宠物美容洗浴1460例，即日均接待约6例。项目接待的动物全部为猫科、犬科类家庭宠物。</w:t>
                  </w:r>
                </w:p>
              </w:tc>
            </w:tr>
            <w:tr w14:paraId="22A16D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bottom w:val="single" w:color="000000" w:sz="4" w:space="0"/>
                    <w:tl2br w:val="nil"/>
                    <w:tr2bl w:val="nil"/>
                  </w:tcBorders>
                  <w:vAlign w:val="center"/>
                </w:tcPr>
                <w:p w14:paraId="3AB339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辅助工程</w:t>
                  </w:r>
                </w:p>
              </w:tc>
              <w:tc>
                <w:tcPr>
                  <w:tcW w:w="1185" w:type="dxa"/>
                  <w:tcBorders>
                    <w:bottom w:val="single" w:color="000000" w:sz="4" w:space="0"/>
                    <w:tl2br w:val="nil"/>
                    <w:tr2bl w:val="nil"/>
                  </w:tcBorders>
                  <w:vAlign w:val="center"/>
                </w:tcPr>
                <w:p w14:paraId="79DDA2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6098" w:type="dxa"/>
                  <w:tcBorders>
                    <w:tl2br w:val="nil"/>
                    <w:tr2bl w:val="nil"/>
                  </w:tcBorders>
                  <w:vAlign w:val="center"/>
                </w:tcPr>
                <w:p w14:paraId="2B6475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项目无自暖设备，不设食堂及员工宿舍</w:t>
                  </w:r>
                </w:p>
              </w:tc>
            </w:tr>
            <w:tr w14:paraId="72E40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4102E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公用工程</w:t>
                  </w:r>
                </w:p>
              </w:tc>
              <w:tc>
                <w:tcPr>
                  <w:tcW w:w="1185" w:type="dxa"/>
                  <w:tcBorders>
                    <w:tl2br w:val="nil"/>
                    <w:tr2bl w:val="nil"/>
                  </w:tcBorders>
                  <w:vAlign w:val="center"/>
                </w:tcPr>
                <w:p w14:paraId="713CA8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供水</w:t>
                  </w:r>
                </w:p>
              </w:tc>
              <w:tc>
                <w:tcPr>
                  <w:tcW w:w="6098" w:type="dxa"/>
                  <w:tcBorders>
                    <w:tl2br w:val="nil"/>
                    <w:tr2bl w:val="nil"/>
                  </w:tcBorders>
                  <w:vAlign w:val="center"/>
                </w:tcPr>
                <w:p w14:paraId="2FCE60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本项目用水由所在地市政自来水管网提供</w:t>
                  </w:r>
                </w:p>
              </w:tc>
            </w:tr>
            <w:tr w14:paraId="1F9BB6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0D626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38E4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供电</w:t>
                  </w:r>
                </w:p>
              </w:tc>
              <w:tc>
                <w:tcPr>
                  <w:tcW w:w="6098" w:type="dxa"/>
                  <w:tcBorders>
                    <w:tl2br w:val="nil"/>
                    <w:tr2bl w:val="nil"/>
                  </w:tcBorders>
                  <w:vAlign w:val="center"/>
                </w:tcPr>
                <w:p w14:paraId="253594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本项目用电由北京市</w:t>
                  </w:r>
                  <w:r>
                    <w:rPr>
                      <w:rFonts w:hint="eastAsia"/>
                      <w:sz w:val="21"/>
                      <w:szCs w:val="21"/>
                      <w:vertAlign w:val="baseline"/>
                      <w:lang w:val="en-US" w:eastAsia="zh-CN"/>
                    </w:rPr>
                    <w:t>房山</w:t>
                  </w:r>
                  <w:r>
                    <w:rPr>
                      <w:rFonts w:hint="default"/>
                      <w:sz w:val="21"/>
                      <w:szCs w:val="21"/>
                      <w:vertAlign w:val="baseline"/>
                      <w:lang w:val="en-US" w:eastAsia="zh-CN"/>
                    </w:rPr>
                    <w:t>区供电部门提供</w:t>
                  </w:r>
                </w:p>
              </w:tc>
            </w:tr>
            <w:tr w14:paraId="080DF7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7ED780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A3F2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排水</w:t>
                  </w:r>
                </w:p>
              </w:tc>
              <w:tc>
                <w:tcPr>
                  <w:tcW w:w="6098" w:type="dxa"/>
                  <w:tcBorders>
                    <w:tl2br w:val="nil"/>
                    <w:tr2bl w:val="nil"/>
                  </w:tcBorders>
                  <w:vAlign w:val="center"/>
                </w:tcPr>
                <w:p w14:paraId="057014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所在地具备市政排水条件，项目排水管道接入市政污水管网，最终汇入</w:t>
                  </w:r>
                  <w:r>
                    <w:rPr>
                      <w:rFonts w:hint="eastAsia"/>
                      <w:sz w:val="21"/>
                      <w:szCs w:val="21"/>
                      <w:highlight w:val="none"/>
                      <w:vertAlign w:val="baseline"/>
                      <w:lang w:val="en-US" w:eastAsia="zh-CN"/>
                    </w:rPr>
                    <w:t>北京中设水处理有限公司良乡污水处理厂</w:t>
                  </w:r>
                </w:p>
              </w:tc>
            </w:tr>
            <w:tr w14:paraId="0BDC0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6BE8D5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92FDB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采暖制冷</w:t>
                  </w:r>
                </w:p>
              </w:tc>
              <w:tc>
                <w:tcPr>
                  <w:tcW w:w="6098" w:type="dxa"/>
                  <w:tcBorders>
                    <w:tl2br w:val="nil"/>
                    <w:tr2bl w:val="nil"/>
                  </w:tcBorders>
                  <w:vAlign w:val="center"/>
                </w:tcPr>
                <w:p w14:paraId="74D417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冬季供暖由市政集中供暖提供，夏季制冷由中央空调提供</w:t>
                  </w:r>
                </w:p>
              </w:tc>
            </w:tr>
            <w:tr w14:paraId="2C2FD9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51488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环保工程</w:t>
                  </w:r>
                </w:p>
              </w:tc>
              <w:tc>
                <w:tcPr>
                  <w:tcW w:w="1185" w:type="dxa"/>
                  <w:tcBorders>
                    <w:tl2br w:val="nil"/>
                    <w:tr2bl w:val="nil"/>
                  </w:tcBorders>
                  <w:vAlign w:val="center"/>
                </w:tcPr>
                <w:p w14:paraId="49CC49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6098" w:type="dxa"/>
                  <w:tcBorders>
                    <w:tl2br w:val="nil"/>
                    <w:tr2bl w:val="nil"/>
                  </w:tcBorders>
                  <w:vAlign w:val="center"/>
                </w:tcPr>
                <w:p w14:paraId="4E7154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对异味采取室内、动物笼及时清理清洁，喷洒除臭剂、空气清新剂等。项目设有排风系统，各房间吊顶上方的排风管道设置吸风口，主管道内安装活性炭净化装置及</w:t>
                  </w:r>
                  <w:r>
                    <w:rPr>
                      <w:rFonts w:hint="eastAsia"/>
                      <w:sz w:val="21"/>
                      <w:szCs w:val="21"/>
                      <w:highlight w:val="none"/>
                      <w:vertAlign w:val="baseline"/>
                      <w:lang w:val="en-US" w:eastAsia="zh-CN"/>
                    </w:rPr>
                    <w:t>排风机（位于医院洗美间上方的吊顶内），异味经吸附净</w:t>
                  </w:r>
                  <w:r>
                    <w:rPr>
                      <w:rFonts w:hint="eastAsia"/>
                      <w:sz w:val="21"/>
                      <w:szCs w:val="21"/>
                      <w:vertAlign w:val="baseline"/>
                      <w:lang w:val="en-US" w:eastAsia="zh-CN"/>
                    </w:rPr>
                    <w:t>化后通过位于医院东侧外墙的排风口排放。</w:t>
                  </w:r>
                </w:p>
              </w:tc>
            </w:tr>
            <w:tr w14:paraId="1D45FB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19641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55DA7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6098" w:type="dxa"/>
                  <w:tcBorders>
                    <w:tl2br w:val="nil"/>
                    <w:tr2bl w:val="nil"/>
                  </w:tcBorders>
                  <w:vAlign w:val="center"/>
                </w:tcPr>
                <w:p w14:paraId="7D830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进行内部排水管道等的设计与铺设，采取防渗措施。并针对诊疗及美容洗浴废水购买安装1台采用次氯酸钠消毒工艺的污水处理设备，位于医院化验室。</w:t>
                  </w:r>
                </w:p>
              </w:tc>
            </w:tr>
            <w:tr w14:paraId="767215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A354A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6FB99D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6098" w:type="dxa"/>
                  <w:tcBorders>
                    <w:tl2br w:val="nil"/>
                    <w:tr2bl w:val="nil"/>
                  </w:tcBorders>
                  <w:vAlign w:val="center"/>
                </w:tcPr>
                <w:p w14:paraId="6E847E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项目选用低噪声设备，合理布局，主要产噪设备安装减振基础；建筑墙体隔声。</w:t>
                  </w:r>
                </w:p>
              </w:tc>
            </w:tr>
            <w:tr w14:paraId="7FD702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B2901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20016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6098" w:type="dxa"/>
                  <w:tcBorders>
                    <w:tl2br w:val="nil"/>
                    <w:tr2bl w:val="nil"/>
                  </w:tcBorders>
                  <w:vAlign w:val="center"/>
                </w:tcPr>
                <w:p w14:paraId="425496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产生固体废物为生活垃圾、一般工业固体废物和医疗废物。生活垃圾集中收集，由环卫部门统一清运；一般工业固体废物为物品包装物、异味净化产生的废活性炭，交由废品回收站或材料生产厂家回收再利用；诊疗、手术产生的动物器官、组织、血液、组织液等；废手术刀、注射器和输液器针头；以及一次性医疗器械、废试纸、废试剂盒、废纱布、废口罩、废棉球、沾染了动物粪尿的尿垫和猫砂、污水处理设备（水池篦子）拦截物；过期药品等，均属于医疗废物。建设单位设置医疗废物暂存间对该类废物分类暂存，位于医院室内南部，医疗废物定期交由具有相关资质的</w:t>
                  </w:r>
                  <w:r>
                    <w:rPr>
                      <w:rFonts w:hint="eastAsia"/>
                      <w:sz w:val="21"/>
                      <w:szCs w:val="21"/>
                      <w:highlight w:val="none"/>
                      <w:vertAlign w:val="baseline"/>
                      <w:lang w:val="en-US" w:eastAsia="zh-CN"/>
                    </w:rPr>
                    <w:t>北京光凯祥瑞环保科技有限公司</w:t>
                  </w:r>
                  <w:r>
                    <w:rPr>
                      <w:rFonts w:hint="eastAsia"/>
                      <w:sz w:val="21"/>
                      <w:szCs w:val="21"/>
                      <w:vertAlign w:val="baseline"/>
                      <w:lang w:val="en-US" w:eastAsia="zh-CN"/>
                    </w:rPr>
                    <w:t>清运处置。</w:t>
                  </w:r>
                </w:p>
              </w:tc>
            </w:tr>
            <w:tr w14:paraId="34351B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A56DA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依托工程</w:t>
                  </w:r>
                </w:p>
              </w:tc>
              <w:tc>
                <w:tcPr>
                  <w:tcW w:w="1185" w:type="dxa"/>
                  <w:tcBorders>
                    <w:tl2br w:val="nil"/>
                    <w:tr2bl w:val="nil"/>
                  </w:tcBorders>
                  <w:vAlign w:val="center"/>
                </w:tcPr>
                <w:p w14:paraId="73F21B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3D79C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项目依托所在地区的市政供水、排水、供电、供暖等工程。</w:t>
                  </w:r>
                </w:p>
              </w:tc>
            </w:tr>
            <w:tr w14:paraId="27FCCC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3D77C4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储运工程</w:t>
                  </w:r>
                </w:p>
              </w:tc>
              <w:tc>
                <w:tcPr>
                  <w:tcW w:w="1185" w:type="dxa"/>
                  <w:tcBorders>
                    <w:tl2br w:val="nil"/>
                    <w:tr2bl w:val="nil"/>
                  </w:tcBorders>
                  <w:vAlign w:val="center"/>
                </w:tcPr>
                <w:p w14:paraId="24B8D1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707AD2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项目设置1间医疗废物暂存间，位于医院室内西北部。</w:t>
                  </w:r>
                </w:p>
              </w:tc>
            </w:tr>
          </w:tbl>
          <w:p w14:paraId="4A27CED8">
            <w:pPr>
              <w:rPr>
                <w:rFonts w:hint="default"/>
                <w:vertAlign w:val="baseline"/>
                <w:lang w:val="en-US" w:eastAsia="zh-CN"/>
              </w:rPr>
            </w:pPr>
            <w:r>
              <w:rPr>
                <w:rFonts w:hint="eastAsia"/>
                <w:vertAlign w:val="baseline"/>
                <w:lang w:val="en-US" w:eastAsia="zh-CN"/>
              </w:rPr>
              <w:t>2、主要设备清单</w:t>
            </w:r>
          </w:p>
          <w:p w14:paraId="2FD00A9D">
            <w:pPr>
              <w:rPr>
                <w:rFonts w:hint="default"/>
                <w:vertAlign w:val="baseline"/>
                <w:lang w:val="en-US" w:eastAsia="zh-CN"/>
              </w:rPr>
            </w:pPr>
            <w:r>
              <w:rPr>
                <w:rFonts w:hint="eastAsia"/>
                <w:vertAlign w:val="baseline"/>
                <w:lang w:val="en-US" w:eastAsia="zh-CN"/>
              </w:rPr>
              <w:t>本项目主要设备情况见下表。</w:t>
            </w:r>
          </w:p>
          <w:p w14:paraId="4239A0FA">
            <w:pPr>
              <w:pStyle w:val="11"/>
              <w:bidi w:val="0"/>
              <w:rPr>
                <w:rFonts w:hint="default"/>
                <w:lang w:val="en-US" w:eastAsia="zh-CN"/>
              </w:rPr>
            </w:pPr>
            <w:r>
              <w:rPr>
                <w:rFonts w:hint="eastAsia"/>
                <w:lang w:val="en-US" w:eastAsia="zh-CN"/>
              </w:rPr>
              <w:t>表2-2 主要设备一览表</w:t>
            </w:r>
          </w:p>
          <w:tbl>
            <w:tblPr>
              <w:tblStyle w:val="9"/>
              <w:tblW w:w="802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2655"/>
              <w:gridCol w:w="1785"/>
              <w:gridCol w:w="2505"/>
            </w:tblGrid>
            <w:tr w14:paraId="7D8B15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6D300E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655" w:type="dxa"/>
                  <w:tcBorders>
                    <w:tl2br w:val="nil"/>
                    <w:tr2bl w:val="nil"/>
                  </w:tcBorders>
                  <w:vAlign w:val="center"/>
                </w:tcPr>
                <w:p w14:paraId="190207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设备名称</w:t>
                  </w:r>
                </w:p>
              </w:tc>
              <w:tc>
                <w:tcPr>
                  <w:tcW w:w="1785" w:type="dxa"/>
                  <w:tcBorders>
                    <w:tl2br w:val="nil"/>
                    <w:tr2bl w:val="nil"/>
                  </w:tcBorders>
                  <w:vAlign w:val="center"/>
                </w:tcPr>
                <w:p w14:paraId="4C0ED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数量（台）</w:t>
                  </w:r>
                </w:p>
              </w:tc>
              <w:tc>
                <w:tcPr>
                  <w:tcW w:w="2505" w:type="dxa"/>
                  <w:tcBorders>
                    <w:tl2br w:val="nil"/>
                    <w:tr2bl w:val="nil"/>
                  </w:tcBorders>
                  <w:vAlign w:val="center"/>
                </w:tcPr>
                <w:p w14:paraId="30C4D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安装位置</w:t>
                  </w:r>
                </w:p>
              </w:tc>
            </w:tr>
            <w:tr w14:paraId="042A4B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4B19A8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655" w:type="dxa"/>
                  <w:tcBorders>
                    <w:tl2br w:val="nil"/>
                    <w:tr2bl w:val="nil"/>
                  </w:tcBorders>
                  <w:vAlign w:val="center"/>
                </w:tcPr>
                <w:p w14:paraId="21515E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听诊器、体温计等医疗器械</w:t>
                  </w:r>
                </w:p>
              </w:tc>
              <w:tc>
                <w:tcPr>
                  <w:tcW w:w="1785" w:type="dxa"/>
                  <w:tcBorders>
                    <w:tl2br w:val="nil"/>
                    <w:tr2bl w:val="nil"/>
                  </w:tcBorders>
                  <w:vAlign w:val="center"/>
                </w:tcPr>
                <w:p w14:paraId="3C9543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3D836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接诊室</w:t>
                  </w:r>
                </w:p>
              </w:tc>
            </w:tr>
            <w:tr w14:paraId="63E7F5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CF2D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655" w:type="dxa"/>
                  <w:tcBorders>
                    <w:tl2br w:val="nil"/>
                    <w:tr2bl w:val="nil"/>
                  </w:tcBorders>
                  <w:vAlign w:val="center"/>
                </w:tcPr>
                <w:p w14:paraId="6D20CA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双目显微镜</w:t>
                  </w:r>
                </w:p>
              </w:tc>
              <w:tc>
                <w:tcPr>
                  <w:tcW w:w="1785" w:type="dxa"/>
                  <w:tcBorders>
                    <w:tl2br w:val="nil"/>
                    <w:tr2bl w:val="nil"/>
                  </w:tcBorders>
                  <w:vAlign w:val="center"/>
                </w:tcPr>
                <w:p w14:paraId="7B0B8D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8E37E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348420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859B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655" w:type="dxa"/>
                  <w:tcBorders>
                    <w:tl2br w:val="nil"/>
                    <w:tr2bl w:val="nil"/>
                  </w:tcBorders>
                  <w:vAlign w:val="center"/>
                </w:tcPr>
                <w:p w14:paraId="318DE2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生化分析仪</w:t>
                  </w:r>
                </w:p>
              </w:tc>
              <w:tc>
                <w:tcPr>
                  <w:tcW w:w="1785" w:type="dxa"/>
                  <w:tcBorders>
                    <w:tl2br w:val="nil"/>
                    <w:tr2bl w:val="nil"/>
                  </w:tcBorders>
                  <w:vAlign w:val="center"/>
                </w:tcPr>
                <w:p w14:paraId="77503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165510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5D5A08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4269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655" w:type="dxa"/>
                  <w:tcBorders>
                    <w:tl2br w:val="nil"/>
                    <w:tr2bl w:val="nil"/>
                  </w:tcBorders>
                  <w:vAlign w:val="center"/>
                </w:tcPr>
                <w:p w14:paraId="42D4F1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血常规</w:t>
                  </w:r>
                </w:p>
              </w:tc>
              <w:tc>
                <w:tcPr>
                  <w:tcW w:w="1785" w:type="dxa"/>
                  <w:tcBorders>
                    <w:tl2br w:val="nil"/>
                    <w:tr2bl w:val="nil"/>
                  </w:tcBorders>
                  <w:vAlign w:val="center"/>
                </w:tcPr>
                <w:p w14:paraId="4B86C7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2DE1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2A7A53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79CCF1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5</w:t>
                  </w:r>
                </w:p>
              </w:tc>
              <w:tc>
                <w:tcPr>
                  <w:tcW w:w="2655" w:type="dxa"/>
                  <w:tcBorders>
                    <w:tl2br w:val="nil"/>
                    <w:tr2bl w:val="nil"/>
                  </w:tcBorders>
                  <w:vAlign w:val="center"/>
                </w:tcPr>
                <w:p w14:paraId="0EE0B1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麻醉机</w:t>
                  </w:r>
                </w:p>
              </w:tc>
              <w:tc>
                <w:tcPr>
                  <w:tcW w:w="1785" w:type="dxa"/>
                  <w:tcBorders>
                    <w:tl2br w:val="nil"/>
                    <w:tr2bl w:val="nil"/>
                  </w:tcBorders>
                  <w:vAlign w:val="center"/>
                </w:tcPr>
                <w:p w14:paraId="7A847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F9946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手术室</w:t>
                  </w:r>
                </w:p>
              </w:tc>
            </w:tr>
            <w:tr w14:paraId="600F35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1466A5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6</w:t>
                  </w:r>
                </w:p>
              </w:tc>
              <w:tc>
                <w:tcPr>
                  <w:tcW w:w="2655" w:type="dxa"/>
                  <w:tcBorders>
                    <w:tl2br w:val="nil"/>
                    <w:tr2bl w:val="nil"/>
                  </w:tcBorders>
                  <w:vAlign w:val="center"/>
                </w:tcPr>
                <w:p w14:paraId="43DBDA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手术无影灯</w:t>
                  </w:r>
                </w:p>
              </w:tc>
              <w:tc>
                <w:tcPr>
                  <w:tcW w:w="1785" w:type="dxa"/>
                  <w:tcBorders>
                    <w:tl2br w:val="nil"/>
                    <w:tr2bl w:val="nil"/>
                  </w:tcBorders>
                  <w:vAlign w:val="center"/>
                </w:tcPr>
                <w:p w14:paraId="4335A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04F6D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46272D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0CDF49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7</w:t>
                  </w:r>
                </w:p>
              </w:tc>
              <w:tc>
                <w:tcPr>
                  <w:tcW w:w="2655" w:type="dxa"/>
                  <w:tcBorders>
                    <w:tl2br w:val="nil"/>
                    <w:tr2bl w:val="nil"/>
                  </w:tcBorders>
                  <w:vAlign w:val="center"/>
                </w:tcPr>
                <w:p w14:paraId="4AE4B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心电监护仪</w:t>
                  </w:r>
                </w:p>
              </w:tc>
              <w:tc>
                <w:tcPr>
                  <w:tcW w:w="1785" w:type="dxa"/>
                  <w:tcBorders>
                    <w:tl2br w:val="nil"/>
                    <w:tr2bl w:val="nil"/>
                  </w:tcBorders>
                  <w:vAlign w:val="center"/>
                </w:tcPr>
                <w:p w14:paraId="044AF7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91C76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5BA89A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23E6BA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8</w:t>
                  </w:r>
                </w:p>
              </w:tc>
              <w:tc>
                <w:tcPr>
                  <w:tcW w:w="2655" w:type="dxa"/>
                  <w:tcBorders>
                    <w:tl2br w:val="nil"/>
                    <w:tr2bl w:val="nil"/>
                  </w:tcBorders>
                  <w:vAlign w:val="center"/>
                </w:tcPr>
                <w:p w14:paraId="7BB9CD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手术台</w:t>
                  </w:r>
                </w:p>
              </w:tc>
              <w:tc>
                <w:tcPr>
                  <w:tcW w:w="1785" w:type="dxa"/>
                  <w:tcBorders>
                    <w:tl2br w:val="nil"/>
                    <w:tr2bl w:val="nil"/>
                  </w:tcBorders>
                  <w:vAlign w:val="center"/>
                </w:tcPr>
                <w:p w14:paraId="08DC5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48AC1D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199788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22C4AA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9</w:t>
                  </w:r>
                </w:p>
              </w:tc>
              <w:tc>
                <w:tcPr>
                  <w:tcW w:w="2655" w:type="dxa"/>
                  <w:tcBorders>
                    <w:tl2br w:val="nil"/>
                    <w:tr2bl w:val="nil"/>
                  </w:tcBorders>
                  <w:vAlign w:val="center"/>
                </w:tcPr>
                <w:p w14:paraId="75CE7B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高压蒸汽灭菌锅</w:t>
                  </w:r>
                </w:p>
              </w:tc>
              <w:tc>
                <w:tcPr>
                  <w:tcW w:w="1785" w:type="dxa"/>
                  <w:tcBorders>
                    <w:tl2br w:val="nil"/>
                    <w:tr2bl w:val="nil"/>
                  </w:tcBorders>
                  <w:vAlign w:val="center"/>
                </w:tcPr>
                <w:p w14:paraId="065899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12EE9B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1FE5AD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2410A2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10</w:t>
                  </w:r>
                </w:p>
              </w:tc>
              <w:tc>
                <w:tcPr>
                  <w:tcW w:w="2655" w:type="dxa"/>
                  <w:tcBorders>
                    <w:tl2br w:val="nil"/>
                    <w:tr2bl w:val="nil"/>
                  </w:tcBorders>
                  <w:vAlign w:val="center"/>
                </w:tcPr>
                <w:p w14:paraId="187AD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血压监测仪</w:t>
                  </w:r>
                </w:p>
              </w:tc>
              <w:tc>
                <w:tcPr>
                  <w:tcW w:w="1785" w:type="dxa"/>
                  <w:tcBorders>
                    <w:tl2br w:val="nil"/>
                    <w:tr2bl w:val="nil"/>
                  </w:tcBorders>
                  <w:vAlign w:val="center"/>
                </w:tcPr>
                <w:p w14:paraId="4CFB98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542435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7BC5E2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3758B9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11</w:t>
                  </w:r>
                </w:p>
              </w:tc>
              <w:tc>
                <w:tcPr>
                  <w:tcW w:w="2655" w:type="dxa"/>
                  <w:tcBorders>
                    <w:tl2br w:val="nil"/>
                    <w:tr2bl w:val="nil"/>
                  </w:tcBorders>
                  <w:vAlign w:val="center"/>
                </w:tcPr>
                <w:p w14:paraId="4990F9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紫外线消毒灯</w:t>
                  </w:r>
                </w:p>
              </w:tc>
              <w:tc>
                <w:tcPr>
                  <w:tcW w:w="1785" w:type="dxa"/>
                  <w:tcBorders>
                    <w:tl2br w:val="nil"/>
                    <w:tr2bl w:val="nil"/>
                  </w:tcBorders>
                  <w:vAlign w:val="center"/>
                </w:tcPr>
                <w:p w14:paraId="224C60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586D24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070C74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1B4E01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12</w:t>
                  </w:r>
                </w:p>
              </w:tc>
              <w:tc>
                <w:tcPr>
                  <w:tcW w:w="2655" w:type="dxa"/>
                  <w:tcBorders>
                    <w:tl2br w:val="nil"/>
                    <w:tr2bl w:val="nil"/>
                  </w:tcBorders>
                  <w:vAlign w:val="center"/>
                </w:tcPr>
                <w:p w14:paraId="33F04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B超机</w:t>
                  </w:r>
                </w:p>
              </w:tc>
              <w:tc>
                <w:tcPr>
                  <w:tcW w:w="1785" w:type="dxa"/>
                  <w:tcBorders>
                    <w:tl2br w:val="nil"/>
                    <w:tr2bl w:val="nil"/>
                  </w:tcBorders>
                  <w:vAlign w:val="center"/>
                </w:tcPr>
                <w:p w14:paraId="7E6102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0C818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DR室</w:t>
                  </w:r>
                </w:p>
              </w:tc>
            </w:tr>
            <w:tr w14:paraId="798C3E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3F103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13</w:t>
                  </w:r>
                </w:p>
              </w:tc>
              <w:tc>
                <w:tcPr>
                  <w:tcW w:w="2655" w:type="dxa"/>
                  <w:tcBorders>
                    <w:tl2br w:val="nil"/>
                    <w:tr2bl w:val="nil"/>
                  </w:tcBorders>
                  <w:vAlign w:val="center"/>
                </w:tcPr>
                <w:p w14:paraId="4B10E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冰箱</w:t>
                  </w:r>
                </w:p>
              </w:tc>
              <w:tc>
                <w:tcPr>
                  <w:tcW w:w="1785" w:type="dxa"/>
                  <w:tcBorders>
                    <w:tl2br w:val="nil"/>
                    <w:tr2bl w:val="nil"/>
                  </w:tcBorders>
                  <w:vAlign w:val="center"/>
                </w:tcPr>
                <w:p w14:paraId="5BBF07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43B8F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1FA61F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7A01E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14</w:t>
                  </w:r>
                </w:p>
              </w:tc>
              <w:tc>
                <w:tcPr>
                  <w:tcW w:w="2655" w:type="dxa"/>
                  <w:tcBorders>
                    <w:tl2br w:val="nil"/>
                    <w:tr2bl w:val="nil"/>
                  </w:tcBorders>
                  <w:vAlign w:val="center"/>
                </w:tcPr>
                <w:p w14:paraId="78DCBE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药品柜</w:t>
                  </w:r>
                </w:p>
              </w:tc>
              <w:tc>
                <w:tcPr>
                  <w:tcW w:w="1785" w:type="dxa"/>
                  <w:tcBorders>
                    <w:tl2br w:val="nil"/>
                    <w:tr2bl w:val="nil"/>
                  </w:tcBorders>
                  <w:vAlign w:val="center"/>
                </w:tcPr>
                <w:p w14:paraId="5682D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6E933B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药房</w:t>
                  </w:r>
                </w:p>
              </w:tc>
            </w:tr>
            <w:tr w14:paraId="178A17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62B0B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15</w:t>
                  </w:r>
                </w:p>
              </w:tc>
              <w:tc>
                <w:tcPr>
                  <w:tcW w:w="2655" w:type="dxa"/>
                  <w:tcBorders>
                    <w:tl2br w:val="nil"/>
                    <w:tr2bl w:val="nil"/>
                  </w:tcBorders>
                  <w:vAlign w:val="center"/>
                </w:tcPr>
                <w:p w14:paraId="46A077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输液泵</w:t>
                  </w:r>
                </w:p>
              </w:tc>
              <w:tc>
                <w:tcPr>
                  <w:tcW w:w="1785" w:type="dxa"/>
                  <w:tcBorders>
                    <w:tl2br w:val="nil"/>
                    <w:tr2bl w:val="nil"/>
                  </w:tcBorders>
                  <w:vAlign w:val="center"/>
                </w:tcPr>
                <w:p w14:paraId="37E634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4D8148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药房</w:t>
                  </w:r>
                </w:p>
              </w:tc>
            </w:tr>
            <w:tr w14:paraId="2FBFF3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4567A5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16</w:t>
                  </w:r>
                </w:p>
              </w:tc>
              <w:tc>
                <w:tcPr>
                  <w:tcW w:w="2655" w:type="dxa"/>
                  <w:tcBorders>
                    <w:tl2br w:val="nil"/>
                    <w:tr2bl w:val="nil"/>
                  </w:tcBorders>
                  <w:vAlign w:val="center"/>
                </w:tcPr>
                <w:p w14:paraId="2BA2DC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利器盒</w:t>
                  </w:r>
                </w:p>
              </w:tc>
              <w:tc>
                <w:tcPr>
                  <w:tcW w:w="1785" w:type="dxa"/>
                  <w:tcBorders>
                    <w:tl2br w:val="nil"/>
                    <w:tr2bl w:val="nil"/>
                  </w:tcBorders>
                  <w:vAlign w:val="center"/>
                </w:tcPr>
                <w:p w14:paraId="078C70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505" w:type="dxa"/>
                  <w:tcBorders>
                    <w:tl2br w:val="nil"/>
                    <w:tr2bl w:val="nil"/>
                  </w:tcBorders>
                  <w:vAlign w:val="center"/>
                </w:tcPr>
                <w:p w14:paraId="050074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药房</w:t>
                  </w:r>
                </w:p>
              </w:tc>
            </w:tr>
            <w:tr w14:paraId="10E361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5F7FD4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17</w:t>
                  </w:r>
                </w:p>
              </w:tc>
              <w:tc>
                <w:tcPr>
                  <w:tcW w:w="2655" w:type="dxa"/>
                  <w:tcBorders>
                    <w:tl2br w:val="nil"/>
                    <w:tr2bl w:val="nil"/>
                  </w:tcBorders>
                  <w:vAlign w:val="center"/>
                </w:tcPr>
                <w:p w14:paraId="4C609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处置台</w:t>
                  </w:r>
                </w:p>
              </w:tc>
              <w:tc>
                <w:tcPr>
                  <w:tcW w:w="1785" w:type="dxa"/>
                  <w:tcBorders>
                    <w:tl2br w:val="nil"/>
                    <w:tr2bl w:val="nil"/>
                  </w:tcBorders>
                  <w:vAlign w:val="center"/>
                </w:tcPr>
                <w:p w14:paraId="6F2761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0E56BD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772189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100EF0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18</w:t>
                  </w:r>
                </w:p>
              </w:tc>
              <w:tc>
                <w:tcPr>
                  <w:tcW w:w="2655" w:type="dxa"/>
                  <w:tcBorders>
                    <w:tl2br w:val="nil"/>
                    <w:tr2bl w:val="nil"/>
                  </w:tcBorders>
                  <w:vAlign w:val="center"/>
                </w:tcPr>
                <w:p w14:paraId="562C1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医疗废物箱</w:t>
                  </w:r>
                </w:p>
              </w:tc>
              <w:tc>
                <w:tcPr>
                  <w:tcW w:w="1785" w:type="dxa"/>
                  <w:tcBorders>
                    <w:tl2br w:val="nil"/>
                    <w:tr2bl w:val="nil"/>
                  </w:tcBorders>
                  <w:vAlign w:val="center"/>
                </w:tcPr>
                <w:p w14:paraId="30A38C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2898F4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医疗废物暂存间</w:t>
                  </w:r>
                </w:p>
              </w:tc>
            </w:tr>
            <w:tr w14:paraId="3303ED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235087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19</w:t>
                  </w:r>
                </w:p>
              </w:tc>
              <w:tc>
                <w:tcPr>
                  <w:tcW w:w="2655" w:type="dxa"/>
                  <w:tcBorders>
                    <w:tl2br w:val="nil"/>
                    <w:tr2bl w:val="nil"/>
                  </w:tcBorders>
                  <w:vAlign w:val="center"/>
                </w:tcPr>
                <w:p w14:paraId="0D229C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污水处理设备</w:t>
                  </w:r>
                </w:p>
              </w:tc>
              <w:tc>
                <w:tcPr>
                  <w:tcW w:w="1785" w:type="dxa"/>
                  <w:tcBorders>
                    <w:tl2br w:val="nil"/>
                    <w:tr2bl w:val="nil"/>
                  </w:tcBorders>
                  <w:vAlign w:val="center"/>
                </w:tcPr>
                <w:p w14:paraId="059C3D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0577A8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445583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shd w:val="clear" w:color="auto" w:fill="auto"/>
                  <w:vAlign w:val="center"/>
                </w:tcPr>
                <w:p w14:paraId="35E4DD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20</w:t>
                  </w:r>
                </w:p>
              </w:tc>
              <w:tc>
                <w:tcPr>
                  <w:tcW w:w="2655" w:type="dxa"/>
                  <w:tcBorders>
                    <w:tl2br w:val="nil"/>
                    <w:tr2bl w:val="nil"/>
                  </w:tcBorders>
                  <w:vAlign w:val="center"/>
                </w:tcPr>
                <w:p w14:paraId="096620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离心机</w:t>
                  </w:r>
                </w:p>
              </w:tc>
              <w:tc>
                <w:tcPr>
                  <w:tcW w:w="1785" w:type="dxa"/>
                  <w:tcBorders>
                    <w:tl2br w:val="nil"/>
                    <w:tr2bl w:val="nil"/>
                  </w:tcBorders>
                  <w:vAlign w:val="center"/>
                </w:tcPr>
                <w:p w14:paraId="7FAFD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7D71A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bl>
          <w:p w14:paraId="49DB0F4D">
            <w:pPr>
              <w:rPr>
                <w:rFonts w:hint="default"/>
                <w:vertAlign w:val="baseline"/>
                <w:lang w:val="en-US" w:eastAsia="zh-CN"/>
              </w:rPr>
            </w:pPr>
            <w:r>
              <w:rPr>
                <w:rFonts w:hint="eastAsia"/>
                <w:vertAlign w:val="baseline"/>
                <w:lang w:val="en-US" w:eastAsia="zh-CN"/>
              </w:rPr>
              <w:t>3、原辅材料清单</w:t>
            </w:r>
          </w:p>
          <w:p w14:paraId="2F99A269">
            <w:pPr>
              <w:rPr>
                <w:rFonts w:hint="eastAsia"/>
                <w:vertAlign w:val="baseline"/>
                <w:lang w:val="en-US" w:eastAsia="zh-CN"/>
              </w:rPr>
            </w:pPr>
            <w:r>
              <w:rPr>
                <w:rFonts w:hint="eastAsia"/>
                <w:vertAlign w:val="baseline"/>
                <w:lang w:val="en-US" w:eastAsia="zh-CN"/>
              </w:rPr>
              <w:t>本项目主要原辅材料及消耗情况详见下表。</w:t>
            </w:r>
          </w:p>
          <w:p w14:paraId="4E76E297">
            <w:pPr>
              <w:pStyle w:val="11"/>
              <w:bidi w:val="0"/>
              <w:rPr>
                <w:rFonts w:hint="eastAsia"/>
                <w:lang w:val="en-US" w:eastAsia="zh-CN"/>
              </w:rPr>
            </w:pPr>
            <w:r>
              <w:rPr>
                <w:rFonts w:hint="eastAsia"/>
                <w:lang w:val="en-US" w:eastAsia="zh-CN"/>
              </w:rPr>
              <w:t>表2-2 主要原辅材料消耗情况一览表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2"/>
              <w:gridCol w:w="3040"/>
              <w:gridCol w:w="997"/>
              <w:gridCol w:w="998"/>
              <w:gridCol w:w="1110"/>
              <w:gridCol w:w="1216"/>
            </w:tblGrid>
            <w:tr w14:paraId="7447DF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B83FB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3040" w:type="dxa"/>
                  <w:tcBorders>
                    <w:tl2br w:val="nil"/>
                    <w:tr2bl w:val="nil"/>
                  </w:tcBorders>
                  <w:vAlign w:val="center"/>
                </w:tcPr>
                <w:p w14:paraId="44347B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名称</w:t>
                  </w:r>
                </w:p>
              </w:tc>
              <w:tc>
                <w:tcPr>
                  <w:tcW w:w="997" w:type="dxa"/>
                  <w:tcBorders>
                    <w:tl2br w:val="nil"/>
                    <w:tr2bl w:val="nil"/>
                  </w:tcBorders>
                  <w:vAlign w:val="center"/>
                </w:tcPr>
                <w:p w14:paraId="25F51C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年用量</w:t>
                  </w:r>
                </w:p>
              </w:tc>
              <w:tc>
                <w:tcPr>
                  <w:tcW w:w="998" w:type="dxa"/>
                  <w:tcBorders>
                    <w:tl2br w:val="nil"/>
                    <w:tr2bl w:val="nil"/>
                  </w:tcBorders>
                  <w:vAlign w:val="center"/>
                </w:tcPr>
                <w:p w14:paraId="462D87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t>最大</w:t>
                  </w:r>
                </w:p>
                <w:p w14:paraId="602D91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储存量</w:t>
                  </w:r>
                </w:p>
              </w:tc>
              <w:tc>
                <w:tcPr>
                  <w:tcW w:w="1110" w:type="dxa"/>
                  <w:tcBorders>
                    <w:tl2br w:val="nil"/>
                    <w:tr2bl w:val="nil"/>
                  </w:tcBorders>
                  <w:vAlign w:val="center"/>
                </w:tcPr>
                <w:p w14:paraId="158F8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储存位置</w:t>
                  </w:r>
                </w:p>
              </w:tc>
              <w:tc>
                <w:tcPr>
                  <w:tcW w:w="1216" w:type="dxa"/>
                  <w:tcBorders>
                    <w:tl2br w:val="nil"/>
                    <w:tr2bl w:val="nil"/>
                  </w:tcBorders>
                  <w:vAlign w:val="center"/>
                </w:tcPr>
                <w:p w14:paraId="0A699A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规格</w:t>
                  </w:r>
                </w:p>
              </w:tc>
            </w:tr>
            <w:tr w14:paraId="52E127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9B77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3040" w:type="dxa"/>
                  <w:tcBorders>
                    <w:tl2br w:val="nil"/>
                    <w:tr2bl w:val="nil"/>
                  </w:tcBorders>
                  <w:shd w:val="clear" w:color="auto" w:fill="auto"/>
                  <w:vAlign w:val="center"/>
                </w:tcPr>
                <w:p w14:paraId="74A836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一次性医用装备（手套、帽子、口罩、手术衣等）</w:t>
                  </w:r>
                </w:p>
              </w:tc>
              <w:tc>
                <w:tcPr>
                  <w:tcW w:w="997" w:type="dxa"/>
                  <w:tcBorders>
                    <w:tl2br w:val="nil"/>
                    <w:tr2bl w:val="nil"/>
                  </w:tcBorders>
                  <w:shd w:val="clear" w:color="auto" w:fill="auto"/>
                  <w:vAlign w:val="center"/>
                </w:tcPr>
                <w:p w14:paraId="2BD7E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20袋</w:t>
                  </w:r>
                </w:p>
              </w:tc>
              <w:tc>
                <w:tcPr>
                  <w:tcW w:w="998" w:type="dxa"/>
                  <w:tcBorders>
                    <w:tl2br w:val="nil"/>
                    <w:tr2bl w:val="nil"/>
                  </w:tcBorders>
                  <w:shd w:val="clear" w:color="auto" w:fill="auto"/>
                  <w:vAlign w:val="center"/>
                </w:tcPr>
                <w:p w14:paraId="75EF7E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20袋</w:t>
                  </w:r>
                </w:p>
              </w:tc>
              <w:tc>
                <w:tcPr>
                  <w:tcW w:w="1110" w:type="dxa"/>
                  <w:tcBorders>
                    <w:tl2br w:val="nil"/>
                    <w:tr2bl w:val="nil"/>
                  </w:tcBorders>
                  <w:shd w:val="clear" w:color="auto" w:fill="auto"/>
                  <w:vAlign w:val="center"/>
                </w:tcPr>
                <w:p w14:paraId="5EA1C0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3E9A3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3AFAF9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1392BF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3040" w:type="dxa"/>
                  <w:tcBorders>
                    <w:tl2br w:val="nil"/>
                    <w:tr2bl w:val="nil"/>
                  </w:tcBorders>
                  <w:shd w:val="clear" w:color="auto" w:fill="auto"/>
                  <w:vAlign w:val="center"/>
                </w:tcPr>
                <w:p w14:paraId="6FAFB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一次性医疗器械（注射器、冲洗器、输血器、输液器、输液壶、输液管）</w:t>
                  </w:r>
                </w:p>
              </w:tc>
              <w:tc>
                <w:tcPr>
                  <w:tcW w:w="997" w:type="dxa"/>
                  <w:tcBorders>
                    <w:tl2br w:val="nil"/>
                    <w:tr2bl w:val="nil"/>
                  </w:tcBorders>
                  <w:shd w:val="clear" w:color="auto" w:fill="auto"/>
                  <w:vAlign w:val="center"/>
                </w:tcPr>
                <w:p w14:paraId="3C4FA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10盒</w:t>
                  </w:r>
                </w:p>
              </w:tc>
              <w:tc>
                <w:tcPr>
                  <w:tcW w:w="998" w:type="dxa"/>
                  <w:tcBorders>
                    <w:tl2br w:val="nil"/>
                    <w:tr2bl w:val="nil"/>
                  </w:tcBorders>
                  <w:shd w:val="clear" w:color="auto" w:fill="auto"/>
                  <w:vAlign w:val="center"/>
                </w:tcPr>
                <w:p w14:paraId="539ED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10盒</w:t>
                  </w:r>
                </w:p>
              </w:tc>
              <w:tc>
                <w:tcPr>
                  <w:tcW w:w="1110" w:type="dxa"/>
                  <w:tcBorders>
                    <w:tl2br w:val="nil"/>
                    <w:tr2bl w:val="nil"/>
                  </w:tcBorders>
                  <w:shd w:val="clear" w:color="auto" w:fill="auto"/>
                  <w:vAlign w:val="center"/>
                </w:tcPr>
                <w:p w14:paraId="2186B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1E83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5ABD08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23962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3040" w:type="dxa"/>
                  <w:tcBorders>
                    <w:tl2br w:val="nil"/>
                    <w:tr2bl w:val="nil"/>
                  </w:tcBorders>
                  <w:shd w:val="clear" w:color="auto" w:fill="auto"/>
                  <w:vAlign w:val="center"/>
                </w:tcPr>
                <w:p w14:paraId="5C264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一次性医疗用具（手术刀片等）</w:t>
                  </w:r>
                </w:p>
              </w:tc>
              <w:tc>
                <w:tcPr>
                  <w:tcW w:w="997" w:type="dxa"/>
                  <w:tcBorders>
                    <w:tl2br w:val="nil"/>
                    <w:tr2bl w:val="nil"/>
                  </w:tcBorders>
                  <w:shd w:val="clear" w:color="auto" w:fill="auto"/>
                  <w:vAlign w:val="center"/>
                </w:tcPr>
                <w:p w14:paraId="5B449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998" w:type="dxa"/>
                  <w:tcBorders>
                    <w:tl2br w:val="nil"/>
                    <w:tr2bl w:val="nil"/>
                  </w:tcBorders>
                  <w:shd w:val="clear" w:color="auto" w:fill="auto"/>
                  <w:vAlign w:val="center"/>
                </w:tcPr>
                <w:p w14:paraId="6CB4A5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1110" w:type="dxa"/>
                  <w:tcBorders>
                    <w:tl2br w:val="nil"/>
                    <w:tr2bl w:val="nil"/>
                  </w:tcBorders>
                  <w:shd w:val="clear" w:color="auto" w:fill="auto"/>
                  <w:vAlign w:val="center"/>
                </w:tcPr>
                <w:p w14:paraId="3CB78F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216" w:type="dxa"/>
                  <w:tcBorders>
                    <w:tl2br w:val="nil"/>
                    <w:tr2bl w:val="nil"/>
                  </w:tcBorders>
                  <w:shd w:val="clear" w:color="auto" w:fill="auto"/>
                  <w:vAlign w:val="center"/>
                </w:tcPr>
                <w:p w14:paraId="19527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1895F7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70F5B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3040" w:type="dxa"/>
                  <w:tcBorders>
                    <w:tl2br w:val="nil"/>
                    <w:tr2bl w:val="nil"/>
                  </w:tcBorders>
                  <w:shd w:val="clear" w:color="auto" w:fill="auto"/>
                  <w:vAlign w:val="center"/>
                </w:tcPr>
                <w:p w14:paraId="478709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一次性尿片/尿垫</w:t>
                  </w:r>
                </w:p>
              </w:tc>
              <w:tc>
                <w:tcPr>
                  <w:tcW w:w="997" w:type="dxa"/>
                  <w:tcBorders>
                    <w:tl2br w:val="nil"/>
                    <w:tr2bl w:val="nil"/>
                  </w:tcBorders>
                  <w:shd w:val="clear" w:color="auto" w:fill="auto"/>
                  <w:vAlign w:val="center"/>
                </w:tcPr>
                <w:p w14:paraId="36CBC9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10包</w:t>
                  </w:r>
                </w:p>
              </w:tc>
              <w:tc>
                <w:tcPr>
                  <w:tcW w:w="998" w:type="dxa"/>
                  <w:tcBorders>
                    <w:tl2br w:val="nil"/>
                    <w:tr2bl w:val="nil"/>
                  </w:tcBorders>
                  <w:shd w:val="clear" w:color="auto" w:fill="auto"/>
                  <w:vAlign w:val="center"/>
                </w:tcPr>
                <w:p w14:paraId="2E1E4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10包</w:t>
                  </w:r>
                </w:p>
              </w:tc>
              <w:tc>
                <w:tcPr>
                  <w:tcW w:w="1110" w:type="dxa"/>
                  <w:tcBorders>
                    <w:tl2br w:val="nil"/>
                    <w:tr2bl w:val="nil"/>
                  </w:tcBorders>
                  <w:vAlign w:val="center"/>
                </w:tcPr>
                <w:p w14:paraId="729A6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vAlign w:val="center"/>
                </w:tcPr>
                <w:p w14:paraId="02A1A7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vertAlign w:val="baseline"/>
                      <w:lang w:val="en-US" w:eastAsia="zh-CN"/>
                    </w:rPr>
                  </w:pPr>
                  <w:r>
                    <w:rPr>
                      <w:rFonts w:hint="eastAsia" w:cstheme="minorBidi"/>
                      <w:color w:val="auto"/>
                      <w:kern w:val="2"/>
                      <w:sz w:val="21"/>
                      <w:szCs w:val="21"/>
                      <w:highlight w:val="none"/>
                      <w:vertAlign w:val="baseline"/>
                      <w:lang w:val="en-US" w:eastAsia="zh-CN" w:bidi="ar-SA"/>
                    </w:rPr>
                    <w:t>/</w:t>
                  </w:r>
                </w:p>
              </w:tc>
            </w:tr>
            <w:tr w14:paraId="52CC3B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583D5D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5</w:t>
                  </w:r>
                </w:p>
              </w:tc>
              <w:tc>
                <w:tcPr>
                  <w:tcW w:w="3040" w:type="dxa"/>
                  <w:tcBorders>
                    <w:tl2br w:val="nil"/>
                    <w:tr2bl w:val="nil"/>
                  </w:tcBorders>
                  <w:shd w:val="clear" w:color="auto" w:fill="auto"/>
                  <w:vAlign w:val="center"/>
                </w:tcPr>
                <w:p w14:paraId="2F85E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脱脂棉/棉块</w:t>
                  </w:r>
                </w:p>
              </w:tc>
              <w:tc>
                <w:tcPr>
                  <w:tcW w:w="997" w:type="dxa"/>
                  <w:tcBorders>
                    <w:tl2br w:val="nil"/>
                    <w:tr2bl w:val="nil"/>
                  </w:tcBorders>
                  <w:shd w:val="clear" w:color="auto" w:fill="auto"/>
                  <w:vAlign w:val="center"/>
                </w:tcPr>
                <w:p w14:paraId="302DF4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2包</w:t>
                  </w:r>
                </w:p>
              </w:tc>
              <w:tc>
                <w:tcPr>
                  <w:tcW w:w="998" w:type="dxa"/>
                  <w:tcBorders>
                    <w:tl2br w:val="nil"/>
                    <w:tr2bl w:val="nil"/>
                  </w:tcBorders>
                  <w:shd w:val="clear" w:color="auto" w:fill="auto"/>
                  <w:vAlign w:val="center"/>
                </w:tcPr>
                <w:p w14:paraId="575C90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2包</w:t>
                  </w:r>
                </w:p>
              </w:tc>
              <w:tc>
                <w:tcPr>
                  <w:tcW w:w="1110" w:type="dxa"/>
                  <w:tcBorders>
                    <w:tl2br w:val="nil"/>
                    <w:tr2bl w:val="nil"/>
                  </w:tcBorders>
                  <w:shd w:val="clear" w:color="auto" w:fill="auto"/>
                  <w:vAlign w:val="center"/>
                </w:tcPr>
                <w:p w14:paraId="2F0D7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4ABB90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0B65AA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7D17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6</w:t>
                  </w:r>
                </w:p>
              </w:tc>
              <w:tc>
                <w:tcPr>
                  <w:tcW w:w="3040" w:type="dxa"/>
                  <w:tcBorders>
                    <w:tl2br w:val="nil"/>
                    <w:tr2bl w:val="nil"/>
                  </w:tcBorders>
                  <w:shd w:val="clear" w:color="auto" w:fill="auto"/>
                  <w:vAlign w:val="center"/>
                </w:tcPr>
                <w:p w14:paraId="65F69F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棉签</w:t>
                  </w:r>
                </w:p>
              </w:tc>
              <w:tc>
                <w:tcPr>
                  <w:tcW w:w="997" w:type="dxa"/>
                  <w:tcBorders>
                    <w:tl2br w:val="nil"/>
                    <w:tr2bl w:val="nil"/>
                  </w:tcBorders>
                  <w:shd w:val="clear" w:color="auto" w:fill="auto"/>
                  <w:vAlign w:val="center"/>
                </w:tcPr>
                <w:p w14:paraId="77B75C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998" w:type="dxa"/>
                  <w:tcBorders>
                    <w:tl2br w:val="nil"/>
                    <w:tr2bl w:val="nil"/>
                  </w:tcBorders>
                  <w:shd w:val="clear" w:color="auto" w:fill="auto"/>
                  <w:vAlign w:val="center"/>
                </w:tcPr>
                <w:p w14:paraId="7FD87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1110" w:type="dxa"/>
                  <w:tcBorders>
                    <w:tl2br w:val="nil"/>
                    <w:tr2bl w:val="nil"/>
                  </w:tcBorders>
                  <w:shd w:val="clear" w:color="auto" w:fill="auto"/>
                  <w:vAlign w:val="center"/>
                </w:tcPr>
                <w:p w14:paraId="1378F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7391E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1DED8D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02E6D0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7</w:t>
                  </w:r>
                </w:p>
              </w:tc>
              <w:tc>
                <w:tcPr>
                  <w:tcW w:w="3040" w:type="dxa"/>
                  <w:tcBorders>
                    <w:tl2br w:val="nil"/>
                    <w:tr2bl w:val="nil"/>
                  </w:tcBorders>
                  <w:shd w:val="clear" w:color="auto" w:fill="auto"/>
                  <w:vAlign w:val="center"/>
                </w:tcPr>
                <w:p w14:paraId="62B5C0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纱布</w:t>
                  </w:r>
                </w:p>
              </w:tc>
              <w:tc>
                <w:tcPr>
                  <w:tcW w:w="997" w:type="dxa"/>
                  <w:tcBorders>
                    <w:tl2br w:val="nil"/>
                    <w:tr2bl w:val="nil"/>
                  </w:tcBorders>
                  <w:shd w:val="clear" w:color="auto" w:fill="auto"/>
                  <w:vAlign w:val="center"/>
                </w:tcPr>
                <w:p w14:paraId="164415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2包</w:t>
                  </w:r>
                </w:p>
              </w:tc>
              <w:tc>
                <w:tcPr>
                  <w:tcW w:w="998" w:type="dxa"/>
                  <w:tcBorders>
                    <w:tl2br w:val="nil"/>
                    <w:tr2bl w:val="nil"/>
                  </w:tcBorders>
                  <w:shd w:val="clear" w:color="auto" w:fill="auto"/>
                  <w:vAlign w:val="center"/>
                </w:tcPr>
                <w:p w14:paraId="30892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2包</w:t>
                  </w:r>
                </w:p>
              </w:tc>
              <w:tc>
                <w:tcPr>
                  <w:tcW w:w="1110" w:type="dxa"/>
                  <w:tcBorders>
                    <w:tl2br w:val="nil"/>
                    <w:tr2bl w:val="nil"/>
                  </w:tcBorders>
                  <w:shd w:val="clear" w:color="auto" w:fill="auto"/>
                  <w:vAlign w:val="center"/>
                </w:tcPr>
                <w:p w14:paraId="10FCC0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262DDA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20E0FA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5C393C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8</w:t>
                  </w:r>
                </w:p>
              </w:tc>
              <w:tc>
                <w:tcPr>
                  <w:tcW w:w="3040" w:type="dxa"/>
                  <w:tcBorders>
                    <w:tl2br w:val="nil"/>
                    <w:tr2bl w:val="nil"/>
                  </w:tcBorders>
                  <w:shd w:val="clear" w:color="auto" w:fill="auto"/>
                  <w:vAlign w:val="center"/>
                </w:tcPr>
                <w:p w14:paraId="601255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碘伏</w:t>
                  </w:r>
                </w:p>
              </w:tc>
              <w:tc>
                <w:tcPr>
                  <w:tcW w:w="997" w:type="dxa"/>
                  <w:tcBorders>
                    <w:tl2br w:val="nil"/>
                    <w:tr2bl w:val="nil"/>
                  </w:tcBorders>
                  <w:shd w:val="clear" w:color="auto" w:fill="auto"/>
                  <w:vAlign w:val="center"/>
                </w:tcPr>
                <w:p w14:paraId="7A0DBD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998" w:type="dxa"/>
                  <w:tcBorders>
                    <w:tl2br w:val="nil"/>
                    <w:tr2bl w:val="nil"/>
                  </w:tcBorders>
                  <w:shd w:val="clear" w:color="auto" w:fill="auto"/>
                  <w:vAlign w:val="center"/>
                </w:tcPr>
                <w:p w14:paraId="0D5C69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1110" w:type="dxa"/>
                  <w:tcBorders>
                    <w:tl2br w:val="nil"/>
                    <w:tr2bl w:val="nil"/>
                  </w:tcBorders>
                  <w:shd w:val="clear" w:color="auto" w:fill="auto"/>
                  <w:vAlign w:val="center"/>
                </w:tcPr>
                <w:p w14:paraId="01E9C0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3584B8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500ml/瓶</w:t>
                  </w:r>
                </w:p>
              </w:tc>
            </w:tr>
            <w:tr w14:paraId="3DDFE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6E6CB4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9</w:t>
                  </w:r>
                </w:p>
              </w:tc>
              <w:tc>
                <w:tcPr>
                  <w:tcW w:w="3040" w:type="dxa"/>
                  <w:tcBorders>
                    <w:tl2br w:val="nil"/>
                    <w:tr2bl w:val="nil"/>
                  </w:tcBorders>
                  <w:shd w:val="clear" w:color="auto" w:fill="auto"/>
                  <w:vAlign w:val="center"/>
                </w:tcPr>
                <w:p w14:paraId="16B10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医用酒精</w:t>
                  </w:r>
                  <w:r>
                    <w:rPr>
                      <w:rFonts w:hint="eastAsia" w:cstheme="minorBidi"/>
                      <w:color w:val="auto"/>
                      <w:kern w:val="2"/>
                      <w:sz w:val="21"/>
                      <w:szCs w:val="21"/>
                      <w:vertAlign w:val="baseline"/>
                      <w:lang w:val="en-US" w:eastAsia="zh-CN" w:bidi="ar-SA"/>
                    </w:rPr>
                    <w:t>（乙醇）</w:t>
                  </w:r>
                </w:p>
              </w:tc>
              <w:tc>
                <w:tcPr>
                  <w:tcW w:w="997" w:type="dxa"/>
                  <w:tcBorders>
                    <w:tl2br w:val="nil"/>
                    <w:tr2bl w:val="nil"/>
                  </w:tcBorders>
                  <w:shd w:val="clear" w:color="auto" w:fill="auto"/>
                  <w:vAlign w:val="center"/>
                </w:tcPr>
                <w:p w14:paraId="690987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998" w:type="dxa"/>
                  <w:tcBorders>
                    <w:tl2br w:val="nil"/>
                    <w:tr2bl w:val="nil"/>
                  </w:tcBorders>
                  <w:shd w:val="clear" w:color="auto" w:fill="auto"/>
                  <w:vAlign w:val="center"/>
                </w:tcPr>
                <w:p w14:paraId="0272D0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1110" w:type="dxa"/>
                  <w:tcBorders>
                    <w:tl2br w:val="nil"/>
                    <w:tr2bl w:val="nil"/>
                  </w:tcBorders>
                  <w:shd w:val="clear" w:color="auto" w:fill="auto"/>
                  <w:vAlign w:val="center"/>
                </w:tcPr>
                <w:p w14:paraId="12FFC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1BCA88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500ml/瓶</w:t>
                  </w:r>
                </w:p>
              </w:tc>
            </w:tr>
            <w:tr w14:paraId="782A18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1579DE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10</w:t>
                  </w:r>
                </w:p>
              </w:tc>
              <w:tc>
                <w:tcPr>
                  <w:tcW w:w="3040" w:type="dxa"/>
                  <w:tcBorders>
                    <w:tl2br w:val="nil"/>
                    <w:tr2bl w:val="nil"/>
                  </w:tcBorders>
                  <w:shd w:val="clear" w:color="auto" w:fill="auto"/>
                  <w:vAlign w:val="center"/>
                </w:tcPr>
                <w:p w14:paraId="62EFB7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注射剂</w:t>
                  </w:r>
                </w:p>
              </w:tc>
              <w:tc>
                <w:tcPr>
                  <w:tcW w:w="997" w:type="dxa"/>
                  <w:tcBorders>
                    <w:tl2br w:val="nil"/>
                    <w:tr2bl w:val="nil"/>
                  </w:tcBorders>
                  <w:shd w:val="clear" w:color="auto" w:fill="auto"/>
                  <w:vAlign w:val="center"/>
                </w:tcPr>
                <w:p w14:paraId="748C74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998" w:type="dxa"/>
                  <w:tcBorders>
                    <w:tl2br w:val="nil"/>
                    <w:tr2bl w:val="nil"/>
                  </w:tcBorders>
                  <w:shd w:val="clear" w:color="auto" w:fill="auto"/>
                  <w:vAlign w:val="center"/>
                </w:tcPr>
                <w:p w14:paraId="2F0183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1110" w:type="dxa"/>
                  <w:tcBorders>
                    <w:tl2br w:val="nil"/>
                    <w:tr2bl w:val="nil"/>
                  </w:tcBorders>
                  <w:shd w:val="clear" w:color="auto" w:fill="auto"/>
                  <w:vAlign w:val="center"/>
                </w:tcPr>
                <w:p w14:paraId="2C15A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7B13B3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233107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64B444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11</w:t>
                  </w:r>
                </w:p>
              </w:tc>
              <w:tc>
                <w:tcPr>
                  <w:tcW w:w="3040" w:type="dxa"/>
                  <w:tcBorders>
                    <w:tl2br w:val="nil"/>
                    <w:tr2bl w:val="nil"/>
                  </w:tcBorders>
                  <w:shd w:val="clear" w:color="auto" w:fill="auto"/>
                  <w:vAlign w:val="center"/>
                </w:tcPr>
                <w:p w14:paraId="007636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检测试剂盘/试剂盒</w:t>
                  </w:r>
                </w:p>
              </w:tc>
              <w:tc>
                <w:tcPr>
                  <w:tcW w:w="997" w:type="dxa"/>
                  <w:tcBorders>
                    <w:tl2br w:val="nil"/>
                    <w:tr2bl w:val="nil"/>
                  </w:tcBorders>
                  <w:shd w:val="clear" w:color="auto" w:fill="auto"/>
                  <w:vAlign w:val="center"/>
                </w:tcPr>
                <w:p w14:paraId="7726E4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5盒</w:t>
                  </w:r>
                </w:p>
              </w:tc>
              <w:tc>
                <w:tcPr>
                  <w:tcW w:w="998" w:type="dxa"/>
                  <w:tcBorders>
                    <w:tl2br w:val="nil"/>
                    <w:tr2bl w:val="nil"/>
                  </w:tcBorders>
                  <w:shd w:val="clear" w:color="auto" w:fill="auto"/>
                  <w:vAlign w:val="center"/>
                </w:tcPr>
                <w:p w14:paraId="6DB3A2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5盒</w:t>
                  </w:r>
                </w:p>
              </w:tc>
              <w:tc>
                <w:tcPr>
                  <w:tcW w:w="1110" w:type="dxa"/>
                  <w:tcBorders>
                    <w:tl2br w:val="nil"/>
                    <w:tr2bl w:val="nil"/>
                  </w:tcBorders>
                  <w:shd w:val="clear" w:color="auto" w:fill="auto"/>
                  <w:vAlign w:val="center"/>
                </w:tcPr>
                <w:p w14:paraId="39597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216" w:type="dxa"/>
                  <w:tcBorders>
                    <w:tl2br w:val="nil"/>
                    <w:tr2bl w:val="nil"/>
                  </w:tcBorders>
                  <w:shd w:val="clear" w:color="auto" w:fill="auto"/>
                  <w:vAlign w:val="center"/>
                </w:tcPr>
                <w:p w14:paraId="479B1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2E6F81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6D5817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12</w:t>
                  </w:r>
                </w:p>
              </w:tc>
              <w:tc>
                <w:tcPr>
                  <w:tcW w:w="3040" w:type="dxa"/>
                  <w:tcBorders>
                    <w:tl2br w:val="nil"/>
                    <w:tr2bl w:val="nil"/>
                  </w:tcBorders>
                  <w:shd w:val="clear" w:color="auto" w:fill="auto"/>
                  <w:vAlign w:val="center"/>
                </w:tcPr>
                <w:p w14:paraId="3C91C0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检测卡</w:t>
                  </w:r>
                </w:p>
              </w:tc>
              <w:tc>
                <w:tcPr>
                  <w:tcW w:w="997" w:type="dxa"/>
                  <w:tcBorders>
                    <w:tl2br w:val="nil"/>
                    <w:tr2bl w:val="nil"/>
                  </w:tcBorders>
                  <w:shd w:val="clear" w:color="auto" w:fill="auto"/>
                  <w:vAlign w:val="center"/>
                </w:tcPr>
                <w:p w14:paraId="11E4E5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1盒</w:t>
                  </w:r>
                </w:p>
              </w:tc>
              <w:tc>
                <w:tcPr>
                  <w:tcW w:w="998" w:type="dxa"/>
                  <w:tcBorders>
                    <w:tl2br w:val="nil"/>
                    <w:tr2bl w:val="nil"/>
                  </w:tcBorders>
                  <w:shd w:val="clear" w:color="auto" w:fill="auto"/>
                  <w:vAlign w:val="center"/>
                </w:tcPr>
                <w:p w14:paraId="1FDFED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1盒</w:t>
                  </w:r>
                </w:p>
              </w:tc>
              <w:tc>
                <w:tcPr>
                  <w:tcW w:w="1110" w:type="dxa"/>
                  <w:tcBorders>
                    <w:tl2br w:val="nil"/>
                    <w:tr2bl w:val="nil"/>
                  </w:tcBorders>
                  <w:shd w:val="clear" w:color="auto" w:fill="auto"/>
                  <w:vAlign w:val="center"/>
                </w:tcPr>
                <w:p w14:paraId="6AD6E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216" w:type="dxa"/>
                  <w:tcBorders>
                    <w:tl2br w:val="nil"/>
                    <w:tr2bl w:val="nil"/>
                  </w:tcBorders>
                  <w:shd w:val="clear" w:color="auto" w:fill="auto"/>
                  <w:vAlign w:val="center"/>
                </w:tcPr>
                <w:p w14:paraId="49EB84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105B9B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5CD28E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13</w:t>
                  </w:r>
                </w:p>
              </w:tc>
              <w:tc>
                <w:tcPr>
                  <w:tcW w:w="3040" w:type="dxa"/>
                  <w:tcBorders>
                    <w:tl2br w:val="nil"/>
                    <w:tr2bl w:val="nil"/>
                  </w:tcBorders>
                  <w:shd w:val="clear" w:color="auto" w:fill="auto"/>
                  <w:vAlign w:val="center"/>
                </w:tcPr>
                <w:p w14:paraId="3229AC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检测试纸</w:t>
                  </w:r>
                </w:p>
              </w:tc>
              <w:tc>
                <w:tcPr>
                  <w:tcW w:w="997" w:type="dxa"/>
                  <w:tcBorders>
                    <w:tl2br w:val="nil"/>
                    <w:tr2bl w:val="nil"/>
                  </w:tcBorders>
                  <w:shd w:val="clear" w:color="auto" w:fill="auto"/>
                  <w:vAlign w:val="center"/>
                </w:tcPr>
                <w:p w14:paraId="2ACCC9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1盒</w:t>
                  </w:r>
                </w:p>
              </w:tc>
              <w:tc>
                <w:tcPr>
                  <w:tcW w:w="998" w:type="dxa"/>
                  <w:tcBorders>
                    <w:tl2br w:val="nil"/>
                    <w:tr2bl w:val="nil"/>
                  </w:tcBorders>
                  <w:shd w:val="clear" w:color="auto" w:fill="auto"/>
                  <w:vAlign w:val="center"/>
                </w:tcPr>
                <w:p w14:paraId="2128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1盒</w:t>
                  </w:r>
                </w:p>
              </w:tc>
              <w:tc>
                <w:tcPr>
                  <w:tcW w:w="1110" w:type="dxa"/>
                  <w:tcBorders>
                    <w:tl2br w:val="nil"/>
                    <w:tr2bl w:val="nil"/>
                  </w:tcBorders>
                  <w:shd w:val="clear" w:color="auto" w:fill="auto"/>
                  <w:vAlign w:val="center"/>
                </w:tcPr>
                <w:p w14:paraId="7553DC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216" w:type="dxa"/>
                  <w:tcBorders>
                    <w:tl2br w:val="nil"/>
                    <w:tr2bl w:val="nil"/>
                  </w:tcBorders>
                  <w:shd w:val="clear" w:color="auto" w:fill="auto"/>
                  <w:vAlign w:val="center"/>
                </w:tcPr>
                <w:p w14:paraId="5FB619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0ABEE2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3F8AD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14</w:t>
                  </w:r>
                </w:p>
              </w:tc>
              <w:tc>
                <w:tcPr>
                  <w:tcW w:w="3040" w:type="dxa"/>
                  <w:tcBorders>
                    <w:tl2br w:val="nil"/>
                    <w:tr2bl w:val="nil"/>
                  </w:tcBorders>
                  <w:shd w:val="clear" w:color="auto" w:fill="auto"/>
                  <w:vAlign w:val="center"/>
                </w:tcPr>
                <w:p w14:paraId="6A1E2F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兽用药品</w:t>
                  </w:r>
                </w:p>
              </w:tc>
              <w:tc>
                <w:tcPr>
                  <w:tcW w:w="997" w:type="dxa"/>
                  <w:tcBorders>
                    <w:tl2br w:val="nil"/>
                    <w:tr2bl w:val="nil"/>
                  </w:tcBorders>
                  <w:shd w:val="clear" w:color="auto" w:fill="auto"/>
                  <w:vAlign w:val="center"/>
                </w:tcPr>
                <w:p w14:paraId="03E7DB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998" w:type="dxa"/>
                  <w:tcBorders>
                    <w:tl2br w:val="nil"/>
                    <w:tr2bl w:val="nil"/>
                  </w:tcBorders>
                  <w:shd w:val="clear" w:color="auto" w:fill="auto"/>
                  <w:vAlign w:val="center"/>
                </w:tcPr>
                <w:p w14:paraId="7872B6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1110" w:type="dxa"/>
                  <w:tcBorders>
                    <w:tl2br w:val="nil"/>
                    <w:tr2bl w:val="nil"/>
                  </w:tcBorders>
                  <w:shd w:val="clear" w:color="auto" w:fill="auto"/>
                  <w:vAlign w:val="center"/>
                </w:tcPr>
                <w:p w14:paraId="688C2E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7A2EB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75859A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3EB0AB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15</w:t>
                  </w:r>
                </w:p>
              </w:tc>
              <w:tc>
                <w:tcPr>
                  <w:tcW w:w="3040" w:type="dxa"/>
                  <w:tcBorders>
                    <w:tl2br w:val="nil"/>
                    <w:tr2bl w:val="nil"/>
                  </w:tcBorders>
                  <w:shd w:val="clear" w:color="auto" w:fill="auto"/>
                  <w:vAlign w:val="center"/>
                </w:tcPr>
                <w:p w14:paraId="5E9260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84消毒液（次氯酸钠）</w:t>
                  </w:r>
                </w:p>
              </w:tc>
              <w:tc>
                <w:tcPr>
                  <w:tcW w:w="997" w:type="dxa"/>
                  <w:tcBorders>
                    <w:tl2br w:val="nil"/>
                    <w:tr2bl w:val="nil"/>
                  </w:tcBorders>
                  <w:shd w:val="clear" w:color="auto" w:fill="auto"/>
                  <w:vAlign w:val="center"/>
                </w:tcPr>
                <w:p w14:paraId="715E1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5瓶</w:t>
                  </w:r>
                </w:p>
              </w:tc>
              <w:tc>
                <w:tcPr>
                  <w:tcW w:w="998" w:type="dxa"/>
                  <w:tcBorders>
                    <w:tl2br w:val="nil"/>
                    <w:tr2bl w:val="nil"/>
                  </w:tcBorders>
                  <w:shd w:val="clear" w:color="auto" w:fill="auto"/>
                  <w:vAlign w:val="center"/>
                </w:tcPr>
                <w:p w14:paraId="2216A7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5瓶</w:t>
                  </w:r>
                </w:p>
              </w:tc>
              <w:tc>
                <w:tcPr>
                  <w:tcW w:w="1110" w:type="dxa"/>
                  <w:tcBorders>
                    <w:tl2br w:val="nil"/>
                    <w:tr2bl w:val="nil"/>
                  </w:tcBorders>
                  <w:shd w:val="clear" w:color="auto" w:fill="auto"/>
                  <w:vAlign w:val="center"/>
                </w:tcPr>
                <w:p w14:paraId="7C9416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6841D4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500ml/瓶</w:t>
                  </w:r>
                </w:p>
              </w:tc>
            </w:tr>
            <w:tr w14:paraId="4A0AE2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2037D3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16</w:t>
                  </w:r>
                </w:p>
              </w:tc>
              <w:tc>
                <w:tcPr>
                  <w:tcW w:w="3040" w:type="dxa"/>
                  <w:tcBorders>
                    <w:tl2br w:val="nil"/>
                    <w:tr2bl w:val="nil"/>
                  </w:tcBorders>
                  <w:shd w:val="clear" w:color="auto" w:fill="auto"/>
                  <w:vAlign w:val="center"/>
                </w:tcPr>
                <w:p w14:paraId="128EC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次氯酸钠</w:t>
                  </w:r>
                  <w:r>
                    <w:rPr>
                      <w:rFonts w:hint="eastAsia" w:cstheme="minorBidi"/>
                      <w:color w:val="auto"/>
                      <w:kern w:val="2"/>
                      <w:sz w:val="21"/>
                      <w:szCs w:val="21"/>
                      <w:vertAlign w:val="baseline"/>
                      <w:lang w:val="en-US" w:eastAsia="zh-CN" w:bidi="ar-SA"/>
                    </w:rPr>
                    <w:t>消毒剂</w:t>
                  </w:r>
                </w:p>
              </w:tc>
              <w:tc>
                <w:tcPr>
                  <w:tcW w:w="997" w:type="dxa"/>
                  <w:tcBorders>
                    <w:tl2br w:val="nil"/>
                    <w:tr2bl w:val="nil"/>
                  </w:tcBorders>
                  <w:shd w:val="clear" w:color="auto" w:fill="auto"/>
                  <w:vAlign w:val="center"/>
                </w:tcPr>
                <w:p w14:paraId="37BA76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50kg/a</w:t>
                  </w:r>
                </w:p>
              </w:tc>
              <w:tc>
                <w:tcPr>
                  <w:tcW w:w="998" w:type="dxa"/>
                  <w:tcBorders>
                    <w:tl2br w:val="nil"/>
                    <w:tr2bl w:val="nil"/>
                  </w:tcBorders>
                  <w:shd w:val="clear" w:color="auto" w:fill="auto"/>
                  <w:vAlign w:val="center"/>
                </w:tcPr>
                <w:p w14:paraId="76F3BB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10kg</w:t>
                  </w:r>
                </w:p>
              </w:tc>
              <w:tc>
                <w:tcPr>
                  <w:tcW w:w="1110" w:type="dxa"/>
                  <w:tcBorders>
                    <w:tl2br w:val="nil"/>
                    <w:tr2bl w:val="nil"/>
                  </w:tcBorders>
                  <w:shd w:val="clear" w:color="auto" w:fill="auto"/>
                  <w:vAlign w:val="center"/>
                </w:tcPr>
                <w:p w14:paraId="20A7C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1C7F33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5DA69E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005418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17</w:t>
                  </w:r>
                </w:p>
              </w:tc>
              <w:tc>
                <w:tcPr>
                  <w:tcW w:w="3040" w:type="dxa"/>
                  <w:tcBorders>
                    <w:tl2br w:val="nil"/>
                    <w:tr2bl w:val="nil"/>
                  </w:tcBorders>
                  <w:shd w:val="clear" w:color="auto" w:fill="auto"/>
                  <w:vAlign w:val="center"/>
                </w:tcPr>
                <w:p w14:paraId="4B45F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活性炭</w:t>
                  </w:r>
                </w:p>
              </w:tc>
              <w:tc>
                <w:tcPr>
                  <w:tcW w:w="997" w:type="dxa"/>
                  <w:tcBorders>
                    <w:tl2br w:val="nil"/>
                    <w:tr2bl w:val="nil"/>
                  </w:tcBorders>
                  <w:shd w:val="clear" w:color="auto" w:fill="auto"/>
                  <w:vAlign w:val="center"/>
                </w:tcPr>
                <w:p w14:paraId="18D61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998" w:type="dxa"/>
                  <w:tcBorders>
                    <w:tl2br w:val="nil"/>
                    <w:tr2bl w:val="nil"/>
                  </w:tcBorders>
                  <w:shd w:val="clear" w:color="auto" w:fill="auto"/>
                  <w:vAlign w:val="center"/>
                </w:tcPr>
                <w:p w14:paraId="6FDCC6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1110" w:type="dxa"/>
                  <w:tcBorders>
                    <w:tl2br w:val="nil"/>
                    <w:tr2bl w:val="nil"/>
                  </w:tcBorders>
                  <w:shd w:val="clear" w:color="auto" w:fill="auto"/>
                  <w:vAlign w:val="center"/>
                </w:tcPr>
                <w:p w14:paraId="61B189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5633FE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7A9683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vAlign w:val="center"/>
                </w:tcPr>
                <w:p w14:paraId="5E45F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18</w:t>
                  </w:r>
                </w:p>
              </w:tc>
              <w:tc>
                <w:tcPr>
                  <w:tcW w:w="3040" w:type="dxa"/>
                  <w:tcBorders>
                    <w:tl2br w:val="nil"/>
                    <w:tr2bl w:val="nil"/>
                  </w:tcBorders>
                  <w:shd w:val="clear" w:color="auto" w:fill="auto"/>
                  <w:vAlign w:val="center"/>
                </w:tcPr>
                <w:p w14:paraId="073AB6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猫砂</w:t>
                  </w:r>
                </w:p>
              </w:tc>
              <w:tc>
                <w:tcPr>
                  <w:tcW w:w="997" w:type="dxa"/>
                  <w:tcBorders>
                    <w:tl2br w:val="nil"/>
                    <w:tr2bl w:val="nil"/>
                  </w:tcBorders>
                  <w:shd w:val="clear" w:color="auto" w:fill="auto"/>
                  <w:vAlign w:val="center"/>
                </w:tcPr>
                <w:p w14:paraId="1502BE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998" w:type="dxa"/>
                  <w:tcBorders>
                    <w:tl2br w:val="nil"/>
                    <w:tr2bl w:val="nil"/>
                  </w:tcBorders>
                  <w:shd w:val="clear" w:color="auto" w:fill="auto"/>
                  <w:vAlign w:val="center"/>
                </w:tcPr>
                <w:p w14:paraId="19AED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1110" w:type="dxa"/>
                  <w:tcBorders>
                    <w:tl2br w:val="nil"/>
                    <w:tr2bl w:val="nil"/>
                  </w:tcBorders>
                  <w:shd w:val="clear" w:color="auto" w:fill="auto"/>
                  <w:vAlign w:val="center"/>
                </w:tcPr>
                <w:p w14:paraId="3283C2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216" w:type="dxa"/>
                  <w:tcBorders>
                    <w:tl2br w:val="nil"/>
                    <w:tr2bl w:val="nil"/>
                  </w:tcBorders>
                  <w:shd w:val="clear" w:color="auto" w:fill="auto"/>
                  <w:vAlign w:val="center"/>
                </w:tcPr>
                <w:p w14:paraId="1FF16C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bl>
          <w:p w14:paraId="04CFA181">
            <w:pPr>
              <w:pStyle w:val="11"/>
              <w:bidi w:val="0"/>
              <w:rPr>
                <w:rFonts w:hint="eastAsia"/>
                <w:lang w:val="en-US" w:eastAsia="zh-CN"/>
              </w:rPr>
            </w:pPr>
            <w:r>
              <w:rPr>
                <w:rFonts w:hint="eastAsia"/>
                <w:lang w:val="en-US" w:eastAsia="zh-CN"/>
              </w:rPr>
              <w:t>表2-3 主要原辅材料理化性质一览表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294"/>
              <w:gridCol w:w="6066"/>
            </w:tblGrid>
            <w:tr w14:paraId="29B243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vAlign w:val="center"/>
                </w:tcPr>
                <w:p w14:paraId="681333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806" w:type="pct"/>
                  <w:tcBorders>
                    <w:tl2br w:val="nil"/>
                    <w:tr2bl w:val="nil"/>
                  </w:tcBorders>
                  <w:vAlign w:val="center"/>
                </w:tcPr>
                <w:p w14:paraId="75A93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名称</w:t>
                  </w:r>
                </w:p>
              </w:tc>
              <w:tc>
                <w:tcPr>
                  <w:tcW w:w="3780" w:type="pct"/>
                  <w:tcBorders>
                    <w:tl2br w:val="nil"/>
                    <w:tr2bl w:val="nil"/>
                  </w:tcBorders>
                  <w:vAlign w:val="center"/>
                </w:tcPr>
                <w:p w14:paraId="3F663C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主要成分及理化性质</w:t>
                  </w:r>
                </w:p>
              </w:tc>
            </w:tr>
            <w:tr w14:paraId="177900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tcBorders>
                    <w:tl2br w:val="nil"/>
                    <w:tr2bl w:val="nil"/>
                  </w:tcBorders>
                  <w:vAlign w:val="center"/>
                </w:tcPr>
                <w:p w14:paraId="02BAA0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1</w:t>
                  </w:r>
                </w:p>
              </w:tc>
              <w:tc>
                <w:tcPr>
                  <w:tcW w:w="806" w:type="pct"/>
                  <w:tcBorders>
                    <w:tl2br w:val="nil"/>
                    <w:tr2bl w:val="nil"/>
                  </w:tcBorders>
                  <w:shd w:val="clear" w:color="auto" w:fill="auto"/>
                  <w:vAlign w:val="center"/>
                </w:tcPr>
                <w:p w14:paraId="124869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医用酒精（乙醇）</w:t>
                  </w:r>
                </w:p>
              </w:tc>
              <w:tc>
                <w:tcPr>
                  <w:tcW w:w="3780" w:type="pct"/>
                  <w:tcBorders>
                    <w:tl2br w:val="nil"/>
                    <w:tr2bl w:val="nil"/>
                  </w:tcBorders>
                  <w:vAlign w:val="center"/>
                </w:tcPr>
                <w:p w14:paraId="13EB40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次氯酸钠是一种无机物，化学式为NaClO，是最普通的家庭洗涤</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氯</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漂白剂。分子量74.44，熔点-6℃，沸点102.2℃，水溶性：可溶，密度：</w:t>
                  </w:r>
                  <w:r>
                    <w:rPr>
                      <w:rFonts w:hint="eastAsia" w:cs="Times New Roman"/>
                      <w:color w:val="auto"/>
                      <w:sz w:val="21"/>
                      <w:szCs w:val="21"/>
                      <w:vertAlign w:val="baseline"/>
                      <w:lang w:val="en-US" w:eastAsia="zh-CN"/>
                    </w:rPr>
                    <w:t>0.85</w:t>
                  </w:r>
                  <w:r>
                    <w:rPr>
                      <w:rFonts w:hint="default" w:ascii="Times New Roman" w:hAnsi="Times New Roman" w:cs="Times New Roman"/>
                      <w:color w:val="auto"/>
                      <w:sz w:val="21"/>
                      <w:szCs w:val="21"/>
                      <w:vertAlign w:val="baseline"/>
                      <w:lang w:val="en-US" w:eastAsia="zh-CN"/>
                    </w:rPr>
                    <w:t>g/cm</w:t>
                  </w:r>
                  <w:r>
                    <w:rPr>
                      <w:rFonts w:hint="eastAsia"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外观为微黄色溶液，有似氯气的气味。应用：水的净化，及作消毒剂、纸浆漂白，医药工业中用制氯胺。危险性类别：腐蚀品，侵入途径：吸入、食入、皮肤接触吸收。健康危害：经常用手接触本品的工人，手掌大量出汗，指甲变薄，毛发脱落。本品有致敏作用。本品与盐酸混合放出的氯气有可能引起中毒。环境危害：无明显污染。燃爆危险：本品不燃，具腐蚀性，可致人体灼伤，具有致敏性。</w:t>
                  </w:r>
                </w:p>
              </w:tc>
            </w:tr>
            <w:tr w14:paraId="33D6E0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shd w:val="clear" w:color="auto" w:fill="auto"/>
                  <w:vAlign w:val="center"/>
                </w:tcPr>
                <w:p w14:paraId="1E8635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2</w:t>
                  </w:r>
                </w:p>
              </w:tc>
              <w:tc>
                <w:tcPr>
                  <w:tcW w:w="806" w:type="pct"/>
                  <w:tcBorders>
                    <w:tl2br w:val="nil"/>
                    <w:tr2bl w:val="nil"/>
                  </w:tcBorders>
                  <w:shd w:val="clear" w:color="auto" w:fill="auto"/>
                  <w:vAlign w:val="center"/>
                </w:tcPr>
                <w:p w14:paraId="3E7FC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次氯酸钠</w:t>
                  </w:r>
                </w:p>
              </w:tc>
              <w:tc>
                <w:tcPr>
                  <w:tcW w:w="3780" w:type="pct"/>
                  <w:tcBorders>
                    <w:tl2br w:val="nil"/>
                    <w:tr2bl w:val="nil"/>
                  </w:tcBorders>
                  <w:vAlign w:val="center"/>
                </w:tcPr>
                <w:p w14:paraId="0491DC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分子式：C</w:t>
                  </w:r>
                  <w:r>
                    <w:rPr>
                      <w:rFonts w:hint="eastAsia" w:cs="Times New Roman"/>
                      <w:color w:val="auto"/>
                      <w:sz w:val="21"/>
                      <w:szCs w:val="21"/>
                      <w:vertAlign w:val="subscript"/>
                      <w:lang w:val="en-US" w:eastAsia="zh-CN"/>
                    </w:rPr>
                    <w:t>4</w:t>
                  </w: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8</w:t>
                  </w:r>
                  <w:r>
                    <w:rPr>
                      <w:rFonts w:hint="eastAsia" w:cs="Times New Roman"/>
                      <w:color w:val="auto"/>
                      <w:sz w:val="21"/>
                      <w:szCs w:val="21"/>
                      <w:vertAlign w:val="baseline"/>
                      <w:lang w:val="en-US" w:eastAsia="zh-CN"/>
                    </w:rPr>
                    <w:t>O</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；分子量：88.10；</w:t>
                  </w:r>
                  <w:r>
                    <w:rPr>
                      <w:rFonts w:hint="default" w:ascii="Times New Roman" w:hAnsi="Times New Roman" w:cs="Times New Roman"/>
                      <w:color w:val="auto"/>
                      <w:sz w:val="21"/>
                      <w:szCs w:val="21"/>
                      <w:vertAlign w:val="baseline"/>
                      <w:lang w:val="en-US" w:eastAsia="zh-CN"/>
                    </w:rPr>
                    <w:t>CAS号：</w:t>
                  </w:r>
                  <w:r>
                    <w:rPr>
                      <w:rFonts w:hint="eastAsia" w:cs="Times New Roman"/>
                      <w:color w:val="auto"/>
                      <w:sz w:val="21"/>
                      <w:szCs w:val="21"/>
                      <w:vertAlign w:val="baseline"/>
                      <w:lang w:val="en-US" w:eastAsia="zh-CN"/>
                    </w:rPr>
                    <w:t>141</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78</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val="en-US" w:eastAsia="zh-CN"/>
                    </w:rPr>
                    <w:t>。</w:t>
                  </w:r>
                </w:p>
                <w:p w14:paraId="09374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外观与性状：无色</w:t>
                  </w:r>
                  <w:r>
                    <w:rPr>
                      <w:rFonts w:hint="eastAsia" w:cs="Times New Roman"/>
                      <w:color w:val="auto"/>
                      <w:sz w:val="21"/>
                      <w:szCs w:val="21"/>
                      <w:vertAlign w:val="baseline"/>
                      <w:lang w:val="en-US" w:eastAsia="zh-CN"/>
                    </w:rPr>
                    <w:t>透明水样</w:t>
                  </w:r>
                  <w:r>
                    <w:rPr>
                      <w:rFonts w:hint="default" w:ascii="Times New Roman" w:hAnsi="Times New Roman" w:cs="Times New Roman"/>
                      <w:color w:val="auto"/>
                      <w:sz w:val="21"/>
                      <w:szCs w:val="21"/>
                      <w:vertAlign w:val="baseline"/>
                      <w:lang w:val="en-US" w:eastAsia="zh-CN"/>
                    </w:rPr>
                    <w:t>液体，</w:t>
                  </w:r>
                  <w:r>
                    <w:rPr>
                      <w:rFonts w:hint="eastAsia" w:cs="Times New Roman"/>
                      <w:color w:val="auto"/>
                      <w:sz w:val="21"/>
                      <w:szCs w:val="21"/>
                      <w:vertAlign w:val="baseline"/>
                      <w:lang w:val="en-US" w:eastAsia="zh-CN"/>
                    </w:rPr>
                    <w:t>易挥发，有水果香味</w:t>
                  </w:r>
                  <w:r>
                    <w:rPr>
                      <w:rFonts w:hint="default" w:ascii="Times New Roman" w:hAnsi="Times New Roman" w:cs="Times New Roman"/>
                      <w:color w:val="auto"/>
                      <w:sz w:val="21"/>
                      <w:szCs w:val="21"/>
                      <w:vertAlign w:val="baseline"/>
                      <w:lang w:val="en-US" w:eastAsia="zh-CN"/>
                    </w:rPr>
                    <w:t>。</w:t>
                  </w:r>
                </w:p>
                <w:p w14:paraId="4118DD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熔点：-</w:t>
                  </w:r>
                  <w:r>
                    <w:rPr>
                      <w:rFonts w:hint="eastAsia" w:cs="Times New Roman"/>
                      <w:color w:val="auto"/>
                      <w:sz w:val="21"/>
                      <w:szCs w:val="21"/>
                      <w:vertAlign w:val="baseline"/>
                      <w:lang w:val="en-US" w:eastAsia="zh-CN"/>
                    </w:rPr>
                    <w:t>83.6</w:t>
                  </w:r>
                  <w:r>
                    <w:rPr>
                      <w:rFonts w:hint="default" w:ascii="Times New Roman" w:hAnsi="Times New Roman" w:cs="Times New Roman"/>
                      <w:color w:val="auto"/>
                      <w:sz w:val="21"/>
                      <w:szCs w:val="21"/>
                      <w:vertAlign w:val="baseline"/>
                      <w:lang w:val="en-US" w:eastAsia="zh-CN"/>
                    </w:rPr>
                    <w:t>℃；沸点：</w:t>
                  </w:r>
                  <w:r>
                    <w:rPr>
                      <w:rFonts w:hint="eastAsia" w:cs="Times New Roman"/>
                      <w:color w:val="auto"/>
                      <w:sz w:val="21"/>
                      <w:szCs w:val="21"/>
                      <w:vertAlign w:val="baseline"/>
                      <w:lang w:val="en-US" w:eastAsia="zh-CN"/>
                    </w:rPr>
                    <w:t>77.15</w:t>
                  </w:r>
                  <w:r>
                    <w:rPr>
                      <w:rFonts w:hint="default" w:ascii="Times New Roman" w:hAnsi="Times New Roman" w:cs="Times New Roman"/>
                      <w:color w:val="auto"/>
                      <w:sz w:val="21"/>
                      <w:szCs w:val="21"/>
                      <w:vertAlign w:val="baseline"/>
                      <w:lang w:val="en-US" w:eastAsia="zh-CN"/>
                    </w:rPr>
                    <w:t>℃；相对密度（水=1）：</w:t>
                  </w:r>
                  <w:r>
                    <w:rPr>
                      <w:rFonts w:hint="eastAsia" w:cs="Times New Roman"/>
                      <w:color w:val="auto"/>
                      <w:sz w:val="21"/>
                      <w:szCs w:val="21"/>
                      <w:vertAlign w:val="baseline"/>
                      <w:lang w:val="en-US" w:eastAsia="zh-CN"/>
                    </w:rPr>
                    <w:t>0.90。</w:t>
                  </w:r>
                </w:p>
                <w:p w14:paraId="30A6E9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溶解性：</w:t>
                  </w:r>
                  <w:r>
                    <w:rPr>
                      <w:rFonts w:hint="eastAsia" w:cs="Times New Roman"/>
                      <w:color w:val="auto"/>
                      <w:sz w:val="21"/>
                      <w:szCs w:val="21"/>
                      <w:vertAlign w:val="baseline"/>
                      <w:lang w:val="en-US" w:eastAsia="zh-CN"/>
                    </w:rPr>
                    <w:t>与乙醇、丙酮、氯仿、乙醚混溶</w:t>
                  </w:r>
                  <w:r>
                    <w:rPr>
                      <w:rFonts w:hint="default" w:ascii="Times New Roman" w:hAnsi="Times New Roman" w:cs="Times New Roman"/>
                      <w:color w:val="auto"/>
                      <w:sz w:val="21"/>
                      <w:szCs w:val="21"/>
                      <w:vertAlign w:val="baseline"/>
                      <w:lang w:val="en-US" w:eastAsia="zh-CN"/>
                    </w:rPr>
                    <w:t>。</w:t>
                  </w:r>
                </w:p>
                <w:p w14:paraId="76F840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LD</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5620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大鼠经口</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，4940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兔经口</w:t>
                  </w:r>
                  <w:r>
                    <w:rPr>
                      <w:rFonts w:hint="default" w:ascii="Times New Roman" w:hAnsi="Times New Roman" w:cs="Times New Roman"/>
                      <w:color w:val="auto"/>
                      <w:sz w:val="21"/>
                      <w:szCs w:val="21"/>
                      <w:vertAlign w:val="baseline"/>
                      <w:lang w:val="en-US" w:eastAsia="zh-CN"/>
                    </w:rPr>
                    <w:t>）；LC</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5760</w:t>
                  </w:r>
                  <w:r>
                    <w:rPr>
                      <w:rFonts w:hint="default" w:ascii="Times New Roman" w:hAnsi="Times New Roman" w:cs="Times New Roman"/>
                      <w:color w:val="auto"/>
                      <w:sz w:val="21"/>
                      <w:szCs w:val="21"/>
                      <w:vertAlign w:val="baseline"/>
                      <w:lang w:val="en-US" w:eastAsia="zh-CN"/>
                    </w:rPr>
                    <w:t>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（大鼠吸入，</w:t>
                  </w:r>
                  <w:r>
                    <w:rPr>
                      <w:rFonts w:hint="eastAsia" w:cs="Times New Roman"/>
                      <w:color w:val="auto"/>
                      <w:sz w:val="21"/>
                      <w:szCs w:val="21"/>
                      <w:vertAlign w:val="baseline"/>
                      <w:lang w:val="en-US" w:eastAsia="zh-CN"/>
                    </w:rPr>
                    <w:t>8</w:t>
                  </w:r>
                  <w:r>
                    <w:rPr>
                      <w:rFonts w:hint="default" w:ascii="Times New Roman" w:hAnsi="Times New Roman" w:cs="Times New Roman"/>
                      <w:color w:val="auto"/>
                      <w:sz w:val="21"/>
                      <w:szCs w:val="21"/>
                      <w:vertAlign w:val="baseline"/>
                      <w:lang w:val="en-US" w:eastAsia="zh-CN"/>
                    </w:rPr>
                    <w:t>h）。</w:t>
                  </w:r>
                </w:p>
              </w:tc>
            </w:tr>
          </w:tbl>
          <w:p w14:paraId="425047EC">
            <w:pPr>
              <w:rPr>
                <w:rFonts w:hint="default"/>
                <w:vertAlign w:val="baseline"/>
                <w:lang w:val="en-US" w:eastAsia="zh-CN"/>
              </w:rPr>
            </w:pPr>
            <w:r>
              <w:rPr>
                <w:rFonts w:hint="eastAsia"/>
                <w:vertAlign w:val="baseline"/>
                <w:lang w:val="en-US" w:eastAsia="zh-CN"/>
              </w:rPr>
              <w:t>4、</w:t>
            </w:r>
            <w:r>
              <w:rPr>
                <w:rFonts w:hint="eastAsia"/>
                <w:highlight w:val="none"/>
                <w:vertAlign w:val="baseline"/>
                <w:lang w:val="en-US" w:eastAsia="zh-CN"/>
              </w:rPr>
              <w:t>平面布置</w:t>
            </w:r>
          </w:p>
          <w:p w14:paraId="2E4A50FB">
            <w:pPr>
              <w:rPr>
                <w:rFonts w:hint="eastAsia"/>
                <w:vertAlign w:val="baseline"/>
                <w:lang w:val="en-US" w:eastAsia="zh-CN"/>
              </w:rPr>
            </w:pPr>
            <w:r>
              <w:rPr>
                <w:rFonts w:hint="eastAsia"/>
                <w:vertAlign w:val="baseline"/>
                <w:lang w:val="en-US" w:eastAsia="zh-CN"/>
              </w:rPr>
              <w:t>本项目租用北京市房山区良乡拱辰星园4号楼1层0102底商，总建筑面积125.98m</w:t>
            </w:r>
            <w:r>
              <w:rPr>
                <w:rFonts w:hint="eastAsia"/>
                <w:vertAlign w:val="superscript"/>
                <w:lang w:val="en-US" w:eastAsia="zh-CN"/>
              </w:rPr>
              <w:t>2</w:t>
            </w:r>
            <w:r>
              <w:rPr>
                <w:rFonts w:hint="eastAsia"/>
                <w:vertAlign w:val="baseline"/>
                <w:lang w:val="en-US" w:eastAsia="zh-CN"/>
              </w:rPr>
              <w:t>，房屋经营动物医院，其室内功能包括：前台、洗美间、诊室、化验室、隔离室、观察室、消毒供应室、医废间、药房、DR室、手术室。其中医废间位于室内西北部，污水处理设备安装在化验室内，活性炭净化装置安装在医院东南侧洗美间上方的吊顶内。</w:t>
            </w:r>
          </w:p>
          <w:p w14:paraId="2C6092C6">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平面布置详见附图3。</w:t>
            </w:r>
          </w:p>
          <w:p w14:paraId="6C7AB2B8">
            <w:pPr>
              <w:rPr>
                <w:rFonts w:hint="default"/>
                <w:vertAlign w:val="baseline"/>
                <w:lang w:val="en-US" w:eastAsia="zh-CN"/>
              </w:rPr>
            </w:pPr>
            <w:r>
              <w:rPr>
                <w:rFonts w:hint="eastAsia"/>
                <w:vertAlign w:val="baseline"/>
                <w:lang w:val="en-US" w:eastAsia="zh-CN"/>
              </w:rPr>
              <w:t>5、地理位置及周边关系</w:t>
            </w:r>
          </w:p>
          <w:p w14:paraId="3A6E843D">
            <w:pPr>
              <w:rPr>
                <w:rFonts w:hint="default"/>
                <w:vertAlign w:val="baseline"/>
                <w:lang w:val="en-US" w:eastAsia="zh-CN"/>
              </w:rPr>
            </w:pPr>
            <w:r>
              <w:rPr>
                <w:rFonts w:hint="eastAsia"/>
                <w:vertAlign w:val="baseline"/>
                <w:lang w:val="en-US" w:eastAsia="zh-CN"/>
              </w:rPr>
              <w:t>（1）地理位置</w:t>
            </w:r>
          </w:p>
          <w:p w14:paraId="7C8A8FB7">
            <w:pP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本项目建设地点为</w:t>
            </w:r>
            <w:r>
              <w:rPr>
                <w:rFonts w:hint="eastAsia" w:cs="Times New Roman"/>
                <w:vertAlign w:val="baseline"/>
                <w:lang w:val="en-US" w:eastAsia="zh-CN"/>
              </w:rPr>
              <w:t>北京市房山区良乡拱辰星园4号楼1层0102底商</w:t>
            </w:r>
            <w:r>
              <w:rPr>
                <w:rFonts w:hint="default" w:ascii="Times New Roman" w:hAnsi="Times New Roman" w:cs="Times New Roman"/>
                <w:vertAlign w:val="baseline"/>
                <w:lang w:val="en-US" w:eastAsia="zh-CN"/>
              </w:rPr>
              <w:t>，地理坐标为东经116°7′</w:t>
            </w:r>
            <w:r>
              <w:rPr>
                <w:rFonts w:hint="eastAsia" w:cs="Times New Roman"/>
                <w:vertAlign w:val="baseline"/>
                <w:lang w:val="en-US" w:eastAsia="zh-CN"/>
              </w:rPr>
              <w:t>56.461</w:t>
            </w:r>
            <w:r>
              <w:rPr>
                <w:rFonts w:hint="default" w:ascii="Times New Roman" w:hAnsi="Times New Roman" w:cs="Times New Roman"/>
                <w:vertAlign w:val="baseline"/>
                <w:lang w:val="en-US" w:eastAsia="zh-CN"/>
              </w:rPr>
              <w:t>″，北纬39°</w:t>
            </w:r>
            <w:r>
              <w:rPr>
                <w:rFonts w:hint="eastAsia" w:cs="Times New Roman"/>
                <w:vertAlign w:val="baseline"/>
                <w:lang w:val="en-US" w:eastAsia="zh-CN"/>
              </w:rPr>
              <w:t>43</w:t>
            </w:r>
            <w:r>
              <w:rPr>
                <w:rFonts w:hint="default" w:ascii="Times New Roman" w:hAnsi="Times New Roman" w:cs="Times New Roman"/>
                <w:vertAlign w:val="baseline"/>
                <w:lang w:val="en-US" w:eastAsia="zh-CN"/>
              </w:rPr>
              <w:t>′</w:t>
            </w:r>
            <w:r>
              <w:rPr>
                <w:rFonts w:hint="eastAsia" w:cs="Times New Roman"/>
                <w:vertAlign w:val="baseline"/>
                <w:lang w:val="en-US" w:eastAsia="zh-CN"/>
              </w:rPr>
              <w:t>56.786</w:t>
            </w:r>
            <w:r>
              <w:rPr>
                <w:rFonts w:hint="default" w:ascii="Times New Roman" w:hAnsi="Times New Roman" w:cs="Times New Roman"/>
                <w:vertAlign w:val="baseline"/>
                <w:lang w:val="en-US" w:eastAsia="zh-CN"/>
              </w:rPr>
              <w:t>″。</w:t>
            </w:r>
          </w:p>
          <w:p w14:paraId="11A84DE4">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地理位置详见附图1。</w:t>
            </w:r>
          </w:p>
          <w:p w14:paraId="34118705">
            <w:pPr>
              <w:rPr>
                <w:rFonts w:hint="default"/>
                <w:highlight w:val="none"/>
                <w:vertAlign w:val="baseline"/>
                <w:lang w:val="en-US" w:eastAsia="zh-CN"/>
              </w:rPr>
            </w:pPr>
            <w:r>
              <w:rPr>
                <w:rFonts w:hint="eastAsia"/>
                <w:highlight w:val="none"/>
                <w:vertAlign w:val="baseline"/>
                <w:lang w:val="en-US" w:eastAsia="zh-CN"/>
              </w:rPr>
              <w:t>（2）周边关系</w:t>
            </w:r>
          </w:p>
          <w:p w14:paraId="33009CD5">
            <w:pPr>
              <w:rPr>
                <w:rFonts w:hint="default"/>
                <w:vertAlign w:val="baseline"/>
                <w:lang w:val="en-US" w:eastAsia="zh-CN"/>
              </w:rPr>
            </w:pPr>
            <w:r>
              <w:rPr>
                <w:rFonts w:hint="eastAsia"/>
                <w:vertAlign w:val="baseline"/>
                <w:lang w:val="en-US" w:eastAsia="zh-CN"/>
              </w:rPr>
              <w:t>项目租用北京市房山区良乡拱辰星园4号楼1层0102底商。本项目南北两侧为其他商铺，西侧即楼上为拱辰星园4号楼，东侧为拱辰西街辅路。项目西北侧22m为房山区良乡第二中学操场，东北侧40m为楸树家园1号楼，东南侧45m为楸树家园2号楼。</w:t>
            </w:r>
          </w:p>
          <w:p w14:paraId="7ECE8B9A">
            <w:pPr>
              <w:rPr>
                <w:rFonts w:hint="default"/>
                <w:vertAlign w:val="baseline"/>
                <w:lang w:val="en-US" w:eastAsia="zh-CN"/>
              </w:rPr>
            </w:pPr>
            <w:r>
              <w:rPr>
                <w:rFonts w:hint="eastAsia"/>
                <w:vertAlign w:val="baseline"/>
                <w:lang w:val="en-US" w:eastAsia="zh-CN"/>
              </w:rPr>
              <w:t>项目周边关系详见附图2。</w:t>
            </w:r>
          </w:p>
          <w:p w14:paraId="27E13063">
            <w:pPr>
              <w:rPr>
                <w:rFonts w:hint="default" w:eastAsia="宋体"/>
                <w:vertAlign w:val="baseline"/>
                <w:lang w:val="en-US" w:eastAsia="zh-CN"/>
              </w:rPr>
            </w:pPr>
            <w:r>
              <w:rPr>
                <w:rFonts w:hint="eastAsia"/>
                <w:vertAlign w:val="baseline"/>
                <w:lang w:val="en-US" w:eastAsia="zh-CN"/>
              </w:rPr>
              <w:t>6、劳动定员及工作制度</w:t>
            </w:r>
          </w:p>
          <w:p w14:paraId="0D1242A1">
            <w:pPr>
              <w:rPr>
                <w:rFonts w:hint="eastAsia"/>
                <w:vertAlign w:val="baseline"/>
                <w:lang w:val="en-US" w:eastAsia="zh-CN"/>
              </w:rPr>
            </w:pPr>
            <w:r>
              <w:rPr>
                <w:rFonts w:hint="eastAsia"/>
                <w:vertAlign w:val="baseline"/>
                <w:lang w:val="en-US" w:eastAsia="zh-CN"/>
              </w:rPr>
              <w:t>本项目劳动定员4人，年工作264天，工作时间9:00-21:00。</w:t>
            </w:r>
          </w:p>
          <w:p w14:paraId="267F4E1C">
            <w:pPr>
              <w:rPr>
                <w:rFonts w:hint="default"/>
                <w:vertAlign w:val="baseline"/>
                <w:lang w:val="en-US" w:eastAsia="zh-CN"/>
              </w:rPr>
            </w:pPr>
            <w:r>
              <w:rPr>
                <w:rFonts w:hint="eastAsia"/>
                <w:vertAlign w:val="baseline"/>
                <w:lang w:val="en-US" w:eastAsia="zh-CN"/>
              </w:rPr>
              <w:t>7、公用工程</w:t>
            </w:r>
          </w:p>
          <w:p w14:paraId="4AFCFC33">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给排水</w:t>
            </w:r>
          </w:p>
          <w:p w14:paraId="4E5C3D2E">
            <w:pPr>
              <w:rPr>
                <w:rFonts w:hint="default" w:eastAsia="宋体"/>
                <w:vertAlign w:val="baseline"/>
                <w:lang w:val="en-US" w:eastAsia="zh-CN"/>
              </w:rPr>
            </w:pP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给水</w:t>
            </w:r>
          </w:p>
          <w:p w14:paraId="422235C4">
            <w:pPr>
              <w:rPr>
                <w:rFonts w:hint="eastAsia"/>
                <w:vertAlign w:val="baseline"/>
                <w:lang w:val="en-US" w:eastAsia="zh-CN"/>
              </w:rPr>
            </w:pPr>
            <w:r>
              <w:rPr>
                <w:rFonts w:hint="eastAsia"/>
                <w:vertAlign w:val="baseline"/>
                <w:lang w:val="en-US" w:eastAsia="zh-CN"/>
              </w:rPr>
              <w:t>本项目用水由房山区市政自来水管网提供，用于动物诊疗用水、美容洗浴用水及生活用水。其中诊疗用水包括动物诊疗、手术过程中用水、医疗器械清洁用水等；美容洗浴用水为动物洗浴清洁用水；生活用水包括人员如厕、盥洗等日常用水等。</w:t>
            </w:r>
          </w:p>
          <w:p w14:paraId="11FBC489">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诊疗用水</w:t>
            </w:r>
          </w:p>
          <w:p w14:paraId="075DFB3D">
            <w:pPr>
              <w:rPr>
                <w:rFonts w:hint="default"/>
                <w:vertAlign w:val="baseline"/>
                <w:lang w:val="en-US" w:eastAsia="zh-CN"/>
              </w:rPr>
            </w:pPr>
            <w:r>
              <w:rPr>
                <w:rFonts w:hint="eastAsia"/>
                <w:vertAlign w:val="baseline"/>
                <w:lang w:val="en-US" w:eastAsia="zh-CN"/>
              </w:rPr>
              <w:t>参照《建筑给水排水设计标准》（GB50015-2019），本次评价动物诊疗、手术，以及器械清洗等用水量按15L/例</w:t>
            </w:r>
            <w:r>
              <w:rPr>
                <w:rFonts w:hint="default" w:ascii="Times New Roman" w:hAnsi="Times New Roman" w:cs="Times New Roman"/>
                <w:vertAlign w:val="baseline"/>
                <w:lang w:val="en-US" w:eastAsia="zh-CN"/>
              </w:rPr>
              <w:t>·</w:t>
            </w:r>
            <w:r>
              <w:rPr>
                <w:rFonts w:hint="eastAsia"/>
                <w:vertAlign w:val="baseline"/>
                <w:lang w:val="en-US" w:eastAsia="zh-CN"/>
              </w:rPr>
              <w:t>d计，项目年运行264天，年接待普通诊疗及手术病患动物1460例，即日均接待约6例。则项目诊疗用水量为0.09m</w:t>
            </w:r>
            <w:r>
              <w:rPr>
                <w:rFonts w:hint="eastAsia"/>
                <w:vertAlign w:val="superscript"/>
                <w:lang w:val="en-US" w:eastAsia="zh-CN"/>
              </w:rPr>
              <w:t>3</w:t>
            </w:r>
            <w:r>
              <w:rPr>
                <w:rFonts w:hint="eastAsia"/>
                <w:vertAlign w:val="baseline"/>
                <w:lang w:val="en-US" w:eastAsia="zh-CN"/>
              </w:rPr>
              <w:t>/d，23.76m</w:t>
            </w:r>
            <w:r>
              <w:rPr>
                <w:rFonts w:hint="eastAsia"/>
                <w:vertAlign w:val="superscript"/>
                <w:lang w:val="en-US" w:eastAsia="zh-CN"/>
              </w:rPr>
              <w:t>3</w:t>
            </w:r>
            <w:r>
              <w:rPr>
                <w:rFonts w:hint="eastAsia"/>
                <w:vertAlign w:val="baseline"/>
                <w:lang w:val="en-US" w:eastAsia="zh-CN"/>
              </w:rPr>
              <w:t>/a。</w:t>
            </w:r>
          </w:p>
          <w:p w14:paraId="54F18D97">
            <w:pPr>
              <w:rPr>
                <w:rFonts w:hint="default"/>
                <w:vertAlign w:val="baseline"/>
                <w:lang w:val="en-US" w:eastAsia="zh-CN"/>
              </w:rPr>
            </w:pPr>
            <w:r>
              <w:rPr>
                <w:rFonts w:hint="default"/>
                <w:vertAlign w:val="baseline"/>
                <w:lang w:val="en-US" w:eastAsia="zh-CN"/>
              </w:rPr>
              <w:t>②</w:t>
            </w:r>
            <w:r>
              <w:rPr>
                <w:rFonts w:hint="eastAsia"/>
                <w:vertAlign w:val="baseline"/>
                <w:lang w:val="en-US" w:eastAsia="zh-CN"/>
              </w:rPr>
              <w:t>美容洗浴用水</w:t>
            </w:r>
          </w:p>
          <w:p w14:paraId="47894688">
            <w:pPr>
              <w:rPr>
                <w:rFonts w:hint="default"/>
                <w:vertAlign w:val="baseline"/>
                <w:lang w:val="en-US" w:eastAsia="zh-CN"/>
              </w:rPr>
            </w:pPr>
            <w:r>
              <w:rPr>
                <w:rFonts w:hint="eastAsia"/>
                <w:vertAlign w:val="baseline"/>
                <w:lang w:val="en-US" w:eastAsia="zh-CN"/>
              </w:rPr>
              <w:t>根据对动物医院的调查数据，动物美容洗浴平均用水量约为60L/例</w:t>
            </w:r>
            <w:r>
              <w:rPr>
                <w:rFonts w:hint="default" w:ascii="Times New Roman" w:hAnsi="Times New Roman" w:cs="Times New Roman"/>
                <w:vertAlign w:val="baseline"/>
                <w:lang w:val="en-US" w:eastAsia="zh-CN"/>
              </w:rPr>
              <w:t>·</w:t>
            </w:r>
            <w:r>
              <w:rPr>
                <w:rFonts w:hint="eastAsia"/>
                <w:vertAlign w:val="baseline"/>
                <w:lang w:val="en-US" w:eastAsia="zh-CN"/>
              </w:rPr>
              <w:t>d，项目年运行264天，年接待美容洗浴动物1460例，即日均接待约6例。则项目美容洗浴用水量为0.36m</w:t>
            </w:r>
            <w:r>
              <w:rPr>
                <w:rFonts w:hint="eastAsia"/>
                <w:vertAlign w:val="superscript"/>
                <w:lang w:val="en-US" w:eastAsia="zh-CN"/>
              </w:rPr>
              <w:t>3</w:t>
            </w:r>
            <w:r>
              <w:rPr>
                <w:rFonts w:hint="eastAsia"/>
                <w:vertAlign w:val="baseline"/>
                <w:lang w:val="en-US" w:eastAsia="zh-CN"/>
              </w:rPr>
              <w:t>/d，95.04m</w:t>
            </w:r>
            <w:r>
              <w:rPr>
                <w:rFonts w:hint="eastAsia"/>
                <w:vertAlign w:val="superscript"/>
                <w:lang w:val="en-US" w:eastAsia="zh-CN"/>
              </w:rPr>
              <w:t>3</w:t>
            </w:r>
            <w:r>
              <w:rPr>
                <w:rFonts w:hint="eastAsia"/>
                <w:vertAlign w:val="baseline"/>
                <w:lang w:val="en-US" w:eastAsia="zh-CN"/>
              </w:rPr>
              <w:t>/a。</w:t>
            </w:r>
          </w:p>
          <w:p w14:paraId="12F050DA">
            <w:pPr>
              <w:rPr>
                <w:rFonts w:hint="default"/>
                <w:vertAlign w:val="baseline"/>
                <w:lang w:val="en-US" w:eastAsia="zh-CN"/>
              </w:rPr>
            </w:pPr>
            <w:r>
              <w:rPr>
                <w:rFonts w:hint="default"/>
                <w:vertAlign w:val="baseline"/>
                <w:lang w:val="en-US" w:eastAsia="zh-CN"/>
              </w:rPr>
              <w:t>③</w:t>
            </w:r>
            <w:r>
              <w:rPr>
                <w:rFonts w:hint="eastAsia"/>
                <w:vertAlign w:val="baseline"/>
                <w:lang w:val="en-US" w:eastAsia="zh-CN"/>
              </w:rPr>
              <w:t>生活用水</w:t>
            </w:r>
          </w:p>
          <w:p w14:paraId="3ECF6232">
            <w:pPr>
              <w:rPr>
                <w:rFonts w:hint="default"/>
                <w:vertAlign w:val="baseline"/>
                <w:lang w:val="en-US" w:eastAsia="zh-CN"/>
              </w:rPr>
            </w:pPr>
            <w:r>
              <w:rPr>
                <w:rFonts w:hint="eastAsia"/>
                <w:vertAlign w:val="baseline"/>
                <w:lang w:val="en-US" w:eastAsia="zh-CN"/>
              </w:rPr>
              <w:t>项目生活用水依据《建筑给水排水设计标准》（GB50015-2019）中数据，门诊部、诊疗所医护人员平均日用水量约为60L/人</w:t>
            </w:r>
            <w:r>
              <w:rPr>
                <w:rFonts w:hint="default" w:ascii="Times New Roman" w:hAnsi="Times New Roman" w:cs="Times New Roman"/>
                <w:vertAlign w:val="baseline"/>
                <w:lang w:val="en-US" w:eastAsia="zh-CN"/>
              </w:rPr>
              <w:t>·</w:t>
            </w:r>
            <w:r>
              <w:rPr>
                <w:rFonts w:hint="eastAsia"/>
                <w:vertAlign w:val="baseline"/>
                <w:lang w:val="en-US" w:eastAsia="zh-CN"/>
              </w:rPr>
              <w:t>d，项目劳动定员4人，年运行264天，则项目生活用水量为0.24m</w:t>
            </w:r>
            <w:r>
              <w:rPr>
                <w:rFonts w:hint="eastAsia"/>
                <w:vertAlign w:val="superscript"/>
                <w:lang w:val="en-US" w:eastAsia="zh-CN"/>
              </w:rPr>
              <w:t>3</w:t>
            </w:r>
            <w:r>
              <w:rPr>
                <w:rFonts w:hint="eastAsia"/>
                <w:vertAlign w:val="baseline"/>
                <w:lang w:val="en-US" w:eastAsia="zh-CN"/>
              </w:rPr>
              <w:t>/d，63.36m</w:t>
            </w:r>
            <w:r>
              <w:rPr>
                <w:rFonts w:hint="eastAsia"/>
                <w:vertAlign w:val="superscript"/>
                <w:lang w:val="en-US" w:eastAsia="zh-CN"/>
              </w:rPr>
              <w:t>3</w:t>
            </w:r>
            <w:r>
              <w:rPr>
                <w:rFonts w:hint="eastAsia"/>
                <w:vertAlign w:val="baseline"/>
                <w:lang w:val="en-US" w:eastAsia="zh-CN"/>
              </w:rPr>
              <w:t>/a。</w:t>
            </w:r>
          </w:p>
          <w:p w14:paraId="0B9553B4">
            <w:pPr>
              <w:rPr>
                <w:rFonts w:hint="default"/>
                <w:vertAlign w:val="baseline"/>
                <w:lang w:val="en-US" w:eastAsia="zh-CN"/>
              </w:rPr>
            </w:pPr>
            <w:r>
              <w:rPr>
                <w:rFonts w:hint="eastAsia"/>
                <w:vertAlign w:val="baseline"/>
                <w:lang w:val="en-US" w:eastAsia="zh-CN"/>
              </w:rPr>
              <w:t>综上，本项目用水总量为0.69m</w:t>
            </w:r>
            <w:r>
              <w:rPr>
                <w:rFonts w:hint="eastAsia"/>
                <w:vertAlign w:val="superscript"/>
                <w:lang w:val="en-US" w:eastAsia="zh-CN"/>
              </w:rPr>
              <w:t>3</w:t>
            </w:r>
            <w:r>
              <w:rPr>
                <w:rFonts w:hint="eastAsia"/>
                <w:vertAlign w:val="baseline"/>
                <w:lang w:val="en-US" w:eastAsia="zh-CN"/>
              </w:rPr>
              <w:t>/d，182.16m</w:t>
            </w:r>
            <w:r>
              <w:rPr>
                <w:rFonts w:hint="eastAsia"/>
                <w:vertAlign w:val="superscript"/>
                <w:lang w:val="en-US" w:eastAsia="zh-CN"/>
              </w:rPr>
              <w:t>3</w:t>
            </w:r>
            <w:r>
              <w:rPr>
                <w:rFonts w:hint="eastAsia"/>
                <w:vertAlign w:val="baseline"/>
                <w:lang w:val="en-US" w:eastAsia="zh-CN"/>
              </w:rPr>
              <w:t>/a。</w:t>
            </w:r>
          </w:p>
          <w:p w14:paraId="09161C9E">
            <w:pPr>
              <w:rPr>
                <w:rFonts w:hint="default"/>
                <w:highlight w:val="none"/>
                <w:vertAlign w:val="baseline"/>
                <w:lang w:val="en-US" w:eastAsia="zh-CN"/>
              </w:rPr>
            </w:pPr>
            <w:r>
              <w:rPr>
                <w:rFonts w:hint="eastAsia"/>
                <w:highlight w:val="none"/>
                <w:vertAlign w:val="baseline"/>
                <w:lang w:val="en-US" w:eastAsia="zh-CN"/>
              </w:rPr>
              <w:t>2）排水</w:t>
            </w:r>
          </w:p>
          <w:p w14:paraId="4A4A9E04">
            <w:pPr>
              <w:rPr>
                <w:rFonts w:hint="eastAsia"/>
                <w:vertAlign w:val="baseline"/>
                <w:lang w:val="en-US" w:eastAsia="zh-CN"/>
              </w:rPr>
            </w:pPr>
            <w:r>
              <w:rPr>
                <w:rFonts w:hint="eastAsia"/>
                <w:vertAlign w:val="baseline"/>
                <w:lang w:val="en-US" w:eastAsia="zh-CN"/>
              </w:rPr>
              <w:t>本项目排水包括诊疗废水、美容洗浴废水和生活废水。具体如下：</w:t>
            </w:r>
          </w:p>
          <w:p w14:paraId="4F188ACE">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诊疗废水</w:t>
            </w:r>
          </w:p>
          <w:p w14:paraId="6102E43D">
            <w:pPr>
              <w:rPr>
                <w:rFonts w:hint="eastAsia"/>
                <w:vertAlign w:val="baseline"/>
                <w:lang w:val="en-US" w:eastAsia="zh-CN"/>
              </w:rPr>
            </w:pPr>
            <w:r>
              <w:rPr>
                <w:rFonts w:hint="eastAsia"/>
                <w:vertAlign w:val="baseline"/>
                <w:lang w:val="en-US" w:eastAsia="zh-CN"/>
              </w:rPr>
              <w:t>根据《建筑中水设计标准》（GB50336-2018）中“建筑物按给水量计算排水量的折减系数，一般取0.85~0.95”，诊疗废水量按用水量90%计，即废水排放量0.08m</w:t>
            </w:r>
            <w:r>
              <w:rPr>
                <w:rFonts w:hint="eastAsia"/>
                <w:vertAlign w:val="superscript"/>
                <w:lang w:val="en-US" w:eastAsia="zh-CN"/>
              </w:rPr>
              <w:t>3</w:t>
            </w:r>
            <w:r>
              <w:rPr>
                <w:rFonts w:hint="eastAsia"/>
                <w:vertAlign w:val="baseline"/>
                <w:lang w:val="en-US" w:eastAsia="zh-CN"/>
              </w:rPr>
              <w:t>/d，21.38m</w:t>
            </w:r>
            <w:r>
              <w:rPr>
                <w:rFonts w:hint="eastAsia"/>
                <w:vertAlign w:val="superscript"/>
                <w:lang w:val="en-US" w:eastAsia="zh-CN"/>
              </w:rPr>
              <w:t>3</w:t>
            </w:r>
            <w:r>
              <w:rPr>
                <w:rFonts w:hint="eastAsia"/>
                <w:vertAlign w:val="baseline"/>
                <w:lang w:val="en-US" w:eastAsia="zh-CN"/>
              </w:rPr>
              <w:t>/a。</w:t>
            </w:r>
          </w:p>
          <w:p w14:paraId="37CE5877">
            <w:pPr>
              <w:rPr>
                <w:rFonts w:hint="eastAsia"/>
                <w:highlight w:val="none"/>
                <w:vertAlign w:val="baseline"/>
                <w:lang w:val="en-US" w:eastAsia="zh-CN"/>
              </w:rPr>
            </w:pPr>
            <w:r>
              <w:rPr>
                <w:rFonts w:hint="default"/>
                <w:highlight w:val="none"/>
                <w:vertAlign w:val="baseline"/>
                <w:lang w:val="en-US" w:eastAsia="zh-CN"/>
              </w:rPr>
              <w:t>②</w:t>
            </w:r>
            <w:r>
              <w:rPr>
                <w:rFonts w:hint="eastAsia"/>
                <w:highlight w:val="none"/>
                <w:vertAlign w:val="baseline"/>
                <w:lang w:val="en-US" w:eastAsia="zh-CN"/>
              </w:rPr>
              <w:t>美容洗浴废水</w:t>
            </w:r>
          </w:p>
          <w:p w14:paraId="2CA8026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根据《建筑中水设计标准》（GB50336-2018）中“建筑物按给水量计算排水量的折减系数，一般取0.85~0.95”，美容洗浴废水排水量按用水量90%计，即废水排放量为0.32m</w:t>
            </w:r>
            <w:r>
              <w:rPr>
                <w:rFonts w:hint="eastAsia"/>
                <w:vertAlign w:val="superscript"/>
                <w:lang w:val="en-US" w:eastAsia="zh-CN"/>
              </w:rPr>
              <w:t>3</w:t>
            </w:r>
            <w:r>
              <w:rPr>
                <w:rFonts w:hint="eastAsia"/>
                <w:vertAlign w:val="baseline"/>
                <w:lang w:val="en-US" w:eastAsia="zh-CN"/>
              </w:rPr>
              <w:t>/d，85.54m</w:t>
            </w:r>
            <w:r>
              <w:rPr>
                <w:rFonts w:hint="eastAsia"/>
                <w:vertAlign w:val="superscript"/>
                <w:lang w:val="en-US" w:eastAsia="zh-CN"/>
              </w:rPr>
              <w:t>3</w:t>
            </w:r>
            <w:r>
              <w:rPr>
                <w:rFonts w:hint="eastAsia"/>
                <w:vertAlign w:val="baseline"/>
                <w:lang w:val="en-US" w:eastAsia="zh-CN"/>
              </w:rPr>
              <w:t>/a。</w:t>
            </w:r>
          </w:p>
          <w:p w14:paraId="7790EA17">
            <w:pPr>
              <w:rPr>
                <w:rFonts w:hint="eastAsia"/>
                <w:vertAlign w:val="baseline"/>
                <w:lang w:val="en-US" w:eastAsia="zh-CN"/>
              </w:rPr>
            </w:pPr>
            <w:r>
              <w:rPr>
                <w:rFonts w:hint="eastAsia"/>
                <w:vertAlign w:val="baseline"/>
                <w:lang w:val="en-US" w:eastAsia="zh-CN"/>
              </w:rPr>
              <w:t>③生活废水</w:t>
            </w:r>
          </w:p>
          <w:p w14:paraId="36D3A39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根据《建筑中水设计标准》（GB50336-2018）中“建筑物按给水量计算排水量的折减系数，一般取0.85~0.95”，项目生活废水排放量按用水量的85%计，即废水排放量为0.22m</w:t>
            </w:r>
            <w:r>
              <w:rPr>
                <w:rFonts w:hint="eastAsia"/>
                <w:vertAlign w:val="superscript"/>
                <w:lang w:val="en-US" w:eastAsia="zh-CN"/>
              </w:rPr>
              <w:t>3</w:t>
            </w:r>
            <w:r>
              <w:rPr>
                <w:rFonts w:hint="eastAsia"/>
                <w:vertAlign w:val="baseline"/>
                <w:lang w:val="en-US" w:eastAsia="zh-CN"/>
              </w:rPr>
              <w:t>/d，57.02m</w:t>
            </w:r>
            <w:r>
              <w:rPr>
                <w:rFonts w:hint="eastAsia"/>
                <w:vertAlign w:val="superscript"/>
                <w:lang w:val="en-US" w:eastAsia="zh-CN"/>
              </w:rPr>
              <w:t>3</w:t>
            </w:r>
            <w:r>
              <w:rPr>
                <w:rFonts w:hint="eastAsia"/>
                <w:vertAlign w:val="baseline"/>
                <w:lang w:val="en-US" w:eastAsia="zh-CN"/>
              </w:rPr>
              <w:t>/a。</w:t>
            </w:r>
          </w:p>
          <w:p w14:paraId="7C1E5AD5">
            <w:pPr>
              <w:rPr>
                <w:rFonts w:hint="default"/>
                <w:vertAlign w:val="baseline"/>
                <w:lang w:val="en-US" w:eastAsia="zh-CN"/>
              </w:rPr>
            </w:pPr>
            <w:r>
              <w:rPr>
                <w:rFonts w:hint="eastAsia"/>
                <w:vertAlign w:val="baseline"/>
                <w:lang w:val="en-US" w:eastAsia="zh-CN"/>
              </w:rPr>
              <w:t>综上，项目总排水量为0.62m</w:t>
            </w:r>
            <w:r>
              <w:rPr>
                <w:rFonts w:hint="eastAsia"/>
                <w:vertAlign w:val="superscript"/>
                <w:lang w:val="en-US" w:eastAsia="zh-CN"/>
              </w:rPr>
              <w:t>3</w:t>
            </w:r>
            <w:r>
              <w:rPr>
                <w:rFonts w:hint="eastAsia"/>
                <w:vertAlign w:val="baseline"/>
                <w:lang w:val="en-US" w:eastAsia="zh-CN"/>
              </w:rPr>
              <w:t>/d，163.94m</w:t>
            </w:r>
            <w:r>
              <w:rPr>
                <w:rFonts w:hint="eastAsia"/>
                <w:vertAlign w:val="superscript"/>
                <w:lang w:val="en-US" w:eastAsia="zh-CN"/>
              </w:rPr>
              <w:t>3</w:t>
            </w:r>
            <w:r>
              <w:rPr>
                <w:rFonts w:hint="eastAsia"/>
                <w:vertAlign w:val="baseline"/>
                <w:lang w:val="en-US" w:eastAsia="zh-CN"/>
              </w:rPr>
              <w:t>/a。其中诊疗废水与美容洗浴废水经自建污水处理设备消毒处理后，同生活废水一同排入所在建筑集中化粪池预处理，最终通过市政污水管网汇入北京中设水处理有限公司良乡污水处理厂。</w:t>
            </w:r>
          </w:p>
          <w:p w14:paraId="3D48113A">
            <w:pPr>
              <w:rPr>
                <w:rFonts w:hint="eastAsia"/>
                <w:vertAlign w:val="baseline"/>
                <w:lang w:val="en-US" w:eastAsia="zh-CN"/>
              </w:rPr>
            </w:pPr>
            <w:r>
              <w:rPr>
                <w:rFonts w:hint="eastAsia"/>
                <w:vertAlign w:val="baseline"/>
                <w:lang w:val="en-US" w:eastAsia="zh-CN"/>
              </w:rPr>
              <w:t>本项目具体给排水情况详见下表。</w:t>
            </w:r>
          </w:p>
          <w:p w14:paraId="56F9D6BC">
            <w:pPr>
              <w:pStyle w:val="11"/>
              <w:bidi w:val="0"/>
              <w:rPr>
                <w:rFonts w:hint="eastAsia"/>
                <w:lang w:val="en-US" w:eastAsia="zh-CN"/>
              </w:rPr>
            </w:pPr>
            <w:r>
              <w:rPr>
                <w:rFonts w:hint="eastAsia"/>
                <w:lang w:val="en-US" w:eastAsia="zh-CN"/>
              </w:rPr>
              <w:t>表2-5 本项目给排水情况一览表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41"/>
              <w:gridCol w:w="1091"/>
              <w:gridCol w:w="1091"/>
              <w:gridCol w:w="1268"/>
              <w:gridCol w:w="1132"/>
              <w:gridCol w:w="1229"/>
            </w:tblGrid>
            <w:tr w14:paraId="7D102B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DBCAA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1" w:type="dxa"/>
                  <w:tcBorders>
                    <w:tl2br w:val="nil"/>
                    <w:tr2bl w:val="nil"/>
                  </w:tcBorders>
                  <w:vAlign w:val="center"/>
                </w:tcPr>
                <w:p w14:paraId="7BAB76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用水项目</w:t>
                  </w:r>
                </w:p>
              </w:tc>
              <w:tc>
                <w:tcPr>
                  <w:tcW w:w="1091" w:type="dxa"/>
                  <w:tcBorders>
                    <w:tl2br w:val="nil"/>
                    <w:tr2bl w:val="nil"/>
                  </w:tcBorders>
                  <w:vAlign w:val="center"/>
                </w:tcPr>
                <w:p w14:paraId="4E345E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用水定额</w:t>
                  </w:r>
                </w:p>
              </w:tc>
              <w:tc>
                <w:tcPr>
                  <w:tcW w:w="1091" w:type="dxa"/>
                  <w:tcBorders>
                    <w:tl2br w:val="nil"/>
                    <w:tr2bl w:val="nil"/>
                  </w:tcBorders>
                  <w:vAlign w:val="center"/>
                </w:tcPr>
                <w:p w14:paraId="7331C0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规模</w:t>
                  </w:r>
                </w:p>
              </w:tc>
              <w:tc>
                <w:tcPr>
                  <w:tcW w:w="1268" w:type="dxa"/>
                  <w:tcBorders>
                    <w:tl2br w:val="nil"/>
                    <w:tr2bl w:val="nil"/>
                  </w:tcBorders>
                  <w:vAlign w:val="center"/>
                </w:tcPr>
                <w:p w14:paraId="2FC3D7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用水量</w:t>
                  </w:r>
                </w:p>
              </w:tc>
              <w:tc>
                <w:tcPr>
                  <w:tcW w:w="1132" w:type="dxa"/>
                  <w:tcBorders>
                    <w:tl2br w:val="nil"/>
                    <w:tr2bl w:val="nil"/>
                  </w:tcBorders>
                  <w:vAlign w:val="center"/>
                </w:tcPr>
                <w:p w14:paraId="727128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排放系数</w:t>
                  </w:r>
                </w:p>
              </w:tc>
              <w:tc>
                <w:tcPr>
                  <w:tcW w:w="1229" w:type="dxa"/>
                  <w:tcBorders>
                    <w:tl2br w:val="nil"/>
                    <w:tr2bl w:val="nil"/>
                  </w:tcBorders>
                  <w:vAlign w:val="center"/>
                </w:tcPr>
                <w:p w14:paraId="12A2CB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排水量</w:t>
                  </w:r>
                </w:p>
              </w:tc>
            </w:tr>
            <w:tr w14:paraId="79F6F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2812F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1" w:type="dxa"/>
                  <w:tcBorders>
                    <w:tl2br w:val="nil"/>
                    <w:tr2bl w:val="nil"/>
                  </w:tcBorders>
                  <w:vAlign w:val="center"/>
                </w:tcPr>
                <w:p w14:paraId="2D8193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诊疗用水</w:t>
                  </w:r>
                </w:p>
              </w:tc>
              <w:tc>
                <w:tcPr>
                  <w:tcW w:w="1091" w:type="dxa"/>
                  <w:tcBorders>
                    <w:tl2br w:val="nil"/>
                    <w:tr2bl w:val="nil"/>
                  </w:tcBorders>
                  <w:vAlign w:val="center"/>
                </w:tcPr>
                <w:p w14:paraId="26B600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15L/例·d</w:t>
                  </w:r>
                </w:p>
              </w:tc>
              <w:tc>
                <w:tcPr>
                  <w:tcW w:w="1091" w:type="dxa"/>
                  <w:tcBorders>
                    <w:tl2br w:val="nil"/>
                    <w:tr2bl w:val="nil"/>
                  </w:tcBorders>
                  <w:vAlign w:val="center"/>
                </w:tcPr>
                <w:p w14:paraId="5B4FE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6例/d</w:t>
                  </w:r>
                </w:p>
                <w:p w14:paraId="6CB433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264d</w:t>
                  </w:r>
                </w:p>
              </w:tc>
              <w:tc>
                <w:tcPr>
                  <w:tcW w:w="1268" w:type="dxa"/>
                  <w:tcBorders>
                    <w:tl2br w:val="nil"/>
                    <w:tr2bl w:val="nil"/>
                  </w:tcBorders>
                  <w:vAlign w:val="center"/>
                </w:tcPr>
                <w:p w14:paraId="61F3F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0.09</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431F91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23.76m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0E54EE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148442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30B13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21.38</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22442D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1AD9A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541" w:type="dxa"/>
                  <w:tcBorders>
                    <w:tl2br w:val="nil"/>
                    <w:tr2bl w:val="nil"/>
                  </w:tcBorders>
                  <w:vAlign w:val="center"/>
                </w:tcPr>
                <w:p w14:paraId="7A1A5D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美容洗浴用水</w:t>
                  </w:r>
                </w:p>
              </w:tc>
              <w:tc>
                <w:tcPr>
                  <w:tcW w:w="1091" w:type="dxa"/>
                  <w:tcBorders>
                    <w:tl2br w:val="nil"/>
                    <w:tr2bl w:val="nil"/>
                  </w:tcBorders>
                  <w:vAlign w:val="center"/>
                </w:tcPr>
                <w:p w14:paraId="48EFC5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60L/例</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923AE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6例/d</w:t>
                  </w:r>
                </w:p>
                <w:p w14:paraId="52B4C5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264d</w:t>
                  </w:r>
                </w:p>
              </w:tc>
              <w:tc>
                <w:tcPr>
                  <w:tcW w:w="1268" w:type="dxa"/>
                  <w:tcBorders>
                    <w:tl2br w:val="nil"/>
                    <w:tr2bl w:val="nil"/>
                  </w:tcBorders>
                  <w:vAlign w:val="center"/>
                </w:tcPr>
                <w:p w14:paraId="52F5E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0.36</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0879EC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95.04m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27C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5D1C0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0.32</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662FA6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85.54</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03E7E2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29C664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541" w:type="dxa"/>
                  <w:tcBorders>
                    <w:tl2br w:val="nil"/>
                    <w:tr2bl w:val="nil"/>
                  </w:tcBorders>
                  <w:vAlign w:val="center"/>
                </w:tcPr>
                <w:p w14:paraId="6CAB3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生活用水</w:t>
                  </w:r>
                </w:p>
              </w:tc>
              <w:tc>
                <w:tcPr>
                  <w:tcW w:w="1091" w:type="dxa"/>
                  <w:tcBorders>
                    <w:tl2br w:val="nil"/>
                    <w:tr2bl w:val="nil"/>
                  </w:tcBorders>
                  <w:vAlign w:val="center"/>
                </w:tcPr>
                <w:p w14:paraId="7946F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60L/人</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5EE37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4人</w:t>
                  </w:r>
                </w:p>
                <w:p w14:paraId="50ED42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264d</w:t>
                  </w:r>
                </w:p>
              </w:tc>
              <w:tc>
                <w:tcPr>
                  <w:tcW w:w="1268" w:type="dxa"/>
                  <w:tcBorders>
                    <w:tl2br w:val="nil"/>
                    <w:tr2bl w:val="nil"/>
                  </w:tcBorders>
                  <w:vAlign w:val="center"/>
                </w:tcPr>
                <w:p w14:paraId="7D4261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0.24m</w:t>
                  </w:r>
                  <w:r>
                    <w:rPr>
                      <w:rFonts w:hint="eastAsia"/>
                      <w:sz w:val="21"/>
                      <w:szCs w:val="21"/>
                      <w:vertAlign w:val="superscript"/>
                      <w:lang w:val="en-US" w:eastAsia="zh-CN"/>
                    </w:rPr>
                    <w:t>3</w:t>
                  </w:r>
                  <w:r>
                    <w:rPr>
                      <w:rFonts w:hint="eastAsia"/>
                      <w:sz w:val="21"/>
                      <w:szCs w:val="21"/>
                      <w:vertAlign w:val="baseline"/>
                      <w:lang w:val="en-US" w:eastAsia="zh-CN"/>
                    </w:rPr>
                    <w:t>/d</w:t>
                  </w:r>
                </w:p>
                <w:p w14:paraId="0859FF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63.36m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14C5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85%</w:t>
                  </w:r>
                </w:p>
              </w:tc>
              <w:tc>
                <w:tcPr>
                  <w:tcW w:w="1229" w:type="dxa"/>
                  <w:tcBorders>
                    <w:tl2br w:val="nil"/>
                    <w:tr2bl w:val="nil"/>
                  </w:tcBorders>
                  <w:vAlign w:val="center"/>
                </w:tcPr>
                <w:p w14:paraId="5E87A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0.22</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216C2B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57.02m</w:t>
                  </w:r>
                  <w:r>
                    <w:rPr>
                      <w:rFonts w:hint="eastAsia"/>
                      <w:sz w:val="21"/>
                      <w:szCs w:val="21"/>
                      <w:vertAlign w:val="superscript"/>
                      <w:lang w:val="en-US" w:eastAsia="zh-CN"/>
                    </w:rPr>
                    <w:t>3</w:t>
                  </w:r>
                  <w:r>
                    <w:rPr>
                      <w:rFonts w:hint="eastAsia"/>
                      <w:sz w:val="21"/>
                      <w:szCs w:val="21"/>
                      <w:vertAlign w:val="baseline"/>
                      <w:lang w:val="en-US" w:eastAsia="zh-CN"/>
                    </w:rPr>
                    <w:t>/a</w:t>
                  </w:r>
                </w:p>
              </w:tc>
            </w:tr>
            <w:tr w14:paraId="72B260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94" w:type="dxa"/>
                  <w:gridSpan w:val="4"/>
                  <w:tcBorders>
                    <w:tl2br w:val="nil"/>
                    <w:tr2bl w:val="nil"/>
                  </w:tcBorders>
                  <w:vAlign w:val="center"/>
                </w:tcPr>
                <w:p w14:paraId="200CD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1268" w:type="dxa"/>
                  <w:tcBorders>
                    <w:tl2br w:val="nil"/>
                    <w:tr2bl w:val="nil"/>
                  </w:tcBorders>
                  <w:vAlign w:val="center"/>
                </w:tcPr>
                <w:p w14:paraId="5C51FF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0.69m</w:t>
                  </w:r>
                  <w:r>
                    <w:rPr>
                      <w:rFonts w:hint="eastAsia"/>
                      <w:sz w:val="21"/>
                      <w:szCs w:val="21"/>
                      <w:vertAlign w:val="superscript"/>
                      <w:lang w:val="en-US" w:eastAsia="zh-CN"/>
                    </w:rPr>
                    <w:t>3</w:t>
                  </w:r>
                  <w:r>
                    <w:rPr>
                      <w:rFonts w:hint="eastAsia"/>
                      <w:sz w:val="21"/>
                      <w:szCs w:val="21"/>
                      <w:vertAlign w:val="baseline"/>
                      <w:lang w:val="en-US" w:eastAsia="zh-CN"/>
                    </w:rPr>
                    <w:t>/d</w:t>
                  </w:r>
                </w:p>
                <w:p w14:paraId="5E1CDE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182.16</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c>
                <w:tcPr>
                  <w:tcW w:w="1132" w:type="dxa"/>
                  <w:tcBorders>
                    <w:tl2br w:val="nil"/>
                    <w:tr2bl w:val="nil"/>
                  </w:tcBorders>
                  <w:vAlign w:val="center"/>
                </w:tcPr>
                <w:p w14:paraId="46C76A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29" w:type="dxa"/>
                  <w:tcBorders>
                    <w:tl2br w:val="nil"/>
                    <w:tr2bl w:val="nil"/>
                  </w:tcBorders>
                  <w:vAlign w:val="center"/>
                </w:tcPr>
                <w:p w14:paraId="06F067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0.62m</w:t>
                  </w:r>
                  <w:r>
                    <w:rPr>
                      <w:rFonts w:hint="eastAsia"/>
                      <w:sz w:val="21"/>
                      <w:szCs w:val="21"/>
                      <w:vertAlign w:val="superscript"/>
                      <w:lang w:val="en-US" w:eastAsia="zh-CN"/>
                    </w:rPr>
                    <w:t>3</w:t>
                  </w:r>
                  <w:r>
                    <w:rPr>
                      <w:rFonts w:hint="eastAsia"/>
                      <w:sz w:val="21"/>
                      <w:szCs w:val="21"/>
                      <w:vertAlign w:val="baseline"/>
                      <w:lang w:val="en-US" w:eastAsia="zh-CN"/>
                    </w:rPr>
                    <w:t>/d</w:t>
                  </w:r>
                </w:p>
                <w:p w14:paraId="199EB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163.94</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bl>
          <w:p w14:paraId="44003F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5085080" cy="2295525"/>
                  <wp:effectExtent l="0" t="0" r="0" b="0"/>
                  <wp:docPr id="5"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1" descr="wps"/>
                          <pic:cNvPicPr>
                            <a:picLocks noChangeAspect="1"/>
                          </pic:cNvPicPr>
                        </pic:nvPicPr>
                        <pic:blipFill>
                          <a:blip r:embed="rId16"/>
                          <a:stretch>
                            <a:fillRect/>
                          </a:stretch>
                        </pic:blipFill>
                        <pic:spPr>
                          <a:xfrm>
                            <a:off x="0" y="0"/>
                            <a:ext cx="5085080" cy="2295525"/>
                          </a:xfrm>
                          <a:prstGeom prst="rect">
                            <a:avLst/>
                          </a:prstGeom>
                        </pic:spPr>
                      </pic:pic>
                    </a:graphicData>
                  </a:graphic>
                </wp:inline>
              </w:drawing>
            </w:r>
          </w:p>
          <w:p w14:paraId="0B0191FC">
            <w:pPr>
              <w:pStyle w:val="11"/>
              <w:bidi w:val="0"/>
              <w:rPr>
                <w:rFonts w:hint="default"/>
                <w:vertAlign w:val="baseline"/>
                <w:lang w:val="en-US" w:eastAsia="zh-CN"/>
              </w:rPr>
            </w:pPr>
            <w:r>
              <w:rPr>
                <w:rFonts w:hint="eastAsia"/>
                <w:vertAlign w:val="baseline"/>
                <w:lang w:val="en-US" w:eastAsia="zh-CN"/>
              </w:rPr>
              <w:t>图2-1 本项目水平衡图  单位：m</w:t>
            </w:r>
            <w:r>
              <w:rPr>
                <w:rFonts w:hint="eastAsia"/>
                <w:vertAlign w:val="superscript"/>
                <w:lang w:val="en-US" w:eastAsia="zh-CN"/>
              </w:rPr>
              <w:t>3</w:t>
            </w:r>
            <w:r>
              <w:rPr>
                <w:rFonts w:hint="eastAsia"/>
                <w:vertAlign w:val="baseline"/>
                <w:lang w:val="en-US" w:eastAsia="zh-CN"/>
              </w:rPr>
              <w:t>/a</w:t>
            </w:r>
          </w:p>
          <w:p w14:paraId="7C05D9E4">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w:t>
            </w:r>
            <w:r>
              <w:rPr>
                <w:rFonts w:hint="eastAsia"/>
                <w:vertAlign w:val="baseline"/>
                <w:lang w:val="en-US" w:eastAsia="zh-CN"/>
              </w:rPr>
              <w:t>供电</w:t>
            </w:r>
          </w:p>
          <w:p w14:paraId="4D91CE65">
            <w:pPr>
              <w:rPr>
                <w:vertAlign w:val="baseline"/>
              </w:rPr>
            </w:pPr>
            <w:r>
              <w:rPr>
                <w:rFonts w:hint="eastAsia"/>
                <w:vertAlign w:val="baseline"/>
              </w:rPr>
              <w:t>本项目用电引自园区市政电网，电力供应充足，可以满足项目需求。</w:t>
            </w:r>
          </w:p>
          <w:p w14:paraId="254B9329">
            <w:pPr>
              <w:rPr>
                <w:rFonts w:hint="eastAsia" w:eastAsia="宋体"/>
                <w:vertAlign w:val="baseline"/>
                <w:lang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）供暖、制冷</w:t>
            </w:r>
          </w:p>
          <w:p w14:paraId="28DFCBB2">
            <w:pPr>
              <w:rPr>
                <w:rFonts w:hint="eastAsia"/>
                <w:vertAlign w:val="baseline"/>
              </w:rPr>
            </w:pPr>
            <w:r>
              <w:rPr>
                <w:rFonts w:hint="eastAsia"/>
                <w:vertAlign w:val="baseline"/>
              </w:rPr>
              <w:t>本项目冬季供暖</w:t>
            </w:r>
            <w:r>
              <w:rPr>
                <w:rFonts w:hint="eastAsia"/>
                <w:vertAlign w:val="baseline"/>
                <w:lang w:val="en-US" w:eastAsia="zh-CN"/>
              </w:rPr>
              <w:t>由市政集中供暖提供，夏季制冷</w:t>
            </w:r>
            <w:r>
              <w:rPr>
                <w:rFonts w:hint="eastAsia"/>
                <w:vertAlign w:val="baseline"/>
              </w:rPr>
              <w:t>使用空调。</w:t>
            </w:r>
          </w:p>
        </w:tc>
      </w:tr>
      <w:tr w14:paraId="4C25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6CA8C1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工艺流程和产排污环节</w:t>
            </w:r>
          </w:p>
        </w:tc>
        <w:tc>
          <w:tcPr>
            <w:tcW w:w="8239" w:type="dxa"/>
            <w:vAlign w:val="center"/>
          </w:tcPr>
          <w:p w14:paraId="5B7F1E78">
            <w:pPr>
              <w:rPr>
                <w:rFonts w:hint="default" w:eastAsia="宋体"/>
                <w:vertAlign w:val="baseline"/>
                <w:lang w:val="en-US" w:eastAsia="zh-CN"/>
              </w:rPr>
            </w:pPr>
            <w:r>
              <w:rPr>
                <w:rFonts w:hint="eastAsia"/>
                <w:vertAlign w:val="baseline"/>
                <w:lang w:val="en-US" w:eastAsia="zh-CN"/>
              </w:rPr>
              <w:t>1、施工期</w:t>
            </w:r>
          </w:p>
          <w:p w14:paraId="669402A3">
            <w:pPr>
              <w:rPr>
                <w:rFonts w:hint="eastAsia"/>
                <w:vertAlign w:val="baseline"/>
                <w:lang w:val="en-US" w:eastAsia="zh-CN"/>
              </w:rPr>
            </w:pPr>
            <w:r>
              <w:rPr>
                <w:rFonts w:hint="eastAsia"/>
                <w:vertAlign w:val="baseline"/>
                <w:lang w:val="en-US" w:eastAsia="zh-CN"/>
              </w:rPr>
              <w:t>本项目施工期主要为设备安装调试和购置办公家具，施工期工艺流程图及产排污环节详见下图。</w:t>
            </w:r>
          </w:p>
          <w:p w14:paraId="5E9B2BA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3599815" cy="930275"/>
                  <wp:effectExtent l="0" t="0" r="0" b="0"/>
                  <wp:docPr id="13"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CB019B1-382A-4266-B25C-5B523AA43C14-2" descr="wps"/>
                          <pic:cNvPicPr>
                            <a:picLocks noChangeAspect="1"/>
                          </pic:cNvPicPr>
                        </pic:nvPicPr>
                        <pic:blipFill>
                          <a:blip r:embed="rId17"/>
                          <a:stretch>
                            <a:fillRect/>
                          </a:stretch>
                        </pic:blipFill>
                        <pic:spPr>
                          <a:xfrm>
                            <a:off x="0" y="0"/>
                            <a:ext cx="3599815" cy="930275"/>
                          </a:xfrm>
                          <a:prstGeom prst="rect">
                            <a:avLst/>
                          </a:prstGeom>
                        </pic:spPr>
                      </pic:pic>
                    </a:graphicData>
                  </a:graphic>
                </wp:inline>
              </w:drawing>
            </w:r>
          </w:p>
          <w:p w14:paraId="469DC336">
            <w:pPr>
              <w:pStyle w:val="11"/>
              <w:bidi w:val="0"/>
              <w:rPr>
                <w:rFonts w:hint="eastAsia"/>
                <w:lang w:val="en-US" w:eastAsia="zh-CN"/>
              </w:rPr>
            </w:pPr>
            <w:r>
              <w:rPr>
                <w:rFonts w:hint="eastAsia"/>
                <w:lang w:val="en-US" w:eastAsia="zh-CN"/>
              </w:rPr>
              <w:t>图2-2 施工期工艺流程及产排污节点图</w:t>
            </w:r>
          </w:p>
          <w:p w14:paraId="484E57E9">
            <w:pPr>
              <w:rPr>
                <w:rFonts w:hint="default"/>
                <w:vertAlign w:val="baseline"/>
                <w:lang w:val="en-US" w:eastAsia="zh-CN"/>
              </w:rPr>
            </w:pPr>
            <w:r>
              <w:rPr>
                <w:rFonts w:hint="eastAsia"/>
                <w:vertAlign w:val="baseline"/>
                <w:lang w:val="en-US" w:eastAsia="zh-CN"/>
              </w:rPr>
              <w:t>（1）废气</w:t>
            </w:r>
          </w:p>
          <w:p w14:paraId="37E06C80">
            <w:pPr>
              <w:rPr>
                <w:rFonts w:hint="eastAsia"/>
                <w:vertAlign w:val="baseline"/>
                <w:lang w:val="en-US" w:eastAsia="zh-CN"/>
              </w:rPr>
            </w:pPr>
            <w:r>
              <w:rPr>
                <w:rFonts w:hint="eastAsia"/>
                <w:vertAlign w:val="baseline"/>
                <w:lang w:val="en-US" w:eastAsia="zh-CN"/>
              </w:rPr>
              <w:t>施工期间，废气主要为装修产生的扬尘，影响范围局限在室内，对外环境影响较小。</w:t>
            </w:r>
          </w:p>
          <w:p w14:paraId="7C4B82A3">
            <w:pPr>
              <w:rPr>
                <w:rFonts w:hint="default"/>
                <w:vertAlign w:val="baseline"/>
                <w:lang w:val="en-US" w:eastAsia="zh-CN"/>
              </w:rPr>
            </w:pPr>
            <w:r>
              <w:rPr>
                <w:rFonts w:hint="eastAsia"/>
                <w:vertAlign w:val="baseline"/>
                <w:lang w:val="en-US" w:eastAsia="zh-CN"/>
              </w:rPr>
              <w:t>（2）废水</w:t>
            </w:r>
          </w:p>
          <w:p w14:paraId="1B153DD4">
            <w:pPr>
              <w:rPr>
                <w:rFonts w:hint="eastAsia"/>
                <w:vertAlign w:val="baseline"/>
                <w:lang w:val="en-US" w:eastAsia="zh-CN"/>
              </w:rPr>
            </w:pPr>
            <w:r>
              <w:rPr>
                <w:rFonts w:hint="eastAsia"/>
                <w:vertAlign w:val="baseline"/>
                <w:lang w:val="en-US" w:eastAsia="zh-CN"/>
              </w:rPr>
              <w:t>施工期间，项目经营场所内不设食宿及卫生间，施工人员日常生活依托附近配套设施，施工期无废水排放。</w:t>
            </w:r>
          </w:p>
          <w:p w14:paraId="64745169">
            <w:pPr>
              <w:rPr>
                <w:rFonts w:hint="default"/>
                <w:vertAlign w:val="baseline"/>
                <w:lang w:val="en-US" w:eastAsia="zh-CN"/>
              </w:rPr>
            </w:pPr>
            <w:r>
              <w:rPr>
                <w:rFonts w:hint="eastAsia"/>
                <w:vertAlign w:val="baseline"/>
                <w:lang w:val="en-US" w:eastAsia="zh-CN"/>
              </w:rPr>
              <w:t>（3）噪声</w:t>
            </w:r>
          </w:p>
          <w:p w14:paraId="7A74B4A4">
            <w:pPr>
              <w:rPr>
                <w:rFonts w:hint="eastAsia"/>
                <w:vertAlign w:val="baseline"/>
                <w:lang w:val="en-US" w:eastAsia="zh-CN"/>
              </w:rPr>
            </w:pPr>
            <w:r>
              <w:rPr>
                <w:rFonts w:hint="eastAsia"/>
                <w:vertAlign w:val="baseline"/>
                <w:lang w:val="en-US" w:eastAsia="zh-CN"/>
              </w:rPr>
              <w:t>施工期间，噪声主要来自于施工机械设备（如电钻、电锯）使用过程产生的噪声，部分设备噪声值较高，但属于间歇性噪声。</w:t>
            </w:r>
          </w:p>
          <w:p w14:paraId="2A2EC610">
            <w:pPr>
              <w:rPr>
                <w:rFonts w:hint="default"/>
                <w:vertAlign w:val="baseline"/>
                <w:lang w:val="en-US" w:eastAsia="zh-CN"/>
              </w:rPr>
            </w:pPr>
            <w:r>
              <w:rPr>
                <w:rFonts w:hint="eastAsia"/>
                <w:vertAlign w:val="baseline"/>
                <w:lang w:val="en-US" w:eastAsia="zh-CN"/>
              </w:rPr>
              <w:t>（4）固体废物</w:t>
            </w:r>
          </w:p>
          <w:p w14:paraId="2B709998">
            <w:pPr>
              <w:rPr>
                <w:rFonts w:hint="eastAsia"/>
                <w:vertAlign w:val="baseline"/>
                <w:lang w:val="en-US" w:eastAsia="zh-CN"/>
              </w:rPr>
            </w:pPr>
            <w:r>
              <w:rPr>
                <w:rFonts w:hint="eastAsia"/>
                <w:vertAlign w:val="baseline"/>
                <w:lang w:val="en-US" w:eastAsia="zh-CN"/>
              </w:rPr>
              <w:t>施工期间，固体废物主要来自于施工过程产生的装修垃圾，以砂砾和混凝土废物为主。</w:t>
            </w:r>
          </w:p>
          <w:p w14:paraId="31B3F745">
            <w:pPr>
              <w:rPr>
                <w:rFonts w:hint="default"/>
                <w:vertAlign w:val="baseline"/>
                <w:lang w:val="en-US" w:eastAsia="zh-CN"/>
              </w:rPr>
            </w:pPr>
            <w:r>
              <w:rPr>
                <w:rFonts w:hint="eastAsia"/>
                <w:vertAlign w:val="baseline"/>
                <w:lang w:val="en-US" w:eastAsia="zh-CN"/>
              </w:rPr>
              <w:t>2、运营期</w:t>
            </w:r>
          </w:p>
          <w:p w14:paraId="47F3C541">
            <w:pPr>
              <w:rPr>
                <w:rFonts w:hint="eastAsia"/>
                <w:vertAlign w:val="baseline"/>
                <w:lang w:val="en-US" w:eastAsia="zh-CN"/>
              </w:rPr>
            </w:pPr>
            <w:r>
              <w:rPr>
                <w:rFonts w:hint="eastAsia"/>
                <w:vertAlign w:val="baseline"/>
                <w:lang w:val="en-US" w:eastAsia="zh-CN"/>
              </w:rPr>
              <w:t>本项目开展动物美容洗浴，以及动物疾病预防、诊疗、治疗和绝育手术。工艺流程及产污环节如下：</w:t>
            </w:r>
          </w:p>
          <w:p w14:paraId="3BE48063">
            <w:pPr>
              <w:rPr>
                <w:rFonts w:hint="eastAsia"/>
                <w:vertAlign w:val="baseline"/>
                <w:lang w:val="en-US" w:eastAsia="zh-CN"/>
              </w:rPr>
            </w:pPr>
          </w:p>
          <w:p w14:paraId="275D362A">
            <w:pPr>
              <w:rPr>
                <w:rFonts w:hint="eastAsia"/>
                <w:vertAlign w:val="baseline"/>
                <w:lang w:val="en-US" w:eastAsia="zh-CN"/>
              </w:rPr>
            </w:pPr>
          </w:p>
          <w:p w14:paraId="64B19D00">
            <w:pPr>
              <w:rPr>
                <w:rFonts w:hint="eastAsia"/>
                <w:vertAlign w:val="baseline"/>
                <w:lang w:val="en-US" w:eastAsia="zh-CN"/>
              </w:rPr>
            </w:pPr>
          </w:p>
          <w:p w14:paraId="482F034B">
            <w:pPr>
              <w:rPr>
                <w:rFonts w:hint="eastAsia"/>
                <w:vertAlign w:val="baseline"/>
                <w:lang w:val="en-US" w:eastAsia="zh-CN"/>
              </w:rPr>
            </w:pPr>
          </w:p>
          <w:p w14:paraId="0A878A19">
            <w:pPr>
              <w:rPr>
                <w:rFonts w:hint="eastAsia"/>
                <w:vertAlign w:val="baseline"/>
                <w:lang w:val="en-US" w:eastAsia="zh-CN"/>
              </w:rPr>
            </w:pPr>
          </w:p>
          <w:p w14:paraId="3A74D1BA">
            <w:pPr>
              <w:rPr>
                <w:rFonts w:hint="eastAsia"/>
                <w:vertAlign w:val="baseline"/>
                <w:lang w:val="en-US" w:eastAsia="zh-CN"/>
              </w:rPr>
            </w:pPr>
          </w:p>
          <w:p w14:paraId="4343654D">
            <w:pPr>
              <w:rPr>
                <w:rFonts w:hint="eastAsia"/>
                <w:vertAlign w:val="baseline"/>
                <w:lang w:val="en-US" w:eastAsia="zh-CN"/>
              </w:rPr>
            </w:pPr>
          </w:p>
          <w:p w14:paraId="669444D4">
            <w:pPr>
              <w:rPr>
                <w:rFonts w:hint="eastAsia"/>
                <w:vertAlign w:val="baseline"/>
                <w:lang w:val="en-US" w:eastAsia="zh-CN"/>
              </w:rPr>
            </w:pPr>
          </w:p>
          <w:p w14:paraId="73EB6E0D">
            <w:pPr>
              <w:rPr>
                <w:rFonts w:hint="eastAsia"/>
                <w:vertAlign w:val="baseline"/>
                <w:lang w:val="en-US" w:eastAsia="zh-CN"/>
              </w:rPr>
            </w:pPr>
          </w:p>
          <w:p w14:paraId="1192E6C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drawing>
                <wp:inline distT="0" distB="0" distL="114300" distR="114300">
                  <wp:extent cx="5092065" cy="3358515"/>
                  <wp:effectExtent l="0" t="0" r="13335" b="133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092065" cy="3358515"/>
                          </a:xfrm>
                          <a:prstGeom prst="rect">
                            <a:avLst/>
                          </a:prstGeom>
                          <a:noFill/>
                          <a:ln>
                            <a:noFill/>
                          </a:ln>
                        </pic:spPr>
                      </pic:pic>
                    </a:graphicData>
                  </a:graphic>
                </wp:inline>
              </w:drawing>
            </w:r>
          </w:p>
          <w:p w14:paraId="544B61F3">
            <w:pPr>
              <w:pStyle w:val="11"/>
              <w:bidi w:val="0"/>
              <w:rPr>
                <w:rFonts w:hint="default"/>
                <w:lang w:val="en-US" w:eastAsia="zh-CN"/>
              </w:rPr>
            </w:pPr>
            <w:r>
              <w:rPr>
                <w:rFonts w:hint="eastAsia"/>
                <w:lang w:val="en-US" w:eastAsia="zh-CN"/>
              </w:rPr>
              <w:t>图2-2 营运期工艺流程和产排污环节图</w:t>
            </w:r>
          </w:p>
          <w:p w14:paraId="23DF54BB">
            <w:pPr>
              <w:rPr>
                <w:rFonts w:hint="default"/>
                <w:vertAlign w:val="baseline"/>
                <w:lang w:val="en-US" w:eastAsia="zh-CN"/>
              </w:rPr>
            </w:pPr>
            <w:r>
              <w:rPr>
                <w:rFonts w:hint="default"/>
                <w:vertAlign w:val="baseline"/>
                <w:lang w:val="en-US" w:eastAsia="zh-CN"/>
              </w:rPr>
              <w:t>动物入院挂号后，到诊室进行检查，视患病动物病情的严重程度，选择对其进行不同的治疗方式。打疫苗及其他病情较轻的病例进行免疫处置及简单处理，取药后离院；若病情较重则需进行手术等，术后病状态较好的动物，由主人直接接回自家。项目夜间不接诊，不寄养动物。项目设有住院服务留宿术后重症动物，故项目有夜间运行。</w:t>
            </w:r>
          </w:p>
          <w:p w14:paraId="39172EF3">
            <w:pPr>
              <w:rPr>
                <w:rFonts w:hint="default"/>
                <w:vertAlign w:val="baseline"/>
                <w:lang w:val="en-US" w:eastAsia="zh-CN"/>
              </w:rPr>
            </w:pPr>
            <w:r>
              <w:rPr>
                <w:rFonts w:hint="default"/>
                <w:vertAlign w:val="baseline"/>
                <w:lang w:val="en-US" w:eastAsia="zh-CN"/>
              </w:rPr>
              <w:t>本项目所使用的检验耗材为试纸或常规的一次性检验试剂盒，使用后按医疗废物回收处理，诊疗废水中不含强酸、强碱、重金属、剧毒物质。</w:t>
            </w:r>
          </w:p>
          <w:p w14:paraId="4E23CB7C">
            <w:pPr>
              <w:rPr>
                <w:rFonts w:hint="default"/>
                <w:vertAlign w:val="baseline"/>
                <w:lang w:val="en-US" w:eastAsia="zh-CN"/>
              </w:rPr>
            </w:pPr>
            <w:r>
              <w:rPr>
                <w:rFonts w:hint="default"/>
                <w:vertAlign w:val="baseline"/>
                <w:lang w:val="en-US" w:eastAsia="zh-CN"/>
              </w:rPr>
              <w:t>项目动物诊疗及手术等过程中产生诊疗废水及医疗废物；动物诊疗废水及美容洗浴废水中的动物毛发应属于感染性废物，被水池篦子等拦截后收集暂存；人员日常办公生活过程产生生活</w:t>
            </w:r>
            <w:r>
              <w:rPr>
                <w:rFonts w:hint="eastAsia"/>
                <w:vertAlign w:val="baseline"/>
                <w:lang w:val="en-US" w:eastAsia="zh-CN"/>
              </w:rPr>
              <w:t>废水</w:t>
            </w:r>
            <w:r>
              <w:rPr>
                <w:rFonts w:hint="default"/>
                <w:vertAlign w:val="baseline"/>
                <w:lang w:val="en-US" w:eastAsia="zh-CN"/>
              </w:rPr>
              <w:t>和生活垃圾。医院使用的原辅材料外包装物、医疗器械等的外包装物，以及动物异味净化设施中产生的废饱和活性炭，均为一般工业固体废物；动物诊疗过程中医疗设备和污水处理设备运行中产生噪声，以及就诊动物发出叫声；动物自身产生异味废气等。</w:t>
            </w:r>
          </w:p>
          <w:p w14:paraId="5948DF5F">
            <w:pPr>
              <w:rPr>
                <w:rFonts w:hint="default"/>
                <w:vertAlign w:val="baseline"/>
                <w:lang w:val="en-US" w:eastAsia="zh-CN"/>
              </w:rPr>
            </w:pPr>
            <w:r>
              <w:rPr>
                <w:rFonts w:hint="default"/>
                <w:vertAlign w:val="baseline"/>
                <w:lang w:val="en-US" w:eastAsia="zh-CN"/>
              </w:rPr>
              <w:t>项目主要产污环节见下表。</w:t>
            </w:r>
          </w:p>
          <w:p w14:paraId="6234EF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表2-8 项目污染源与污染因子识别</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2348"/>
              <w:gridCol w:w="2051"/>
              <w:gridCol w:w="645"/>
              <w:gridCol w:w="2501"/>
            </w:tblGrid>
            <w:tr w14:paraId="5A0269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38D1C77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类别</w:t>
                  </w:r>
                </w:p>
              </w:tc>
              <w:tc>
                <w:tcPr>
                  <w:tcW w:w="2348" w:type="dxa"/>
                  <w:tcBorders>
                    <w:tl2br w:val="nil"/>
                    <w:tr2bl w:val="nil"/>
                  </w:tcBorders>
                  <w:vAlign w:val="center"/>
                </w:tcPr>
                <w:p w14:paraId="024FB46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污染源</w:t>
                  </w:r>
                </w:p>
              </w:tc>
              <w:tc>
                <w:tcPr>
                  <w:tcW w:w="2051" w:type="dxa"/>
                  <w:tcBorders>
                    <w:tl2br w:val="nil"/>
                    <w:tr2bl w:val="nil"/>
                  </w:tcBorders>
                  <w:vAlign w:val="center"/>
                </w:tcPr>
                <w:p w14:paraId="2A9715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污染因子</w:t>
                  </w:r>
                </w:p>
              </w:tc>
              <w:tc>
                <w:tcPr>
                  <w:tcW w:w="645" w:type="dxa"/>
                  <w:tcBorders>
                    <w:tl2br w:val="nil"/>
                    <w:tr2bl w:val="nil"/>
                  </w:tcBorders>
                  <w:vAlign w:val="center"/>
                </w:tcPr>
                <w:p w14:paraId="5911061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产生特征</w:t>
                  </w:r>
                </w:p>
              </w:tc>
              <w:tc>
                <w:tcPr>
                  <w:tcW w:w="2501" w:type="dxa"/>
                  <w:tcBorders>
                    <w:tl2br w:val="nil"/>
                    <w:tr2bl w:val="nil"/>
                  </w:tcBorders>
                  <w:vAlign w:val="center"/>
                </w:tcPr>
                <w:p w14:paraId="239D70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治理设施</w:t>
                  </w:r>
                </w:p>
              </w:tc>
            </w:tr>
            <w:tr w14:paraId="1E39BB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2CC366D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废气</w:t>
                  </w:r>
                </w:p>
              </w:tc>
              <w:tc>
                <w:tcPr>
                  <w:tcW w:w="2348" w:type="dxa"/>
                  <w:tcBorders>
                    <w:tl2br w:val="nil"/>
                    <w:tr2bl w:val="nil"/>
                  </w:tcBorders>
                  <w:vAlign w:val="center"/>
                </w:tcPr>
                <w:p w14:paraId="72CFA56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动物产生的异味废气</w:t>
                  </w:r>
                </w:p>
              </w:tc>
              <w:tc>
                <w:tcPr>
                  <w:tcW w:w="2051" w:type="dxa"/>
                  <w:tcBorders>
                    <w:tl2br w:val="nil"/>
                    <w:tr2bl w:val="nil"/>
                  </w:tcBorders>
                  <w:vAlign w:val="center"/>
                </w:tcPr>
                <w:p w14:paraId="4938F93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H</w:t>
                  </w:r>
                  <w:r>
                    <w:rPr>
                      <w:rFonts w:hint="default" w:ascii="Times New Roman" w:hAnsi="Times New Roman" w:cs="Times New Roman" w:eastAsiaTheme="minorEastAsia"/>
                      <w:b w:val="0"/>
                      <w:bCs w:val="0"/>
                      <w:color w:val="auto"/>
                      <w:sz w:val="21"/>
                      <w:szCs w:val="21"/>
                      <w:highlight w:val="none"/>
                      <w:vertAlign w:val="subscript"/>
                      <w:lang w:val="en-US" w:eastAsia="zh-CN"/>
                    </w:rPr>
                    <w:t>2</w:t>
                  </w:r>
                  <w:r>
                    <w:rPr>
                      <w:rFonts w:hint="default" w:ascii="Times New Roman" w:hAnsi="Times New Roman" w:cs="Times New Roman" w:eastAsiaTheme="minorEastAsia"/>
                      <w:b w:val="0"/>
                      <w:bCs w:val="0"/>
                      <w:color w:val="auto"/>
                      <w:sz w:val="21"/>
                      <w:szCs w:val="21"/>
                      <w:highlight w:val="none"/>
                      <w:vertAlign w:val="baseline"/>
                      <w:lang w:val="en-US" w:eastAsia="zh-CN"/>
                    </w:rPr>
                    <w:t>S、NH</w:t>
                  </w:r>
                  <w:r>
                    <w:rPr>
                      <w:rFonts w:hint="default" w:ascii="Times New Roman" w:hAnsi="Times New Roman" w:cs="Times New Roman" w:eastAsiaTheme="minorEastAsia"/>
                      <w:b w:val="0"/>
                      <w:bCs w:val="0"/>
                      <w:color w:val="auto"/>
                      <w:sz w:val="21"/>
                      <w:szCs w:val="21"/>
                      <w:highlight w:val="none"/>
                      <w:vertAlign w:val="subscript"/>
                      <w:lang w:val="en-US" w:eastAsia="zh-CN"/>
                    </w:rPr>
                    <w:t>3</w:t>
                  </w:r>
                  <w:r>
                    <w:rPr>
                      <w:rFonts w:hint="default" w:ascii="Times New Roman" w:hAnsi="Times New Roman" w:cs="Times New Roman" w:eastAsiaTheme="minorEastAsia"/>
                      <w:b w:val="0"/>
                      <w:bCs w:val="0"/>
                      <w:color w:val="auto"/>
                      <w:sz w:val="21"/>
                      <w:szCs w:val="21"/>
                      <w:highlight w:val="none"/>
                      <w:vertAlign w:val="baseline"/>
                      <w:lang w:val="en-US" w:eastAsia="zh-CN"/>
                    </w:rPr>
                    <w:t>、臭气浓度</w:t>
                  </w:r>
                </w:p>
              </w:tc>
              <w:tc>
                <w:tcPr>
                  <w:tcW w:w="645" w:type="dxa"/>
                  <w:tcBorders>
                    <w:tl2br w:val="nil"/>
                    <w:tr2bl w:val="nil"/>
                  </w:tcBorders>
                  <w:vAlign w:val="center"/>
                </w:tcPr>
                <w:p w14:paraId="3F2B84EF">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46FF798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各房间吊顶上方的排风管道设置吸风口，主管道内安装活性炭净化装置及排风机，异味经吸附净化后通过位于东侧外墙的排风口排放。</w:t>
                  </w:r>
                </w:p>
              </w:tc>
            </w:tr>
            <w:tr w14:paraId="5FED3F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582A312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废水</w:t>
                  </w:r>
                </w:p>
              </w:tc>
              <w:tc>
                <w:tcPr>
                  <w:tcW w:w="2348" w:type="dxa"/>
                  <w:tcBorders>
                    <w:tl2br w:val="nil"/>
                    <w:tr2bl w:val="nil"/>
                  </w:tcBorders>
                  <w:vAlign w:val="center"/>
                </w:tcPr>
                <w:p w14:paraId="2C1F35A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诊疗废水</w:t>
                  </w:r>
                </w:p>
              </w:tc>
              <w:tc>
                <w:tcPr>
                  <w:tcW w:w="2051" w:type="dxa"/>
                  <w:vMerge w:val="restart"/>
                  <w:tcBorders>
                    <w:tl2br w:val="nil"/>
                    <w:tr2bl w:val="nil"/>
                  </w:tcBorders>
                  <w:vAlign w:val="center"/>
                </w:tcPr>
                <w:p w14:paraId="3B7E474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pH值、COD</w:t>
                  </w:r>
                  <w:r>
                    <w:rPr>
                      <w:rFonts w:hint="eastAsia" w:ascii="Times New Roman" w:hAnsi="Times New Roman" w:cs="Times New Roman" w:eastAsiaTheme="minorEastAsia"/>
                      <w:b w:val="0"/>
                      <w:bCs w:val="0"/>
                      <w:color w:val="auto"/>
                      <w:sz w:val="21"/>
                      <w:szCs w:val="21"/>
                      <w:highlight w:val="none"/>
                      <w:vertAlign w:val="baseline"/>
                      <w:lang w:val="en-US" w:eastAsia="zh-CN"/>
                    </w:rPr>
                    <w:t>cr</w:t>
                  </w:r>
                  <w:r>
                    <w:rPr>
                      <w:rFonts w:hint="default" w:ascii="Times New Roman" w:hAnsi="Times New Roman" w:cs="Times New Roman" w:eastAsiaTheme="minorEastAsia"/>
                      <w:b w:val="0"/>
                      <w:bCs w:val="0"/>
                      <w:color w:val="auto"/>
                      <w:sz w:val="21"/>
                      <w:szCs w:val="21"/>
                      <w:highlight w:val="none"/>
                      <w:vertAlign w:val="baseline"/>
                      <w:lang w:val="en-US" w:eastAsia="zh-CN"/>
                    </w:rPr>
                    <w:t>、BOD</w:t>
                  </w:r>
                  <w:r>
                    <w:rPr>
                      <w:rFonts w:hint="default" w:ascii="Times New Roman" w:hAnsi="Times New Roman" w:cs="Times New Roman" w:eastAsiaTheme="minorEastAsia"/>
                      <w:b w:val="0"/>
                      <w:bCs w:val="0"/>
                      <w:color w:val="auto"/>
                      <w:sz w:val="21"/>
                      <w:szCs w:val="21"/>
                      <w:highlight w:val="none"/>
                      <w:vertAlign w:val="subscript"/>
                      <w:lang w:val="en-US" w:eastAsia="zh-CN"/>
                    </w:rPr>
                    <w:t>5</w:t>
                  </w:r>
                  <w:r>
                    <w:rPr>
                      <w:rFonts w:hint="default" w:ascii="Times New Roman" w:hAnsi="Times New Roman" w:cs="Times New Roman" w:eastAsiaTheme="minorEastAsia"/>
                      <w:b w:val="0"/>
                      <w:bCs w:val="0"/>
                      <w:color w:val="auto"/>
                      <w:sz w:val="21"/>
                      <w:szCs w:val="21"/>
                      <w:highlight w:val="none"/>
                      <w:vertAlign w:val="baseline"/>
                      <w:lang w:val="en-US" w:eastAsia="zh-CN"/>
                    </w:rPr>
                    <w:t>、SS、</w:t>
                  </w:r>
                  <w:r>
                    <w:rPr>
                      <w:rFonts w:hint="eastAsia" w:ascii="Times New Roman" w:hAnsi="Times New Roman" w:cs="Times New Roman" w:eastAsiaTheme="minorEastAsia"/>
                      <w:b w:val="0"/>
                      <w:bCs w:val="0"/>
                      <w:color w:val="auto"/>
                      <w:sz w:val="21"/>
                      <w:szCs w:val="21"/>
                      <w:highlight w:val="none"/>
                      <w:vertAlign w:val="baseline"/>
                      <w:lang w:val="en-US" w:eastAsia="zh-CN"/>
                    </w:rPr>
                    <w:t>氨氮、总余氯、粪大肠菌群</w:t>
                  </w:r>
                </w:p>
              </w:tc>
              <w:tc>
                <w:tcPr>
                  <w:tcW w:w="645" w:type="dxa"/>
                  <w:tcBorders>
                    <w:tl2br w:val="nil"/>
                    <w:tr2bl w:val="nil"/>
                  </w:tcBorders>
                  <w:vAlign w:val="center"/>
                </w:tcPr>
                <w:p w14:paraId="12AA61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restart"/>
                  <w:tcBorders>
                    <w:tl2br w:val="nil"/>
                    <w:tr2bl w:val="nil"/>
                  </w:tcBorders>
                  <w:vAlign w:val="center"/>
                </w:tcPr>
                <w:p w14:paraId="660ED7E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动物诊疗废水</w:t>
                  </w:r>
                  <w:r>
                    <w:rPr>
                      <w:rFonts w:hint="eastAsia" w:ascii="Times New Roman" w:hAnsi="Times New Roman" w:cs="Times New Roman" w:eastAsiaTheme="minorEastAsia"/>
                      <w:b w:val="0"/>
                      <w:bCs w:val="0"/>
                      <w:color w:val="auto"/>
                      <w:sz w:val="21"/>
                      <w:szCs w:val="21"/>
                      <w:highlight w:val="none"/>
                      <w:vertAlign w:val="baseline"/>
                      <w:lang w:val="en-US" w:eastAsia="zh-CN"/>
                    </w:rPr>
                    <w:t>、美容洗浴废水</w:t>
                  </w:r>
                  <w:r>
                    <w:rPr>
                      <w:rFonts w:hint="default" w:ascii="Times New Roman" w:hAnsi="Times New Roman" w:cs="Times New Roman" w:eastAsiaTheme="minorEastAsia"/>
                      <w:b w:val="0"/>
                      <w:bCs w:val="0"/>
                      <w:color w:val="auto"/>
                      <w:sz w:val="21"/>
                      <w:szCs w:val="21"/>
                      <w:highlight w:val="none"/>
                      <w:vertAlign w:val="baseline"/>
                      <w:lang w:val="en-US" w:eastAsia="zh-CN"/>
                    </w:rPr>
                    <w:t>经污水处理设备消毒后，与</w:t>
                  </w: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r>
                    <w:rPr>
                      <w:rFonts w:hint="default" w:ascii="Times New Roman" w:hAnsi="Times New Roman" w:cs="Times New Roman" w:eastAsiaTheme="minorEastAsia"/>
                      <w:b w:val="0"/>
                      <w:bCs w:val="0"/>
                      <w:color w:val="auto"/>
                      <w:sz w:val="21"/>
                      <w:szCs w:val="21"/>
                      <w:highlight w:val="none"/>
                      <w:vertAlign w:val="baseline"/>
                      <w:lang w:val="en-US" w:eastAsia="zh-CN"/>
                    </w:rPr>
                    <w:t>一同排入所在建筑集中化粪池预处理，最终通过市政污水管网汇入</w:t>
                  </w:r>
                  <w:r>
                    <w:rPr>
                      <w:rFonts w:hint="eastAsia" w:ascii="Times New Roman" w:hAnsi="Times New Roman" w:cs="Times New Roman" w:eastAsiaTheme="minorEastAsia"/>
                      <w:b w:val="0"/>
                      <w:bCs w:val="0"/>
                      <w:color w:val="auto"/>
                      <w:sz w:val="21"/>
                      <w:szCs w:val="21"/>
                      <w:highlight w:val="none"/>
                      <w:vertAlign w:val="baseline"/>
                      <w:lang w:val="en-US" w:eastAsia="zh-CN"/>
                    </w:rPr>
                    <w:t>北京中设水处理有限公司良乡污水处理厂</w:t>
                  </w:r>
                </w:p>
              </w:tc>
            </w:tr>
            <w:tr w14:paraId="73DC3A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E228A5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633F7F5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美容洗浴废水</w:t>
                  </w:r>
                </w:p>
              </w:tc>
              <w:tc>
                <w:tcPr>
                  <w:tcW w:w="2051" w:type="dxa"/>
                  <w:vMerge w:val="continue"/>
                  <w:tcBorders>
                    <w:tl2br w:val="nil"/>
                    <w:tr2bl w:val="nil"/>
                  </w:tcBorders>
                  <w:vAlign w:val="center"/>
                </w:tcPr>
                <w:p w14:paraId="4BBC43C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45" w:type="dxa"/>
                  <w:tcBorders>
                    <w:tl2br w:val="nil"/>
                    <w:tr2bl w:val="nil"/>
                  </w:tcBorders>
                  <w:vAlign w:val="center"/>
                </w:tcPr>
                <w:p w14:paraId="0B88BA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6F32473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6A8A1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36EA50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6AE4B9D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p>
              </w:tc>
              <w:tc>
                <w:tcPr>
                  <w:tcW w:w="2051" w:type="dxa"/>
                  <w:vMerge w:val="continue"/>
                  <w:tcBorders>
                    <w:tl2br w:val="nil"/>
                    <w:tr2bl w:val="nil"/>
                  </w:tcBorders>
                  <w:vAlign w:val="center"/>
                </w:tcPr>
                <w:p w14:paraId="70D0AE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45" w:type="dxa"/>
                  <w:tcBorders>
                    <w:tl2br w:val="nil"/>
                    <w:tr2bl w:val="nil"/>
                  </w:tcBorders>
                  <w:vAlign w:val="center"/>
                </w:tcPr>
                <w:p w14:paraId="0B9D48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48F5BC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1B26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45EB642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2348" w:type="dxa"/>
                  <w:tcBorders>
                    <w:tl2br w:val="nil"/>
                    <w:tr2bl w:val="nil"/>
                  </w:tcBorders>
                  <w:vAlign w:val="center"/>
                </w:tcPr>
                <w:p w14:paraId="2D1FA13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医疗设备</w:t>
                  </w:r>
                </w:p>
              </w:tc>
              <w:tc>
                <w:tcPr>
                  <w:tcW w:w="2051" w:type="dxa"/>
                  <w:tcBorders>
                    <w:tl2br w:val="nil"/>
                    <w:tr2bl w:val="nil"/>
                  </w:tcBorders>
                  <w:vAlign w:val="center"/>
                </w:tcPr>
                <w:p w14:paraId="212669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3C32C35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restart"/>
                  <w:tcBorders>
                    <w:tl2br w:val="nil"/>
                    <w:tr2bl w:val="nil"/>
                  </w:tcBorders>
                  <w:vAlign w:val="center"/>
                </w:tcPr>
                <w:p w14:paraId="58B765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选用低噪声设备，基础减振，距离衰减等</w:t>
                  </w:r>
                </w:p>
              </w:tc>
            </w:tr>
            <w:tr w14:paraId="704F7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4434E4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4B3600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污水处理设备</w:t>
                  </w:r>
                </w:p>
              </w:tc>
              <w:tc>
                <w:tcPr>
                  <w:tcW w:w="2051" w:type="dxa"/>
                  <w:tcBorders>
                    <w:tl2br w:val="nil"/>
                    <w:tr2bl w:val="nil"/>
                  </w:tcBorders>
                  <w:vAlign w:val="center"/>
                </w:tcPr>
                <w:p w14:paraId="56CB2E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28B808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5648ED4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0AB8F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D524BA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52ED952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动物吠叫</w:t>
                  </w:r>
                </w:p>
              </w:tc>
              <w:tc>
                <w:tcPr>
                  <w:tcW w:w="2051" w:type="dxa"/>
                  <w:tcBorders>
                    <w:tl2br w:val="nil"/>
                    <w:tr2bl w:val="nil"/>
                  </w:tcBorders>
                  <w:vAlign w:val="center"/>
                </w:tcPr>
                <w:p w14:paraId="24F464B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2B74C11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28DD3D2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0D9C1C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15C5E27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固体</w:t>
                  </w:r>
                </w:p>
                <w:p w14:paraId="666D03C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废物</w:t>
                  </w:r>
                </w:p>
              </w:tc>
              <w:tc>
                <w:tcPr>
                  <w:tcW w:w="2348" w:type="dxa"/>
                  <w:tcBorders>
                    <w:tl2br w:val="nil"/>
                    <w:tr2bl w:val="nil"/>
                  </w:tcBorders>
                  <w:vAlign w:val="center"/>
                </w:tcPr>
                <w:p w14:paraId="426570E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生活办公</w:t>
                  </w:r>
                </w:p>
              </w:tc>
              <w:tc>
                <w:tcPr>
                  <w:tcW w:w="2051" w:type="dxa"/>
                  <w:tcBorders>
                    <w:tl2br w:val="nil"/>
                    <w:tr2bl w:val="nil"/>
                  </w:tcBorders>
                  <w:vAlign w:val="center"/>
                </w:tcPr>
                <w:p w14:paraId="47ECD3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生活垃圾</w:t>
                  </w:r>
                </w:p>
              </w:tc>
              <w:tc>
                <w:tcPr>
                  <w:tcW w:w="645" w:type="dxa"/>
                  <w:tcBorders>
                    <w:tl2br w:val="nil"/>
                    <w:tr2bl w:val="nil"/>
                  </w:tcBorders>
                  <w:vAlign w:val="center"/>
                </w:tcPr>
                <w:p w14:paraId="3B7633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6138239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由环卫部门定期清运处置</w:t>
                  </w:r>
                </w:p>
              </w:tc>
            </w:tr>
            <w:tr w14:paraId="301A6A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133AAD8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1840C1B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原辅材料包装、医疗器械外包装物</w:t>
                  </w:r>
                </w:p>
              </w:tc>
              <w:tc>
                <w:tcPr>
                  <w:tcW w:w="2051" w:type="dxa"/>
                  <w:tcBorders>
                    <w:tl2br w:val="nil"/>
                    <w:tr2bl w:val="nil"/>
                  </w:tcBorders>
                  <w:vAlign w:val="center"/>
                </w:tcPr>
                <w:p w14:paraId="16444C3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废包装物</w:t>
                  </w:r>
                </w:p>
              </w:tc>
              <w:tc>
                <w:tcPr>
                  <w:tcW w:w="645" w:type="dxa"/>
                  <w:tcBorders>
                    <w:tl2br w:val="nil"/>
                    <w:tr2bl w:val="nil"/>
                  </w:tcBorders>
                  <w:vAlign w:val="center"/>
                </w:tcPr>
                <w:p w14:paraId="59A451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6801CB5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交由废品回收站回收再利用</w:t>
                  </w:r>
                </w:p>
              </w:tc>
            </w:tr>
            <w:tr w14:paraId="43706E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2D8C900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362FF4D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异味净化系统</w:t>
                  </w:r>
                </w:p>
              </w:tc>
              <w:tc>
                <w:tcPr>
                  <w:tcW w:w="2051" w:type="dxa"/>
                  <w:tcBorders>
                    <w:tl2br w:val="nil"/>
                    <w:tr2bl w:val="nil"/>
                  </w:tcBorders>
                  <w:vAlign w:val="center"/>
                </w:tcPr>
                <w:p w14:paraId="0FD9788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废活性炭</w:t>
                  </w:r>
                </w:p>
              </w:tc>
              <w:tc>
                <w:tcPr>
                  <w:tcW w:w="645" w:type="dxa"/>
                  <w:tcBorders>
                    <w:tl2br w:val="nil"/>
                    <w:tr2bl w:val="nil"/>
                  </w:tcBorders>
                  <w:vAlign w:val="center"/>
                </w:tcPr>
                <w:p w14:paraId="1EC4297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2DA3A82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由生产厂家回收再利用</w:t>
                  </w:r>
                </w:p>
              </w:tc>
            </w:tr>
            <w:tr w14:paraId="1F4B2C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965D1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0E8E52D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诊室、手术室等</w:t>
                  </w:r>
                </w:p>
              </w:tc>
              <w:tc>
                <w:tcPr>
                  <w:tcW w:w="2051" w:type="dxa"/>
                  <w:tcBorders>
                    <w:tl2br w:val="nil"/>
                    <w:tr2bl w:val="nil"/>
                  </w:tcBorders>
                  <w:vAlign w:val="center"/>
                </w:tcPr>
                <w:p w14:paraId="069503F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医疗废物</w:t>
                  </w:r>
                </w:p>
              </w:tc>
              <w:tc>
                <w:tcPr>
                  <w:tcW w:w="645" w:type="dxa"/>
                  <w:tcBorders>
                    <w:tl2br w:val="nil"/>
                    <w:tr2bl w:val="nil"/>
                  </w:tcBorders>
                  <w:vAlign w:val="center"/>
                </w:tcPr>
                <w:p w14:paraId="55A73BA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52FF1DE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分类收集后暂存于医疗废物暂存间，定期委托资质单位转运处置</w:t>
                  </w:r>
                </w:p>
              </w:tc>
            </w:tr>
          </w:tbl>
          <w:p w14:paraId="66E1F8E3">
            <w:pPr>
              <w:rPr>
                <w:rFonts w:hint="default"/>
                <w:vertAlign w:val="baseline"/>
                <w:lang w:val="en-US" w:eastAsia="zh-CN"/>
              </w:rPr>
            </w:pPr>
          </w:p>
          <w:p w14:paraId="6BF8F6F4">
            <w:pPr>
              <w:ind w:left="0" w:leftChars="0" w:firstLine="0" w:firstLineChars="0"/>
              <w:rPr>
                <w:vertAlign w:val="baseline"/>
              </w:rPr>
            </w:pPr>
          </w:p>
        </w:tc>
      </w:tr>
      <w:tr w14:paraId="2CB2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09" w:type="dxa"/>
            <w:vAlign w:val="center"/>
          </w:tcPr>
          <w:p w14:paraId="5FF7BC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与项目有关的原有环境污染问题</w:t>
            </w:r>
          </w:p>
        </w:tc>
        <w:tc>
          <w:tcPr>
            <w:tcW w:w="8239" w:type="dxa"/>
            <w:vAlign w:val="center"/>
          </w:tcPr>
          <w:p w14:paraId="37366D50">
            <w:pPr>
              <w:rPr>
                <w:rFonts w:hint="eastAsia"/>
                <w:vertAlign w:val="baseline"/>
                <w:lang w:val="en-US" w:eastAsia="zh-CN"/>
              </w:rPr>
            </w:pPr>
          </w:p>
          <w:p w14:paraId="3AFB6939">
            <w:pPr>
              <w:rPr>
                <w:rFonts w:hint="eastAsia"/>
                <w:vertAlign w:val="baseline"/>
                <w:lang w:val="en-US" w:eastAsia="zh-CN"/>
              </w:rPr>
            </w:pPr>
            <w:r>
              <w:rPr>
                <w:rFonts w:hint="eastAsia"/>
                <w:vertAlign w:val="baseline"/>
                <w:lang w:val="en-US" w:eastAsia="zh-CN"/>
              </w:rPr>
              <w:t>本项目为新建项目，不存在与项目有关的原有环境污染问题。</w:t>
            </w:r>
          </w:p>
          <w:p w14:paraId="5AA9F71C">
            <w:pPr>
              <w:rPr>
                <w:rFonts w:hint="eastAsia"/>
                <w:vertAlign w:val="baseline"/>
                <w:lang w:val="en-US" w:eastAsia="zh-CN"/>
              </w:rPr>
            </w:pPr>
          </w:p>
          <w:p w14:paraId="277D8A26">
            <w:pPr>
              <w:rPr>
                <w:rFonts w:hint="default"/>
                <w:vertAlign w:val="baseline"/>
                <w:lang w:val="en-US" w:eastAsia="zh-CN"/>
              </w:rPr>
            </w:pPr>
          </w:p>
          <w:p w14:paraId="3A102DF9">
            <w:pPr>
              <w:rPr>
                <w:rFonts w:hint="default"/>
                <w:vertAlign w:val="baseline"/>
                <w:lang w:val="en-US" w:eastAsia="zh-CN"/>
              </w:rPr>
            </w:pPr>
          </w:p>
          <w:p w14:paraId="2115A37D">
            <w:pPr>
              <w:rPr>
                <w:rFonts w:hint="default"/>
                <w:vertAlign w:val="baseline"/>
                <w:lang w:val="en-US" w:eastAsia="zh-CN"/>
              </w:rPr>
            </w:pPr>
          </w:p>
          <w:p w14:paraId="5C19560C">
            <w:pPr>
              <w:rPr>
                <w:rFonts w:hint="default"/>
                <w:vertAlign w:val="baseline"/>
                <w:lang w:val="en-US" w:eastAsia="zh-CN"/>
              </w:rPr>
            </w:pPr>
          </w:p>
          <w:p w14:paraId="5ACBAE84">
            <w:pPr>
              <w:rPr>
                <w:rFonts w:hint="default"/>
                <w:vertAlign w:val="baseline"/>
                <w:lang w:val="en-US" w:eastAsia="zh-CN"/>
              </w:rPr>
            </w:pPr>
          </w:p>
          <w:p w14:paraId="1AEE3830">
            <w:pPr>
              <w:rPr>
                <w:rFonts w:hint="default"/>
                <w:vertAlign w:val="baseline"/>
                <w:lang w:val="en-US" w:eastAsia="zh-CN"/>
              </w:rPr>
            </w:pPr>
          </w:p>
          <w:p w14:paraId="710D0859">
            <w:pPr>
              <w:rPr>
                <w:rFonts w:hint="default"/>
                <w:vertAlign w:val="baseline"/>
                <w:lang w:val="en-US" w:eastAsia="zh-CN"/>
              </w:rPr>
            </w:pPr>
          </w:p>
          <w:p w14:paraId="25A343A1">
            <w:pPr>
              <w:rPr>
                <w:rFonts w:hint="default"/>
                <w:vertAlign w:val="baseline"/>
                <w:lang w:val="en-US" w:eastAsia="zh-CN"/>
              </w:rPr>
            </w:pPr>
          </w:p>
        </w:tc>
      </w:tr>
    </w:tbl>
    <w:p w14:paraId="7313E0DE">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0348F6A">
      <w:pPr>
        <w:pStyle w:val="2"/>
        <w:bidi w:val="0"/>
        <w:rPr>
          <w:rFonts w:hint="default"/>
          <w:lang w:val="en-US" w:eastAsia="zh-CN"/>
        </w:rPr>
      </w:pPr>
      <w:r>
        <w:rPr>
          <w:rFonts w:hint="eastAsia"/>
          <w:lang w:val="en-US" w:eastAsia="zh-CN"/>
        </w:rPr>
        <w:t>三、区域环境质量现状、环境保护目标及评价标准</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224"/>
      </w:tblGrid>
      <w:tr w14:paraId="621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39F02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区域环境质量现状</w:t>
            </w:r>
          </w:p>
        </w:tc>
        <w:tc>
          <w:tcPr>
            <w:tcW w:w="8224" w:type="dxa"/>
            <w:vAlign w:val="center"/>
          </w:tcPr>
          <w:p w14:paraId="398DF0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1、大气环境质量现状</w:t>
            </w:r>
          </w:p>
          <w:p w14:paraId="0F1017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本项目所在区域为二类环境空气功能区，环境空气质量执行《环境空气质量标准》（GB3095-2012）及其修改单中二级标准。本次环评引用《2023年北京市生态环境状况公报》（2024年5月）数据对北京市、</w:t>
            </w:r>
            <w:r>
              <w:rPr>
                <w:rFonts w:hint="eastAsia" w:cs="Times New Roman"/>
                <w:sz w:val="24"/>
                <w:szCs w:val="24"/>
                <w:vertAlign w:val="baseline"/>
                <w:lang w:val="en-US" w:eastAsia="zh-CN"/>
              </w:rPr>
              <w:t>房山</w:t>
            </w:r>
            <w:r>
              <w:rPr>
                <w:rFonts w:hint="eastAsia" w:ascii="Times New Roman" w:hAnsi="Times New Roman" w:eastAsia="宋体" w:cs="Times New Roman"/>
                <w:sz w:val="24"/>
                <w:szCs w:val="24"/>
                <w:vertAlign w:val="baseline"/>
                <w:lang w:val="en-US" w:eastAsia="zh-CN"/>
              </w:rPr>
              <w:t>区空气质量状况进行评价，具体见下表。</w:t>
            </w:r>
          </w:p>
          <w:p w14:paraId="6BD43B46">
            <w:pPr>
              <w:pStyle w:val="11"/>
              <w:bidi w:val="0"/>
              <w:rPr>
                <w:rFonts w:hint="default"/>
                <w:lang w:val="en-US" w:eastAsia="zh-CN"/>
              </w:rPr>
            </w:pPr>
            <w:r>
              <w:rPr>
                <w:rFonts w:hint="eastAsia"/>
                <w:lang w:val="en-US" w:eastAsia="zh-CN"/>
              </w:rPr>
              <w:t>表3-1 北京市及房山区2023年环境空气监测结果一览表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012"/>
              <w:gridCol w:w="1794"/>
              <w:gridCol w:w="1181"/>
              <w:gridCol w:w="1104"/>
              <w:gridCol w:w="1104"/>
              <w:gridCol w:w="912"/>
            </w:tblGrid>
            <w:tr w14:paraId="76B91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tcBorders>
                    <w:tl2br w:val="nil"/>
                    <w:tr2bl w:val="nil"/>
                  </w:tcBorders>
                  <w:vAlign w:val="center"/>
                </w:tcPr>
                <w:p w14:paraId="382643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区域</w:t>
                  </w:r>
                </w:p>
              </w:tc>
              <w:tc>
                <w:tcPr>
                  <w:tcW w:w="990" w:type="dxa"/>
                  <w:tcBorders>
                    <w:tl2br w:val="nil"/>
                    <w:tr2bl w:val="nil"/>
                  </w:tcBorders>
                  <w:vAlign w:val="center"/>
                </w:tcPr>
                <w:p w14:paraId="319BD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污染物</w:t>
                  </w:r>
                </w:p>
              </w:tc>
              <w:tc>
                <w:tcPr>
                  <w:tcW w:w="1755" w:type="dxa"/>
                  <w:tcBorders>
                    <w:tl2br w:val="nil"/>
                    <w:tr2bl w:val="nil"/>
                  </w:tcBorders>
                  <w:vAlign w:val="center"/>
                </w:tcPr>
                <w:p w14:paraId="6544B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评价指标</w:t>
                  </w:r>
                </w:p>
              </w:tc>
              <w:tc>
                <w:tcPr>
                  <w:tcW w:w="1155" w:type="dxa"/>
                  <w:tcBorders>
                    <w:tl2br w:val="nil"/>
                    <w:tr2bl w:val="nil"/>
                  </w:tcBorders>
                  <w:vAlign w:val="center"/>
                </w:tcPr>
                <w:p w14:paraId="39915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现状浓度μg/m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7E157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标准值</w:t>
                  </w:r>
                  <w:r>
                    <w:rPr>
                      <w:rFonts w:hint="default" w:ascii="Times New Roman" w:hAnsi="Times New Roman" w:eastAsia="宋体" w:cs="Times New Roman"/>
                      <w:b/>
                      <w:bCs/>
                      <w:color w:val="000000"/>
                      <w:kern w:val="0"/>
                      <w:sz w:val="21"/>
                      <w:szCs w:val="21"/>
                      <w:highlight w:val="none"/>
                      <w:vertAlign w:val="baseline"/>
                      <w:lang w:val="en-US" w:eastAsia="zh-CN" w:bidi="ar"/>
                    </w:rPr>
                    <w:t>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577E0D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占标率%</w:t>
                  </w:r>
                </w:p>
              </w:tc>
              <w:tc>
                <w:tcPr>
                  <w:tcW w:w="892" w:type="dxa"/>
                  <w:tcBorders>
                    <w:tl2br w:val="nil"/>
                    <w:tr2bl w:val="nil"/>
                  </w:tcBorders>
                  <w:vAlign w:val="center"/>
                </w:tcPr>
                <w:p w14:paraId="65ACCA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达标</w:t>
                  </w:r>
                </w:p>
                <w:p w14:paraId="784CEE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情况</w:t>
                  </w:r>
                </w:p>
              </w:tc>
            </w:tr>
            <w:tr w14:paraId="32F867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EDE5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北京市</w:t>
                  </w:r>
                </w:p>
              </w:tc>
              <w:tc>
                <w:tcPr>
                  <w:tcW w:w="990" w:type="dxa"/>
                  <w:tcBorders>
                    <w:tl2br w:val="nil"/>
                    <w:tr2bl w:val="nil"/>
                  </w:tcBorders>
                  <w:vAlign w:val="center"/>
                </w:tcPr>
                <w:p w14:paraId="03D21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13A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67F7E4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32</w:t>
                  </w:r>
                </w:p>
              </w:tc>
              <w:tc>
                <w:tcPr>
                  <w:tcW w:w="1080" w:type="dxa"/>
                  <w:tcBorders>
                    <w:tl2br w:val="nil"/>
                    <w:tr2bl w:val="nil"/>
                  </w:tcBorders>
                  <w:vAlign w:val="center"/>
                </w:tcPr>
                <w:p w14:paraId="7C305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080" w:type="dxa"/>
                  <w:tcBorders>
                    <w:tl2br w:val="nil"/>
                    <w:tr2bl w:val="nil"/>
                  </w:tcBorders>
                  <w:vAlign w:val="center"/>
                </w:tcPr>
                <w:p w14:paraId="611A4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91.43</w:t>
                  </w:r>
                </w:p>
              </w:tc>
              <w:tc>
                <w:tcPr>
                  <w:tcW w:w="892" w:type="dxa"/>
                  <w:tcBorders>
                    <w:tl2br w:val="nil"/>
                    <w:tr2bl w:val="nil"/>
                  </w:tcBorders>
                  <w:vAlign w:val="center"/>
                </w:tcPr>
                <w:p w14:paraId="304E6A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4B9EE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6F67C9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2BE0B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50A26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32D48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61</w:t>
                  </w:r>
                </w:p>
              </w:tc>
              <w:tc>
                <w:tcPr>
                  <w:tcW w:w="1080" w:type="dxa"/>
                  <w:tcBorders>
                    <w:tl2br w:val="nil"/>
                    <w:tr2bl w:val="nil"/>
                  </w:tcBorders>
                  <w:vAlign w:val="center"/>
                </w:tcPr>
                <w:p w14:paraId="03792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080" w:type="dxa"/>
                  <w:tcBorders>
                    <w:tl2br w:val="nil"/>
                    <w:tr2bl w:val="nil"/>
                  </w:tcBorders>
                  <w:vAlign w:val="center"/>
                </w:tcPr>
                <w:p w14:paraId="4048E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87.15</w:t>
                  </w:r>
                </w:p>
              </w:tc>
              <w:tc>
                <w:tcPr>
                  <w:tcW w:w="892" w:type="dxa"/>
                  <w:tcBorders>
                    <w:tl2br w:val="nil"/>
                    <w:tr2bl w:val="nil"/>
                  </w:tcBorders>
                  <w:vAlign w:val="center"/>
                </w:tcPr>
                <w:p w14:paraId="538A0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6DECD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73112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5971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29E3F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468EF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080" w:type="dxa"/>
                  <w:tcBorders>
                    <w:tl2br w:val="nil"/>
                    <w:tr2bl w:val="nil"/>
                  </w:tcBorders>
                  <w:vAlign w:val="center"/>
                </w:tcPr>
                <w:p w14:paraId="2ABCFB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080" w:type="dxa"/>
                  <w:tcBorders>
                    <w:tl2br w:val="nil"/>
                    <w:tr2bl w:val="nil"/>
                  </w:tcBorders>
                  <w:vAlign w:val="center"/>
                </w:tcPr>
                <w:p w14:paraId="559134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892" w:type="dxa"/>
                  <w:tcBorders>
                    <w:tl2br w:val="nil"/>
                    <w:tr2bl w:val="nil"/>
                  </w:tcBorders>
                  <w:vAlign w:val="center"/>
                </w:tcPr>
                <w:p w14:paraId="5F76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726B4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CC538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802B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0C5964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5AA426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26</w:t>
                  </w:r>
                </w:p>
              </w:tc>
              <w:tc>
                <w:tcPr>
                  <w:tcW w:w="1080" w:type="dxa"/>
                  <w:tcBorders>
                    <w:tl2br w:val="nil"/>
                    <w:tr2bl w:val="nil"/>
                  </w:tcBorders>
                  <w:vAlign w:val="center"/>
                </w:tcPr>
                <w:p w14:paraId="2E71D4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080" w:type="dxa"/>
                  <w:tcBorders>
                    <w:tl2br w:val="nil"/>
                    <w:tr2bl w:val="nil"/>
                  </w:tcBorders>
                  <w:vAlign w:val="center"/>
                </w:tcPr>
                <w:p w14:paraId="4514F9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65.00</w:t>
                  </w:r>
                </w:p>
              </w:tc>
              <w:tc>
                <w:tcPr>
                  <w:tcW w:w="892" w:type="dxa"/>
                  <w:tcBorders>
                    <w:tl2br w:val="nil"/>
                    <w:tr2bl w:val="nil"/>
                  </w:tcBorders>
                  <w:vAlign w:val="center"/>
                </w:tcPr>
                <w:p w14:paraId="2F0CF6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0784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5D1D6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496E8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O</w:t>
                  </w:r>
                  <w:r>
                    <w:rPr>
                      <w:rFonts w:hint="eastAsia" w:ascii="Times New Roman" w:hAnsi="Times New Roman" w:eastAsia="宋体" w:cs="Times New Roman"/>
                      <w:b w:val="0"/>
                      <w:bCs w:val="0"/>
                      <w:color w:val="000000"/>
                      <w:kern w:val="0"/>
                      <w:sz w:val="21"/>
                      <w:szCs w:val="21"/>
                      <w:highlight w:val="none"/>
                      <w:vertAlign w:val="subscript"/>
                      <w:lang w:val="en-US" w:eastAsia="zh-CN" w:bidi="ar"/>
                    </w:rPr>
                    <w:t>3</w:t>
                  </w:r>
                </w:p>
              </w:tc>
              <w:tc>
                <w:tcPr>
                  <w:tcW w:w="1755" w:type="dxa"/>
                  <w:tcBorders>
                    <w:tl2br w:val="nil"/>
                    <w:tr2bl w:val="nil"/>
                  </w:tcBorders>
                  <w:vAlign w:val="center"/>
                </w:tcPr>
                <w:p w14:paraId="7F4EA5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日最大8小时</w:t>
                  </w:r>
                </w:p>
                <w:p w14:paraId="16C331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平均浓度</w:t>
                  </w:r>
                </w:p>
              </w:tc>
              <w:tc>
                <w:tcPr>
                  <w:tcW w:w="1155" w:type="dxa"/>
                  <w:tcBorders>
                    <w:tl2br w:val="nil"/>
                    <w:tr2bl w:val="nil"/>
                  </w:tcBorders>
                  <w:vAlign w:val="center"/>
                </w:tcPr>
                <w:p w14:paraId="298E9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175</w:t>
                  </w:r>
                </w:p>
              </w:tc>
              <w:tc>
                <w:tcPr>
                  <w:tcW w:w="1080" w:type="dxa"/>
                  <w:tcBorders>
                    <w:tl2br w:val="nil"/>
                    <w:tr2bl w:val="nil"/>
                  </w:tcBorders>
                  <w:vAlign w:val="center"/>
                </w:tcPr>
                <w:p w14:paraId="0DBF03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160</w:t>
                  </w:r>
                </w:p>
              </w:tc>
              <w:tc>
                <w:tcPr>
                  <w:tcW w:w="1080" w:type="dxa"/>
                  <w:tcBorders>
                    <w:tl2br w:val="nil"/>
                    <w:tr2bl w:val="nil"/>
                  </w:tcBorders>
                  <w:vAlign w:val="center"/>
                </w:tcPr>
                <w:p w14:paraId="205C4A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109.38</w:t>
                  </w:r>
                </w:p>
              </w:tc>
              <w:tc>
                <w:tcPr>
                  <w:tcW w:w="892" w:type="dxa"/>
                  <w:tcBorders>
                    <w:tl2br w:val="nil"/>
                    <w:tr2bl w:val="nil"/>
                  </w:tcBorders>
                  <w:vAlign w:val="center"/>
                </w:tcPr>
                <w:p w14:paraId="382F3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不达标</w:t>
                  </w:r>
                </w:p>
              </w:tc>
            </w:tr>
            <w:tr w14:paraId="00EC4E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09DAF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16D8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CO</w:t>
                  </w:r>
                </w:p>
              </w:tc>
              <w:tc>
                <w:tcPr>
                  <w:tcW w:w="1755" w:type="dxa"/>
                  <w:tcBorders>
                    <w:tl2br w:val="nil"/>
                    <w:tr2bl w:val="nil"/>
                  </w:tcBorders>
                  <w:vAlign w:val="center"/>
                </w:tcPr>
                <w:p w14:paraId="681BF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24小时平均浓度</w:t>
                  </w:r>
                </w:p>
              </w:tc>
              <w:tc>
                <w:tcPr>
                  <w:tcW w:w="1155" w:type="dxa"/>
                  <w:tcBorders>
                    <w:tl2br w:val="nil"/>
                    <w:tr2bl w:val="nil"/>
                  </w:tcBorders>
                  <w:vAlign w:val="center"/>
                </w:tcPr>
                <w:p w14:paraId="67EE1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900</w:t>
                  </w:r>
                </w:p>
              </w:tc>
              <w:tc>
                <w:tcPr>
                  <w:tcW w:w="1080" w:type="dxa"/>
                  <w:tcBorders>
                    <w:tl2br w:val="nil"/>
                    <w:tr2bl w:val="nil"/>
                  </w:tcBorders>
                  <w:vAlign w:val="center"/>
                </w:tcPr>
                <w:p w14:paraId="175A1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4000</w:t>
                  </w:r>
                </w:p>
              </w:tc>
              <w:tc>
                <w:tcPr>
                  <w:tcW w:w="1080" w:type="dxa"/>
                  <w:tcBorders>
                    <w:tl2br w:val="nil"/>
                    <w:tr2bl w:val="nil"/>
                  </w:tcBorders>
                  <w:vAlign w:val="center"/>
                </w:tcPr>
                <w:p w14:paraId="090595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22.50</w:t>
                  </w:r>
                </w:p>
              </w:tc>
              <w:tc>
                <w:tcPr>
                  <w:tcW w:w="892" w:type="dxa"/>
                  <w:tcBorders>
                    <w:tl2br w:val="nil"/>
                    <w:tr2bl w:val="nil"/>
                  </w:tcBorders>
                  <w:vAlign w:val="center"/>
                </w:tcPr>
                <w:p w14:paraId="7DDD5D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E29D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941F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房山区</w:t>
                  </w:r>
                </w:p>
              </w:tc>
              <w:tc>
                <w:tcPr>
                  <w:tcW w:w="990" w:type="dxa"/>
                  <w:tcBorders>
                    <w:tl2br w:val="nil"/>
                    <w:tr2bl w:val="nil"/>
                  </w:tcBorders>
                  <w:vAlign w:val="center"/>
                </w:tcPr>
                <w:p w14:paraId="2F3C3E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3328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0E1D77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34</w:t>
                  </w:r>
                </w:p>
              </w:tc>
              <w:tc>
                <w:tcPr>
                  <w:tcW w:w="1080" w:type="dxa"/>
                  <w:tcBorders>
                    <w:tl2br w:val="nil"/>
                    <w:tr2bl w:val="nil"/>
                  </w:tcBorders>
                  <w:vAlign w:val="center"/>
                </w:tcPr>
                <w:p w14:paraId="66401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080" w:type="dxa"/>
                  <w:tcBorders>
                    <w:tl2br w:val="nil"/>
                    <w:tr2bl w:val="nil"/>
                  </w:tcBorders>
                  <w:vAlign w:val="center"/>
                </w:tcPr>
                <w:p w14:paraId="78118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97.14</w:t>
                  </w:r>
                </w:p>
              </w:tc>
              <w:tc>
                <w:tcPr>
                  <w:tcW w:w="892" w:type="dxa"/>
                  <w:tcBorders>
                    <w:tl2br w:val="nil"/>
                    <w:tr2bl w:val="nil"/>
                  </w:tcBorders>
                  <w:vAlign w:val="center"/>
                </w:tcPr>
                <w:p w14:paraId="79CB78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2FDAB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DA196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45E928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3B02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DFC3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61</w:t>
                  </w:r>
                </w:p>
              </w:tc>
              <w:tc>
                <w:tcPr>
                  <w:tcW w:w="1080" w:type="dxa"/>
                  <w:tcBorders>
                    <w:tl2br w:val="nil"/>
                    <w:tr2bl w:val="nil"/>
                  </w:tcBorders>
                  <w:vAlign w:val="center"/>
                </w:tcPr>
                <w:p w14:paraId="265163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080" w:type="dxa"/>
                  <w:tcBorders>
                    <w:tl2br w:val="nil"/>
                    <w:tr2bl w:val="nil"/>
                  </w:tcBorders>
                  <w:vAlign w:val="center"/>
                </w:tcPr>
                <w:p w14:paraId="2B0F0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87.14</w:t>
                  </w:r>
                </w:p>
              </w:tc>
              <w:tc>
                <w:tcPr>
                  <w:tcW w:w="892" w:type="dxa"/>
                  <w:tcBorders>
                    <w:tl2br w:val="nil"/>
                    <w:tr2bl w:val="nil"/>
                  </w:tcBorders>
                  <w:vAlign w:val="center"/>
                </w:tcPr>
                <w:p w14:paraId="1F2127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691F2B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437A0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49FCB7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3417C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12B23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080" w:type="dxa"/>
                  <w:vAlign w:val="center"/>
                </w:tcPr>
                <w:p w14:paraId="6F31A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080" w:type="dxa"/>
                  <w:vAlign w:val="center"/>
                </w:tcPr>
                <w:p w14:paraId="1C6C91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892" w:type="dxa"/>
                  <w:vAlign w:val="center"/>
                </w:tcPr>
                <w:p w14:paraId="7711B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20DA8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0D953F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2AC91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58013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24764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25</w:t>
                  </w:r>
                </w:p>
              </w:tc>
              <w:tc>
                <w:tcPr>
                  <w:tcW w:w="1080" w:type="dxa"/>
                  <w:vAlign w:val="center"/>
                </w:tcPr>
                <w:p w14:paraId="3DBB07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080" w:type="dxa"/>
                  <w:vAlign w:val="center"/>
                </w:tcPr>
                <w:p w14:paraId="2EE0D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62.50</w:t>
                  </w:r>
                </w:p>
              </w:tc>
              <w:tc>
                <w:tcPr>
                  <w:tcW w:w="892" w:type="dxa"/>
                  <w:vAlign w:val="center"/>
                </w:tcPr>
                <w:p w14:paraId="5E856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bl>
          <w:p w14:paraId="68E55619">
            <w:pPr>
              <w:pStyle w:val="12"/>
              <w:bidi w:val="0"/>
              <w:rPr>
                <w:rFonts w:hint="default"/>
              </w:rPr>
            </w:pPr>
            <w:r>
              <w:rPr>
                <w:rFonts w:hint="default"/>
              </w:rPr>
              <w:t>注：*CO为24小时平均浓度第95百分位数，O</w:t>
            </w:r>
            <w:r>
              <w:rPr>
                <w:rFonts w:hint="default"/>
                <w:vertAlign w:val="subscript"/>
              </w:rPr>
              <w:t>3</w:t>
            </w:r>
            <w:r>
              <w:rPr>
                <w:rFonts w:hint="default"/>
              </w:rPr>
              <w:t>为日最大8小时平均浓度第90位百分位数。</w:t>
            </w:r>
          </w:p>
          <w:p w14:paraId="549C11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rPr>
              <w:t>根据以上监测结果可知，2023年本项目所在区域PM</w:t>
            </w:r>
            <w:r>
              <w:rPr>
                <w:rFonts w:hint="default" w:ascii="Times New Roman" w:hAnsi="Times New Roman" w:eastAsia="宋体" w:cs="Times New Roman"/>
                <w:sz w:val="24"/>
                <w:szCs w:val="24"/>
                <w:vertAlign w:val="subscript"/>
              </w:rPr>
              <w:t>2.5</w:t>
            </w:r>
            <w:r>
              <w:rPr>
                <w:rFonts w:hint="default" w:ascii="Times New Roman" w:hAnsi="Times New Roman" w:eastAsia="宋体" w:cs="Times New Roman"/>
                <w:sz w:val="24"/>
                <w:szCs w:val="24"/>
                <w:vertAlign w:val="baseline"/>
              </w:rPr>
              <w:t>年平均浓度、PM</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vertAlign w:val="baseline"/>
              </w:rPr>
              <w:t>年平均浓度、NO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年平均浓度、CO24小时平均浓度均满足《环境空气质量标准》（GB3095-2012）及其修改单（公告[2018]第29号）（二级）标准要求；</w:t>
            </w:r>
            <w:r>
              <w:rPr>
                <w:rFonts w:hint="eastAsia" w:cs="Times New Roman"/>
                <w:sz w:val="24"/>
                <w:szCs w:val="24"/>
                <w:vertAlign w:val="baseline"/>
                <w:lang w:val="en-US" w:eastAsia="zh-CN"/>
              </w:rPr>
              <w:t>房山</w:t>
            </w:r>
            <w:r>
              <w:rPr>
                <w:rFonts w:hint="default" w:ascii="Times New Roman" w:hAnsi="Times New Roman" w:eastAsia="宋体" w:cs="Times New Roman"/>
                <w:sz w:val="24"/>
                <w:szCs w:val="24"/>
                <w:vertAlign w:val="baseline"/>
              </w:rPr>
              <w:t>区无臭氧监测数据，引用北京市现状监测值，北京市O</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vertAlign w:val="baseline"/>
              </w:rPr>
              <w:t>日最大8小时平均浓度超过《环境空气质量标准》（GB3095-2012）及其修改单（公告[2018]第29号）（二级）标准限值。因此，本项目所在评价区域为不达标区。</w:t>
            </w:r>
          </w:p>
          <w:p w14:paraId="7BDBBA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2、地表水环境质量现状</w:t>
            </w:r>
          </w:p>
          <w:p w14:paraId="5BC5C3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vertAlign w:val="baseline"/>
                <w:lang w:val="en-US" w:eastAsia="zh-CN"/>
              </w:rPr>
              <w:t>距离项目最近的地表水体为项目西南约</w:t>
            </w:r>
            <w:r>
              <w:rPr>
                <w:rFonts w:hint="eastAsia" w:cs="Times New Roman"/>
                <w:sz w:val="24"/>
                <w:szCs w:val="24"/>
                <w:highlight w:val="none"/>
                <w:vertAlign w:val="baseline"/>
                <w:lang w:val="en-US" w:eastAsia="zh-CN"/>
              </w:rPr>
              <w:t>835m的刺猬河，属于大清河水系，</w:t>
            </w:r>
            <w:r>
              <w:rPr>
                <w:rFonts w:hint="eastAsia" w:cs="Times New Roman"/>
                <w:sz w:val="24"/>
                <w:szCs w:val="24"/>
                <w:vertAlign w:val="baseline"/>
                <w:lang w:val="en-US" w:eastAsia="zh-CN"/>
              </w:rPr>
              <w:t>水质分类</w:t>
            </w:r>
            <w:r>
              <w:rPr>
                <w:rFonts w:hint="default" w:ascii="Times New Roman" w:hAnsi="Times New Roman" w:cs="Times New Roman"/>
                <w:sz w:val="24"/>
                <w:szCs w:val="24"/>
                <w:vertAlign w:val="baseline"/>
                <w:lang w:val="en-US" w:eastAsia="zh-CN"/>
              </w:rPr>
              <w:t>为Ⅲ类，</w:t>
            </w:r>
            <w:r>
              <w:rPr>
                <w:rFonts w:hint="eastAsia" w:cs="Times New Roman"/>
                <w:sz w:val="24"/>
                <w:szCs w:val="24"/>
                <w:vertAlign w:val="baseline"/>
                <w:lang w:val="en-US" w:eastAsia="zh-CN"/>
              </w:rPr>
              <w:t>水体功能为集中式生活饮用水水源二级保护区，执行《地表水环境质量标准》（GB3838-2002）中</w:t>
            </w:r>
            <w:r>
              <w:rPr>
                <w:rFonts w:hint="default" w:ascii="Times New Roman" w:hAnsi="Times New Roman" w:cs="Times New Roman"/>
                <w:sz w:val="24"/>
                <w:szCs w:val="24"/>
                <w:vertAlign w:val="baseline"/>
                <w:lang w:val="en-US" w:eastAsia="zh-CN"/>
              </w:rPr>
              <w:t>的Ⅲ类</w:t>
            </w:r>
            <w:r>
              <w:rPr>
                <w:rFonts w:hint="eastAsia" w:cs="Times New Roman"/>
                <w:sz w:val="24"/>
                <w:szCs w:val="24"/>
                <w:vertAlign w:val="baseline"/>
                <w:lang w:val="en-US" w:eastAsia="zh-CN"/>
              </w:rPr>
              <w:t>标准。</w:t>
            </w:r>
          </w:p>
          <w:p w14:paraId="6EC52C8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根据北京市生态环境局网站公布的2024年3月至2025年2月河流水质状况，刺猬河水质除7月外均能达到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highlight w:val="none"/>
                <w:vertAlign w:val="baseline"/>
                <w:lang w:val="en-US" w:eastAsia="zh-CN"/>
              </w:rPr>
              <w:t>Ⅲ</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水质标准要求。具体统计结果详见下表。</w:t>
            </w:r>
          </w:p>
          <w:p w14:paraId="28E002F7">
            <w:pPr>
              <w:pStyle w:val="11"/>
              <w:bidi w:val="0"/>
              <w:rPr>
                <w:rFonts w:hint="eastAsia"/>
                <w:highlight w:val="none"/>
                <w:lang w:val="en-US" w:eastAsia="zh-CN"/>
              </w:rPr>
            </w:pPr>
            <w:r>
              <w:rPr>
                <w:rFonts w:hint="eastAsia"/>
                <w:highlight w:val="none"/>
                <w:lang w:val="en-US" w:eastAsia="zh-CN"/>
              </w:rPr>
              <w:t>表3-2 刺猬河近一年水质状况一览表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
              <w:gridCol w:w="617"/>
              <w:gridCol w:w="617"/>
              <w:gridCol w:w="617"/>
              <w:gridCol w:w="617"/>
              <w:gridCol w:w="617"/>
              <w:gridCol w:w="617"/>
              <w:gridCol w:w="618"/>
              <w:gridCol w:w="690"/>
              <w:gridCol w:w="690"/>
              <w:gridCol w:w="690"/>
              <w:gridCol w:w="593"/>
              <w:gridCol w:w="593"/>
            </w:tblGrid>
            <w:tr w14:paraId="30CC81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restart"/>
                  <w:tcBorders>
                    <w:tl2br w:val="nil"/>
                    <w:tr2bl w:val="nil"/>
                  </w:tcBorders>
                  <w:vAlign w:val="center"/>
                </w:tcPr>
                <w:p w14:paraId="32DB1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名称</w:t>
                  </w:r>
                </w:p>
              </w:tc>
              <w:tc>
                <w:tcPr>
                  <w:tcW w:w="6390" w:type="dxa"/>
                  <w:gridSpan w:val="10"/>
                  <w:tcBorders>
                    <w:tl2br w:val="nil"/>
                    <w:tr2bl w:val="nil"/>
                  </w:tcBorders>
                  <w:vAlign w:val="center"/>
                </w:tcPr>
                <w:p w14:paraId="7AB754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2024年</w:t>
                  </w:r>
                </w:p>
              </w:tc>
              <w:tc>
                <w:tcPr>
                  <w:tcW w:w="1186" w:type="dxa"/>
                  <w:gridSpan w:val="2"/>
                  <w:tcBorders>
                    <w:tl2br w:val="nil"/>
                    <w:tr2bl w:val="nil"/>
                  </w:tcBorders>
                  <w:vAlign w:val="center"/>
                </w:tcPr>
                <w:p w14:paraId="39B34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2025年</w:t>
                  </w:r>
                </w:p>
              </w:tc>
            </w:tr>
            <w:tr w14:paraId="18EAD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continue"/>
                  <w:tcBorders>
                    <w:tl2br w:val="nil"/>
                    <w:tr2bl w:val="nil"/>
                  </w:tcBorders>
                  <w:vAlign w:val="center"/>
                </w:tcPr>
                <w:p w14:paraId="710A7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p>
              </w:tc>
              <w:tc>
                <w:tcPr>
                  <w:tcW w:w="617" w:type="dxa"/>
                  <w:tcBorders>
                    <w:tl2br w:val="nil"/>
                    <w:tr2bl w:val="nil"/>
                  </w:tcBorders>
                  <w:shd w:val="clear" w:color="auto" w:fill="auto"/>
                  <w:vAlign w:val="center"/>
                </w:tcPr>
                <w:p w14:paraId="3940D3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3月</w:t>
                  </w:r>
                </w:p>
              </w:tc>
              <w:tc>
                <w:tcPr>
                  <w:tcW w:w="617" w:type="dxa"/>
                  <w:tcBorders>
                    <w:tl2br w:val="nil"/>
                    <w:tr2bl w:val="nil"/>
                  </w:tcBorders>
                  <w:shd w:val="clear" w:color="auto" w:fill="auto"/>
                  <w:vAlign w:val="center"/>
                </w:tcPr>
                <w:p w14:paraId="7D39E6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4月</w:t>
                  </w:r>
                </w:p>
              </w:tc>
              <w:tc>
                <w:tcPr>
                  <w:tcW w:w="617" w:type="dxa"/>
                  <w:tcBorders>
                    <w:tl2br w:val="nil"/>
                    <w:tr2bl w:val="nil"/>
                  </w:tcBorders>
                  <w:shd w:val="clear" w:color="auto" w:fill="auto"/>
                  <w:vAlign w:val="center"/>
                </w:tcPr>
                <w:p w14:paraId="1DAF2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5月</w:t>
                  </w:r>
                </w:p>
              </w:tc>
              <w:tc>
                <w:tcPr>
                  <w:tcW w:w="617" w:type="dxa"/>
                  <w:tcBorders>
                    <w:tl2br w:val="nil"/>
                    <w:tr2bl w:val="nil"/>
                  </w:tcBorders>
                  <w:shd w:val="clear" w:color="auto" w:fill="auto"/>
                  <w:vAlign w:val="center"/>
                </w:tcPr>
                <w:p w14:paraId="4A926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6月</w:t>
                  </w:r>
                </w:p>
              </w:tc>
              <w:tc>
                <w:tcPr>
                  <w:tcW w:w="617" w:type="dxa"/>
                  <w:tcBorders>
                    <w:tl2br w:val="nil"/>
                    <w:tr2bl w:val="nil"/>
                  </w:tcBorders>
                  <w:shd w:val="clear" w:color="auto" w:fill="auto"/>
                  <w:vAlign w:val="center"/>
                </w:tcPr>
                <w:p w14:paraId="57C93E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7月</w:t>
                  </w:r>
                </w:p>
              </w:tc>
              <w:tc>
                <w:tcPr>
                  <w:tcW w:w="617" w:type="dxa"/>
                  <w:tcBorders>
                    <w:tl2br w:val="nil"/>
                    <w:tr2bl w:val="nil"/>
                  </w:tcBorders>
                  <w:shd w:val="clear" w:color="auto" w:fill="auto"/>
                  <w:vAlign w:val="center"/>
                </w:tcPr>
                <w:p w14:paraId="66BEA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8月</w:t>
                  </w:r>
                </w:p>
              </w:tc>
              <w:tc>
                <w:tcPr>
                  <w:tcW w:w="618" w:type="dxa"/>
                  <w:tcBorders>
                    <w:tl2br w:val="nil"/>
                    <w:tr2bl w:val="nil"/>
                  </w:tcBorders>
                  <w:shd w:val="clear" w:color="auto" w:fill="auto"/>
                  <w:vAlign w:val="center"/>
                </w:tcPr>
                <w:p w14:paraId="6A34F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9月</w:t>
                  </w:r>
                </w:p>
              </w:tc>
              <w:tc>
                <w:tcPr>
                  <w:tcW w:w="690" w:type="dxa"/>
                  <w:tcBorders>
                    <w:tl2br w:val="nil"/>
                    <w:tr2bl w:val="nil"/>
                  </w:tcBorders>
                  <w:vAlign w:val="center"/>
                </w:tcPr>
                <w:p w14:paraId="7BA6C0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10月</w:t>
                  </w:r>
                </w:p>
              </w:tc>
              <w:tc>
                <w:tcPr>
                  <w:tcW w:w="690" w:type="dxa"/>
                  <w:tcBorders>
                    <w:tl2br w:val="nil"/>
                    <w:tr2bl w:val="nil"/>
                  </w:tcBorders>
                  <w:vAlign w:val="center"/>
                </w:tcPr>
                <w:p w14:paraId="7784D8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11月</w:t>
                  </w:r>
                </w:p>
              </w:tc>
              <w:tc>
                <w:tcPr>
                  <w:tcW w:w="690" w:type="dxa"/>
                  <w:tcBorders>
                    <w:tl2br w:val="nil"/>
                    <w:tr2bl w:val="nil"/>
                  </w:tcBorders>
                  <w:vAlign w:val="center"/>
                </w:tcPr>
                <w:p w14:paraId="12AF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12月</w:t>
                  </w:r>
                </w:p>
              </w:tc>
              <w:tc>
                <w:tcPr>
                  <w:tcW w:w="593" w:type="dxa"/>
                  <w:tcBorders>
                    <w:tl2br w:val="nil"/>
                    <w:tr2bl w:val="nil"/>
                  </w:tcBorders>
                  <w:vAlign w:val="center"/>
                </w:tcPr>
                <w:p w14:paraId="28E77F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1月</w:t>
                  </w:r>
                </w:p>
              </w:tc>
              <w:tc>
                <w:tcPr>
                  <w:tcW w:w="593" w:type="dxa"/>
                  <w:tcBorders>
                    <w:tl2br w:val="nil"/>
                    <w:tr2bl w:val="nil"/>
                  </w:tcBorders>
                  <w:vAlign w:val="center"/>
                </w:tcPr>
                <w:p w14:paraId="2ED9F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2月</w:t>
                  </w:r>
                </w:p>
              </w:tc>
            </w:tr>
            <w:tr w14:paraId="64F43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tcBorders>
                    <w:tl2br w:val="nil"/>
                    <w:tr2bl w:val="nil"/>
                  </w:tcBorders>
                  <w:vAlign w:val="center"/>
                </w:tcPr>
                <w:p w14:paraId="6A891D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马草河</w:t>
                  </w:r>
                </w:p>
              </w:tc>
              <w:tc>
                <w:tcPr>
                  <w:tcW w:w="617" w:type="dxa"/>
                  <w:tcBorders>
                    <w:tl2br w:val="nil"/>
                    <w:tr2bl w:val="nil"/>
                  </w:tcBorders>
                  <w:vAlign w:val="center"/>
                </w:tcPr>
                <w:p w14:paraId="60EB61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7" w:type="dxa"/>
                  <w:tcBorders>
                    <w:tl2br w:val="nil"/>
                    <w:tr2bl w:val="nil"/>
                  </w:tcBorders>
                  <w:vAlign w:val="center"/>
                </w:tcPr>
                <w:p w14:paraId="1A4605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7" w:type="dxa"/>
                  <w:tcBorders>
                    <w:tl2br w:val="nil"/>
                    <w:tr2bl w:val="nil"/>
                  </w:tcBorders>
                  <w:vAlign w:val="center"/>
                </w:tcPr>
                <w:p w14:paraId="17ACB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7" w:type="dxa"/>
                  <w:tcBorders>
                    <w:tl2br w:val="nil"/>
                    <w:tr2bl w:val="nil"/>
                  </w:tcBorders>
                  <w:vAlign w:val="center"/>
                </w:tcPr>
                <w:p w14:paraId="14B925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7" w:type="dxa"/>
                  <w:tcBorders>
                    <w:tl2br w:val="nil"/>
                    <w:tr2bl w:val="nil"/>
                  </w:tcBorders>
                  <w:vAlign w:val="center"/>
                </w:tcPr>
                <w:p w14:paraId="265A9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Ⅳ</w:t>
                  </w:r>
                </w:p>
              </w:tc>
              <w:tc>
                <w:tcPr>
                  <w:tcW w:w="617" w:type="dxa"/>
                  <w:tcBorders>
                    <w:tl2br w:val="nil"/>
                    <w:tr2bl w:val="nil"/>
                  </w:tcBorders>
                  <w:vAlign w:val="center"/>
                </w:tcPr>
                <w:p w14:paraId="67F241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8" w:type="dxa"/>
                  <w:tcBorders>
                    <w:tl2br w:val="nil"/>
                    <w:tr2bl w:val="nil"/>
                  </w:tcBorders>
                  <w:vAlign w:val="center"/>
                </w:tcPr>
                <w:p w14:paraId="5F44C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90" w:type="dxa"/>
                  <w:tcBorders>
                    <w:tl2br w:val="nil"/>
                    <w:tr2bl w:val="nil"/>
                  </w:tcBorders>
                  <w:vAlign w:val="center"/>
                </w:tcPr>
                <w:p w14:paraId="6CDF8F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90" w:type="dxa"/>
                  <w:tcBorders>
                    <w:tl2br w:val="nil"/>
                    <w:tr2bl w:val="nil"/>
                  </w:tcBorders>
                  <w:vAlign w:val="center"/>
                </w:tcPr>
                <w:p w14:paraId="44E92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90" w:type="dxa"/>
                  <w:tcBorders>
                    <w:tl2br w:val="nil"/>
                    <w:tr2bl w:val="nil"/>
                  </w:tcBorders>
                  <w:vAlign w:val="center"/>
                </w:tcPr>
                <w:p w14:paraId="19BEB2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593" w:type="dxa"/>
                  <w:tcBorders>
                    <w:tl2br w:val="nil"/>
                    <w:tr2bl w:val="nil"/>
                  </w:tcBorders>
                  <w:vAlign w:val="center"/>
                </w:tcPr>
                <w:p w14:paraId="1D84E4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593" w:type="dxa"/>
                  <w:tcBorders>
                    <w:tl2br w:val="nil"/>
                    <w:tr2bl w:val="nil"/>
                  </w:tcBorders>
                  <w:vAlign w:val="center"/>
                </w:tcPr>
                <w:p w14:paraId="338E1F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r>
          </w:tbl>
          <w:p w14:paraId="3E19A3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根据上述分析，近一年内除7月外刺猬河水质均能达到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highlight w:val="none"/>
                <w:vertAlign w:val="baseline"/>
                <w:lang w:val="en-US" w:eastAsia="zh-CN"/>
              </w:rPr>
              <w:t>Ⅲ</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w:t>
            </w:r>
          </w:p>
          <w:p w14:paraId="394A7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3、声环境质量现状</w:t>
            </w:r>
          </w:p>
          <w:p w14:paraId="629F32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根据北京市房山区人民政府关于印发《房山区声环境功能区划实施细则》的通知（2015年），该项目所在地属于“2类”声环境功能区，厂界执行2类标准。</w:t>
            </w:r>
          </w:p>
          <w:p w14:paraId="35C292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建设项目环境影响报告表编制技术指南（污染影响类）（试行）》文件中要求，厂界外50米范围内存在声环境保护目标的建设项目，应监测保护目标声环境质量现状并评价达标情况。本项目周边50m范围内存在声环境保护目标，分别为项目西侧即楼上的拱辰星园4号楼、西北侧22m的房山区良乡第二中学、东北侧40m的楸树家园1号楼、东南侧45m的楸树家园2号楼。</w:t>
            </w:r>
          </w:p>
          <w:p w14:paraId="2A97C9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本次评价需监测保护目标声环境质量，本项目无夜间运行，故只监测昼间噪声。本项目监测结果及监测点位图如下。</w:t>
            </w:r>
          </w:p>
          <w:p w14:paraId="33A2ABE7">
            <w:pPr>
              <w:pStyle w:val="11"/>
              <w:bidi w:val="0"/>
              <w:rPr>
                <w:rFonts w:hint="eastAsia"/>
                <w:highlight w:val="none"/>
                <w:lang w:val="en-US" w:eastAsia="zh-CN"/>
              </w:rPr>
            </w:pPr>
            <w:r>
              <w:rPr>
                <w:rFonts w:hint="eastAsia"/>
                <w:highlight w:val="none"/>
                <w:lang w:val="en-US" w:eastAsia="zh-CN"/>
              </w:rPr>
              <w:t>表3-3 项目周边声环境现状监测结果</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37"/>
              <w:gridCol w:w="2017"/>
              <w:gridCol w:w="2018"/>
              <w:gridCol w:w="1336"/>
            </w:tblGrid>
            <w:tr w14:paraId="557326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7" w:type="dxa"/>
                  <w:tcBorders>
                    <w:tl2br w:val="nil"/>
                    <w:tr2bl w:val="nil"/>
                  </w:tcBorders>
                  <w:vAlign w:val="center"/>
                </w:tcPr>
                <w:p w14:paraId="29450B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监测点位</w:t>
                  </w:r>
                </w:p>
              </w:tc>
              <w:tc>
                <w:tcPr>
                  <w:tcW w:w="2017" w:type="dxa"/>
                  <w:tcBorders>
                    <w:tl2br w:val="nil"/>
                    <w:tr2bl w:val="nil"/>
                  </w:tcBorders>
                  <w:vAlign w:val="center"/>
                </w:tcPr>
                <w:p w14:paraId="47A7F8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昼间监测值dB(A)</w:t>
                  </w:r>
                </w:p>
              </w:tc>
              <w:tc>
                <w:tcPr>
                  <w:tcW w:w="2018" w:type="dxa"/>
                  <w:tcBorders>
                    <w:tl2br w:val="nil"/>
                    <w:tr2bl w:val="nil"/>
                  </w:tcBorders>
                  <w:vAlign w:val="center"/>
                </w:tcPr>
                <w:p w14:paraId="029D67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昼间标准值dB(A)</w:t>
                  </w:r>
                </w:p>
              </w:tc>
              <w:tc>
                <w:tcPr>
                  <w:tcW w:w="1336" w:type="dxa"/>
                  <w:tcBorders>
                    <w:tl2br w:val="nil"/>
                    <w:tr2bl w:val="nil"/>
                  </w:tcBorders>
                  <w:vAlign w:val="center"/>
                </w:tcPr>
                <w:p w14:paraId="11D218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达标情况</w:t>
                  </w:r>
                </w:p>
              </w:tc>
            </w:tr>
            <w:tr w14:paraId="7B4B2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7" w:type="dxa"/>
                  <w:tcBorders>
                    <w:tl2br w:val="nil"/>
                    <w:tr2bl w:val="nil"/>
                  </w:tcBorders>
                  <w:vAlign w:val="center"/>
                </w:tcPr>
                <w:p w14:paraId="45A101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拱辰星园4号楼</w:t>
                  </w:r>
                  <w:r>
                    <w:rPr>
                      <w:rFonts w:hint="eastAsia" w:ascii="宋体" w:hAnsi="宋体" w:eastAsia="宋体" w:cs="宋体"/>
                      <w:b w:val="0"/>
                      <w:bCs w:val="0"/>
                      <w:color w:val="auto"/>
                      <w:kern w:val="0"/>
                      <w:sz w:val="21"/>
                      <w:szCs w:val="21"/>
                      <w:highlight w:val="none"/>
                      <w:vertAlign w:val="baseline"/>
                      <w:lang w:val="en-US" w:eastAsia="zh-CN" w:bidi="ar"/>
                    </w:rPr>
                    <w:t>▲</w:t>
                  </w:r>
                  <w:r>
                    <w:rPr>
                      <w:rFonts w:hint="default" w:ascii="Times New Roman" w:hAnsi="Times New Roman" w:eastAsia="宋体" w:cs="Times New Roman"/>
                      <w:b w:val="0"/>
                      <w:bCs w:val="0"/>
                      <w:color w:val="auto"/>
                      <w:kern w:val="0"/>
                      <w:sz w:val="21"/>
                      <w:szCs w:val="21"/>
                      <w:highlight w:val="none"/>
                      <w:vertAlign w:val="baseline"/>
                      <w:lang w:val="en-US" w:eastAsia="zh-CN" w:bidi="ar"/>
                    </w:rPr>
                    <w:t>1</w:t>
                  </w:r>
                </w:p>
              </w:tc>
              <w:tc>
                <w:tcPr>
                  <w:tcW w:w="2017" w:type="dxa"/>
                  <w:tcBorders>
                    <w:tl2br w:val="nil"/>
                    <w:tr2bl w:val="nil"/>
                  </w:tcBorders>
                  <w:vAlign w:val="center"/>
                </w:tcPr>
                <w:p w14:paraId="762275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57</w:t>
                  </w:r>
                </w:p>
              </w:tc>
              <w:tc>
                <w:tcPr>
                  <w:tcW w:w="2018" w:type="dxa"/>
                  <w:tcBorders>
                    <w:tl2br w:val="nil"/>
                    <w:tr2bl w:val="nil"/>
                  </w:tcBorders>
                  <w:vAlign w:val="center"/>
                </w:tcPr>
                <w:p w14:paraId="2CD09F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60</w:t>
                  </w:r>
                </w:p>
              </w:tc>
              <w:tc>
                <w:tcPr>
                  <w:tcW w:w="1336" w:type="dxa"/>
                  <w:tcBorders>
                    <w:tl2br w:val="nil"/>
                    <w:tr2bl w:val="nil"/>
                  </w:tcBorders>
                  <w:vAlign w:val="center"/>
                </w:tcPr>
                <w:p w14:paraId="641AE7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50C2B4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7" w:type="dxa"/>
                  <w:tcBorders>
                    <w:tl2br w:val="nil"/>
                    <w:tr2bl w:val="nil"/>
                  </w:tcBorders>
                  <w:vAlign w:val="center"/>
                </w:tcPr>
                <w:p w14:paraId="761D33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default" w:cs="Times New Roman"/>
                      <w:b w:val="0"/>
                      <w:bCs w:val="0"/>
                      <w:color w:val="auto"/>
                      <w:kern w:val="0"/>
                      <w:sz w:val="21"/>
                      <w:szCs w:val="21"/>
                      <w:highlight w:val="none"/>
                      <w:vertAlign w:val="baseline"/>
                      <w:lang w:val="en-US" w:eastAsia="zh-CN" w:bidi="ar"/>
                    </w:rPr>
                    <w:t>房山区良乡第二中学</w:t>
                  </w:r>
                  <w:r>
                    <w:rPr>
                      <w:rFonts w:hint="eastAsia" w:ascii="宋体" w:hAnsi="宋体" w:eastAsia="宋体" w:cs="宋体"/>
                      <w:b w:val="0"/>
                      <w:bCs w:val="0"/>
                      <w:color w:val="auto"/>
                      <w:kern w:val="0"/>
                      <w:sz w:val="21"/>
                      <w:szCs w:val="21"/>
                      <w:highlight w:val="none"/>
                      <w:vertAlign w:val="baseline"/>
                      <w:lang w:val="en-US" w:eastAsia="zh-CN" w:bidi="ar"/>
                    </w:rPr>
                    <w:t>▲</w:t>
                  </w:r>
                  <w:r>
                    <w:rPr>
                      <w:rFonts w:hint="eastAsia" w:cs="Times New Roman"/>
                      <w:b w:val="0"/>
                      <w:bCs w:val="0"/>
                      <w:color w:val="auto"/>
                      <w:kern w:val="0"/>
                      <w:sz w:val="21"/>
                      <w:szCs w:val="21"/>
                      <w:highlight w:val="none"/>
                      <w:vertAlign w:val="baseline"/>
                      <w:lang w:val="en-US" w:eastAsia="zh-CN" w:bidi="ar"/>
                    </w:rPr>
                    <w:t>2</w:t>
                  </w:r>
                </w:p>
              </w:tc>
              <w:tc>
                <w:tcPr>
                  <w:tcW w:w="2017" w:type="dxa"/>
                  <w:tcBorders>
                    <w:tl2br w:val="nil"/>
                    <w:tr2bl w:val="nil"/>
                  </w:tcBorders>
                  <w:vAlign w:val="center"/>
                </w:tcPr>
                <w:p w14:paraId="74FE61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57</w:t>
                  </w:r>
                </w:p>
              </w:tc>
              <w:tc>
                <w:tcPr>
                  <w:tcW w:w="2018" w:type="dxa"/>
                  <w:tcBorders>
                    <w:tl2br w:val="nil"/>
                    <w:tr2bl w:val="nil"/>
                  </w:tcBorders>
                  <w:vAlign w:val="center"/>
                </w:tcPr>
                <w:p w14:paraId="38FD56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60</w:t>
                  </w:r>
                </w:p>
              </w:tc>
              <w:tc>
                <w:tcPr>
                  <w:tcW w:w="1336" w:type="dxa"/>
                  <w:tcBorders>
                    <w:tl2br w:val="nil"/>
                    <w:tr2bl w:val="nil"/>
                  </w:tcBorders>
                  <w:vAlign w:val="center"/>
                </w:tcPr>
                <w:p w14:paraId="09F3FC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329714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7" w:type="dxa"/>
                  <w:tcBorders>
                    <w:tl2br w:val="nil"/>
                    <w:tr2bl w:val="nil"/>
                  </w:tcBorders>
                  <w:vAlign w:val="center"/>
                </w:tcPr>
                <w:p w14:paraId="2C026F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default" w:cs="Times New Roman"/>
                      <w:b w:val="0"/>
                      <w:bCs w:val="0"/>
                      <w:color w:val="auto"/>
                      <w:kern w:val="0"/>
                      <w:sz w:val="21"/>
                      <w:szCs w:val="21"/>
                      <w:highlight w:val="none"/>
                      <w:vertAlign w:val="baseline"/>
                      <w:lang w:val="en-US" w:eastAsia="zh-CN" w:bidi="ar"/>
                    </w:rPr>
                    <w:t>楸树家园1号楼</w:t>
                  </w:r>
                  <w:r>
                    <w:rPr>
                      <w:rFonts w:hint="eastAsia" w:ascii="宋体" w:hAnsi="宋体" w:eastAsia="宋体" w:cs="宋体"/>
                      <w:b w:val="0"/>
                      <w:bCs w:val="0"/>
                      <w:color w:val="auto"/>
                      <w:kern w:val="0"/>
                      <w:sz w:val="21"/>
                      <w:szCs w:val="21"/>
                      <w:highlight w:val="none"/>
                      <w:vertAlign w:val="baseline"/>
                      <w:lang w:val="en-US" w:eastAsia="zh-CN" w:bidi="ar"/>
                    </w:rPr>
                    <w:t>▲</w:t>
                  </w:r>
                  <w:r>
                    <w:rPr>
                      <w:rFonts w:hint="eastAsia" w:cs="Times New Roman"/>
                      <w:b w:val="0"/>
                      <w:bCs w:val="0"/>
                      <w:color w:val="auto"/>
                      <w:kern w:val="0"/>
                      <w:sz w:val="21"/>
                      <w:szCs w:val="21"/>
                      <w:highlight w:val="none"/>
                      <w:vertAlign w:val="baseline"/>
                      <w:lang w:val="en-US" w:eastAsia="zh-CN" w:bidi="ar"/>
                    </w:rPr>
                    <w:t>3</w:t>
                  </w:r>
                </w:p>
              </w:tc>
              <w:tc>
                <w:tcPr>
                  <w:tcW w:w="2017" w:type="dxa"/>
                  <w:tcBorders>
                    <w:tl2br w:val="nil"/>
                    <w:tr2bl w:val="nil"/>
                  </w:tcBorders>
                  <w:vAlign w:val="center"/>
                </w:tcPr>
                <w:p w14:paraId="547F28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58</w:t>
                  </w:r>
                </w:p>
              </w:tc>
              <w:tc>
                <w:tcPr>
                  <w:tcW w:w="2018" w:type="dxa"/>
                  <w:tcBorders>
                    <w:tl2br w:val="nil"/>
                    <w:tr2bl w:val="nil"/>
                  </w:tcBorders>
                  <w:vAlign w:val="center"/>
                </w:tcPr>
                <w:p w14:paraId="75B65F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60</w:t>
                  </w:r>
                </w:p>
              </w:tc>
              <w:tc>
                <w:tcPr>
                  <w:tcW w:w="1336" w:type="dxa"/>
                  <w:tcBorders>
                    <w:tl2br w:val="nil"/>
                    <w:tr2bl w:val="nil"/>
                  </w:tcBorders>
                  <w:vAlign w:val="center"/>
                </w:tcPr>
                <w:p w14:paraId="5DD56A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36651F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7" w:type="dxa"/>
                  <w:tcBorders>
                    <w:tl2br w:val="nil"/>
                    <w:tr2bl w:val="nil"/>
                  </w:tcBorders>
                  <w:vAlign w:val="center"/>
                </w:tcPr>
                <w:p w14:paraId="15FE87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楸树家园2号楼</w:t>
                  </w:r>
                  <w:r>
                    <w:rPr>
                      <w:rFonts w:hint="eastAsia" w:ascii="宋体" w:hAnsi="宋体" w:eastAsia="宋体" w:cs="宋体"/>
                      <w:b w:val="0"/>
                      <w:bCs w:val="0"/>
                      <w:color w:val="auto"/>
                      <w:kern w:val="0"/>
                      <w:sz w:val="21"/>
                      <w:szCs w:val="21"/>
                      <w:highlight w:val="none"/>
                      <w:vertAlign w:val="baseline"/>
                      <w:lang w:val="en-US" w:eastAsia="zh-CN" w:bidi="ar"/>
                    </w:rPr>
                    <w:t>▲</w:t>
                  </w:r>
                  <w:r>
                    <w:rPr>
                      <w:rFonts w:hint="eastAsia" w:cs="Times New Roman"/>
                      <w:b w:val="0"/>
                      <w:bCs w:val="0"/>
                      <w:color w:val="auto"/>
                      <w:kern w:val="0"/>
                      <w:sz w:val="21"/>
                      <w:szCs w:val="21"/>
                      <w:highlight w:val="none"/>
                      <w:vertAlign w:val="baseline"/>
                      <w:lang w:val="en-US" w:eastAsia="zh-CN" w:bidi="ar"/>
                    </w:rPr>
                    <w:t>4</w:t>
                  </w:r>
                </w:p>
              </w:tc>
              <w:tc>
                <w:tcPr>
                  <w:tcW w:w="2017" w:type="dxa"/>
                  <w:tcBorders>
                    <w:tl2br w:val="nil"/>
                    <w:tr2bl w:val="nil"/>
                  </w:tcBorders>
                  <w:vAlign w:val="center"/>
                </w:tcPr>
                <w:p w14:paraId="467CB2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58</w:t>
                  </w:r>
                </w:p>
              </w:tc>
              <w:tc>
                <w:tcPr>
                  <w:tcW w:w="2018" w:type="dxa"/>
                  <w:tcBorders>
                    <w:tl2br w:val="nil"/>
                    <w:tr2bl w:val="nil"/>
                  </w:tcBorders>
                  <w:vAlign w:val="center"/>
                </w:tcPr>
                <w:p w14:paraId="441E57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60</w:t>
                  </w:r>
                </w:p>
              </w:tc>
              <w:tc>
                <w:tcPr>
                  <w:tcW w:w="1336" w:type="dxa"/>
                  <w:tcBorders>
                    <w:tl2br w:val="nil"/>
                    <w:tr2bl w:val="nil"/>
                  </w:tcBorders>
                  <w:vAlign w:val="center"/>
                </w:tcPr>
                <w:p w14:paraId="39877F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bl>
          <w:p w14:paraId="070B7F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29AE5CC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pPr>
          </w:p>
          <w:p w14:paraId="26E67D77">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pPr>
          </w:p>
          <w:p w14:paraId="224A0D8C">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cs="Times New Roman"/>
                <w:sz w:val="24"/>
                <w:szCs w:val="24"/>
                <w:vertAlign w:val="baseline"/>
                <w:lang w:val="en-US" w:eastAsia="zh-CN"/>
              </w:rPr>
            </w:pPr>
            <w:r>
              <w:drawing>
                <wp:inline distT="0" distB="0" distL="114300" distR="114300">
                  <wp:extent cx="4679950" cy="6067425"/>
                  <wp:effectExtent l="0" t="0" r="6350" b="952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9"/>
                          <a:stretch>
                            <a:fillRect/>
                          </a:stretch>
                        </pic:blipFill>
                        <pic:spPr>
                          <a:xfrm>
                            <a:off x="0" y="0"/>
                            <a:ext cx="4679950" cy="6067425"/>
                          </a:xfrm>
                          <a:prstGeom prst="rect">
                            <a:avLst/>
                          </a:prstGeom>
                          <a:noFill/>
                          <a:ln>
                            <a:noFill/>
                          </a:ln>
                        </pic:spPr>
                      </pic:pic>
                    </a:graphicData>
                  </a:graphic>
                </wp:inline>
              </w:drawing>
            </w:r>
          </w:p>
          <w:p w14:paraId="6AA778A6">
            <w:pPr>
              <w:pStyle w:val="11"/>
              <w:bidi w:val="0"/>
              <w:rPr>
                <w:rFonts w:hint="eastAsia"/>
                <w:lang w:val="en-US" w:eastAsia="zh-CN"/>
              </w:rPr>
            </w:pPr>
            <w:r>
              <w:rPr>
                <w:rFonts w:hint="eastAsia"/>
                <w:lang w:val="en-US" w:eastAsia="zh-CN"/>
              </w:rPr>
              <w:t>图3-1 声环境现状监测点位图</w:t>
            </w:r>
          </w:p>
          <w:p w14:paraId="5940E0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4、生态环境</w:t>
            </w:r>
          </w:p>
          <w:p w14:paraId="533243C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本项目位于北京市房山区良乡拱辰星园4号楼1层0102底商，不新增土地，项目范围内无生态保护目标。</w:t>
            </w:r>
          </w:p>
          <w:p w14:paraId="7E39FC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5、地下水环境</w:t>
            </w:r>
          </w:p>
          <w:p w14:paraId="59CFC31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rPr>
            </w:pPr>
            <w:r>
              <w:rPr>
                <w:rFonts w:hint="eastAsia" w:cs="Times New Roman"/>
                <w:sz w:val="24"/>
                <w:szCs w:val="24"/>
                <w:vertAlign w:val="baseline"/>
                <w:lang w:val="en-US" w:eastAsia="zh-CN"/>
              </w:rPr>
              <w:t>根据北京市人民政府2021年12月30日发布的《关于调整部分市级饮用水水源保护区范围的批复》（京政字[2021]41号），本项目不在地下饮用水水源保护区一级、二级保护区范围内。项目厂界外500m范围内没有地下水集中式饮用水水源和热水、矿泉水、温泉等特殊地下水资源。</w:t>
            </w:r>
          </w:p>
        </w:tc>
      </w:tr>
      <w:tr w14:paraId="18795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4582ED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环境保护目标</w:t>
            </w:r>
          </w:p>
        </w:tc>
        <w:tc>
          <w:tcPr>
            <w:tcW w:w="8224" w:type="dxa"/>
            <w:vAlign w:val="center"/>
          </w:tcPr>
          <w:p w14:paraId="34FEF51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1、大气环境</w:t>
            </w:r>
          </w:p>
          <w:p w14:paraId="00BDD6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项目厂界外500m范围内主要为居住区、学校等，没有自然保护区、风景名胜区。</w:t>
            </w:r>
          </w:p>
          <w:p w14:paraId="3A8DA61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2、声环境</w:t>
            </w:r>
          </w:p>
          <w:p w14:paraId="48B44D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项目厂界外50m范围内的声环境保护目标为周边住宅楼。</w:t>
            </w:r>
          </w:p>
          <w:p w14:paraId="775B297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3、地下水环境</w:t>
            </w:r>
          </w:p>
          <w:p w14:paraId="2855BF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项目不在地下饮用水水源保护区一级、二级保护区范围内。项目厂界外500m范围内没有地下水集中式饮用水水源和热水、矿泉水、温泉等特殊地下水资源。</w:t>
            </w:r>
          </w:p>
          <w:p w14:paraId="7CFE5FB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lang w:val="en-US" w:eastAsia="zh-CN"/>
              </w:rPr>
            </w:pPr>
            <w:r>
              <w:rPr>
                <w:rFonts w:hint="default"/>
                <w:lang w:val="en-US" w:eastAsia="zh-CN"/>
              </w:rPr>
              <w:t>本项目环境保护目标</w:t>
            </w:r>
            <w:r>
              <w:rPr>
                <w:rFonts w:hint="eastAsia"/>
                <w:lang w:val="en-US" w:eastAsia="zh-CN"/>
              </w:rPr>
              <w:t>见下表。</w:t>
            </w:r>
          </w:p>
          <w:p w14:paraId="1FEEFE12">
            <w:pPr>
              <w:pStyle w:val="11"/>
              <w:bidi w:val="0"/>
              <w:rPr>
                <w:rFonts w:hint="eastAsia"/>
                <w:lang w:val="en-US" w:eastAsia="zh-CN"/>
              </w:rPr>
            </w:pPr>
            <w:r>
              <w:rPr>
                <w:rFonts w:hint="eastAsia"/>
                <w:lang w:val="en-US" w:eastAsia="zh-CN"/>
              </w:rPr>
              <w:t>表3-4 项目环境保护目标一览表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423"/>
              <w:gridCol w:w="1377"/>
              <w:gridCol w:w="1323"/>
              <w:gridCol w:w="1207"/>
            </w:tblGrid>
            <w:tr w14:paraId="291077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78" w:type="dxa"/>
                  <w:tcBorders>
                    <w:tl2br w:val="nil"/>
                    <w:tr2bl w:val="nil"/>
                  </w:tcBorders>
                  <w:vAlign w:val="center"/>
                </w:tcPr>
                <w:p w14:paraId="7840DC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环境要素</w:t>
                  </w:r>
                </w:p>
              </w:tc>
              <w:tc>
                <w:tcPr>
                  <w:tcW w:w="3423" w:type="dxa"/>
                  <w:tcBorders>
                    <w:tl2br w:val="nil"/>
                    <w:tr2bl w:val="nil"/>
                  </w:tcBorders>
                  <w:vAlign w:val="center"/>
                </w:tcPr>
                <w:p w14:paraId="2E95AF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保护目标名称</w:t>
                  </w:r>
                </w:p>
              </w:tc>
              <w:tc>
                <w:tcPr>
                  <w:tcW w:w="1377" w:type="dxa"/>
                  <w:tcBorders>
                    <w:tl2br w:val="nil"/>
                    <w:tr2bl w:val="nil"/>
                  </w:tcBorders>
                  <w:vAlign w:val="center"/>
                </w:tcPr>
                <w:p w14:paraId="2BFE23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环境</w:t>
                  </w:r>
                </w:p>
                <w:p w14:paraId="04BE89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功能区</w:t>
                  </w:r>
                </w:p>
              </w:tc>
              <w:tc>
                <w:tcPr>
                  <w:tcW w:w="1323" w:type="dxa"/>
                  <w:tcBorders>
                    <w:tl2br w:val="nil"/>
                    <w:tr2bl w:val="nil"/>
                  </w:tcBorders>
                  <w:vAlign w:val="center"/>
                </w:tcPr>
                <w:p w14:paraId="3C4B6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相对厂区</w:t>
                  </w:r>
                </w:p>
                <w:p w14:paraId="7718F9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方位</w:t>
                  </w:r>
                </w:p>
              </w:tc>
              <w:tc>
                <w:tcPr>
                  <w:tcW w:w="1207" w:type="dxa"/>
                  <w:tcBorders>
                    <w:tl2br w:val="nil"/>
                    <w:tr2bl w:val="nil"/>
                  </w:tcBorders>
                  <w:vAlign w:val="center"/>
                </w:tcPr>
                <w:p w14:paraId="573616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相对厂界距离</w:t>
                  </w:r>
                </w:p>
              </w:tc>
            </w:tr>
            <w:tr w14:paraId="435D66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1F0E4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大气环境</w:t>
                  </w:r>
                </w:p>
              </w:tc>
              <w:tc>
                <w:tcPr>
                  <w:tcW w:w="3423" w:type="dxa"/>
                  <w:tcBorders>
                    <w:tl2br w:val="nil"/>
                    <w:tr2bl w:val="nil"/>
                  </w:tcBorders>
                  <w:vAlign w:val="center"/>
                </w:tcPr>
                <w:p w14:paraId="67E30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良乡医院</w:t>
                  </w:r>
                </w:p>
              </w:tc>
              <w:tc>
                <w:tcPr>
                  <w:tcW w:w="1377" w:type="dxa"/>
                  <w:vMerge w:val="restart"/>
                  <w:tcBorders>
                    <w:tl2br w:val="nil"/>
                    <w:tr2bl w:val="nil"/>
                  </w:tcBorders>
                  <w:vAlign w:val="center"/>
                </w:tcPr>
                <w:p w14:paraId="744BC2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《环境空气质量标准》（GB3095-2012）及其修改单（生态环境部公告2018年第29号）二类区</w:t>
                  </w:r>
                </w:p>
              </w:tc>
              <w:tc>
                <w:tcPr>
                  <w:tcW w:w="1323" w:type="dxa"/>
                  <w:tcBorders>
                    <w:tl2br w:val="nil"/>
                    <w:tr2bl w:val="nil"/>
                  </w:tcBorders>
                  <w:vAlign w:val="center"/>
                </w:tcPr>
                <w:p w14:paraId="74623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NE</w:t>
                  </w:r>
                </w:p>
              </w:tc>
              <w:tc>
                <w:tcPr>
                  <w:tcW w:w="1207" w:type="dxa"/>
                  <w:tcBorders>
                    <w:tl2br w:val="nil"/>
                    <w:tr2bl w:val="nil"/>
                  </w:tcBorders>
                  <w:vAlign w:val="center"/>
                </w:tcPr>
                <w:p w14:paraId="66B5F0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280m</w:t>
                  </w:r>
                </w:p>
              </w:tc>
            </w:tr>
            <w:tr w14:paraId="59B969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7723E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CEB87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良乡第二小学</w:t>
                  </w:r>
                </w:p>
              </w:tc>
              <w:tc>
                <w:tcPr>
                  <w:tcW w:w="1377" w:type="dxa"/>
                  <w:vMerge w:val="continue"/>
                  <w:tcBorders>
                    <w:tl2br w:val="nil"/>
                    <w:tr2bl w:val="nil"/>
                  </w:tcBorders>
                  <w:vAlign w:val="center"/>
                </w:tcPr>
                <w:p w14:paraId="78E49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F95DC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2C885E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368m</w:t>
                  </w:r>
                </w:p>
              </w:tc>
            </w:tr>
            <w:tr w14:paraId="46C0D5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E179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51F55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西北关家园</w:t>
                  </w:r>
                </w:p>
              </w:tc>
              <w:tc>
                <w:tcPr>
                  <w:tcW w:w="1377" w:type="dxa"/>
                  <w:vMerge w:val="continue"/>
                  <w:tcBorders>
                    <w:tl2br w:val="nil"/>
                    <w:tr2bl w:val="nil"/>
                  </w:tcBorders>
                  <w:vAlign w:val="center"/>
                </w:tcPr>
                <w:p w14:paraId="08DE8E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0FCF79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75E92F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415m</w:t>
                  </w:r>
                </w:p>
              </w:tc>
            </w:tr>
            <w:tr w14:paraId="6F63E7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04EF03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1289F1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西潞园小区-三里</w:t>
                  </w:r>
                </w:p>
              </w:tc>
              <w:tc>
                <w:tcPr>
                  <w:tcW w:w="1377" w:type="dxa"/>
                  <w:vMerge w:val="continue"/>
                  <w:tcBorders>
                    <w:tl2br w:val="nil"/>
                    <w:tr2bl w:val="nil"/>
                  </w:tcBorders>
                  <w:vAlign w:val="center"/>
                </w:tcPr>
                <w:p w14:paraId="46B0D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4AB0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480CC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369m</w:t>
                  </w:r>
                </w:p>
              </w:tc>
            </w:tr>
            <w:tr w14:paraId="108D8F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9FA3E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1E06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西潞园小区-四里</w:t>
                  </w:r>
                </w:p>
              </w:tc>
              <w:tc>
                <w:tcPr>
                  <w:tcW w:w="1377" w:type="dxa"/>
                  <w:vMerge w:val="continue"/>
                  <w:tcBorders>
                    <w:tl2br w:val="nil"/>
                    <w:tr2bl w:val="nil"/>
                  </w:tcBorders>
                  <w:vAlign w:val="center"/>
                </w:tcPr>
                <w:p w14:paraId="261B89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507B6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520D8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345m</w:t>
                  </w:r>
                </w:p>
              </w:tc>
            </w:tr>
            <w:tr w14:paraId="205C1B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78207F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395B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西潞东里小区</w:t>
                  </w:r>
                </w:p>
              </w:tc>
              <w:tc>
                <w:tcPr>
                  <w:tcW w:w="1377" w:type="dxa"/>
                  <w:vMerge w:val="continue"/>
                  <w:tcBorders>
                    <w:tl2br w:val="nil"/>
                    <w:tr2bl w:val="nil"/>
                  </w:tcBorders>
                  <w:vAlign w:val="center"/>
                </w:tcPr>
                <w:p w14:paraId="3B78F3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2E887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54B93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258m</w:t>
                  </w:r>
                </w:p>
              </w:tc>
            </w:tr>
            <w:tr w14:paraId="6FA794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34DA2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EB29A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供电局良乡家属院</w:t>
                  </w:r>
                </w:p>
              </w:tc>
              <w:tc>
                <w:tcPr>
                  <w:tcW w:w="1377" w:type="dxa"/>
                  <w:vMerge w:val="continue"/>
                  <w:tcBorders>
                    <w:tl2br w:val="nil"/>
                    <w:tr2bl w:val="nil"/>
                  </w:tcBorders>
                  <w:vAlign w:val="center"/>
                </w:tcPr>
                <w:p w14:paraId="3E62F6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204F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SW</w:t>
                  </w:r>
                </w:p>
              </w:tc>
              <w:tc>
                <w:tcPr>
                  <w:tcW w:w="1207" w:type="dxa"/>
                  <w:tcBorders>
                    <w:tl2br w:val="nil"/>
                    <w:tr2bl w:val="nil"/>
                  </w:tcBorders>
                  <w:vAlign w:val="center"/>
                </w:tcPr>
                <w:p w14:paraId="3261C3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350m</w:t>
                  </w:r>
                </w:p>
              </w:tc>
            </w:tr>
            <w:tr w14:paraId="73494D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7250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2DA693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拱辰星园</w:t>
                  </w:r>
                </w:p>
              </w:tc>
              <w:tc>
                <w:tcPr>
                  <w:tcW w:w="1377" w:type="dxa"/>
                  <w:vMerge w:val="continue"/>
                  <w:tcBorders>
                    <w:tl2br w:val="nil"/>
                    <w:tr2bl w:val="nil"/>
                  </w:tcBorders>
                  <w:vAlign w:val="center"/>
                </w:tcPr>
                <w:p w14:paraId="0E27F7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31FBC7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07" w:type="dxa"/>
                  <w:tcBorders>
                    <w:tl2br w:val="nil"/>
                    <w:tr2bl w:val="nil"/>
                  </w:tcBorders>
                  <w:vAlign w:val="center"/>
                </w:tcPr>
                <w:p w14:paraId="783018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紧邻</w:t>
                  </w:r>
                </w:p>
              </w:tc>
            </w:tr>
            <w:tr w14:paraId="74E733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7EB37A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350D44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房山区良乡第二中学</w:t>
                  </w:r>
                </w:p>
              </w:tc>
              <w:tc>
                <w:tcPr>
                  <w:tcW w:w="1377" w:type="dxa"/>
                  <w:vMerge w:val="continue"/>
                  <w:tcBorders>
                    <w:tl2br w:val="nil"/>
                    <w:tr2bl w:val="nil"/>
                  </w:tcBorders>
                  <w:vAlign w:val="center"/>
                </w:tcPr>
                <w:p w14:paraId="49BA7C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415BCA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3CB016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22m</w:t>
                  </w:r>
                </w:p>
              </w:tc>
            </w:tr>
            <w:tr w14:paraId="42DD9A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5601DD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2E625B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楸树家园</w:t>
                  </w:r>
                </w:p>
              </w:tc>
              <w:tc>
                <w:tcPr>
                  <w:tcW w:w="1377" w:type="dxa"/>
                  <w:vMerge w:val="continue"/>
                  <w:tcBorders>
                    <w:tl2br w:val="nil"/>
                    <w:tr2bl w:val="nil"/>
                  </w:tcBorders>
                  <w:vAlign w:val="center"/>
                </w:tcPr>
                <w:p w14:paraId="0BC071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432CC1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E</w:t>
                  </w:r>
                </w:p>
              </w:tc>
              <w:tc>
                <w:tcPr>
                  <w:tcW w:w="1207" w:type="dxa"/>
                  <w:tcBorders>
                    <w:tl2br w:val="nil"/>
                    <w:tr2bl w:val="nil"/>
                  </w:tcBorders>
                  <w:vAlign w:val="center"/>
                </w:tcPr>
                <w:p w14:paraId="15AB62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40m</w:t>
                  </w:r>
                </w:p>
              </w:tc>
            </w:tr>
            <w:tr w14:paraId="0582D1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530B0A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720A2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聪慧里小区</w:t>
                  </w:r>
                </w:p>
              </w:tc>
              <w:tc>
                <w:tcPr>
                  <w:tcW w:w="1377" w:type="dxa"/>
                  <w:vMerge w:val="continue"/>
                  <w:tcBorders>
                    <w:tl2br w:val="nil"/>
                    <w:tr2bl w:val="nil"/>
                  </w:tcBorders>
                  <w:vAlign w:val="center"/>
                </w:tcPr>
                <w:p w14:paraId="7D8D83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21DB5B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E</w:t>
                  </w:r>
                </w:p>
              </w:tc>
              <w:tc>
                <w:tcPr>
                  <w:tcW w:w="1207" w:type="dxa"/>
                  <w:tcBorders>
                    <w:tl2br w:val="nil"/>
                    <w:tr2bl w:val="nil"/>
                  </w:tcBorders>
                  <w:vAlign w:val="center"/>
                </w:tcPr>
                <w:p w14:paraId="052152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381m</w:t>
                  </w:r>
                </w:p>
              </w:tc>
            </w:tr>
            <w:tr w14:paraId="1CA514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0E76A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w:t>
                  </w:r>
                </w:p>
              </w:tc>
              <w:tc>
                <w:tcPr>
                  <w:tcW w:w="3423" w:type="dxa"/>
                  <w:tcBorders>
                    <w:tl2br w:val="nil"/>
                    <w:tr2bl w:val="nil"/>
                  </w:tcBorders>
                  <w:vAlign w:val="center"/>
                </w:tcPr>
                <w:p w14:paraId="190F1E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拱辰家园4号楼</w:t>
                  </w:r>
                </w:p>
              </w:tc>
              <w:tc>
                <w:tcPr>
                  <w:tcW w:w="1377" w:type="dxa"/>
                  <w:vMerge w:val="restart"/>
                  <w:tcBorders>
                    <w:tl2br w:val="nil"/>
                    <w:tr2bl w:val="nil"/>
                  </w:tcBorders>
                  <w:vAlign w:val="center"/>
                </w:tcPr>
                <w:p w14:paraId="37B7C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《声环境质量标准》（GB3096-2008）2类</w:t>
                  </w:r>
                </w:p>
              </w:tc>
              <w:tc>
                <w:tcPr>
                  <w:tcW w:w="1323" w:type="dxa"/>
                  <w:tcBorders>
                    <w:tl2br w:val="nil"/>
                    <w:tr2bl w:val="nil"/>
                  </w:tcBorders>
                  <w:vAlign w:val="center"/>
                </w:tcPr>
                <w:p w14:paraId="47E83C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楼上</w:t>
                  </w:r>
                </w:p>
              </w:tc>
              <w:tc>
                <w:tcPr>
                  <w:tcW w:w="1207" w:type="dxa"/>
                  <w:tcBorders>
                    <w:tl2br w:val="nil"/>
                    <w:tr2bl w:val="nil"/>
                  </w:tcBorders>
                  <w:vAlign w:val="center"/>
                </w:tcPr>
                <w:p w14:paraId="1CD86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302055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FA58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3423" w:type="dxa"/>
                  <w:tcBorders>
                    <w:tl2br w:val="nil"/>
                    <w:tr2bl w:val="nil"/>
                  </w:tcBorders>
                  <w:vAlign w:val="center"/>
                </w:tcPr>
                <w:p w14:paraId="2AA16D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房山区良乡第二中学</w:t>
                  </w:r>
                </w:p>
              </w:tc>
              <w:tc>
                <w:tcPr>
                  <w:tcW w:w="1377" w:type="dxa"/>
                  <w:vMerge w:val="continue"/>
                  <w:tcBorders>
                    <w:tl2br w:val="nil"/>
                    <w:tr2bl w:val="nil"/>
                  </w:tcBorders>
                  <w:vAlign w:val="center"/>
                </w:tcPr>
                <w:p w14:paraId="1318B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23" w:type="dxa"/>
                  <w:tcBorders>
                    <w:tl2br w:val="nil"/>
                    <w:tr2bl w:val="nil"/>
                  </w:tcBorders>
                  <w:vAlign w:val="center"/>
                </w:tcPr>
                <w:p w14:paraId="7989B5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17EE60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22m</w:t>
                  </w:r>
                </w:p>
              </w:tc>
            </w:tr>
            <w:tr w14:paraId="6B062D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59E802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8221A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楸树家园1号楼</w:t>
                  </w:r>
                </w:p>
              </w:tc>
              <w:tc>
                <w:tcPr>
                  <w:tcW w:w="1377" w:type="dxa"/>
                  <w:vMerge w:val="continue"/>
                  <w:tcBorders>
                    <w:tl2br w:val="nil"/>
                    <w:tr2bl w:val="nil"/>
                  </w:tcBorders>
                  <w:vAlign w:val="center"/>
                </w:tcPr>
                <w:p w14:paraId="5FEFBF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5DD0D2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E</w:t>
                  </w:r>
                </w:p>
              </w:tc>
              <w:tc>
                <w:tcPr>
                  <w:tcW w:w="1207" w:type="dxa"/>
                  <w:tcBorders>
                    <w:tl2br w:val="nil"/>
                    <w:tr2bl w:val="nil"/>
                  </w:tcBorders>
                  <w:vAlign w:val="center"/>
                </w:tcPr>
                <w:p w14:paraId="493F4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40m</w:t>
                  </w:r>
                </w:p>
              </w:tc>
            </w:tr>
            <w:tr w14:paraId="35F498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B3B68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A4B05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楸树家园2号楼</w:t>
                  </w:r>
                </w:p>
              </w:tc>
              <w:tc>
                <w:tcPr>
                  <w:tcW w:w="1377" w:type="dxa"/>
                  <w:vMerge w:val="continue"/>
                  <w:tcBorders>
                    <w:tl2br w:val="nil"/>
                    <w:tr2bl w:val="nil"/>
                  </w:tcBorders>
                  <w:vAlign w:val="center"/>
                </w:tcPr>
                <w:p w14:paraId="15061D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50C25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SE</w:t>
                  </w:r>
                </w:p>
              </w:tc>
              <w:tc>
                <w:tcPr>
                  <w:tcW w:w="1207" w:type="dxa"/>
                  <w:tcBorders>
                    <w:tl2br w:val="nil"/>
                    <w:tr2bl w:val="nil"/>
                  </w:tcBorders>
                  <w:vAlign w:val="center"/>
                </w:tcPr>
                <w:p w14:paraId="09F827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45m</w:t>
                  </w:r>
                </w:p>
              </w:tc>
            </w:tr>
          </w:tbl>
          <w:p w14:paraId="7D61F4A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lang w:val="en-US" w:eastAsia="zh-CN"/>
              </w:rPr>
            </w:pPr>
          </w:p>
        </w:tc>
      </w:tr>
      <w:tr w14:paraId="25C7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775C69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污染物排放控制标准</w:t>
            </w:r>
          </w:p>
        </w:tc>
        <w:tc>
          <w:tcPr>
            <w:tcW w:w="8224" w:type="dxa"/>
            <w:vAlign w:val="center"/>
          </w:tcPr>
          <w:p w14:paraId="1A35D2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1、废气</w:t>
            </w:r>
          </w:p>
          <w:p w14:paraId="006DD61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无燃煤、燃油、燃气设施，不设食堂；冬季供暖由市政热力提供，夏季制冷由自备空调提供。本项目动物诊疗及美容洗浴废水消毒采用次氯酸钠消毒工艺污水处理设备，封闭设计，无开放水面，其主要工艺为消毒，无生化工艺，因此本项目污水处理工艺无废气排放。</w:t>
            </w:r>
          </w:p>
          <w:p w14:paraId="2E3B53E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本项目废气主要为接诊、留诊观察及住院过程中会有动物自身及粪便产生的少量异味，主要污染因子为NH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及臭气浓度。采取笼子下方放置托盘，托盘中放置猫砂用于吸收粪尿，动物粪尿被猫砂吸收包裹后及时由医护人员清理并装入专门的密封袋中密封保存，同时喷洒除臭剂、空气清新剂等净化措施，此外，运营期间各科室均关闭门窗，各科室设置吸风口对异味进行统一收集后汇集到通风管道中，通过活性炭净化装置处理后经位于东侧的排风口（DA001）排出室外，排风口高3.4m，排气筒高度未高出周围200m半径范围内的建筑物5m以上。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S及臭气浓度排放执行北京市《大气污染物综合排放标准》（DB11/501-2017）中“表 3 生产工艺及其他废气大气污染物排放限值”的规定。</w:t>
            </w:r>
          </w:p>
          <w:p w14:paraId="78D05D3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本项目大气污染物排放标准具体见下表。</w:t>
            </w:r>
          </w:p>
          <w:p w14:paraId="2EB8B546">
            <w:pPr>
              <w:pStyle w:val="11"/>
              <w:bidi w:val="0"/>
              <w:rPr>
                <w:rFonts w:hint="eastAsia"/>
                <w:lang w:val="en-US" w:eastAsia="zh-CN"/>
              </w:rPr>
            </w:pPr>
            <w:r>
              <w:rPr>
                <w:rFonts w:hint="eastAsia"/>
                <w:lang w:val="en-US" w:eastAsia="zh-CN"/>
              </w:rPr>
              <w:t>表3-5 大气污染物排放标准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430"/>
              <w:gridCol w:w="1530"/>
              <w:gridCol w:w="2565"/>
              <w:gridCol w:w="1846"/>
            </w:tblGrid>
            <w:tr w14:paraId="17E816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vMerge w:val="restart"/>
                  <w:tcBorders>
                    <w:tl2br w:val="nil"/>
                    <w:tr2bl w:val="nil"/>
                  </w:tcBorders>
                  <w:vAlign w:val="center"/>
                </w:tcPr>
                <w:p w14:paraId="119080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序号</w:t>
                  </w:r>
                </w:p>
              </w:tc>
              <w:tc>
                <w:tcPr>
                  <w:tcW w:w="1430" w:type="dxa"/>
                  <w:vMerge w:val="restart"/>
                  <w:tcBorders>
                    <w:tl2br w:val="nil"/>
                    <w:tr2bl w:val="nil"/>
                  </w:tcBorders>
                  <w:vAlign w:val="center"/>
                </w:tcPr>
                <w:p w14:paraId="3EF1FB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污染物</w:t>
                  </w:r>
                </w:p>
              </w:tc>
              <w:tc>
                <w:tcPr>
                  <w:tcW w:w="1530" w:type="dxa"/>
                  <w:vMerge w:val="restart"/>
                  <w:tcBorders>
                    <w:tl2br w:val="nil"/>
                    <w:tr2bl w:val="nil"/>
                  </w:tcBorders>
                  <w:vAlign w:val="center"/>
                </w:tcPr>
                <w:p w14:paraId="6A6F56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最高允许排放浓度mg/m</w:t>
                  </w:r>
                  <w:r>
                    <w:rPr>
                      <w:rFonts w:hint="eastAsia" w:cs="Times New Roman"/>
                      <w:b/>
                      <w:bCs/>
                      <w:color w:val="auto"/>
                      <w:kern w:val="0"/>
                      <w:sz w:val="21"/>
                      <w:szCs w:val="21"/>
                      <w:highlight w:val="none"/>
                      <w:vertAlign w:val="superscript"/>
                      <w:lang w:val="en-US" w:eastAsia="zh-CN"/>
                    </w:rPr>
                    <w:t>3</w:t>
                  </w:r>
                </w:p>
              </w:tc>
              <w:tc>
                <w:tcPr>
                  <w:tcW w:w="4411" w:type="dxa"/>
                  <w:gridSpan w:val="2"/>
                  <w:tcBorders>
                    <w:bottom w:val="single" w:color="000000" w:sz="4" w:space="0"/>
                    <w:tl2br w:val="nil"/>
                    <w:tr2bl w:val="nil"/>
                  </w:tcBorders>
                  <w:vAlign w:val="center"/>
                </w:tcPr>
                <w:p w14:paraId="1DF5E5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default" w:cs="Times New Roman"/>
                      <w:b/>
                      <w:bCs/>
                      <w:color w:val="auto"/>
                      <w:kern w:val="0"/>
                      <w:sz w:val="21"/>
                      <w:szCs w:val="21"/>
                      <w:highlight w:val="none"/>
                      <w:vertAlign w:val="baseline"/>
                      <w:lang w:val="en-US" w:eastAsia="zh-CN"/>
                    </w:rPr>
                    <w:t>与排气筒高度对应的大气污染物最高允许排放速率</w:t>
                  </w:r>
                </w:p>
              </w:tc>
            </w:tr>
            <w:tr w14:paraId="2D4FB9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vMerge w:val="continue"/>
                  <w:tcBorders>
                    <w:tl2br w:val="nil"/>
                    <w:tr2bl w:val="nil"/>
                  </w:tcBorders>
                  <w:vAlign w:val="center"/>
                </w:tcPr>
                <w:p w14:paraId="19E37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1430" w:type="dxa"/>
                  <w:vMerge w:val="continue"/>
                  <w:tcBorders>
                    <w:tl2br w:val="nil"/>
                    <w:tr2bl w:val="nil"/>
                  </w:tcBorders>
                  <w:vAlign w:val="center"/>
                </w:tcPr>
                <w:p w14:paraId="19AB78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1530" w:type="dxa"/>
                  <w:vMerge w:val="continue"/>
                  <w:tcBorders>
                    <w:tl2br w:val="nil"/>
                    <w:tr2bl w:val="nil"/>
                  </w:tcBorders>
                  <w:vAlign w:val="center"/>
                </w:tcPr>
                <w:p w14:paraId="65D987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2565" w:type="dxa"/>
                  <w:tcBorders>
                    <w:top w:val="single" w:color="000000" w:sz="4" w:space="0"/>
                    <w:tl2br w:val="nil"/>
                    <w:tr2bl w:val="nil"/>
                  </w:tcBorders>
                  <w:vAlign w:val="center"/>
                </w:tcPr>
                <w:p w14:paraId="5D4630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本项目排气筒高度3.4m</w:t>
                  </w:r>
                </w:p>
              </w:tc>
              <w:tc>
                <w:tcPr>
                  <w:tcW w:w="1846" w:type="dxa"/>
                  <w:tcBorders>
                    <w:top w:val="single" w:color="000000" w:sz="4" w:space="0"/>
                    <w:tl2br w:val="nil"/>
                    <w:tr2bl w:val="nil"/>
                  </w:tcBorders>
                  <w:vAlign w:val="center"/>
                </w:tcPr>
                <w:p w14:paraId="5687DD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15m</w:t>
                  </w:r>
                </w:p>
              </w:tc>
            </w:tr>
            <w:tr w14:paraId="0B89B5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23C934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w:t>
                  </w:r>
                </w:p>
              </w:tc>
              <w:tc>
                <w:tcPr>
                  <w:tcW w:w="1430" w:type="dxa"/>
                  <w:tcBorders>
                    <w:tl2br w:val="nil"/>
                    <w:tr2bl w:val="nil"/>
                  </w:tcBorders>
                  <w:vAlign w:val="center"/>
                </w:tcPr>
                <w:p w14:paraId="6D0614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NH</w:t>
                  </w:r>
                  <w:r>
                    <w:rPr>
                      <w:rFonts w:hint="eastAsia" w:cs="Times New Roman"/>
                      <w:b w:val="0"/>
                      <w:bCs w:val="0"/>
                      <w:color w:val="auto"/>
                      <w:kern w:val="0"/>
                      <w:sz w:val="21"/>
                      <w:szCs w:val="21"/>
                      <w:highlight w:val="none"/>
                      <w:vertAlign w:val="subscript"/>
                      <w:lang w:val="en-US" w:eastAsia="zh-CN"/>
                    </w:rPr>
                    <w:t>3</w:t>
                  </w:r>
                </w:p>
              </w:tc>
              <w:tc>
                <w:tcPr>
                  <w:tcW w:w="1530" w:type="dxa"/>
                  <w:tcBorders>
                    <w:tl2br w:val="nil"/>
                    <w:tr2bl w:val="nil"/>
                  </w:tcBorders>
                  <w:vAlign w:val="center"/>
                </w:tcPr>
                <w:p w14:paraId="74DD5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1.0</w:t>
                  </w:r>
                </w:p>
              </w:tc>
              <w:tc>
                <w:tcPr>
                  <w:tcW w:w="2565" w:type="dxa"/>
                  <w:tcBorders>
                    <w:tl2br w:val="nil"/>
                    <w:tr2bl w:val="nil"/>
                  </w:tcBorders>
                  <w:vAlign w:val="center"/>
                </w:tcPr>
                <w:p w14:paraId="17D0A0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0.0093</w:t>
                  </w:r>
                </w:p>
              </w:tc>
              <w:tc>
                <w:tcPr>
                  <w:tcW w:w="1846" w:type="dxa"/>
                  <w:tcBorders>
                    <w:tl2br w:val="nil"/>
                    <w:tr2bl w:val="nil"/>
                  </w:tcBorders>
                  <w:vAlign w:val="center"/>
                </w:tcPr>
                <w:p w14:paraId="0566F0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0.72</w:t>
                  </w:r>
                  <w:r>
                    <w:rPr>
                      <w:rFonts w:hint="default" w:cs="Times New Roman"/>
                      <w:b w:val="0"/>
                      <w:bCs w:val="0"/>
                      <w:color w:val="auto"/>
                      <w:kern w:val="0"/>
                      <w:sz w:val="21"/>
                      <w:szCs w:val="21"/>
                      <w:highlight w:val="none"/>
                      <w:vertAlign w:val="baseline"/>
                      <w:lang w:val="en-US" w:eastAsia="zh-CN"/>
                    </w:rPr>
                    <w:t>kg/h</w:t>
                  </w:r>
                </w:p>
              </w:tc>
            </w:tr>
            <w:tr w14:paraId="207BA4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7D19A0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w:t>
                  </w:r>
                </w:p>
              </w:tc>
              <w:tc>
                <w:tcPr>
                  <w:tcW w:w="1430" w:type="dxa"/>
                  <w:tcBorders>
                    <w:tl2br w:val="nil"/>
                    <w:tr2bl w:val="nil"/>
                  </w:tcBorders>
                  <w:vAlign w:val="center"/>
                </w:tcPr>
                <w:p w14:paraId="464AAF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H</w:t>
                  </w:r>
                  <w:r>
                    <w:rPr>
                      <w:rFonts w:hint="eastAsia" w:cs="Times New Roman"/>
                      <w:b w:val="0"/>
                      <w:bCs w:val="0"/>
                      <w:color w:val="auto"/>
                      <w:kern w:val="0"/>
                      <w:sz w:val="21"/>
                      <w:szCs w:val="21"/>
                      <w:highlight w:val="none"/>
                      <w:vertAlign w:val="subscript"/>
                      <w:lang w:val="en-US" w:eastAsia="zh-CN"/>
                    </w:rPr>
                    <w:t>2</w:t>
                  </w:r>
                  <w:r>
                    <w:rPr>
                      <w:rFonts w:hint="eastAsia" w:cs="Times New Roman"/>
                      <w:b w:val="0"/>
                      <w:bCs w:val="0"/>
                      <w:color w:val="auto"/>
                      <w:kern w:val="0"/>
                      <w:sz w:val="21"/>
                      <w:szCs w:val="21"/>
                      <w:highlight w:val="none"/>
                      <w:vertAlign w:val="baseline"/>
                      <w:lang w:val="en-US" w:eastAsia="zh-CN"/>
                    </w:rPr>
                    <w:t>S</w:t>
                  </w:r>
                </w:p>
              </w:tc>
              <w:tc>
                <w:tcPr>
                  <w:tcW w:w="1530" w:type="dxa"/>
                  <w:tcBorders>
                    <w:tl2br w:val="nil"/>
                    <w:tr2bl w:val="nil"/>
                  </w:tcBorders>
                  <w:vAlign w:val="center"/>
                </w:tcPr>
                <w:p w14:paraId="448C38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0.05</w:t>
                  </w:r>
                </w:p>
              </w:tc>
              <w:tc>
                <w:tcPr>
                  <w:tcW w:w="2565" w:type="dxa"/>
                  <w:tcBorders>
                    <w:tl2br w:val="nil"/>
                    <w:tr2bl w:val="nil"/>
                  </w:tcBorders>
                  <w:vAlign w:val="center"/>
                </w:tcPr>
                <w:p w14:paraId="30E4FC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0.00046</w:t>
                  </w:r>
                </w:p>
              </w:tc>
              <w:tc>
                <w:tcPr>
                  <w:tcW w:w="1846" w:type="dxa"/>
                  <w:tcBorders>
                    <w:tl2br w:val="nil"/>
                    <w:tr2bl w:val="nil"/>
                  </w:tcBorders>
                  <w:vAlign w:val="center"/>
                </w:tcPr>
                <w:p w14:paraId="6484E8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0.036</w:t>
                  </w:r>
                  <w:r>
                    <w:rPr>
                      <w:rFonts w:hint="default" w:cs="Times New Roman"/>
                      <w:b w:val="0"/>
                      <w:bCs w:val="0"/>
                      <w:color w:val="auto"/>
                      <w:kern w:val="0"/>
                      <w:sz w:val="21"/>
                      <w:szCs w:val="21"/>
                      <w:highlight w:val="none"/>
                      <w:vertAlign w:val="baseline"/>
                      <w:lang w:val="en-US" w:eastAsia="zh-CN"/>
                    </w:rPr>
                    <w:t>kg/h</w:t>
                  </w:r>
                </w:p>
              </w:tc>
            </w:tr>
            <w:tr w14:paraId="677B47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31182C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3</w:t>
                  </w:r>
                </w:p>
              </w:tc>
              <w:tc>
                <w:tcPr>
                  <w:tcW w:w="1430" w:type="dxa"/>
                  <w:tcBorders>
                    <w:tl2br w:val="nil"/>
                    <w:tr2bl w:val="nil"/>
                  </w:tcBorders>
                  <w:vAlign w:val="center"/>
                </w:tcPr>
                <w:p w14:paraId="40670D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臭气浓度</w:t>
                  </w:r>
                </w:p>
                <w:p w14:paraId="3EA275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（无量纲）</w:t>
                  </w:r>
                </w:p>
              </w:tc>
              <w:tc>
                <w:tcPr>
                  <w:tcW w:w="1530" w:type="dxa"/>
                  <w:tcBorders>
                    <w:tl2br w:val="nil"/>
                    <w:tr2bl w:val="nil"/>
                  </w:tcBorders>
                  <w:vAlign w:val="center"/>
                </w:tcPr>
                <w:p w14:paraId="4CFC87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2565" w:type="dxa"/>
                  <w:tcBorders>
                    <w:tl2br w:val="nil"/>
                    <w:tr2bl w:val="nil"/>
                  </w:tcBorders>
                  <w:vAlign w:val="center"/>
                </w:tcPr>
                <w:p w14:paraId="290352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25.69</w:t>
                  </w:r>
                </w:p>
              </w:tc>
              <w:tc>
                <w:tcPr>
                  <w:tcW w:w="1846" w:type="dxa"/>
                  <w:tcBorders>
                    <w:tl2br w:val="nil"/>
                    <w:tr2bl w:val="nil"/>
                  </w:tcBorders>
                  <w:vAlign w:val="center"/>
                </w:tcPr>
                <w:p w14:paraId="3276EF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2000无量纲</w:t>
                  </w:r>
                </w:p>
              </w:tc>
            </w:tr>
            <w:tr w14:paraId="0AE58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08" w:type="dxa"/>
                  <w:gridSpan w:val="5"/>
                  <w:tcBorders>
                    <w:tl2br w:val="nil"/>
                    <w:tr2bl w:val="nil"/>
                  </w:tcBorders>
                  <w:vAlign w:val="center"/>
                </w:tcPr>
                <w:p w14:paraId="044B16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注：</w:t>
                  </w:r>
                </w:p>
                <w:p w14:paraId="434258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①根据北京市《大气污染物综合排放标准》（DB11/501-2017）中“5.1.1 其他大气污染物的排气筒高度不应低于15m；高度低于15m，排气筒中大气污染物排放浓度应按”“无组织排放监控点浓度限值”的5倍执行。本项目废气排放高度为4m，高度低于15m。</w:t>
                  </w:r>
                </w:p>
                <w:p w14:paraId="31663D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②根据北京市《大气污染物综合排放标准》（DB11/501-2017）中“5.1.3 排气筒高度低于15m，按外推法计算的排放速率限值的50%执行”。</w:t>
                  </w:r>
                </w:p>
                <w:p w14:paraId="29FF87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③根据北京市《大气污染物综合排放标准》（DB11/501-2017）中“5.1.4 排气筒高度高出周围200m半径范围内的建筑物5m以上，不能达到该项要求的，最高允许排放速率应根据5.1.3 确定的排放速率限值的50%执行”。</w:t>
                  </w:r>
                </w:p>
              </w:tc>
            </w:tr>
          </w:tbl>
          <w:p w14:paraId="283D95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2、废水</w:t>
            </w:r>
          </w:p>
          <w:p w14:paraId="5187567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和美容洗浴废水经污水处理设施消毒处理后，同生活废水一同排入所在建筑防渗化粪池进行预处理，最终经市政污水管网排入北京中设水处理有限公司良乡污水处理厂。项目综合废水中各项污染物排放执行北京市《水污染物综合排放标准》（DB11/307-2013）中“表3排入公共污水处理系统的水污染物排放限值”。</w:t>
            </w:r>
          </w:p>
          <w:p w14:paraId="26C38670">
            <w:pPr>
              <w:pStyle w:val="11"/>
              <w:bidi w:val="0"/>
              <w:rPr>
                <w:rFonts w:hint="eastAsia"/>
                <w:lang w:val="en-US" w:eastAsia="zh-CN"/>
              </w:rPr>
            </w:pPr>
            <w:r>
              <w:rPr>
                <w:rFonts w:hint="eastAsia"/>
                <w:lang w:val="en-US" w:eastAsia="zh-CN"/>
              </w:rPr>
              <w:t>表3-6 项目废水排放标准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2889"/>
              <w:gridCol w:w="2186"/>
              <w:gridCol w:w="1648"/>
            </w:tblGrid>
            <w:tr w14:paraId="47C97A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6971B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895" w:type="dxa"/>
                  <w:tcBorders>
                    <w:tl2br w:val="nil"/>
                    <w:tr2bl w:val="nil"/>
                  </w:tcBorders>
                  <w:vAlign w:val="center"/>
                </w:tcPr>
                <w:p w14:paraId="727E11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190" w:type="dxa"/>
                  <w:tcBorders>
                    <w:tl2br w:val="nil"/>
                    <w:tr2bl w:val="nil"/>
                  </w:tcBorders>
                  <w:vAlign w:val="center"/>
                </w:tcPr>
                <w:p w14:paraId="31AD74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1651" w:type="dxa"/>
                  <w:tcBorders>
                    <w:tl2br w:val="nil"/>
                    <w:tr2bl w:val="nil"/>
                  </w:tcBorders>
                  <w:vAlign w:val="center"/>
                </w:tcPr>
                <w:p w14:paraId="486EEE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r>
            <w:tr w14:paraId="34BAD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D14D7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895" w:type="dxa"/>
                  <w:tcBorders>
                    <w:tl2br w:val="nil"/>
                    <w:tr2bl w:val="nil"/>
                  </w:tcBorders>
                  <w:vAlign w:val="center"/>
                </w:tcPr>
                <w:p w14:paraId="4BE927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pH值</w:t>
                  </w:r>
                </w:p>
              </w:tc>
              <w:tc>
                <w:tcPr>
                  <w:tcW w:w="2190" w:type="dxa"/>
                  <w:tcBorders>
                    <w:tl2br w:val="nil"/>
                    <w:tr2bl w:val="nil"/>
                  </w:tcBorders>
                  <w:vAlign w:val="center"/>
                </w:tcPr>
                <w:p w14:paraId="16EE5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1651" w:type="dxa"/>
                  <w:tcBorders>
                    <w:tl2br w:val="nil"/>
                    <w:tr2bl w:val="nil"/>
                  </w:tcBorders>
                  <w:vAlign w:val="center"/>
                </w:tcPr>
                <w:p w14:paraId="55B69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r>
            <w:tr w14:paraId="59AD36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B05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895" w:type="dxa"/>
                  <w:tcBorders>
                    <w:tl2br w:val="nil"/>
                    <w:tr2bl w:val="nil"/>
                  </w:tcBorders>
                  <w:vAlign w:val="center"/>
                </w:tcPr>
                <w:p w14:paraId="3A6D7B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悬浮物（SS）</w:t>
                  </w:r>
                </w:p>
              </w:tc>
              <w:tc>
                <w:tcPr>
                  <w:tcW w:w="2190" w:type="dxa"/>
                  <w:tcBorders>
                    <w:tl2br w:val="nil"/>
                    <w:tr2bl w:val="nil"/>
                  </w:tcBorders>
                  <w:vAlign w:val="center"/>
                </w:tcPr>
                <w:p w14:paraId="63A58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1651" w:type="dxa"/>
                  <w:tcBorders>
                    <w:tl2br w:val="nil"/>
                    <w:tr2bl w:val="nil"/>
                  </w:tcBorders>
                  <w:vAlign w:val="center"/>
                </w:tcPr>
                <w:p w14:paraId="05FE55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45644E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34A78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895" w:type="dxa"/>
                  <w:tcBorders>
                    <w:tl2br w:val="nil"/>
                    <w:tr2bl w:val="nil"/>
                  </w:tcBorders>
                  <w:vAlign w:val="center"/>
                </w:tcPr>
                <w:p w14:paraId="7D991E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五日生化需氧量（BOD</w:t>
                  </w:r>
                  <w:r>
                    <w:rPr>
                      <w:rFonts w:hint="eastAsia"/>
                      <w:sz w:val="21"/>
                      <w:szCs w:val="21"/>
                      <w:vertAlign w:val="subscript"/>
                      <w:lang w:val="en-US" w:eastAsia="zh-CN"/>
                    </w:rPr>
                    <w:t>5</w:t>
                  </w:r>
                  <w:r>
                    <w:rPr>
                      <w:rFonts w:hint="eastAsia"/>
                      <w:sz w:val="21"/>
                      <w:szCs w:val="21"/>
                      <w:vertAlign w:val="baseline"/>
                      <w:lang w:val="en-US" w:eastAsia="zh-CN"/>
                    </w:rPr>
                    <w:t>）</w:t>
                  </w:r>
                </w:p>
              </w:tc>
              <w:tc>
                <w:tcPr>
                  <w:tcW w:w="2190" w:type="dxa"/>
                  <w:tcBorders>
                    <w:tl2br w:val="nil"/>
                    <w:tr2bl w:val="nil"/>
                  </w:tcBorders>
                  <w:vAlign w:val="center"/>
                </w:tcPr>
                <w:p w14:paraId="7B16AB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1651" w:type="dxa"/>
                  <w:tcBorders>
                    <w:tl2br w:val="nil"/>
                    <w:tr2bl w:val="nil"/>
                  </w:tcBorders>
                  <w:vAlign w:val="center"/>
                </w:tcPr>
                <w:p w14:paraId="389B1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06DF80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21D2A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895" w:type="dxa"/>
                  <w:tcBorders>
                    <w:tl2br w:val="nil"/>
                    <w:tr2bl w:val="nil"/>
                  </w:tcBorders>
                  <w:vAlign w:val="center"/>
                </w:tcPr>
                <w:p w14:paraId="4E4D08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化学需氧量（CODcr）</w:t>
                  </w:r>
                </w:p>
              </w:tc>
              <w:tc>
                <w:tcPr>
                  <w:tcW w:w="2190" w:type="dxa"/>
                  <w:tcBorders>
                    <w:tl2br w:val="nil"/>
                    <w:tr2bl w:val="nil"/>
                  </w:tcBorders>
                  <w:vAlign w:val="center"/>
                </w:tcPr>
                <w:p w14:paraId="3C8D4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1651" w:type="dxa"/>
                  <w:tcBorders>
                    <w:tl2br w:val="nil"/>
                    <w:tr2bl w:val="nil"/>
                  </w:tcBorders>
                  <w:vAlign w:val="center"/>
                </w:tcPr>
                <w:p w14:paraId="7FCE13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0DAFC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7A2D4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895" w:type="dxa"/>
                  <w:tcBorders>
                    <w:tl2br w:val="nil"/>
                    <w:tr2bl w:val="nil"/>
                  </w:tcBorders>
                  <w:vAlign w:val="center"/>
                </w:tcPr>
                <w:p w14:paraId="48FFF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氨氮（NH</w:t>
                  </w:r>
                  <w:r>
                    <w:rPr>
                      <w:rFonts w:hint="eastAsia"/>
                      <w:sz w:val="21"/>
                      <w:szCs w:val="21"/>
                      <w:vertAlign w:val="subscript"/>
                      <w:lang w:val="en-US" w:eastAsia="zh-CN"/>
                    </w:rPr>
                    <w:t>3</w:t>
                  </w:r>
                  <w:r>
                    <w:rPr>
                      <w:rFonts w:hint="eastAsia"/>
                      <w:sz w:val="21"/>
                      <w:szCs w:val="21"/>
                      <w:vertAlign w:val="baseline"/>
                      <w:lang w:val="en-US" w:eastAsia="zh-CN"/>
                    </w:rPr>
                    <w:t>-N）</w:t>
                  </w:r>
                </w:p>
              </w:tc>
              <w:tc>
                <w:tcPr>
                  <w:tcW w:w="2190" w:type="dxa"/>
                  <w:tcBorders>
                    <w:tl2br w:val="nil"/>
                    <w:tr2bl w:val="nil"/>
                  </w:tcBorders>
                  <w:vAlign w:val="center"/>
                </w:tcPr>
                <w:p w14:paraId="5C0FC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651" w:type="dxa"/>
                  <w:tcBorders>
                    <w:tl2br w:val="nil"/>
                    <w:tr2bl w:val="nil"/>
                  </w:tcBorders>
                  <w:vAlign w:val="center"/>
                </w:tcPr>
                <w:p w14:paraId="25950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52F30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5185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895" w:type="dxa"/>
                  <w:tcBorders>
                    <w:tl2br w:val="nil"/>
                    <w:tr2bl w:val="nil"/>
                  </w:tcBorders>
                  <w:vAlign w:val="center"/>
                </w:tcPr>
                <w:p w14:paraId="126D52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2190" w:type="dxa"/>
                  <w:tcBorders>
                    <w:tl2br w:val="nil"/>
                    <w:tr2bl w:val="nil"/>
                  </w:tcBorders>
                  <w:vAlign w:val="center"/>
                </w:tcPr>
                <w:p w14:paraId="3F9B80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w:t>
                  </w:r>
                </w:p>
              </w:tc>
              <w:tc>
                <w:tcPr>
                  <w:tcW w:w="1651" w:type="dxa"/>
                  <w:tcBorders>
                    <w:tl2br w:val="nil"/>
                    <w:tr2bl w:val="nil"/>
                  </w:tcBorders>
                  <w:vAlign w:val="center"/>
                </w:tcPr>
                <w:p w14:paraId="3CE1D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A5AF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03E50A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895" w:type="dxa"/>
                  <w:tcBorders>
                    <w:tl2br w:val="nil"/>
                    <w:tr2bl w:val="nil"/>
                  </w:tcBorders>
                  <w:vAlign w:val="center"/>
                </w:tcPr>
                <w:p w14:paraId="363EE2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2190" w:type="dxa"/>
                  <w:tcBorders>
                    <w:tl2br w:val="nil"/>
                    <w:tr2bl w:val="nil"/>
                  </w:tcBorders>
                  <w:vAlign w:val="center"/>
                </w:tcPr>
                <w:p w14:paraId="4AA0A4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651" w:type="dxa"/>
                  <w:tcBorders>
                    <w:tl2br w:val="nil"/>
                    <w:tr2bl w:val="nil"/>
                  </w:tcBorders>
                  <w:vAlign w:val="center"/>
                </w:tcPr>
                <w:p w14:paraId="1A7F5F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mg/L</w:t>
                  </w:r>
                </w:p>
              </w:tc>
            </w:tr>
          </w:tbl>
          <w:p w14:paraId="332F6C6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3、噪声</w:t>
            </w:r>
          </w:p>
          <w:p w14:paraId="6B0B8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本项目营运期厂界噪声执行《工业企业厂界环境噪声排放标准》（GB12348-2008）中的2类标准，具体标准限值见下表。</w:t>
            </w:r>
          </w:p>
          <w:p w14:paraId="60D6A3E1">
            <w:pPr>
              <w:pStyle w:val="11"/>
              <w:bidi w:val="0"/>
              <w:rPr>
                <w:rFonts w:hint="default"/>
                <w:lang w:val="en-US" w:eastAsia="zh-CN"/>
              </w:rPr>
            </w:pPr>
            <w:r>
              <w:rPr>
                <w:rFonts w:hint="eastAsia"/>
                <w:lang w:val="en-US" w:eastAsia="zh-CN"/>
              </w:rPr>
              <w:t>表3-7 工业企业厂界环境噪声排放标准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1"/>
              <w:gridCol w:w="1093"/>
              <w:gridCol w:w="1160"/>
              <w:gridCol w:w="1161"/>
              <w:gridCol w:w="3683"/>
            </w:tblGrid>
            <w:tr w14:paraId="511C24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restart"/>
                  <w:tcBorders>
                    <w:tl2br w:val="nil"/>
                    <w:tr2bl w:val="nil"/>
                  </w:tcBorders>
                  <w:vAlign w:val="center"/>
                </w:tcPr>
                <w:p w14:paraId="6341F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声功能区类别</w:t>
                  </w:r>
                </w:p>
              </w:tc>
              <w:tc>
                <w:tcPr>
                  <w:tcW w:w="1095" w:type="dxa"/>
                  <w:vMerge w:val="restart"/>
                  <w:tcBorders>
                    <w:tl2br w:val="nil"/>
                    <w:tr2bl w:val="nil"/>
                  </w:tcBorders>
                  <w:vAlign w:val="center"/>
                </w:tcPr>
                <w:p w14:paraId="1BC86F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适用范围</w:t>
                  </w:r>
                </w:p>
              </w:tc>
              <w:tc>
                <w:tcPr>
                  <w:tcW w:w="2325" w:type="dxa"/>
                  <w:gridSpan w:val="2"/>
                  <w:tcBorders>
                    <w:tl2br w:val="nil"/>
                    <w:tr2bl w:val="nil"/>
                  </w:tcBorders>
                  <w:vAlign w:val="center"/>
                </w:tcPr>
                <w:p w14:paraId="1B087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3691" w:type="dxa"/>
                  <w:vMerge w:val="restart"/>
                  <w:tcBorders>
                    <w:tl2br w:val="nil"/>
                    <w:tr2bl w:val="nil"/>
                  </w:tcBorders>
                  <w:vAlign w:val="center"/>
                </w:tcPr>
                <w:p w14:paraId="67699B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执行标准</w:t>
                  </w:r>
                </w:p>
              </w:tc>
            </w:tr>
            <w:tr w14:paraId="4651E0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continue"/>
                  <w:tcBorders>
                    <w:tl2br w:val="nil"/>
                    <w:tr2bl w:val="nil"/>
                  </w:tcBorders>
                  <w:vAlign w:val="center"/>
                </w:tcPr>
                <w:p w14:paraId="7E5DC8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095" w:type="dxa"/>
                  <w:vMerge w:val="continue"/>
                  <w:tcBorders>
                    <w:tl2br w:val="nil"/>
                    <w:tr2bl w:val="nil"/>
                  </w:tcBorders>
                  <w:vAlign w:val="center"/>
                </w:tcPr>
                <w:p w14:paraId="0BB39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162" w:type="dxa"/>
                  <w:tcBorders>
                    <w:tl2br w:val="nil"/>
                    <w:tr2bl w:val="nil"/>
                  </w:tcBorders>
                  <w:vAlign w:val="center"/>
                </w:tcPr>
                <w:p w14:paraId="4101C4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昼间</w:t>
                  </w:r>
                </w:p>
              </w:tc>
              <w:tc>
                <w:tcPr>
                  <w:tcW w:w="1163" w:type="dxa"/>
                  <w:tcBorders>
                    <w:tl2br w:val="nil"/>
                    <w:tr2bl w:val="nil"/>
                  </w:tcBorders>
                  <w:vAlign w:val="center"/>
                </w:tcPr>
                <w:p w14:paraId="5436A0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夜间</w:t>
                  </w:r>
                </w:p>
              </w:tc>
              <w:tc>
                <w:tcPr>
                  <w:tcW w:w="3691" w:type="dxa"/>
                  <w:vMerge w:val="continue"/>
                  <w:tcBorders>
                    <w:tl2br w:val="nil"/>
                    <w:tr2bl w:val="nil"/>
                  </w:tcBorders>
                  <w:vAlign w:val="center"/>
                </w:tcPr>
                <w:p w14:paraId="646ED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9E90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tcBorders>
                    <w:tl2br w:val="nil"/>
                    <w:tr2bl w:val="nil"/>
                  </w:tcBorders>
                  <w:vAlign w:val="center"/>
                </w:tcPr>
                <w:p w14:paraId="3B68B4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2类</w:t>
                  </w:r>
                </w:p>
              </w:tc>
              <w:tc>
                <w:tcPr>
                  <w:tcW w:w="1095" w:type="dxa"/>
                  <w:tcBorders>
                    <w:tl2br w:val="nil"/>
                    <w:tr2bl w:val="nil"/>
                  </w:tcBorders>
                  <w:vAlign w:val="center"/>
                </w:tcPr>
                <w:p w14:paraId="30A414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项目所在区域</w:t>
                  </w:r>
                </w:p>
              </w:tc>
              <w:tc>
                <w:tcPr>
                  <w:tcW w:w="1162" w:type="dxa"/>
                  <w:tcBorders>
                    <w:tl2br w:val="nil"/>
                    <w:tr2bl w:val="nil"/>
                  </w:tcBorders>
                  <w:vAlign w:val="center"/>
                </w:tcPr>
                <w:p w14:paraId="252D5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60dB(A)</w:t>
                  </w:r>
                </w:p>
              </w:tc>
              <w:tc>
                <w:tcPr>
                  <w:tcW w:w="1163" w:type="dxa"/>
                  <w:tcBorders>
                    <w:tl2br w:val="nil"/>
                    <w:tr2bl w:val="nil"/>
                  </w:tcBorders>
                  <w:vAlign w:val="center"/>
                </w:tcPr>
                <w:p w14:paraId="620544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50dB(A)</w:t>
                  </w:r>
                </w:p>
              </w:tc>
              <w:tc>
                <w:tcPr>
                  <w:tcW w:w="3691" w:type="dxa"/>
                  <w:tcBorders>
                    <w:tl2br w:val="nil"/>
                    <w:tr2bl w:val="nil"/>
                  </w:tcBorders>
                  <w:vAlign w:val="center"/>
                </w:tcPr>
                <w:p w14:paraId="01410F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《工业企业厂界环境噪声排放标准》（GB12348-2008）中2类标准</w:t>
                  </w:r>
                </w:p>
              </w:tc>
            </w:tr>
          </w:tbl>
          <w:p w14:paraId="4BAA190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w:t>
            </w:r>
          </w:p>
          <w:p w14:paraId="32F5B3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①生活垃圾</w:t>
            </w:r>
          </w:p>
          <w:p w14:paraId="7DB524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生活垃圾处置执行《中华人民共和国固体废物污染环境防治法》（2020年版）、《北京市生活垃圾管理条例》（2020年5月1日起施行）中的相关规定。</w:t>
            </w:r>
          </w:p>
          <w:p w14:paraId="5A8FF54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②一般工业固体废物</w:t>
            </w:r>
          </w:p>
          <w:p w14:paraId="52A3D1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一般工业固体废物执行《一般工业固体废物贮存和填埋污染控制标准》（GB18599-2020）中的有关规定。</w:t>
            </w:r>
          </w:p>
          <w:p w14:paraId="7061E14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③危险废物（医疗废物）</w:t>
            </w:r>
          </w:p>
          <w:p w14:paraId="0268466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医疗废物（HW01）属于危险废物，应执行以下要求。</w:t>
            </w:r>
          </w:p>
          <w:p w14:paraId="417A324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a.执行《中华人民共和国固体废物污染环境防治法》（2020年版）中第六章“危险废物污染环境的防治”中的规定。</w:t>
            </w:r>
          </w:p>
          <w:p w14:paraId="3FF8FF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b.执行《医疗废物管理条例》（中华人民共和国国务院令第380号令）中的规定。</w:t>
            </w:r>
          </w:p>
          <w:p w14:paraId="27F8460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c.执行《危险废物贮存污染控制标准》（GB18597-2023）、《危险废物污染防治技术政策》（环发[2001]199号）和《危险废物转移管理办法》（生态环境部、公安部、交通运输部令第23号）中的相关规定。</w:t>
            </w:r>
          </w:p>
          <w:p w14:paraId="06B6873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d.执行《北京市危险废物污染环境防治条例》（2020年6月5日通过，2020年9月1日实施）；以及《医疗废物专用包装袋、容器和警示标志标准》（HJ421-2008）中的规定。</w:t>
            </w:r>
          </w:p>
        </w:tc>
      </w:tr>
      <w:tr w14:paraId="3964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118AF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总量控制指标</w:t>
            </w:r>
          </w:p>
        </w:tc>
        <w:tc>
          <w:tcPr>
            <w:tcW w:w="8224" w:type="dxa"/>
            <w:vAlign w:val="center"/>
          </w:tcPr>
          <w:p w14:paraId="5A54686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1、污染物排放总量控制原则</w:t>
            </w:r>
          </w:p>
          <w:p w14:paraId="74D4195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环境保护部《建设项目主要污染物排放总量指标审核及管理办法》（环发[2014]197号）、《北京市环境保护局关于转发环境保护部＜建设项目主要污染物排放总量指标审核及管理暂行办法＞的通知》（京环发[2015]19号）及《北京市环境保护局关于建设项目主要污染物排放总量指标审核及管理的补充通知》（2016年8月19日），北京市实施建设项目总量指标审核及管理的污染物包括：二氧化硫、氮氧化物、烟粉尘、挥发性有机物（工业及汽车维修行业）、化学需氧量、氨氮。</w:t>
            </w:r>
          </w:p>
          <w:p w14:paraId="586698C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本项目从事动物医院经营，开展动物诊疗、手术及相关服务，涉及排放的总量控制污染物为废水中的化学需氧量和氨氮。</w:t>
            </w:r>
          </w:p>
          <w:p w14:paraId="399AEE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2、建设项目污染物排放总量核算</w:t>
            </w:r>
          </w:p>
          <w:p w14:paraId="1A2B1E7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产生的废水为动物诊疗废水、美容洗浴废水和生活废水。其中诊疗、美容洗浴废水经污水处理设备消毒后，与生活废水一同排入所在建筑防渗化粪池预处理，最终经市政污水管网进入北京中设水处理有限公司良乡污水处理厂集中处理。本项目废水排放量为163.94m</w:t>
            </w:r>
            <w:r>
              <w:rPr>
                <w:rFonts w:hint="eastAsia"/>
                <w:vertAlign w:val="superscript"/>
                <w:lang w:val="en-US" w:eastAsia="zh-CN"/>
              </w:rPr>
              <w:t>3</w:t>
            </w:r>
            <w:r>
              <w:rPr>
                <w:rFonts w:hint="eastAsia"/>
                <w:lang w:val="en-US" w:eastAsia="zh-CN"/>
              </w:rPr>
              <w:t>/a。</w:t>
            </w:r>
          </w:p>
          <w:p w14:paraId="4A219C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北京中设水处理有限公司良乡污水处理厂</w:t>
            </w:r>
            <w:r>
              <w:rPr>
                <w:rFonts w:hint="default"/>
                <w:lang w:val="en-US" w:eastAsia="zh-CN"/>
              </w:rPr>
              <w:t>排水执行《城镇污水处理厂水污染物排放标准》（DB11/890-2012）中</w:t>
            </w:r>
            <w:r>
              <w:rPr>
                <w:rFonts w:hint="eastAsia"/>
                <w:lang w:val="en-US" w:eastAsia="zh-CN"/>
              </w:rPr>
              <w:t>“</w:t>
            </w:r>
            <w:r>
              <w:rPr>
                <w:rFonts w:hint="default"/>
                <w:lang w:val="en-US" w:eastAsia="zh-CN"/>
              </w:rPr>
              <w:t>表1新（改、扩）建城镇污水处理厂基本控制项目排放限值B标准</w:t>
            </w:r>
            <w:r>
              <w:rPr>
                <w:rFonts w:hint="eastAsia"/>
                <w:lang w:val="en-US" w:eastAsia="zh-CN"/>
              </w:rPr>
              <w:t>”</w:t>
            </w:r>
            <w:r>
              <w:rPr>
                <w:rFonts w:hint="default"/>
                <w:lang w:val="en-US" w:eastAsia="zh-CN"/>
              </w:rPr>
              <w:t>相关要求，其排水水质浓度限值为：COD</w:t>
            </w:r>
            <w:r>
              <w:rPr>
                <w:rFonts w:hint="eastAsia"/>
                <w:lang w:val="en-US" w:eastAsia="zh-CN"/>
              </w:rPr>
              <w:t>cr</w:t>
            </w:r>
            <w:r>
              <w:rPr>
                <w:rFonts w:hint="default"/>
                <w:lang w:val="en-US" w:eastAsia="zh-CN"/>
              </w:rPr>
              <w:t>：30mg/L，氨氮：1.5（2.5）mg/L（12月1日-3月31日执行2.5mg/L，其余时间执行1.5mg/L）。</w:t>
            </w:r>
          </w:p>
          <w:p w14:paraId="759763F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化学需氧量最大允许排放量为：</w:t>
            </w:r>
            <w:r>
              <w:rPr>
                <w:rFonts w:hint="eastAsia"/>
                <w:lang w:val="en-US" w:eastAsia="zh-CN"/>
              </w:rPr>
              <w:t>163.94</w:t>
            </w:r>
            <w:r>
              <w:rPr>
                <w:rFonts w:hint="default"/>
                <w:lang w:val="en-US" w:eastAsia="zh-CN"/>
              </w:rPr>
              <w:t>m</w:t>
            </w:r>
            <w:r>
              <w:rPr>
                <w:rFonts w:hint="default"/>
                <w:vertAlign w:val="superscript"/>
                <w:lang w:val="en-US" w:eastAsia="zh-CN"/>
              </w:rPr>
              <w:t>3</w:t>
            </w:r>
            <w:r>
              <w:rPr>
                <w:rFonts w:hint="default"/>
                <w:lang w:val="en-US" w:eastAsia="zh-CN"/>
              </w:rPr>
              <w:t>/a×30mg/L×10</w:t>
            </w:r>
            <w:r>
              <w:rPr>
                <w:rFonts w:hint="default"/>
                <w:vertAlign w:val="superscript"/>
                <w:lang w:val="en-US" w:eastAsia="zh-CN"/>
              </w:rPr>
              <w:t>-6</w:t>
            </w:r>
            <w:r>
              <w:rPr>
                <w:rFonts w:hint="default"/>
                <w:lang w:val="en-US" w:eastAsia="zh-CN"/>
              </w:rPr>
              <w:t>=</w:t>
            </w:r>
            <w:r>
              <w:rPr>
                <w:rFonts w:hint="eastAsia"/>
                <w:lang w:val="en-US" w:eastAsia="zh-CN"/>
              </w:rPr>
              <w:t>0.0049</w:t>
            </w:r>
            <w:r>
              <w:rPr>
                <w:rFonts w:hint="default"/>
                <w:lang w:val="en-US" w:eastAsia="zh-CN"/>
              </w:rPr>
              <w:t>t/a。</w:t>
            </w:r>
          </w:p>
          <w:p w14:paraId="339E6AE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氨氮最大允许排放量为：</w:t>
            </w:r>
            <w:r>
              <w:rPr>
                <w:rFonts w:hint="eastAsia"/>
                <w:lang w:val="en-US" w:eastAsia="zh-CN"/>
              </w:rPr>
              <w:t>163.94</w:t>
            </w:r>
            <w:r>
              <w:rPr>
                <w:rFonts w:hint="default"/>
                <w:lang w:val="en-US" w:eastAsia="zh-CN"/>
              </w:rPr>
              <w:t>m</w:t>
            </w:r>
            <w:r>
              <w:rPr>
                <w:rFonts w:hint="default"/>
                <w:vertAlign w:val="superscript"/>
                <w:lang w:val="en-US" w:eastAsia="zh-CN"/>
              </w:rPr>
              <w:t>3</w:t>
            </w:r>
            <w:r>
              <w:rPr>
                <w:rFonts w:hint="default"/>
                <w:lang w:val="en-US" w:eastAsia="zh-CN"/>
              </w:rPr>
              <w:t>/a×（1.5mg/L×2/3+2.5mg/L×1/3）×10</w:t>
            </w:r>
            <w:r>
              <w:rPr>
                <w:rFonts w:hint="default"/>
                <w:vertAlign w:val="superscript"/>
                <w:lang w:val="en-US" w:eastAsia="zh-CN"/>
              </w:rPr>
              <w:t>-6</w:t>
            </w:r>
            <w:r>
              <w:rPr>
                <w:rFonts w:hint="default"/>
                <w:lang w:val="en-US" w:eastAsia="zh-CN"/>
              </w:rPr>
              <w:t>=0.000</w:t>
            </w:r>
            <w:r>
              <w:rPr>
                <w:rFonts w:hint="eastAsia"/>
                <w:lang w:val="en-US" w:eastAsia="zh-CN"/>
              </w:rPr>
              <w:t>3</w:t>
            </w:r>
            <w:r>
              <w:rPr>
                <w:rFonts w:hint="default"/>
                <w:lang w:val="en-US" w:eastAsia="zh-CN"/>
              </w:rPr>
              <w:t>t/a。</w:t>
            </w:r>
          </w:p>
          <w:p w14:paraId="3743C8B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则项目水污染物排放量为化学需氧量COD</w:t>
            </w:r>
            <w:r>
              <w:rPr>
                <w:rFonts w:hint="eastAsia"/>
                <w:lang w:val="en-US" w:eastAsia="zh-CN"/>
              </w:rPr>
              <w:t>cr</w:t>
            </w:r>
            <w:r>
              <w:rPr>
                <w:rFonts w:hint="default"/>
                <w:lang w:val="en-US" w:eastAsia="zh-CN"/>
              </w:rPr>
              <w:t>：</w:t>
            </w:r>
            <w:r>
              <w:rPr>
                <w:rFonts w:hint="eastAsia"/>
                <w:lang w:val="en-US" w:eastAsia="zh-CN"/>
              </w:rPr>
              <w:t>0.0049</w:t>
            </w:r>
            <w:r>
              <w:rPr>
                <w:rFonts w:hint="default"/>
                <w:lang w:val="en-US" w:eastAsia="zh-CN"/>
              </w:rPr>
              <w:t>t/a、氨氮：0.000</w:t>
            </w:r>
            <w:r>
              <w:rPr>
                <w:rFonts w:hint="eastAsia"/>
                <w:lang w:val="en-US" w:eastAsia="zh-CN"/>
              </w:rPr>
              <w:t>3</w:t>
            </w:r>
            <w:r>
              <w:rPr>
                <w:rFonts w:hint="default"/>
                <w:lang w:val="en-US" w:eastAsia="zh-CN"/>
              </w:rPr>
              <w:t>t/a。</w:t>
            </w:r>
          </w:p>
          <w:p w14:paraId="34AC6A2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3、总量控制指标</w:t>
            </w:r>
          </w:p>
          <w:p w14:paraId="5417A4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原北京市环境保护局《关于建设项目主要污染物排放总量指标审核及管理的补充通知（京环发[2016]24号）》中的附件1建设项目主要污染物排放总量核算方法：纳入污水管网通过污水处理设施集中处理污水的生活源建设项目水污染物按照该污水处理厂排入地表水体的标准核算排放总量。</w:t>
            </w:r>
          </w:p>
          <w:p w14:paraId="0201DA4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项目运营期污染物总量控制指标为CODcr：0.0049t/a，氨氮：0.0003t/a。</w:t>
            </w:r>
          </w:p>
          <w:p w14:paraId="02A3891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E1191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0D2F06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4525551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11EA59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303B359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58F6CC0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535CEA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2A4BC0E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3F15818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43B8D06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A7DA9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2B19A5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F3A6C2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405B47E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517BE45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4643BE6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534C6F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500638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649314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4724AD9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C5E6AA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11F6AC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D3B5F5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tc>
      </w:tr>
    </w:tbl>
    <w:p w14:paraId="6CCF93F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29257D1">
      <w:pPr>
        <w:pStyle w:val="2"/>
        <w:bidi w:val="0"/>
        <w:rPr>
          <w:rFonts w:hint="default"/>
          <w:lang w:val="en-US" w:eastAsia="zh-CN"/>
        </w:rPr>
      </w:pPr>
      <w:r>
        <w:rPr>
          <w:rFonts w:hint="eastAsia"/>
          <w:lang w:val="en-US" w:eastAsia="zh-CN"/>
        </w:rPr>
        <w:t>四、主要环境影响和保护措施</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66F7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223AF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施工期环境保护措施</w:t>
            </w:r>
          </w:p>
        </w:tc>
        <w:tc>
          <w:tcPr>
            <w:tcW w:w="8239" w:type="dxa"/>
            <w:vAlign w:val="center"/>
          </w:tcPr>
          <w:p w14:paraId="7309782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本项目租用现有厂房进行建设，无土建施工，主要工程内容为室内装修及医疗设备、环保设备的安装调试，主要污染源为装修期间的施工扬尘及装修废气、废水、噪声、建筑垃圾。</w:t>
            </w:r>
          </w:p>
          <w:p w14:paraId="0B71329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1、施工废气环境保护措施</w:t>
            </w:r>
          </w:p>
          <w:p w14:paraId="7DC7EE1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（1）施工扬尘</w:t>
            </w:r>
          </w:p>
          <w:p w14:paraId="3C0DC2B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的施工过程中在对厂房现有内部构筑物的拆除、内部装修及建筑材料运输装卸环节将产生少量施工扬尘。扬尘量大小与施工现场条件、管理水平等因素有关。虽然施工过程在室内进行，扬尘不会直接对大气环境造成影响，但在物料堆放、清运建筑垃圾过程中，如果方法不当或管理不严，容容易引起扬尘污染。此外，施工期在物料运输过程中，会造成物料沿路遗撒或风吹起尘。为减少施工扬尘对周边环境的影响，拟采取如下防护措施：</w:t>
            </w:r>
          </w:p>
          <w:p w14:paraId="4C65B2A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①装修产生的建筑垃圾不得露天堆放，并及时清运建筑垃圾；</w:t>
            </w:r>
          </w:p>
          <w:p w14:paraId="6A35A6B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②在对厂房现有内部构筑物的拆除及内部装修等工作时，应关闭厂房门窗并及时清理地面尘土防止扬尘污染；</w:t>
            </w:r>
          </w:p>
          <w:p w14:paraId="062DC8E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③易产生扬尘的细颗粒物，应严密遮盖；运输时要防止遗撒、飞扬，卸运时应采取有效措施以减少扬尘。</w:t>
            </w:r>
          </w:p>
          <w:p w14:paraId="3A9CFE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（2）装修废气</w:t>
            </w:r>
          </w:p>
          <w:p w14:paraId="2260DF9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过程在使用含有机成分的建筑装修材料时，会产生挥发性有机废气。为减少挥发性有机废气对周边环境的影响，本项目施工期间对挥发性废气予以重点控制，选用环保型低污染涂料，即涂料及装修材料的选取按照国家质检总局颁布的《室内装饰装修材料10项有害物质限量》规定进行，杜绝采用已被淘汰的涂料，同时保证室内足够的通风量，预计装修废气对项目外大气环境影响较小。施工期产生的扬尘和装修废气影响是暂时的，施工结束后便会消失，工程在施工期若采取以上大气污染控制措施，可有效降低施工期对周围大气环境的影响。</w:t>
            </w:r>
          </w:p>
          <w:p w14:paraId="150AE48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2、施工废水环境保护措施</w:t>
            </w:r>
          </w:p>
          <w:p w14:paraId="11DA580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本项目施工期水污染源主要为施工操作废水和现场施工人员产生的生活废水。施工操作废水主要为装修完成后使用墩布对现场地面清洁时产生废水等。据估算，该部分废水产生量约为10m</w:t>
            </w:r>
            <w:r>
              <w:rPr>
                <w:rFonts w:hint="eastAsia"/>
                <w:vertAlign w:val="superscript"/>
                <w:lang w:val="en-US" w:eastAsia="zh-CN"/>
              </w:rPr>
              <w:t>3</w:t>
            </w:r>
            <w:r>
              <w:rPr>
                <w:rFonts w:hint="eastAsia"/>
                <w:lang w:val="en-US" w:eastAsia="zh-CN"/>
              </w:rPr>
              <w:t>。生活废水主要产生于施工人员，按施工人员每人每天用水50L计，污水排放量为用水量的80%，施工人员按5人计，每天排放污水约0.2m</w:t>
            </w:r>
            <w:r>
              <w:rPr>
                <w:rFonts w:hint="eastAsia"/>
                <w:vertAlign w:val="superscript"/>
                <w:lang w:val="en-US" w:eastAsia="zh-CN"/>
              </w:rPr>
              <w:t>3</w:t>
            </w:r>
            <w:r>
              <w:rPr>
                <w:rFonts w:hint="eastAsia"/>
                <w:lang w:val="en-US" w:eastAsia="zh-CN"/>
              </w:rPr>
              <w:t>/d。按施工期30天计算，施工期共产生生活废水6m</w:t>
            </w:r>
            <w:r>
              <w:rPr>
                <w:rFonts w:hint="eastAsia"/>
                <w:vertAlign w:val="superscript"/>
                <w:lang w:val="en-US" w:eastAsia="zh-CN"/>
              </w:rPr>
              <w:t>3</w:t>
            </w:r>
            <w:r>
              <w:rPr>
                <w:rFonts w:hint="eastAsia"/>
                <w:lang w:val="en-US" w:eastAsia="zh-CN"/>
              </w:rPr>
              <w:t>。</w:t>
            </w:r>
          </w:p>
          <w:p w14:paraId="0B45DC8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产生的废水不得随意排放，其中，地面清洁时清洗墩布产生的废水经墩布池收集后进入院区排水管网，施工人员盥洗、如厕使用所在建筑现有卫生间。项目施工期产生的地面清洁废水及施工人员生活废水最终排入市政污水管网，不会对当地水环境产生较大影响。</w:t>
            </w:r>
          </w:p>
          <w:p w14:paraId="69F82C1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3、施工噪声环境保护措施</w:t>
            </w:r>
          </w:p>
          <w:p w14:paraId="680E8D0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施工期间噪声主要为厂房整修工程及设备安装过程中各种施工设备运行噪声，如电锯、钻、打磨机等，为非连续式噪声。项目施工期设备噪声将会对周围环境噪声产生严重影响，噪声强度为75~100db（A）。</w:t>
            </w:r>
          </w:p>
          <w:p w14:paraId="2F0FFF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为减少施工噪声对环境的影响，建设单位应采取必要的降噪措施：</w:t>
            </w:r>
          </w:p>
          <w:p w14:paraId="4F46EC2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①</w:t>
            </w:r>
            <w:r>
              <w:rPr>
                <w:rFonts w:hint="eastAsia"/>
                <w:lang w:val="en-US" w:eastAsia="zh-CN"/>
              </w:rPr>
              <w:t>降低人为噪声，按规定操作机械设备，尽量少用哨子、钟、笛等指挥作业，而代以现代化设备；模板、支架拆卸过程中，遵守作业规定，减少作业规定，减少碰撞噪声；</w:t>
            </w:r>
          </w:p>
          <w:p w14:paraId="6A16C2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②</w:t>
            </w:r>
            <w:r>
              <w:rPr>
                <w:rFonts w:hint="eastAsia"/>
                <w:lang w:val="en-US" w:eastAsia="zh-CN"/>
              </w:rPr>
              <w:t>选用低噪声设备；</w:t>
            </w:r>
          </w:p>
          <w:p w14:paraId="26C406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③</w:t>
            </w:r>
            <w:r>
              <w:rPr>
                <w:rFonts w:hint="eastAsia"/>
                <w:lang w:val="en-US" w:eastAsia="zh-CN"/>
              </w:rPr>
              <w:t>减轻设备振动；</w:t>
            </w:r>
          </w:p>
          <w:p w14:paraId="502C9B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④</w:t>
            </w:r>
            <w:r>
              <w:rPr>
                <w:rFonts w:hint="eastAsia"/>
                <w:lang w:val="en-US" w:eastAsia="zh-CN"/>
              </w:rPr>
              <w:t>合理安排施工作业时间，尽量避免高噪声设备同时使用，尽量缩短高噪声设备的使用时间，不在午间、夜间等噪声敏感时段进行高噪声作业；</w:t>
            </w:r>
          </w:p>
          <w:p w14:paraId="57A4B2B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⑤</w:t>
            </w:r>
            <w:r>
              <w:rPr>
                <w:rFonts w:hint="eastAsia"/>
                <w:lang w:val="en-US" w:eastAsia="zh-CN"/>
              </w:rPr>
              <w:t>使用高噪声装修设备时尽量关闭门窗，减少对外环境的影响。</w:t>
            </w:r>
          </w:p>
          <w:p w14:paraId="4B4A41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施工期噪声将随着施工作业的结束而消失，噪声影响是短期的。在严格执行噪声控制措施的情况下，施工期噪声影响在短期内是可以接受的，对周边声环境的影响较小。</w:t>
            </w:r>
          </w:p>
          <w:p w14:paraId="3F2F55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4、固体废物环境保护措施</w:t>
            </w:r>
          </w:p>
          <w:p w14:paraId="6808A4E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施工期间固体废物主要为施工产生的建筑垃圾及生活垃圾。</w:t>
            </w:r>
          </w:p>
          <w:p w14:paraId="0DB27F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产生的建筑垃圾来自于施工过程产生的拆除物和建筑废料，应运往指定的垃圾处理场所处理、消纳，施工场地应设置施工垃圾临时存放处。生活垃圾主要为现场施工人员产生的日常生活垃圾，产生量平均每人每天0.2kg左右，每天平均施工人数约为5人，则施工期日产生活垃圾1kg。施工场地按照垃圾分类要求设置垃圾桶，施工人员应根据生活垃圾分类要求进行垃圾投放，生活垃圾最终由环卫部门定期清运。</w:t>
            </w:r>
          </w:p>
          <w:p w14:paraId="02B891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本项目施工期产生的固体废物组成成分相对简单，固体废物均能得到妥善处置。因此本项目施工中产生的固体废物对当地环境影响较小。</w:t>
            </w:r>
          </w:p>
          <w:p w14:paraId="48B7448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综上所述，施工期的环境影响是短期的，建设项目施工阶段完成后，对周边的影响可消除。由于施工期环境影响受人为和自然条件的影响较大，因此应加强对施工现场的管理，遵守北京市的有关规定（如：《北京市建设工程施工现场管理办法》和《绿色施工管理规程》），并认真落实以上提出的各项污染防治措施，坚持文明施工，接受城管部门的监督，最大限度地减少施工期间对周围环境的影响。</w:t>
            </w:r>
          </w:p>
        </w:tc>
      </w:tr>
      <w:tr w14:paraId="73080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5D4F4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运营期环境影响和保护措施</w:t>
            </w:r>
          </w:p>
        </w:tc>
        <w:tc>
          <w:tcPr>
            <w:tcW w:w="8239" w:type="dxa"/>
            <w:vAlign w:val="center"/>
          </w:tcPr>
          <w:p w14:paraId="47998F5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1、大气环境影响分析</w:t>
            </w:r>
          </w:p>
          <w:p w14:paraId="78CD402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（1）污染物分析</w:t>
            </w:r>
          </w:p>
          <w:p w14:paraId="2573519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运营期间，项目无燃煤、燃油、燃气设施，不设食堂；冬季供暖由市政热力提供，夏季制冷由自备空调提供。本项目诊疗及美容洗浴废水采用一体化污水消毒设施，封闭设计，无开放水面，其主要工艺为消毒，无生化工艺，项目污水处理工艺无废气排放。化验室化验环节均使用仪器设备及对动物血、尿等进行常规化验。化验过程不涉及使用化学试剂，全部为试纸或采购的各类试剂盒。故无化验废气产生、无化验试剂等危险废物产生。</w:t>
            </w:r>
          </w:p>
          <w:p w14:paraId="7ABF995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本项目运行后接诊的动物全部为猫、狗等家庭小动物，其自身及粪便等会产生少量NH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S等异味。报告中以H</w:t>
            </w:r>
            <w:r>
              <w:rPr>
                <w:rFonts w:hint="eastAsia"/>
                <w:sz w:val="24"/>
                <w:szCs w:val="24"/>
                <w:vertAlign w:val="subscript"/>
                <w:lang w:val="en-US" w:eastAsia="zh-CN"/>
              </w:rPr>
              <w:t>2</w:t>
            </w:r>
            <w:r>
              <w:rPr>
                <w:rFonts w:hint="eastAsia"/>
                <w:sz w:val="24"/>
                <w:szCs w:val="24"/>
                <w:lang w:val="en-US" w:eastAsia="zh-CN"/>
              </w:rPr>
              <w:t>S、NH</w:t>
            </w:r>
            <w:r>
              <w:rPr>
                <w:rFonts w:hint="eastAsia"/>
                <w:sz w:val="24"/>
                <w:szCs w:val="24"/>
                <w:vertAlign w:val="subscript"/>
                <w:lang w:val="en-US" w:eastAsia="zh-CN"/>
              </w:rPr>
              <w:t>3</w:t>
            </w:r>
            <w:r>
              <w:rPr>
                <w:rFonts w:hint="eastAsia"/>
                <w:sz w:val="24"/>
                <w:szCs w:val="24"/>
                <w:lang w:val="en-US" w:eastAsia="zh-CN"/>
              </w:rPr>
              <w:t>、臭气浓度作为污染物因子进行分析计算和评价。</w:t>
            </w:r>
          </w:p>
          <w:p w14:paraId="749954B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（2）源强核算及产污情况</w:t>
            </w:r>
          </w:p>
          <w:p w14:paraId="71FFE18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1）有组织排放</w:t>
            </w:r>
          </w:p>
          <w:p w14:paraId="517A269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环境恶臭评价方法的新探讨》（重庆环境科学，1996年10月，李国发、黄翠花）中提及的方法：通过臭气强度分级确定臭气污染源源强。根据日本环境厅提出的以臭味的嗅觉阈值为基准，划分了6个臭气强度等级。</w:t>
            </w:r>
          </w:p>
          <w:p w14:paraId="204D6471">
            <w:pPr>
              <w:pStyle w:val="11"/>
              <w:bidi w:val="0"/>
              <w:rPr>
                <w:rFonts w:hint="default"/>
                <w:lang w:val="en-US" w:eastAsia="zh-CN"/>
              </w:rPr>
            </w:pPr>
            <w:r>
              <w:rPr>
                <w:rFonts w:hint="eastAsia"/>
                <w:lang w:val="en-US" w:eastAsia="zh-CN"/>
              </w:rPr>
              <w:t>表4-1 臭气强度分级表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76"/>
              <w:gridCol w:w="4947"/>
            </w:tblGrid>
            <w:tr w14:paraId="040A97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7A5F1B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臭气强度（级）</w:t>
                  </w:r>
                </w:p>
              </w:tc>
              <w:tc>
                <w:tcPr>
                  <w:tcW w:w="5249" w:type="dxa"/>
                  <w:tcBorders>
                    <w:tl2br w:val="nil"/>
                    <w:tr2bl w:val="nil"/>
                  </w:tcBorders>
                  <w:vAlign w:val="center"/>
                </w:tcPr>
                <w:p w14:paraId="002F5C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内容</w:t>
                  </w:r>
                </w:p>
              </w:tc>
            </w:tr>
            <w:tr w14:paraId="0670AB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4E8D6C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w:t>
                  </w:r>
                </w:p>
              </w:tc>
              <w:tc>
                <w:tcPr>
                  <w:tcW w:w="5249" w:type="dxa"/>
                  <w:tcBorders>
                    <w:tl2br w:val="nil"/>
                    <w:tr2bl w:val="nil"/>
                  </w:tcBorders>
                  <w:vAlign w:val="center"/>
                </w:tcPr>
                <w:p w14:paraId="366963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无臭</w:t>
                  </w:r>
                </w:p>
              </w:tc>
            </w:tr>
            <w:tr w14:paraId="448296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5BC080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5249" w:type="dxa"/>
                  <w:tcBorders>
                    <w:tl2br w:val="nil"/>
                    <w:tr2bl w:val="nil"/>
                  </w:tcBorders>
                  <w:vAlign w:val="center"/>
                </w:tcPr>
                <w:p w14:paraId="206239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勉强感觉臭味存在（嗅觉阈值）</w:t>
                  </w:r>
                </w:p>
              </w:tc>
            </w:tr>
            <w:tr w14:paraId="64971E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2E1E6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5249" w:type="dxa"/>
                  <w:tcBorders>
                    <w:tl2br w:val="nil"/>
                    <w:tr2bl w:val="nil"/>
                  </w:tcBorders>
                  <w:vAlign w:val="center"/>
                </w:tcPr>
                <w:p w14:paraId="2149FD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确认臭味存在（认知阈值）</w:t>
                  </w:r>
                </w:p>
              </w:tc>
            </w:tr>
            <w:tr w14:paraId="309FE0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11DE8F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5249" w:type="dxa"/>
                  <w:tcBorders>
                    <w:tl2br w:val="nil"/>
                    <w:tr2bl w:val="nil"/>
                  </w:tcBorders>
                  <w:vAlign w:val="center"/>
                </w:tcPr>
                <w:p w14:paraId="6CA257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极易感觉臭味存在</w:t>
                  </w:r>
                </w:p>
              </w:tc>
            </w:tr>
            <w:tr w14:paraId="29414B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2F5D7E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5249" w:type="dxa"/>
                  <w:tcBorders>
                    <w:tl2br w:val="nil"/>
                    <w:tr2bl w:val="nil"/>
                  </w:tcBorders>
                  <w:vAlign w:val="center"/>
                </w:tcPr>
                <w:p w14:paraId="7D4DC1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臭气明显存在</w:t>
                  </w:r>
                </w:p>
              </w:tc>
            </w:tr>
            <w:tr w14:paraId="212F67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02D970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5249" w:type="dxa"/>
                  <w:tcBorders>
                    <w:tl2br w:val="nil"/>
                    <w:tr2bl w:val="nil"/>
                  </w:tcBorders>
                  <w:vAlign w:val="center"/>
                </w:tcPr>
                <w:p w14:paraId="437817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臭气强烈存在</w:t>
                  </w:r>
                </w:p>
              </w:tc>
            </w:tr>
          </w:tbl>
          <w:p w14:paraId="6B7205A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天津市环境保护科学研究院、国家环境保护恶臭污染控制重点实验室耿静、韩萌等人发表的《臭气强度与臭气浓度间的定量关系研究》一文，在日本的恶臭强度六级分级法基础上，对679个典型行业恶臭样品进行了臭气浓度和强度的测试，得出恶臭强度对应的臭气浓度区间见下表。</w:t>
            </w:r>
          </w:p>
          <w:p w14:paraId="53D19336">
            <w:pPr>
              <w:pStyle w:val="11"/>
              <w:bidi w:val="0"/>
              <w:rPr>
                <w:rFonts w:hint="eastAsia"/>
                <w:lang w:val="en-US" w:eastAsia="zh-CN"/>
              </w:rPr>
            </w:pPr>
            <w:r>
              <w:rPr>
                <w:rFonts w:hint="eastAsia"/>
                <w:lang w:val="en-US" w:eastAsia="zh-CN"/>
              </w:rPr>
              <w:t>表4-2 臭气强度对应的臭气浓度区间</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660"/>
              <w:gridCol w:w="810"/>
              <w:gridCol w:w="795"/>
              <w:gridCol w:w="825"/>
              <w:gridCol w:w="1035"/>
              <w:gridCol w:w="990"/>
              <w:gridCol w:w="1230"/>
              <w:gridCol w:w="781"/>
            </w:tblGrid>
            <w:tr w14:paraId="77894D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7" w:type="dxa"/>
                  <w:tcBorders>
                    <w:tl2br w:val="nil"/>
                    <w:tr2bl w:val="nil"/>
                  </w:tcBorders>
                  <w:vAlign w:val="center"/>
                </w:tcPr>
                <w:p w14:paraId="2938C9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臭气强度（级）</w:t>
                  </w:r>
                </w:p>
              </w:tc>
              <w:tc>
                <w:tcPr>
                  <w:tcW w:w="660" w:type="dxa"/>
                  <w:tcBorders>
                    <w:tl2br w:val="nil"/>
                    <w:tr2bl w:val="nil"/>
                  </w:tcBorders>
                  <w:vAlign w:val="center"/>
                </w:tcPr>
                <w:p w14:paraId="46AC81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810" w:type="dxa"/>
                  <w:tcBorders>
                    <w:tl2br w:val="nil"/>
                    <w:tr2bl w:val="nil"/>
                  </w:tcBorders>
                  <w:vAlign w:val="center"/>
                </w:tcPr>
                <w:p w14:paraId="098EB0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1.5</w:t>
                  </w:r>
                </w:p>
              </w:tc>
              <w:tc>
                <w:tcPr>
                  <w:tcW w:w="795" w:type="dxa"/>
                  <w:tcBorders>
                    <w:tl2br w:val="nil"/>
                    <w:tr2bl w:val="nil"/>
                  </w:tcBorders>
                  <w:vAlign w:val="center"/>
                </w:tcPr>
                <w:p w14:paraId="33022C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825" w:type="dxa"/>
                  <w:tcBorders>
                    <w:tl2br w:val="nil"/>
                    <w:tr2bl w:val="nil"/>
                  </w:tcBorders>
                  <w:vAlign w:val="center"/>
                </w:tcPr>
                <w:p w14:paraId="6057B1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w:t>
                  </w:r>
                </w:p>
              </w:tc>
              <w:tc>
                <w:tcPr>
                  <w:tcW w:w="1035" w:type="dxa"/>
                  <w:tcBorders>
                    <w:tl2br w:val="nil"/>
                    <w:tr2bl w:val="nil"/>
                  </w:tcBorders>
                  <w:vAlign w:val="center"/>
                </w:tcPr>
                <w:p w14:paraId="6E1B8A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990" w:type="dxa"/>
                  <w:tcBorders>
                    <w:tl2br w:val="nil"/>
                    <w:tr2bl w:val="nil"/>
                  </w:tcBorders>
                  <w:vAlign w:val="center"/>
                </w:tcPr>
                <w:p w14:paraId="7A3268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3.5</w:t>
                  </w:r>
                </w:p>
              </w:tc>
              <w:tc>
                <w:tcPr>
                  <w:tcW w:w="1230" w:type="dxa"/>
                  <w:tcBorders>
                    <w:tl2br w:val="nil"/>
                    <w:tr2bl w:val="nil"/>
                  </w:tcBorders>
                  <w:vAlign w:val="center"/>
                </w:tcPr>
                <w:p w14:paraId="0D597F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781" w:type="dxa"/>
                  <w:tcBorders>
                    <w:tl2br w:val="nil"/>
                    <w:tr2bl w:val="nil"/>
                  </w:tcBorders>
                  <w:vAlign w:val="center"/>
                </w:tcPr>
                <w:p w14:paraId="3A886B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r>
            <w:tr w14:paraId="02569B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7" w:type="dxa"/>
                  <w:tcBorders>
                    <w:tl2br w:val="nil"/>
                    <w:tr2bl w:val="nil"/>
                  </w:tcBorders>
                  <w:vAlign w:val="center"/>
                </w:tcPr>
                <w:p w14:paraId="0B02CC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臭气浓度区间</w:t>
                  </w:r>
                </w:p>
              </w:tc>
              <w:tc>
                <w:tcPr>
                  <w:tcW w:w="660" w:type="dxa"/>
                  <w:tcBorders>
                    <w:tl2br w:val="nil"/>
                    <w:tr2bl w:val="nil"/>
                  </w:tcBorders>
                  <w:vAlign w:val="center"/>
                </w:tcPr>
                <w:p w14:paraId="48DDA7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default"/>
                      <w:b w:val="0"/>
                      <w:bCs w:val="0"/>
                      <w:color w:val="auto"/>
                      <w:spacing w:val="-10"/>
                      <w:sz w:val="21"/>
                      <w:szCs w:val="21"/>
                      <w:highlight w:val="none"/>
                      <w:vertAlign w:val="baseline"/>
                      <w:lang w:val="en-US" w:eastAsia="zh-CN"/>
                    </w:rPr>
                    <w:t>＜</w:t>
                  </w:r>
                  <w:r>
                    <w:rPr>
                      <w:rFonts w:hint="eastAsia"/>
                      <w:b w:val="0"/>
                      <w:bCs w:val="0"/>
                      <w:color w:val="auto"/>
                      <w:spacing w:val="-10"/>
                      <w:sz w:val="21"/>
                      <w:szCs w:val="21"/>
                      <w:highlight w:val="none"/>
                      <w:vertAlign w:val="baseline"/>
                      <w:lang w:val="en-US" w:eastAsia="zh-CN"/>
                    </w:rPr>
                    <w:t>49</w:t>
                  </w:r>
                </w:p>
              </w:tc>
              <w:tc>
                <w:tcPr>
                  <w:tcW w:w="810" w:type="dxa"/>
                  <w:tcBorders>
                    <w:tl2br w:val="nil"/>
                    <w:tr2bl w:val="nil"/>
                  </w:tcBorders>
                  <w:vAlign w:val="center"/>
                </w:tcPr>
                <w:p w14:paraId="7F4F4D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21~98</w:t>
                  </w:r>
                </w:p>
              </w:tc>
              <w:tc>
                <w:tcPr>
                  <w:tcW w:w="795" w:type="dxa"/>
                  <w:tcBorders>
                    <w:tl2br w:val="nil"/>
                    <w:tr2bl w:val="nil"/>
                  </w:tcBorders>
                  <w:vAlign w:val="center"/>
                </w:tcPr>
                <w:p w14:paraId="4B063E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49~234</w:t>
                  </w:r>
                </w:p>
              </w:tc>
              <w:tc>
                <w:tcPr>
                  <w:tcW w:w="825" w:type="dxa"/>
                  <w:tcBorders>
                    <w:tl2br w:val="nil"/>
                    <w:tr2bl w:val="nil"/>
                  </w:tcBorders>
                  <w:vAlign w:val="center"/>
                </w:tcPr>
                <w:p w14:paraId="2D06F8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98~550</w:t>
                  </w:r>
                </w:p>
              </w:tc>
              <w:tc>
                <w:tcPr>
                  <w:tcW w:w="1035" w:type="dxa"/>
                  <w:tcBorders>
                    <w:tl2br w:val="nil"/>
                    <w:tr2bl w:val="nil"/>
                  </w:tcBorders>
                  <w:vAlign w:val="center"/>
                </w:tcPr>
                <w:p w14:paraId="23B07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234~1318</w:t>
                  </w:r>
                </w:p>
              </w:tc>
              <w:tc>
                <w:tcPr>
                  <w:tcW w:w="990" w:type="dxa"/>
                  <w:tcBorders>
                    <w:tl2br w:val="nil"/>
                    <w:tr2bl w:val="nil"/>
                  </w:tcBorders>
                  <w:vAlign w:val="center"/>
                </w:tcPr>
                <w:p w14:paraId="67579C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550~3090</w:t>
                  </w:r>
                </w:p>
              </w:tc>
              <w:tc>
                <w:tcPr>
                  <w:tcW w:w="1230" w:type="dxa"/>
                  <w:tcBorders>
                    <w:tl2br w:val="nil"/>
                    <w:tr2bl w:val="nil"/>
                  </w:tcBorders>
                  <w:vAlign w:val="center"/>
                </w:tcPr>
                <w:p w14:paraId="14B591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3090~17378</w:t>
                  </w:r>
                </w:p>
              </w:tc>
              <w:tc>
                <w:tcPr>
                  <w:tcW w:w="781" w:type="dxa"/>
                  <w:tcBorders>
                    <w:tl2br w:val="nil"/>
                    <w:tr2bl w:val="nil"/>
                  </w:tcBorders>
                  <w:vAlign w:val="center"/>
                </w:tcPr>
                <w:p w14:paraId="3AF1B8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default"/>
                      <w:b w:val="0"/>
                      <w:bCs w:val="0"/>
                      <w:color w:val="auto"/>
                      <w:spacing w:val="-10"/>
                      <w:sz w:val="21"/>
                      <w:szCs w:val="21"/>
                      <w:highlight w:val="none"/>
                      <w:vertAlign w:val="baseline"/>
                      <w:lang w:val="en-US" w:eastAsia="zh-CN"/>
                    </w:rPr>
                    <w:t>＞</w:t>
                  </w:r>
                  <w:r>
                    <w:rPr>
                      <w:rFonts w:hint="eastAsia"/>
                      <w:b w:val="0"/>
                      <w:bCs w:val="0"/>
                      <w:color w:val="auto"/>
                      <w:spacing w:val="-10"/>
                      <w:sz w:val="21"/>
                      <w:szCs w:val="21"/>
                      <w:highlight w:val="none"/>
                      <w:vertAlign w:val="baseline"/>
                      <w:lang w:val="en-US" w:eastAsia="zh-CN"/>
                    </w:rPr>
                    <w:t>17413</w:t>
                  </w:r>
                </w:p>
              </w:tc>
            </w:tr>
          </w:tbl>
          <w:p w14:paraId="14474C7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恶臭污染物与恶臭强度对照见下表。</w:t>
            </w:r>
          </w:p>
          <w:p w14:paraId="5F148EE3">
            <w:pPr>
              <w:pStyle w:val="11"/>
              <w:bidi w:val="0"/>
              <w:rPr>
                <w:rFonts w:hint="eastAsia"/>
                <w:lang w:val="en-US" w:eastAsia="zh-CN"/>
              </w:rPr>
            </w:pPr>
            <w:r>
              <w:rPr>
                <w:rFonts w:hint="eastAsia"/>
                <w:lang w:val="en-US" w:eastAsia="zh-CN"/>
              </w:rPr>
              <w:t>表4-3 恶臭污染物浓度（ppm）与臭气浓度对照表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949"/>
              <w:gridCol w:w="949"/>
              <w:gridCol w:w="949"/>
              <w:gridCol w:w="949"/>
              <w:gridCol w:w="949"/>
              <w:gridCol w:w="949"/>
              <w:gridCol w:w="952"/>
            </w:tblGrid>
            <w:tr w14:paraId="2B47F9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325485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臭气强度（级）</w:t>
                  </w:r>
                </w:p>
              </w:tc>
              <w:tc>
                <w:tcPr>
                  <w:tcW w:w="949" w:type="dxa"/>
                  <w:tcBorders>
                    <w:tl2br w:val="nil"/>
                    <w:tr2bl w:val="nil"/>
                  </w:tcBorders>
                  <w:vAlign w:val="center"/>
                </w:tcPr>
                <w:p w14:paraId="6822A8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949" w:type="dxa"/>
                  <w:tcBorders>
                    <w:tl2br w:val="nil"/>
                    <w:tr2bl w:val="nil"/>
                  </w:tcBorders>
                  <w:vAlign w:val="center"/>
                </w:tcPr>
                <w:p w14:paraId="371797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949" w:type="dxa"/>
                  <w:tcBorders>
                    <w:tl2br w:val="nil"/>
                    <w:tr2bl w:val="nil"/>
                  </w:tcBorders>
                  <w:vAlign w:val="center"/>
                </w:tcPr>
                <w:p w14:paraId="2260CC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w:t>
                  </w:r>
                </w:p>
              </w:tc>
              <w:tc>
                <w:tcPr>
                  <w:tcW w:w="949" w:type="dxa"/>
                  <w:tcBorders>
                    <w:tl2br w:val="nil"/>
                    <w:tr2bl w:val="nil"/>
                  </w:tcBorders>
                  <w:vAlign w:val="center"/>
                </w:tcPr>
                <w:p w14:paraId="3D9F17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949" w:type="dxa"/>
                  <w:tcBorders>
                    <w:tl2br w:val="nil"/>
                    <w:tr2bl w:val="nil"/>
                  </w:tcBorders>
                  <w:vAlign w:val="center"/>
                </w:tcPr>
                <w:p w14:paraId="4FC604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3.5</w:t>
                  </w:r>
                </w:p>
              </w:tc>
              <w:tc>
                <w:tcPr>
                  <w:tcW w:w="949" w:type="dxa"/>
                  <w:tcBorders>
                    <w:tl2br w:val="nil"/>
                    <w:tr2bl w:val="nil"/>
                  </w:tcBorders>
                  <w:vAlign w:val="center"/>
                </w:tcPr>
                <w:p w14:paraId="6784EF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952" w:type="dxa"/>
                  <w:tcBorders>
                    <w:tl2br w:val="nil"/>
                    <w:tr2bl w:val="nil"/>
                  </w:tcBorders>
                  <w:vAlign w:val="center"/>
                </w:tcPr>
                <w:p w14:paraId="595699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r>
            <w:tr w14:paraId="0C33E5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529CA6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NH</w:t>
                  </w:r>
                  <w:r>
                    <w:rPr>
                      <w:rFonts w:hint="eastAsia"/>
                      <w:b w:val="0"/>
                      <w:bCs w:val="0"/>
                      <w:color w:val="auto"/>
                      <w:spacing w:val="-10"/>
                      <w:sz w:val="21"/>
                      <w:szCs w:val="21"/>
                      <w:highlight w:val="none"/>
                      <w:vertAlign w:val="subscript"/>
                      <w:lang w:val="en-US" w:eastAsia="zh-CN"/>
                    </w:rPr>
                    <w:t>3</w:t>
                  </w:r>
                </w:p>
              </w:tc>
              <w:tc>
                <w:tcPr>
                  <w:tcW w:w="949" w:type="dxa"/>
                  <w:tcBorders>
                    <w:tl2br w:val="nil"/>
                    <w:tr2bl w:val="nil"/>
                  </w:tcBorders>
                  <w:vAlign w:val="center"/>
                </w:tcPr>
                <w:p w14:paraId="748B1E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0.1</w:t>
                  </w:r>
                </w:p>
              </w:tc>
              <w:tc>
                <w:tcPr>
                  <w:tcW w:w="949" w:type="dxa"/>
                  <w:tcBorders>
                    <w:tl2br w:val="nil"/>
                    <w:tr2bl w:val="nil"/>
                  </w:tcBorders>
                  <w:vAlign w:val="center"/>
                </w:tcPr>
                <w:p w14:paraId="6EFF40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0.6</w:t>
                  </w:r>
                </w:p>
              </w:tc>
              <w:tc>
                <w:tcPr>
                  <w:tcW w:w="949" w:type="dxa"/>
                  <w:tcBorders>
                    <w:tl2br w:val="nil"/>
                    <w:tr2bl w:val="nil"/>
                  </w:tcBorders>
                  <w:vAlign w:val="center"/>
                </w:tcPr>
                <w:p w14:paraId="078D6B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949" w:type="dxa"/>
                  <w:tcBorders>
                    <w:tl2br w:val="nil"/>
                    <w:tr2bl w:val="nil"/>
                  </w:tcBorders>
                  <w:vAlign w:val="center"/>
                </w:tcPr>
                <w:p w14:paraId="7AFB43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949" w:type="dxa"/>
                  <w:tcBorders>
                    <w:tl2br w:val="nil"/>
                    <w:tr2bl w:val="nil"/>
                  </w:tcBorders>
                  <w:vAlign w:val="center"/>
                </w:tcPr>
                <w:p w14:paraId="28235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949" w:type="dxa"/>
                  <w:tcBorders>
                    <w:tl2br w:val="nil"/>
                    <w:tr2bl w:val="nil"/>
                  </w:tcBorders>
                  <w:vAlign w:val="center"/>
                </w:tcPr>
                <w:p w14:paraId="48E122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952" w:type="dxa"/>
                  <w:tcBorders>
                    <w:tl2br w:val="nil"/>
                    <w:tr2bl w:val="nil"/>
                  </w:tcBorders>
                  <w:vAlign w:val="center"/>
                </w:tcPr>
                <w:p w14:paraId="41FE2E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40</w:t>
                  </w:r>
                </w:p>
              </w:tc>
            </w:tr>
            <w:tr w14:paraId="180B76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4943D2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H</w:t>
                  </w:r>
                  <w:r>
                    <w:rPr>
                      <w:rFonts w:hint="eastAsia"/>
                      <w:b w:val="0"/>
                      <w:bCs w:val="0"/>
                      <w:color w:val="auto"/>
                      <w:spacing w:val="-10"/>
                      <w:sz w:val="21"/>
                      <w:szCs w:val="21"/>
                      <w:highlight w:val="none"/>
                      <w:vertAlign w:val="subscript"/>
                      <w:lang w:val="en-US" w:eastAsia="zh-CN"/>
                    </w:rPr>
                    <w:t>2</w:t>
                  </w:r>
                  <w:r>
                    <w:rPr>
                      <w:rFonts w:hint="eastAsia"/>
                      <w:b w:val="0"/>
                      <w:bCs w:val="0"/>
                      <w:color w:val="auto"/>
                      <w:spacing w:val="-10"/>
                      <w:sz w:val="21"/>
                      <w:szCs w:val="21"/>
                      <w:highlight w:val="none"/>
                      <w:vertAlign w:val="baseline"/>
                      <w:lang w:val="en-US" w:eastAsia="zh-CN"/>
                    </w:rPr>
                    <w:t>S</w:t>
                  </w:r>
                </w:p>
              </w:tc>
              <w:tc>
                <w:tcPr>
                  <w:tcW w:w="949" w:type="dxa"/>
                  <w:tcBorders>
                    <w:tl2br w:val="nil"/>
                    <w:tr2bl w:val="nil"/>
                  </w:tcBorders>
                  <w:vAlign w:val="center"/>
                </w:tcPr>
                <w:p w14:paraId="2482B2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0.005</w:t>
                  </w:r>
                </w:p>
              </w:tc>
              <w:tc>
                <w:tcPr>
                  <w:tcW w:w="949" w:type="dxa"/>
                  <w:tcBorders>
                    <w:tl2br w:val="nil"/>
                    <w:tr2bl w:val="nil"/>
                  </w:tcBorders>
                  <w:vAlign w:val="center"/>
                </w:tcPr>
                <w:p w14:paraId="2283A5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0.006</w:t>
                  </w:r>
                </w:p>
              </w:tc>
              <w:tc>
                <w:tcPr>
                  <w:tcW w:w="949" w:type="dxa"/>
                  <w:tcBorders>
                    <w:tl2br w:val="nil"/>
                    <w:tr2bl w:val="nil"/>
                  </w:tcBorders>
                  <w:vAlign w:val="center"/>
                </w:tcPr>
                <w:p w14:paraId="1E2B92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0.02</w:t>
                  </w:r>
                </w:p>
              </w:tc>
              <w:tc>
                <w:tcPr>
                  <w:tcW w:w="949" w:type="dxa"/>
                  <w:tcBorders>
                    <w:tl2br w:val="nil"/>
                    <w:tr2bl w:val="nil"/>
                  </w:tcBorders>
                  <w:vAlign w:val="center"/>
                </w:tcPr>
                <w:p w14:paraId="2336CB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0.06</w:t>
                  </w:r>
                </w:p>
              </w:tc>
              <w:tc>
                <w:tcPr>
                  <w:tcW w:w="949" w:type="dxa"/>
                  <w:tcBorders>
                    <w:tl2br w:val="nil"/>
                    <w:tr2bl w:val="nil"/>
                  </w:tcBorders>
                  <w:vAlign w:val="center"/>
                </w:tcPr>
                <w:p w14:paraId="61CAD2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0.2</w:t>
                  </w:r>
                </w:p>
              </w:tc>
              <w:tc>
                <w:tcPr>
                  <w:tcW w:w="949" w:type="dxa"/>
                  <w:tcBorders>
                    <w:tl2br w:val="nil"/>
                    <w:tr2bl w:val="nil"/>
                  </w:tcBorders>
                  <w:vAlign w:val="center"/>
                </w:tcPr>
                <w:p w14:paraId="3F7D2C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0.7</w:t>
                  </w:r>
                </w:p>
              </w:tc>
              <w:tc>
                <w:tcPr>
                  <w:tcW w:w="952" w:type="dxa"/>
                  <w:tcBorders>
                    <w:tl2br w:val="nil"/>
                    <w:tr2bl w:val="nil"/>
                  </w:tcBorders>
                  <w:vAlign w:val="center"/>
                </w:tcPr>
                <w:p w14:paraId="628B71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r>
          </w:tbl>
          <w:p w14:paraId="7D70996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本项目为动物医院，宠物接诊量较少，且无宠物寄养服务。本项目选取恶臭强度级别为1级（勉强能感觉到气味（感觉阈值）），则NH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S的产生浓度分别为0.1ppm和0.005ppm。</w:t>
            </w:r>
          </w:p>
          <w:p w14:paraId="07F5F7A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标准状态下气体百万比浓度（pmm）与质量浓度（mg/m</w:t>
            </w:r>
            <w:r>
              <w:rPr>
                <w:rFonts w:hint="eastAsia"/>
                <w:sz w:val="24"/>
                <w:szCs w:val="24"/>
                <w:vertAlign w:val="superscript"/>
                <w:lang w:val="en-US" w:eastAsia="zh-CN"/>
              </w:rPr>
              <w:t>3</w:t>
            </w:r>
            <w:r>
              <w:rPr>
                <w:rFonts w:hint="eastAsia"/>
                <w:sz w:val="24"/>
                <w:szCs w:val="24"/>
                <w:lang w:val="en-US" w:eastAsia="zh-CN"/>
              </w:rPr>
              <w:t>）换算按下述公式：</w:t>
            </w:r>
          </w:p>
          <w:p w14:paraId="7E95A77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m:oMathPara>
              <m:oMath>
                <m:r>
                  <m:rPr>
                    <m:sty m:val="p"/>
                  </m:rPr>
                  <w:rPr>
                    <w:rFonts w:hint="default" w:ascii="Cambria Math" w:hAnsi="Cambria Math" w:cstheme="minorBidi"/>
                    <w:kern w:val="2"/>
                    <w:sz w:val="24"/>
                    <w:szCs w:val="24"/>
                    <w:lang w:val="en-US" w:eastAsia="zh-CN" w:bidi="ar-SA"/>
                  </w:rPr>
                  <m:t>Y</m:t>
                </m:r>
                <m:d>
                  <m:dPr>
                    <m:ctrlPr>
                      <w:rPr>
                        <w:rFonts w:hint="default" w:ascii="Cambria Math" w:hAnsi="Cambria Math" w:cstheme="minorBidi"/>
                        <w:kern w:val="2"/>
                        <w:sz w:val="24"/>
                        <w:szCs w:val="24"/>
                        <w:lang w:val="en-US" w:eastAsia="zh-CN" w:bidi="ar-SA"/>
                      </w:rPr>
                    </m:ctrlPr>
                  </m:dPr>
                  <m:e>
                    <m:f>
                      <m:fPr>
                        <m:type m:val="skw"/>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mg</m:t>
                        </m:r>
                        <m:ctrlPr>
                          <w:rPr>
                            <w:rFonts w:hint="default" w:ascii="Cambria Math" w:hAnsi="Cambria Math" w:cstheme="minorBidi"/>
                            <w:kern w:val="2"/>
                            <w:sz w:val="24"/>
                            <w:szCs w:val="24"/>
                            <w:lang w:val="en-US" w:eastAsia="zh-CN" w:bidi="ar-SA"/>
                          </w:rPr>
                        </m:ctrlPr>
                      </m:num>
                      <m:den>
                        <m:sSup>
                          <m:sSupPr>
                            <m:ctrlPr>
                              <w:rPr>
                                <w:rFonts w:hint="default" w:ascii="Cambria Math" w:hAnsi="Cambria Math" w:cstheme="minorBidi"/>
                                <w:kern w:val="2"/>
                                <w:sz w:val="24"/>
                                <w:szCs w:val="24"/>
                                <w:lang w:val="en-US" w:eastAsia="zh-CN" w:bidi="ar-SA"/>
                              </w:rPr>
                            </m:ctrlPr>
                          </m:sSupPr>
                          <m:e>
                            <m:r>
                              <m:rPr>
                                <m:sty m:val="p"/>
                              </m:rPr>
                              <w:rPr>
                                <w:rFonts w:hint="default" w:ascii="Cambria Math" w:hAnsi="Cambria Math" w:cstheme="minorBidi"/>
                                <w:kern w:val="2"/>
                                <w:sz w:val="24"/>
                                <w:szCs w:val="24"/>
                                <w:lang w:val="en-US" w:eastAsia="zh-CN" w:bidi="ar-SA"/>
                              </w:rPr>
                              <m:t>m</m:t>
                            </m:r>
                            <m:ctrlPr>
                              <w:rPr>
                                <w:rFonts w:hint="default" w:ascii="Cambria Math" w:hAnsi="Cambria Math" w:cstheme="minorBidi"/>
                                <w:kern w:val="2"/>
                                <w:sz w:val="24"/>
                                <w:szCs w:val="24"/>
                                <w:lang w:val="en-US" w:eastAsia="zh-CN" w:bidi="ar-SA"/>
                              </w:rPr>
                            </m:ctrlPr>
                          </m:e>
                          <m:sup>
                            <m:r>
                              <m:rPr>
                                <m:sty m:val="p"/>
                              </m:rPr>
                              <w:rPr>
                                <w:rFonts w:hint="default" w:ascii="Cambria Math" w:hAnsi="Cambria Math" w:cstheme="minorBidi"/>
                                <w:kern w:val="2"/>
                                <w:sz w:val="24"/>
                                <w:szCs w:val="24"/>
                                <w:lang w:val="en-US" w:eastAsia="zh-CN" w:bidi="ar-SA"/>
                              </w:rPr>
                              <m:t>3</m:t>
                            </m:r>
                            <m:ctrlPr>
                              <w:rPr>
                                <w:rFonts w:hint="default" w:ascii="Cambria Math" w:hAnsi="Cambria Math" w:cstheme="minorBidi"/>
                                <w:kern w:val="2"/>
                                <w:sz w:val="24"/>
                                <w:szCs w:val="24"/>
                                <w:lang w:val="en-US" w:eastAsia="zh-CN" w:bidi="ar-SA"/>
                              </w:rPr>
                            </m:ctrlPr>
                          </m:sup>
                        </m:sSup>
                        <m:ctrlPr>
                          <w:rPr>
                            <w:rFonts w:hint="default" w:ascii="Cambria Math" w:hAnsi="Cambria Math" w:cstheme="minorBidi"/>
                            <w:kern w:val="2"/>
                            <w:sz w:val="24"/>
                            <w:szCs w:val="24"/>
                            <w:lang w:val="en-US" w:eastAsia="zh-CN" w:bidi="ar-SA"/>
                          </w:rPr>
                        </m:ctrlPr>
                      </m:den>
                    </m:f>
                    <m:ctrlPr>
                      <w:rPr>
                        <w:rFonts w:hint="default" w:ascii="Cambria Math" w:hAnsi="Cambria Math" w:cstheme="minorBidi"/>
                        <w:kern w:val="2"/>
                        <w:sz w:val="24"/>
                        <w:szCs w:val="24"/>
                        <w:lang w:val="en-US" w:eastAsia="zh-CN" w:bidi="ar-SA"/>
                      </w:rPr>
                    </m:ctrlPr>
                  </m:e>
                </m:d>
                <m:r>
                  <m:rPr>
                    <m:sty m:val="p"/>
                  </m:rPr>
                  <w:rPr>
                    <w:rFonts w:hint="default" w:ascii="Cambria Math" w:hAnsi="Cambria Math" w:cstheme="minorBidi"/>
                    <w:kern w:val="2"/>
                    <w:sz w:val="24"/>
                    <w:szCs w:val="24"/>
                    <w:lang w:val="en-US" w:eastAsia="zh-CN" w:bidi="ar-SA"/>
                  </w:rPr>
                  <m:t>=</m:t>
                </m:r>
                <m:f>
                  <m:fPr>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X</m:t>
                    </m:r>
                    <m:d>
                      <m:dPr>
                        <m:ctrlPr>
                          <w:rPr>
                            <w:rFonts w:hint="default" w:ascii="Cambria Math" w:hAnsi="Cambria Math" w:cstheme="minorBidi"/>
                            <w:kern w:val="2"/>
                            <w:sz w:val="24"/>
                            <w:szCs w:val="24"/>
                            <w:lang w:val="en-US" w:eastAsia="zh-CN" w:bidi="ar-SA"/>
                          </w:rPr>
                        </m:ctrlPr>
                      </m:dPr>
                      <m:e>
                        <m:r>
                          <m:rPr>
                            <m:sty m:val="p"/>
                          </m:rPr>
                          <w:rPr>
                            <w:rFonts w:hint="default" w:ascii="Cambria Math" w:hAnsi="Cambria Math" w:cstheme="minorBidi"/>
                            <w:kern w:val="2"/>
                            <w:sz w:val="24"/>
                            <w:szCs w:val="24"/>
                            <w:lang w:val="en-US" w:eastAsia="zh-CN" w:bidi="ar-SA"/>
                          </w:rPr>
                          <m:t>ppm</m:t>
                        </m:r>
                        <m:ctrlPr>
                          <w:rPr>
                            <w:rFonts w:hint="default" w:ascii="Cambria Math" w:hAnsi="Cambria Math" w:cstheme="minorBidi"/>
                            <w:kern w:val="2"/>
                            <w:sz w:val="24"/>
                            <w:szCs w:val="24"/>
                            <w:lang w:val="en-US" w:eastAsia="zh-CN" w:bidi="ar-SA"/>
                          </w:rPr>
                        </m:ctrlPr>
                      </m:e>
                    </m:d>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M</m:t>
                    </m:r>
                    <m:ctrlPr>
                      <w:rPr>
                        <w:rFonts w:hint="default" w:ascii="Cambria Math" w:hAnsi="Cambria Math" w:cstheme="minorBidi"/>
                        <w:kern w:val="2"/>
                        <w:sz w:val="24"/>
                        <w:szCs w:val="24"/>
                        <w:lang w:val="en-US" w:eastAsia="zh-CN" w:bidi="ar-SA"/>
                      </w:rPr>
                    </m:ctrlPr>
                  </m:num>
                  <m:den>
                    <m:r>
                      <m:rPr>
                        <m:sty m:val="p"/>
                      </m:rPr>
                      <w:rPr>
                        <w:rFonts w:hint="default" w:ascii="Cambria Math" w:hAnsi="Cambria Math" w:cstheme="minorBidi"/>
                        <w:kern w:val="2"/>
                        <w:sz w:val="24"/>
                        <w:szCs w:val="24"/>
                        <w:lang w:val="en-US" w:eastAsia="zh-CN" w:bidi="ar-SA"/>
                      </w:rPr>
                      <m:t>22.4</m:t>
                    </m:r>
                    <m:ctrlPr>
                      <w:rPr>
                        <w:rFonts w:hint="default" w:ascii="Cambria Math" w:hAnsi="Cambria Math" w:cstheme="minorBidi"/>
                        <w:kern w:val="2"/>
                        <w:sz w:val="24"/>
                        <w:szCs w:val="24"/>
                        <w:lang w:val="en-US" w:eastAsia="zh-CN" w:bidi="ar-SA"/>
                      </w:rPr>
                    </m:ctrlPr>
                  </m:den>
                </m:f>
              </m:oMath>
            </m:oMathPara>
          </w:p>
          <w:p w14:paraId="6EC77D92">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2AA7C70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X—物质的ppm浓度；</w:t>
            </w:r>
          </w:p>
          <w:p w14:paraId="2FE5E5C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Y—物质的质量浓度，mg/m</w:t>
            </w:r>
            <w:r>
              <w:rPr>
                <w:rFonts w:hint="eastAsia"/>
                <w:sz w:val="24"/>
                <w:szCs w:val="24"/>
                <w:vertAlign w:val="superscript"/>
                <w:lang w:val="en-US" w:eastAsia="zh-CN"/>
              </w:rPr>
              <w:t>3</w:t>
            </w:r>
            <w:r>
              <w:rPr>
                <w:rFonts w:hint="eastAsia"/>
                <w:sz w:val="24"/>
                <w:szCs w:val="24"/>
                <w:lang w:val="en-US" w:eastAsia="zh-CN"/>
              </w:rPr>
              <w:t>；</w:t>
            </w:r>
          </w:p>
          <w:p w14:paraId="76B9645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M—物质的分子量；其中NH</w:t>
            </w:r>
            <w:r>
              <w:rPr>
                <w:rFonts w:hint="eastAsia"/>
                <w:sz w:val="24"/>
                <w:szCs w:val="24"/>
                <w:vertAlign w:val="subscript"/>
                <w:lang w:val="en-US" w:eastAsia="zh-CN"/>
              </w:rPr>
              <w:t>3</w:t>
            </w:r>
            <w:r>
              <w:rPr>
                <w:rFonts w:hint="eastAsia"/>
                <w:sz w:val="24"/>
                <w:szCs w:val="24"/>
                <w:lang w:val="en-US" w:eastAsia="zh-CN"/>
              </w:rPr>
              <w:t>：17.031；H</w:t>
            </w:r>
            <w:r>
              <w:rPr>
                <w:rFonts w:hint="eastAsia"/>
                <w:sz w:val="24"/>
                <w:szCs w:val="24"/>
                <w:vertAlign w:val="subscript"/>
                <w:lang w:val="en-US" w:eastAsia="zh-CN"/>
              </w:rPr>
              <w:t>2</w:t>
            </w:r>
            <w:r>
              <w:rPr>
                <w:rFonts w:hint="eastAsia"/>
                <w:sz w:val="24"/>
                <w:szCs w:val="24"/>
                <w:lang w:val="en-US" w:eastAsia="zh-CN"/>
              </w:rPr>
              <w:t>S：34.076；</w:t>
            </w:r>
          </w:p>
          <w:p w14:paraId="518775D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22.4—摩尔体积常数；</w:t>
            </w:r>
          </w:p>
          <w:p w14:paraId="4FDFEF5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计算得出：质量浓度值分别为NH</w:t>
            </w:r>
            <w:r>
              <w:rPr>
                <w:rFonts w:hint="eastAsia"/>
                <w:sz w:val="24"/>
                <w:szCs w:val="24"/>
                <w:vertAlign w:val="subscript"/>
                <w:lang w:val="en-US" w:eastAsia="zh-CN"/>
              </w:rPr>
              <w:t>3</w:t>
            </w:r>
            <w:r>
              <w:rPr>
                <w:rFonts w:hint="eastAsia"/>
                <w:sz w:val="24"/>
                <w:szCs w:val="24"/>
                <w:lang w:val="en-US" w:eastAsia="zh-CN"/>
              </w:rPr>
              <w:t>：0.08mg/m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S：0.008mg/m</w:t>
            </w:r>
            <w:r>
              <w:rPr>
                <w:rFonts w:hint="eastAsia"/>
                <w:sz w:val="24"/>
                <w:szCs w:val="24"/>
                <w:vertAlign w:val="superscript"/>
                <w:lang w:val="en-US" w:eastAsia="zh-CN"/>
              </w:rPr>
              <w:t>3</w:t>
            </w:r>
            <w:r>
              <w:rPr>
                <w:rFonts w:hint="eastAsia"/>
                <w:sz w:val="24"/>
                <w:szCs w:val="24"/>
                <w:lang w:val="en-US" w:eastAsia="zh-CN"/>
              </w:rPr>
              <w:t>。</w:t>
            </w:r>
          </w:p>
          <w:p w14:paraId="687ACC3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因此，恶臭浓度级别为1级，对应的臭气浓度＜49，按照最不利条件，本次取值49（无量纲）进行评价。</w:t>
            </w:r>
          </w:p>
          <w:p w14:paraId="7983B5E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本项目排风系统配套排风风机风量为1000m</w:t>
            </w:r>
            <w:r>
              <w:rPr>
                <w:rFonts w:hint="eastAsia"/>
                <w:sz w:val="24"/>
                <w:szCs w:val="24"/>
                <w:vertAlign w:val="superscript"/>
                <w:lang w:val="en-US" w:eastAsia="zh-CN"/>
              </w:rPr>
              <w:t>3</w:t>
            </w:r>
            <w:r>
              <w:rPr>
                <w:rFonts w:hint="eastAsia"/>
                <w:sz w:val="24"/>
                <w:szCs w:val="24"/>
                <w:lang w:val="en-US" w:eastAsia="zh-CN"/>
              </w:rPr>
              <w:t>/h，每天工作12h，年工作264天。排风系统内设置活性炭吸附装置，根据《活性炭吸附法治理恶臭污染》（抚顺石油化工研究院，王玉亭），活性炭对恶臭气体净化效率最高可以达到90%以上。但活性炭吸附效率受诸多因素影响，如空气湿度、温度、源强浓度、风机风量、污染物停留时间等。结合本项目实际运行情况，活性炭处理效率取75%。</w:t>
            </w:r>
          </w:p>
          <w:p w14:paraId="0F758EA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经计算，本项目废气中各项污染物有组织排放的产生及排放情况见下表：</w:t>
            </w:r>
          </w:p>
          <w:p w14:paraId="43B2FDE6">
            <w:pPr>
              <w:pStyle w:val="11"/>
              <w:bidi w:val="0"/>
              <w:rPr>
                <w:rFonts w:hint="eastAsia"/>
                <w:lang w:val="en-US" w:eastAsia="zh-CN"/>
              </w:rPr>
            </w:pPr>
            <w:r>
              <w:rPr>
                <w:rFonts w:hint="eastAsia"/>
                <w:lang w:val="en-US" w:eastAsia="zh-CN"/>
              </w:rPr>
              <w:t>表4-4 本项目污染物产生及排放情况一览表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2"/>
              <w:gridCol w:w="710"/>
              <w:gridCol w:w="660"/>
              <w:gridCol w:w="810"/>
              <w:gridCol w:w="1020"/>
              <w:gridCol w:w="810"/>
              <w:gridCol w:w="675"/>
              <w:gridCol w:w="780"/>
              <w:gridCol w:w="1020"/>
              <w:gridCol w:w="736"/>
            </w:tblGrid>
            <w:tr w14:paraId="79B717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restart"/>
                  <w:tcBorders>
                    <w:tl2br w:val="nil"/>
                    <w:tr2bl w:val="nil"/>
                  </w:tcBorders>
                  <w:vAlign w:val="center"/>
                </w:tcPr>
                <w:p w14:paraId="233360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w:t>
                  </w:r>
                </w:p>
              </w:tc>
              <w:tc>
                <w:tcPr>
                  <w:tcW w:w="710" w:type="dxa"/>
                  <w:vMerge w:val="restart"/>
                  <w:tcBorders>
                    <w:tl2br w:val="nil"/>
                    <w:tr2bl w:val="nil"/>
                  </w:tcBorders>
                  <w:vAlign w:val="center"/>
                </w:tcPr>
                <w:p w14:paraId="6F6E39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废气量m</w:t>
                  </w:r>
                  <w:r>
                    <w:rPr>
                      <w:rFonts w:hint="eastAsia"/>
                      <w:sz w:val="21"/>
                      <w:szCs w:val="21"/>
                      <w:vertAlign w:val="superscript"/>
                      <w:lang w:val="en-US" w:eastAsia="zh-CN"/>
                    </w:rPr>
                    <w:t>3</w:t>
                  </w:r>
                  <w:r>
                    <w:rPr>
                      <w:rFonts w:hint="eastAsia"/>
                      <w:sz w:val="21"/>
                      <w:szCs w:val="21"/>
                      <w:vertAlign w:val="baseline"/>
                      <w:lang w:val="en-US" w:eastAsia="zh-CN"/>
                    </w:rPr>
                    <w:t>/h</w:t>
                  </w:r>
                </w:p>
              </w:tc>
              <w:tc>
                <w:tcPr>
                  <w:tcW w:w="660" w:type="dxa"/>
                  <w:vMerge w:val="restart"/>
                  <w:tcBorders>
                    <w:tl2br w:val="nil"/>
                    <w:tr2bl w:val="nil"/>
                  </w:tcBorders>
                  <w:vAlign w:val="center"/>
                </w:tcPr>
                <w:p w14:paraId="117155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年运行小时数</w:t>
                  </w:r>
                </w:p>
              </w:tc>
              <w:tc>
                <w:tcPr>
                  <w:tcW w:w="2640" w:type="dxa"/>
                  <w:gridSpan w:val="3"/>
                  <w:tcBorders>
                    <w:tl2br w:val="nil"/>
                    <w:tr2bl w:val="nil"/>
                  </w:tcBorders>
                  <w:vAlign w:val="center"/>
                </w:tcPr>
                <w:p w14:paraId="7A869A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污染物产生情况</w:t>
                  </w:r>
                </w:p>
              </w:tc>
              <w:tc>
                <w:tcPr>
                  <w:tcW w:w="675" w:type="dxa"/>
                  <w:vMerge w:val="restart"/>
                  <w:tcBorders>
                    <w:tl2br w:val="nil"/>
                    <w:tr2bl w:val="nil"/>
                  </w:tcBorders>
                  <w:vAlign w:val="center"/>
                </w:tcPr>
                <w:p w14:paraId="4F563F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治理措施</w:t>
                  </w:r>
                </w:p>
              </w:tc>
              <w:tc>
                <w:tcPr>
                  <w:tcW w:w="2536" w:type="dxa"/>
                  <w:gridSpan w:val="3"/>
                  <w:tcBorders>
                    <w:tl2br w:val="nil"/>
                    <w:tr2bl w:val="nil"/>
                  </w:tcBorders>
                  <w:vAlign w:val="center"/>
                </w:tcPr>
                <w:p w14:paraId="6089C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污染物排放情况</w:t>
                  </w:r>
                </w:p>
              </w:tc>
            </w:tr>
            <w:tr w14:paraId="30A0D4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14:paraId="6938DA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10" w:type="dxa"/>
                  <w:vMerge w:val="continue"/>
                  <w:tcBorders>
                    <w:tl2br w:val="nil"/>
                    <w:tr2bl w:val="nil"/>
                  </w:tcBorders>
                  <w:vAlign w:val="center"/>
                </w:tcPr>
                <w:p w14:paraId="07DB57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04DEF8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4F6CEE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产生浓度mg/m</w:t>
                  </w:r>
                  <w:r>
                    <w:rPr>
                      <w:rFonts w:hint="eastAsia"/>
                      <w:sz w:val="21"/>
                      <w:szCs w:val="21"/>
                      <w:vertAlign w:val="superscript"/>
                      <w:lang w:val="en-US" w:eastAsia="zh-CN"/>
                    </w:rPr>
                    <w:t>3</w:t>
                  </w:r>
                </w:p>
              </w:tc>
              <w:tc>
                <w:tcPr>
                  <w:tcW w:w="1020" w:type="dxa"/>
                  <w:tcBorders>
                    <w:tl2br w:val="nil"/>
                    <w:tr2bl w:val="nil"/>
                  </w:tcBorders>
                  <w:vAlign w:val="center"/>
                </w:tcPr>
                <w:p w14:paraId="719C97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产生速率kg/h</w:t>
                  </w:r>
                </w:p>
              </w:tc>
              <w:tc>
                <w:tcPr>
                  <w:tcW w:w="810" w:type="dxa"/>
                  <w:tcBorders>
                    <w:tl2br w:val="nil"/>
                    <w:tr2bl w:val="nil"/>
                  </w:tcBorders>
                  <w:vAlign w:val="center"/>
                </w:tcPr>
                <w:p w14:paraId="5D0D52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产生量kg/a</w:t>
                  </w:r>
                </w:p>
              </w:tc>
              <w:tc>
                <w:tcPr>
                  <w:tcW w:w="675" w:type="dxa"/>
                  <w:vMerge w:val="continue"/>
                  <w:tcBorders>
                    <w:tl2br w:val="nil"/>
                    <w:tr2bl w:val="nil"/>
                  </w:tcBorders>
                  <w:vAlign w:val="center"/>
                </w:tcPr>
                <w:p w14:paraId="5B5E2A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07C0C8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排放浓度mg/m</w:t>
                  </w:r>
                  <w:r>
                    <w:rPr>
                      <w:rFonts w:hint="eastAsia"/>
                      <w:sz w:val="21"/>
                      <w:szCs w:val="21"/>
                      <w:vertAlign w:val="superscript"/>
                      <w:lang w:val="en-US" w:eastAsia="zh-CN"/>
                    </w:rPr>
                    <w:t>3</w:t>
                  </w:r>
                </w:p>
              </w:tc>
              <w:tc>
                <w:tcPr>
                  <w:tcW w:w="1020" w:type="dxa"/>
                  <w:tcBorders>
                    <w:tl2br w:val="nil"/>
                    <w:tr2bl w:val="nil"/>
                  </w:tcBorders>
                  <w:vAlign w:val="center"/>
                </w:tcPr>
                <w:p w14:paraId="2D187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排放速率kg/h</w:t>
                  </w:r>
                </w:p>
              </w:tc>
              <w:tc>
                <w:tcPr>
                  <w:tcW w:w="736" w:type="dxa"/>
                  <w:tcBorders>
                    <w:tl2br w:val="nil"/>
                    <w:tr2bl w:val="nil"/>
                  </w:tcBorders>
                  <w:vAlign w:val="center"/>
                </w:tcPr>
                <w:p w14:paraId="4995D5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排放量kg/a</w:t>
                  </w:r>
                </w:p>
              </w:tc>
            </w:tr>
            <w:tr w14:paraId="1E4884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4B58D9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10" w:type="dxa"/>
                  <w:vMerge w:val="restart"/>
                  <w:tcBorders>
                    <w:tl2br w:val="nil"/>
                    <w:tr2bl w:val="nil"/>
                  </w:tcBorders>
                  <w:vAlign w:val="center"/>
                </w:tcPr>
                <w:p w14:paraId="0C7A5D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w:t>
                  </w:r>
                </w:p>
              </w:tc>
              <w:tc>
                <w:tcPr>
                  <w:tcW w:w="660" w:type="dxa"/>
                  <w:vMerge w:val="restart"/>
                  <w:tcBorders>
                    <w:tl2br w:val="nil"/>
                    <w:tr2bl w:val="nil"/>
                  </w:tcBorders>
                  <w:vAlign w:val="center"/>
                </w:tcPr>
                <w:p w14:paraId="6D1216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3168</w:t>
                  </w:r>
                </w:p>
              </w:tc>
              <w:tc>
                <w:tcPr>
                  <w:tcW w:w="810" w:type="dxa"/>
                  <w:tcBorders>
                    <w:tl2br w:val="nil"/>
                    <w:tr2bl w:val="nil"/>
                  </w:tcBorders>
                  <w:vAlign w:val="center"/>
                </w:tcPr>
                <w:p w14:paraId="6A3719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p>
              </w:tc>
              <w:tc>
                <w:tcPr>
                  <w:tcW w:w="1020" w:type="dxa"/>
                  <w:tcBorders>
                    <w:tl2br w:val="nil"/>
                    <w:tr2bl w:val="nil"/>
                  </w:tcBorders>
                  <w:vAlign w:val="center"/>
                </w:tcPr>
                <w:p w14:paraId="734E3C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0.00008</w:t>
                  </w:r>
                </w:p>
              </w:tc>
              <w:tc>
                <w:tcPr>
                  <w:tcW w:w="810" w:type="dxa"/>
                  <w:tcBorders>
                    <w:tl2br w:val="nil"/>
                    <w:tr2bl w:val="nil"/>
                  </w:tcBorders>
                  <w:vAlign w:val="center"/>
                </w:tcPr>
                <w:p w14:paraId="59E4F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0.253</w:t>
                  </w:r>
                </w:p>
              </w:tc>
              <w:tc>
                <w:tcPr>
                  <w:tcW w:w="675" w:type="dxa"/>
                  <w:vMerge w:val="restart"/>
                  <w:tcBorders>
                    <w:tl2br w:val="nil"/>
                    <w:tr2bl w:val="nil"/>
                  </w:tcBorders>
                  <w:vAlign w:val="center"/>
                </w:tcPr>
                <w:p w14:paraId="42497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活性炭吸附</w:t>
                  </w:r>
                </w:p>
              </w:tc>
              <w:tc>
                <w:tcPr>
                  <w:tcW w:w="780" w:type="dxa"/>
                  <w:tcBorders>
                    <w:tl2br w:val="nil"/>
                    <w:tr2bl w:val="nil"/>
                  </w:tcBorders>
                  <w:vAlign w:val="center"/>
                </w:tcPr>
                <w:p w14:paraId="31F435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0.02</w:t>
                  </w:r>
                </w:p>
              </w:tc>
              <w:tc>
                <w:tcPr>
                  <w:tcW w:w="1020" w:type="dxa"/>
                  <w:tcBorders>
                    <w:tl2br w:val="nil"/>
                    <w:tr2bl w:val="nil"/>
                  </w:tcBorders>
                  <w:vAlign w:val="center"/>
                </w:tcPr>
                <w:p w14:paraId="7BAEE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0.00002</w:t>
                  </w:r>
                </w:p>
              </w:tc>
              <w:tc>
                <w:tcPr>
                  <w:tcW w:w="736" w:type="dxa"/>
                  <w:tcBorders>
                    <w:tl2br w:val="nil"/>
                    <w:tr2bl w:val="nil"/>
                  </w:tcBorders>
                  <w:vAlign w:val="center"/>
                </w:tcPr>
                <w:p w14:paraId="670B1B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0.063</w:t>
                  </w:r>
                </w:p>
              </w:tc>
            </w:tr>
            <w:tr w14:paraId="23729C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3F86FC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10" w:type="dxa"/>
                  <w:vMerge w:val="continue"/>
                  <w:tcBorders>
                    <w:tl2br w:val="nil"/>
                    <w:tr2bl w:val="nil"/>
                  </w:tcBorders>
                  <w:vAlign w:val="center"/>
                </w:tcPr>
                <w:p w14:paraId="37F212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12CE45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7CF931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1020" w:type="dxa"/>
                  <w:tcBorders>
                    <w:tl2br w:val="nil"/>
                    <w:tr2bl w:val="nil"/>
                  </w:tcBorders>
                  <w:vAlign w:val="center"/>
                </w:tcPr>
                <w:p w14:paraId="22C832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0.000008</w:t>
                  </w:r>
                </w:p>
              </w:tc>
              <w:tc>
                <w:tcPr>
                  <w:tcW w:w="810" w:type="dxa"/>
                  <w:tcBorders>
                    <w:tl2br w:val="nil"/>
                    <w:tr2bl w:val="nil"/>
                  </w:tcBorders>
                  <w:vAlign w:val="center"/>
                </w:tcPr>
                <w:p w14:paraId="5EFE1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0.025</w:t>
                  </w:r>
                </w:p>
              </w:tc>
              <w:tc>
                <w:tcPr>
                  <w:tcW w:w="675" w:type="dxa"/>
                  <w:vMerge w:val="continue"/>
                  <w:tcBorders>
                    <w:tl2br w:val="nil"/>
                    <w:tr2bl w:val="nil"/>
                  </w:tcBorders>
                  <w:vAlign w:val="center"/>
                </w:tcPr>
                <w:p w14:paraId="4D94D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1B5A3E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0.002</w:t>
                  </w:r>
                </w:p>
              </w:tc>
              <w:tc>
                <w:tcPr>
                  <w:tcW w:w="1020" w:type="dxa"/>
                  <w:tcBorders>
                    <w:tl2br w:val="nil"/>
                    <w:tr2bl w:val="nil"/>
                  </w:tcBorders>
                  <w:vAlign w:val="center"/>
                </w:tcPr>
                <w:p w14:paraId="01C0CD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0.000002</w:t>
                  </w:r>
                </w:p>
              </w:tc>
              <w:tc>
                <w:tcPr>
                  <w:tcW w:w="736" w:type="dxa"/>
                  <w:tcBorders>
                    <w:tl2br w:val="nil"/>
                    <w:tr2bl w:val="nil"/>
                  </w:tcBorders>
                  <w:vAlign w:val="center"/>
                </w:tcPr>
                <w:p w14:paraId="662C95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0.006</w:t>
                  </w:r>
                </w:p>
              </w:tc>
            </w:tr>
            <w:tr w14:paraId="6F6AC7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799A9E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710" w:type="dxa"/>
                  <w:vMerge w:val="continue"/>
                  <w:tcBorders>
                    <w:tl2br w:val="nil"/>
                    <w:tr2bl w:val="nil"/>
                  </w:tcBorders>
                  <w:vAlign w:val="center"/>
                </w:tcPr>
                <w:p w14:paraId="13F1DC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2A4795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795162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20" w:type="dxa"/>
                  <w:tcBorders>
                    <w:tl2br w:val="nil"/>
                    <w:tr2bl w:val="nil"/>
                  </w:tcBorders>
                  <w:vAlign w:val="center"/>
                </w:tcPr>
                <w:p w14:paraId="7532D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49</w:t>
                  </w:r>
                </w:p>
                <w:p w14:paraId="1E1478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810" w:type="dxa"/>
                  <w:tcBorders>
                    <w:tl2br w:val="nil"/>
                    <w:tr2bl w:val="nil"/>
                  </w:tcBorders>
                  <w:vAlign w:val="center"/>
                </w:tcPr>
                <w:p w14:paraId="746706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75" w:type="dxa"/>
                  <w:vMerge w:val="continue"/>
                  <w:tcBorders>
                    <w:tl2br w:val="nil"/>
                    <w:tr2bl w:val="nil"/>
                  </w:tcBorders>
                  <w:vAlign w:val="center"/>
                </w:tcPr>
                <w:p w14:paraId="57A8BF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63248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20" w:type="dxa"/>
                  <w:tcBorders>
                    <w:tl2br w:val="nil"/>
                    <w:tr2bl w:val="nil"/>
                  </w:tcBorders>
                  <w:vAlign w:val="center"/>
                </w:tcPr>
                <w:p w14:paraId="411043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w:t>
                  </w:r>
                </w:p>
                <w:p w14:paraId="66D802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736" w:type="dxa"/>
                  <w:tcBorders>
                    <w:tl2br w:val="nil"/>
                    <w:tr2bl w:val="nil"/>
                  </w:tcBorders>
                  <w:vAlign w:val="center"/>
                </w:tcPr>
                <w:p w14:paraId="097164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bl>
          <w:p w14:paraId="1565AE4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2）无组织排放</w:t>
            </w:r>
          </w:p>
          <w:p w14:paraId="73E3065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低矮排气筒属于有组织排放，但在一定条件下也可造成与无组织排放相同的效果。本项目无组织排放相关分析如下：</w:t>
            </w:r>
          </w:p>
          <w:p w14:paraId="20446DA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次环评异味无组织排放源强数据类比北京艾妮动物医院有限公司废气监测数据。该动物医院经营内容、采取的污染物防治措施等均与本项目相同。其每日接待病例（猫、狗）约20例/日，本项目与其接诊规模相近。具有可类比性。</w:t>
            </w:r>
          </w:p>
          <w:p w14:paraId="39345D92">
            <w:pPr>
              <w:pStyle w:val="11"/>
              <w:bidi w:val="0"/>
              <w:rPr>
                <w:rFonts w:hint="eastAsia"/>
                <w:lang w:val="en-US" w:eastAsia="zh-CN"/>
              </w:rPr>
            </w:pPr>
            <w:r>
              <w:rPr>
                <w:rFonts w:hint="eastAsia"/>
                <w:lang w:val="en-US" w:eastAsia="zh-CN"/>
              </w:rPr>
              <w:t>表4-5 类比项目与本项目运行情况一览表</w:t>
            </w:r>
          </w:p>
          <w:tbl>
            <w:tblPr>
              <w:tblStyle w:val="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2795"/>
              <w:gridCol w:w="2796"/>
              <w:gridCol w:w="928"/>
            </w:tblGrid>
            <w:tr w14:paraId="2BEDC1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17AE4A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2795" w:type="dxa"/>
                  <w:tcBorders>
                    <w:tl2br w:val="nil"/>
                    <w:tr2bl w:val="nil"/>
                  </w:tcBorders>
                  <w:vAlign w:val="center"/>
                </w:tcPr>
                <w:p w14:paraId="6B604C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类比项目</w:t>
                  </w:r>
                </w:p>
              </w:tc>
              <w:tc>
                <w:tcPr>
                  <w:tcW w:w="2796" w:type="dxa"/>
                  <w:tcBorders>
                    <w:tl2br w:val="nil"/>
                    <w:tr2bl w:val="nil"/>
                  </w:tcBorders>
                  <w:vAlign w:val="center"/>
                </w:tcPr>
                <w:p w14:paraId="259091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本项目</w:t>
                  </w:r>
                </w:p>
              </w:tc>
              <w:tc>
                <w:tcPr>
                  <w:tcW w:w="928" w:type="dxa"/>
                  <w:tcBorders>
                    <w:tl2br w:val="nil"/>
                    <w:tr2bl w:val="nil"/>
                  </w:tcBorders>
                  <w:vAlign w:val="center"/>
                </w:tcPr>
                <w:p w14:paraId="17FE65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类比性分析</w:t>
                  </w:r>
                </w:p>
              </w:tc>
            </w:tr>
            <w:tr w14:paraId="669980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022988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性质</w:t>
                  </w:r>
                </w:p>
              </w:tc>
              <w:tc>
                <w:tcPr>
                  <w:tcW w:w="2795" w:type="dxa"/>
                  <w:tcBorders>
                    <w:tl2br w:val="nil"/>
                    <w:tr2bl w:val="nil"/>
                  </w:tcBorders>
                  <w:vAlign w:val="center"/>
                </w:tcPr>
                <w:p w14:paraId="63BF67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新建动物医院</w:t>
                  </w:r>
                </w:p>
              </w:tc>
              <w:tc>
                <w:tcPr>
                  <w:tcW w:w="2796" w:type="dxa"/>
                  <w:tcBorders>
                    <w:tl2br w:val="nil"/>
                    <w:tr2bl w:val="nil"/>
                  </w:tcBorders>
                  <w:vAlign w:val="center"/>
                </w:tcPr>
                <w:p w14:paraId="4F2306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新建动物医院</w:t>
                  </w:r>
                </w:p>
              </w:tc>
              <w:tc>
                <w:tcPr>
                  <w:tcW w:w="928" w:type="dxa"/>
                  <w:tcBorders>
                    <w:tl2br w:val="nil"/>
                    <w:tr2bl w:val="nil"/>
                  </w:tcBorders>
                  <w:vAlign w:val="center"/>
                </w:tcPr>
                <w:p w14:paraId="078FA5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相同</w:t>
                  </w:r>
                </w:p>
              </w:tc>
            </w:tr>
            <w:tr w14:paraId="4F667C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3F7C9A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主要经营内容</w:t>
                  </w:r>
                </w:p>
              </w:tc>
              <w:tc>
                <w:tcPr>
                  <w:tcW w:w="2795" w:type="dxa"/>
                  <w:tcBorders>
                    <w:tl2br w:val="nil"/>
                    <w:tr2bl w:val="nil"/>
                  </w:tcBorders>
                  <w:vAlign w:val="center"/>
                </w:tcPr>
                <w:p w14:paraId="7B6D08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2796" w:type="dxa"/>
                  <w:tcBorders>
                    <w:tl2br w:val="nil"/>
                    <w:tr2bl w:val="nil"/>
                  </w:tcBorders>
                  <w:vAlign w:val="center"/>
                </w:tcPr>
                <w:p w14:paraId="362B41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928" w:type="dxa"/>
                  <w:tcBorders>
                    <w:tl2br w:val="nil"/>
                    <w:tr2bl w:val="nil"/>
                  </w:tcBorders>
                  <w:vAlign w:val="center"/>
                </w:tcPr>
                <w:p w14:paraId="697B92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r w14:paraId="28EFD2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45202C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接诊类型</w:t>
                  </w:r>
                </w:p>
              </w:tc>
              <w:tc>
                <w:tcPr>
                  <w:tcW w:w="2795" w:type="dxa"/>
                  <w:tcBorders>
                    <w:tl2br w:val="nil"/>
                    <w:tr2bl w:val="nil"/>
                  </w:tcBorders>
                  <w:vAlign w:val="center"/>
                </w:tcPr>
                <w:p w14:paraId="44A2F0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接待猫、狗动物20例/日</w:t>
                  </w:r>
                </w:p>
              </w:tc>
              <w:tc>
                <w:tcPr>
                  <w:tcW w:w="2796" w:type="dxa"/>
                  <w:tcBorders>
                    <w:tl2br w:val="nil"/>
                    <w:tr2bl w:val="nil"/>
                  </w:tcBorders>
                  <w:vAlign w:val="center"/>
                </w:tcPr>
                <w:p w14:paraId="6A0B8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接待猫、狗动物6例/日</w:t>
                  </w:r>
                </w:p>
              </w:tc>
              <w:tc>
                <w:tcPr>
                  <w:tcW w:w="928" w:type="dxa"/>
                  <w:tcBorders>
                    <w:tl2br w:val="nil"/>
                    <w:tr2bl w:val="nil"/>
                  </w:tcBorders>
                  <w:vAlign w:val="center"/>
                </w:tcPr>
                <w:p w14:paraId="66AB45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少于类比项目</w:t>
                  </w:r>
                </w:p>
              </w:tc>
            </w:tr>
            <w:tr w14:paraId="24080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29800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污染物种类</w:t>
                  </w:r>
                </w:p>
              </w:tc>
              <w:tc>
                <w:tcPr>
                  <w:tcW w:w="2795" w:type="dxa"/>
                  <w:tcBorders>
                    <w:tl2br w:val="nil"/>
                    <w:tr2bl w:val="nil"/>
                  </w:tcBorders>
                  <w:vAlign w:val="center"/>
                </w:tcPr>
                <w:p w14:paraId="513D2A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S、臭气浓度</w:t>
                  </w:r>
                </w:p>
              </w:tc>
              <w:tc>
                <w:tcPr>
                  <w:tcW w:w="2796" w:type="dxa"/>
                  <w:tcBorders>
                    <w:tl2br w:val="nil"/>
                    <w:tr2bl w:val="nil"/>
                  </w:tcBorders>
                  <w:vAlign w:val="center"/>
                </w:tcPr>
                <w:p w14:paraId="5A6CAF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S、臭气浓度</w:t>
                  </w:r>
                </w:p>
              </w:tc>
              <w:tc>
                <w:tcPr>
                  <w:tcW w:w="928" w:type="dxa"/>
                  <w:tcBorders>
                    <w:tl2br w:val="nil"/>
                    <w:tr2bl w:val="nil"/>
                  </w:tcBorders>
                  <w:vAlign w:val="center"/>
                </w:tcPr>
                <w:p w14:paraId="173D9B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r w14:paraId="069A24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7A3D56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废气主要治理措施</w:t>
                  </w:r>
                </w:p>
              </w:tc>
              <w:tc>
                <w:tcPr>
                  <w:tcW w:w="2795" w:type="dxa"/>
                  <w:tcBorders>
                    <w:tl2br w:val="nil"/>
                    <w:tr2bl w:val="nil"/>
                  </w:tcBorders>
                  <w:vAlign w:val="center"/>
                </w:tcPr>
                <w:p w14:paraId="739606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笼子下方放有托盘，托盘中放置猫砂便于吸收粪尿，动物粪尿被猫砂吸收包裹后及时由医护人员清理并装入专门的密封袋中密封保存，将动物粪尿散发的恶臭降至最低；关闭门窗，各科室异味进行统一收集后汇集到通风管道中，异味经活性炭吸附处理后从项目东侧排风口排出室外。</w:t>
                  </w:r>
                </w:p>
              </w:tc>
              <w:tc>
                <w:tcPr>
                  <w:tcW w:w="2796" w:type="dxa"/>
                  <w:tcBorders>
                    <w:tl2br w:val="nil"/>
                    <w:tr2bl w:val="nil"/>
                  </w:tcBorders>
                  <w:vAlign w:val="center"/>
                </w:tcPr>
                <w:p w14:paraId="13721D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笼子下方放有托盘，托盘中放置猫砂便于吸收粪尿，动物粪尿被猫砂吸收包裹后及时由医护人员清理并装入专门的密封袋中密封保存，将动物粪尿散发的恶臭降至最低；关闭门窗，各科室异味进行统一收集后汇集到通风管道中，异味经活性炭吸附处理后从项目东侧排风口排出室外。</w:t>
                  </w:r>
                </w:p>
              </w:tc>
              <w:tc>
                <w:tcPr>
                  <w:tcW w:w="928" w:type="dxa"/>
                  <w:tcBorders>
                    <w:tl2br w:val="nil"/>
                    <w:tr2bl w:val="nil"/>
                  </w:tcBorders>
                  <w:vAlign w:val="center"/>
                </w:tcPr>
                <w:p w14:paraId="201C09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bl>
          <w:p w14:paraId="103C2F8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根据北京艾妮动物医院有限公司废气监测报告（（WHZ检）字（2021）第1221-1499号），该医院周界废气监测数据为：NH</w:t>
            </w:r>
            <w:r>
              <w:rPr>
                <w:rFonts w:hint="eastAsia"/>
                <w:sz w:val="24"/>
                <w:szCs w:val="24"/>
                <w:vertAlign w:val="subscript"/>
                <w:lang w:val="en-US" w:eastAsia="zh-CN"/>
              </w:rPr>
              <w:t>3</w:t>
            </w:r>
            <w:r>
              <w:rPr>
                <w:rFonts w:hint="eastAsia"/>
                <w:sz w:val="24"/>
                <w:szCs w:val="24"/>
                <w:lang w:val="en-US" w:eastAsia="zh-CN"/>
              </w:rPr>
              <w:t>最大浓度为0.02mg/m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S浓度0.003mg/m</w:t>
            </w:r>
            <w:r>
              <w:rPr>
                <w:rFonts w:hint="eastAsia"/>
                <w:sz w:val="24"/>
                <w:szCs w:val="24"/>
                <w:vertAlign w:val="superscript"/>
                <w:lang w:val="en-US" w:eastAsia="zh-CN"/>
              </w:rPr>
              <w:t>3</w:t>
            </w:r>
            <w:r>
              <w:rPr>
                <w:rFonts w:hint="eastAsia"/>
                <w:sz w:val="24"/>
                <w:szCs w:val="24"/>
                <w:lang w:val="en-US" w:eastAsia="zh-CN"/>
              </w:rPr>
              <w:t>；臭气浓度（无量纲）均小于10。本项目与北京艾妮动物医院有限公司项目类似，异味进行统一收集后汇集到排风管道中通过活性炭净化装置处理后经排风口排出室外，通过扩散后预测本项目无组织排放的废气中各污染物厂界NH</w:t>
            </w:r>
            <w:r>
              <w:rPr>
                <w:rFonts w:hint="eastAsia"/>
                <w:sz w:val="24"/>
                <w:szCs w:val="24"/>
                <w:vertAlign w:val="subscript"/>
                <w:lang w:val="en-US" w:eastAsia="zh-CN"/>
              </w:rPr>
              <w:t>3</w:t>
            </w:r>
            <w:r>
              <w:rPr>
                <w:rFonts w:hint="eastAsia"/>
                <w:sz w:val="24"/>
                <w:szCs w:val="24"/>
                <w:lang w:val="en-US" w:eastAsia="zh-CN"/>
              </w:rPr>
              <w:t>排放浓度小于0.02mg/m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S浓度小于0.003mg/m</w:t>
            </w:r>
            <w:r>
              <w:rPr>
                <w:rFonts w:hint="eastAsia"/>
                <w:sz w:val="24"/>
                <w:szCs w:val="24"/>
                <w:vertAlign w:val="superscript"/>
                <w:lang w:val="en-US" w:eastAsia="zh-CN"/>
              </w:rPr>
              <w:t>3</w:t>
            </w:r>
            <w:r>
              <w:rPr>
                <w:rFonts w:hint="eastAsia"/>
                <w:sz w:val="24"/>
                <w:szCs w:val="24"/>
                <w:lang w:val="en-US" w:eastAsia="zh-CN"/>
              </w:rPr>
              <w:t>，臭气浓度（无量纲）小于10。</w:t>
            </w:r>
          </w:p>
          <w:p w14:paraId="688EAD3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本项目厂界项目异味废气中各项污染物产生及排放情况如下表所示。</w:t>
            </w:r>
          </w:p>
          <w:p w14:paraId="504B3A06">
            <w:pPr>
              <w:pStyle w:val="11"/>
              <w:bidi w:val="0"/>
              <w:rPr>
                <w:rFonts w:hint="eastAsia"/>
                <w:lang w:val="en-US" w:eastAsia="zh-CN"/>
              </w:rPr>
            </w:pPr>
            <w:r>
              <w:rPr>
                <w:rFonts w:hint="eastAsia"/>
                <w:lang w:val="en-US" w:eastAsia="zh-CN"/>
              </w:rPr>
              <w:t>表4-6 项目废气排放情况汇总表（臭气浓度无量纲）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77"/>
              <w:gridCol w:w="1432"/>
              <w:gridCol w:w="1227"/>
              <w:gridCol w:w="2427"/>
              <w:gridCol w:w="1181"/>
            </w:tblGrid>
            <w:tr w14:paraId="18C050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28BD6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077" w:type="dxa"/>
                  <w:tcBorders>
                    <w:tl2br w:val="nil"/>
                    <w:tr2bl w:val="nil"/>
                  </w:tcBorders>
                  <w:vAlign w:val="center"/>
                </w:tcPr>
                <w:p w14:paraId="6FD038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污染源</w:t>
                  </w:r>
                </w:p>
              </w:tc>
              <w:tc>
                <w:tcPr>
                  <w:tcW w:w="1432" w:type="dxa"/>
                  <w:tcBorders>
                    <w:tl2br w:val="nil"/>
                    <w:tr2bl w:val="nil"/>
                  </w:tcBorders>
                  <w:vAlign w:val="center"/>
                </w:tcPr>
                <w:p w14:paraId="6C31E9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227" w:type="dxa"/>
                  <w:tcBorders>
                    <w:tl2br w:val="nil"/>
                    <w:tr2bl w:val="nil"/>
                  </w:tcBorders>
                  <w:vAlign w:val="center"/>
                </w:tcPr>
                <w:p w14:paraId="210649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2427" w:type="dxa"/>
                  <w:tcBorders>
                    <w:tl2br w:val="nil"/>
                    <w:tr2bl w:val="nil"/>
                  </w:tcBorders>
                  <w:vAlign w:val="center"/>
                </w:tcPr>
                <w:p w14:paraId="594BF1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项目排放浓度</w:t>
                  </w:r>
                </w:p>
              </w:tc>
              <w:tc>
                <w:tcPr>
                  <w:tcW w:w="1181" w:type="dxa"/>
                  <w:tcBorders>
                    <w:tl2br w:val="nil"/>
                    <w:tr2bl w:val="nil"/>
                  </w:tcBorders>
                  <w:vAlign w:val="center"/>
                </w:tcPr>
                <w:p w14:paraId="2B2C35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排放标准</w:t>
                  </w:r>
                </w:p>
              </w:tc>
            </w:tr>
            <w:tr w14:paraId="267271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1D85B5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077" w:type="dxa"/>
                  <w:vMerge w:val="restart"/>
                  <w:tcBorders>
                    <w:tl2br w:val="nil"/>
                    <w:tr2bl w:val="nil"/>
                  </w:tcBorders>
                  <w:vAlign w:val="center"/>
                </w:tcPr>
                <w:p w14:paraId="39D611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就诊动物</w:t>
                  </w:r>
                </w:p>
              </w:tc>
              <w:tc>
                <w:tcPr>
                  <w:tcW w:w="1432" w:type="dxa"/>
                  <w:tcBorders>
                    <w:tl2br w:val="nil"/>
                    <w:tr2bl w:val="nil"/>
                  </w:tcBorders>
                  <w:vAlign w:val="center"/>
                </w:tcPr>
                <w:p w14:paraId="18A1F7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227" w:type="dxa"/>
                  <w:vMerge w:val="restart"/>
                  <w:tcBorders>
                    <w:tl2br w:val="nil"/>
                    <w:tr2bl w:val="nil"/>
                  </w:tcBorders>
                  <w:vAlign w:val="center"/>
                </w:tcPr>
                <w:p w14:paraId="7954DE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2427" w:type="dxa"/>
                  <w:tcBorders>
                    <w:tl2br w:val="nil"/>
                    <w:tr2bl w:val="nil"/>
                  </w:tcBorders>
                  <w:vAlign w:val="center"/>
                </w:tcPr>
                <w:p w14:paraId="78D197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0.003mg/m</w:t>
                  </w:r>
                  <w:r>
                    <w:rPr>
                      <w:rFonts w:hint="eastAsia"/>
                      <w:sz w:val="21"/>
                      <w:szCs w:val="21"/>
                      <w:vertAlign w:val="superscript"/>
                      <w:lang w:val="en-US" w:eastAsia="zh-CN"/>
                    </w:rPr>
                    <w:t>3</w:t>
                  </w:r>
                </w:p>
              </w:tc>
              <w:tc>
                <w:tcPr>
                  <w:tcW w:w="1181" w:type="dxa"/>
                  <w:tcBorders>
                    <w:tl2br w:val="nil"/>
                    <w:tr2bl w:val="nil"/>
                  </w:tcBorders>
                  <w:vAlign w:val="center"/>
                </w:tcPr>
                <w:p w14:paraId="3692BC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0.01mg/m</w:t>
                  </w:r>
                  <w:r>
                    <w:rPr>
                      <w:rFonts w:hint="eastAsia"/>
                      <w:sz w:val="21"/>
                      <w:szCs w:val="21"/>
                      <w:vertAlign w:val="superscript"/>
                      <w:lang w:val="en-US" w:eastAsia="zh-CN"/>
                    </w:rPr>
                    <w:t>3</w:t>
                  </w:r>
                </w:p>
              </w:tc>
            </w:tr>
            <w:tr w14:paraId="1CDDF1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31D8C4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077" w:type="dxa"/>
                  <w:vMerge w:val="continue"/>
                  <w:tcBorders>
                    <w:tl2br w:val="nil"/>
                    <w:tr2bl w:val="nil"/>
                  </w:tcBorders>
                  <w:vAlign w:val="center"/>
                </w:tcPr>
                <w:p w14:paraId="05AD9A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237C82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227" w:type="dxa"/>
                  <w:vMerge w:val="continue"/>
                  <w:tcBorders>
                    <w:tl2br w:val="nil"/>
                    <w:tr2bl w:val="nil"/>
                  </w:tcBorders>
                  <w:vAlign w:val="center"/>
                </w:tcPr>
                <w:p w14:paraId="54057F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0004A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0.02mg/m</w:t>
                  </w:r>
                  <w:r>
                    <w:rPr>
                      <w:rFonts w:hint="eastAsia"/>
                      <w:sz w:val="21"/>
                      <w:szCs w:val="21"/>
                      <w:vertAlign w:val="superscript"/>
                      <w:lang w:val="en-US" w:eastAsia="zh-CN"/>
                    </w:rPr>
                    <w:t>3</w:t>
                  </w:r>
                </w:p>
              </w:tc>
              <w:tc>
                <w:tcPr>
                  <w:tcW w:w="1181" w:type="dxa"/>
                  <w:tcBorders>
                    <w:tl2br w:val="nil"/>
                    <w:tr2bl w:val="nil"/>
                  </w:tcBorders>
                  <w:vAlign w:val="center"/>
                </w:tcPr>
                <w:p w14:paraId="36D5FB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0.2mg/m</w:t>
                  </w:r>
                  <w:r>
                    <w:rPr>
                      <w:rFonts w:hint="eastAsia"/>
                      <w:sz w:val="21"/>
                      <w:szCs w:val="21"/>
                      <w:vertAlign w:val="superscript"/>
                      <w:lang w:val="en-US" w:eastAsia="zh-CN"/>
                    </w:rPr>
                    <w:t>3</w:t>
                  </w:r>
                </w:p>
              </w:tc>
            </w:tr>
            <w:tr w14:paraId="60B819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7F4D9A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077" w:type="dxa"/>
                  <w:vMerge w:val="continue"/>
                  <w:tcBorders>
                    <w:tl2br w:val="nil"/>
                    <w:tr2bl w:val="nil"/>
                  </w:tcBorders>
                  <w:vAlign w:val="center"/>
                </w:tcPr>
                <w:p w14:paraId="45B8C9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79015A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7B326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1227" w:type="dxa"/>
                  <w:vMerge w:val="continue"/>
                  <w:tcBorders>
                    <w:tl2br w:val="nil"/>
                    <w:tr2bl w:val="nil"/>
                  </w:tcBorders>
                  <w:vAlign w:val="center"/>
                </w:tcPr>
                <w:p w14:paraId="7A229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67ECF6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181" w:type="dxa"/>
                  <w:tcBorders>
                    <w:tl2br w:val="nil"/>
                    <w:tr2bl w:val="nil"/>
                  </w:tcBorders>
                  <w:vAlign w:val="center"/>
                </w:tcPr>
                <w:p w14:paraId="50167F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bl>
          <w:p w14:paraId="79FE8D1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（3）废气污染物防治措施可行性分析</w:t>
            </w:r>
          </w:p>
          <w:p w14:paraId="6C06E86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接诊的宠物均为小猫、小狗，接诊量较小，且绝大部分宠物不长时间停留。宠物在医院内产生的粪便量极少，实际产生的异味较少，污染物浓度较低。建设单位可以通过加强管理，从污染源头减少异味散发。如对需要留观或等候的宠物置于宠物笼中，笼子下方放置猫砂托盘或尿垫等。宠物粪尿被猫砂、尿垫吸收包裹后及时由医护人员清理并装入专门的密封袋中密封保存，将宠物粪尿散发的恶臭降至最低。同时，在运营期工作时段内，对各科室均关闭门窗。对手术室、诊室等医院各房间，以及宠物笼等设施及时清洁、清理、清洗，并喷洒空气清新剂、除臭剂等清除覆盖异味，进一步避免臭味逸散造成对周围住宅居民的影响。</w:t>
            </w:r>
          </w:p>
          <w:p w14:paraId="37F0F7B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此外，建设单位设有排风系统，集中对室内进行排风换气。室内异味统一收集后汇集到排风管道中通过活性炭净化装置处理后经排风口排出室外。</w:t>
            </w:r>
          </w:p>
          <w:p w14:paraId="723FD15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设置1台活性炭净化装置及配套排风风机，位于吊顶内。排风系统共设1个排风口，位于项目东侧，排风口高3.4m。根据《国家危险废物名录（2025版）》，吸附异味使用的活性炭不在危险废物名录范围之内，应属于一般工业固体废物。项目活性炭装置内的废活性炭定期更换，更换下的废活性炭暂存于医疗废物暂存间，定期委托有资质单位处理处置。</w:t>
            </w:r>
          </w:p>
          <w:p w14:paraId="25EA9F4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本项目活性炭吸附气态污染物饱合时间及用量可用下列公式计算：</w:t>
            </w:r>
          </w:p>
          <w:p w14:paraId="12AF1CE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m:oMathPara>
              <m:oMath>
                <m:r>
                  <m:rPr>
                    <m:sty m:val="p"/>
                  </m:rPr>
                  <w:rPr>
                    <w:rFonts w:hint="default" w:ascii="Cambria Math" w:hAnsi="Cambria Math" w:cstheme="minorBidi"/>
                    <w:kern w:val="2"/>
                    <w:sz w:val="24"/>
                    <w:szCs w:val="24"/>
                    <w:lang w:val="en-US" w:eastAsia="zh-CN" w:bidi="ar-SA"/>
                  </w:rPr>
                  <m:t>T=</m:t>
                </m:r>
                <m:f>
                  <m:fPr>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m</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S</m:t>
                    </m:r>
                    <m:ctrlPr>
                      <w:rPr>
                        <w:rFonts w:hint="default" w:ascii="Cambria Math" w:hAnsi="Cambria Math" w:cstheme="minorBidi"/>
                        <w:kern w:val="2"/>
                        <w:sz w:val="24"/>
                        <w:szCs w:val="24"/>
                        <w:lang w:val="en-US" w:eastAsia="zh-CN" w:bidi="ar-SA"/>
                      </w:rPr>
                    </m:ctrlPr>
                  </m:num>
                  <m:den>
                    <m:r>
                      <m:rPr>
                        <m:sty m:val="p"/>
                      </m:rPr>
                      <w:rPr>
                        <w:rFonts w:hint="default" w:ascii="Cambria Math" w:hAnsi="Cambria Math" w:cstheme="minorBidi"/>
                        <w:kern w:val="2"/>
                        <w:sz w:val="24"/>
                        <w:szCs w:val="24"/>
                        <w:lang w:val="en-US" w:eastAsia="zh-CN" w:bidi="ar-SA"/>
                      </w:rPr>
                      <m:t>C</m:t>
                    </m:r>
                    <m:r>
                      <m:rPr>
                        <m:sty m:val="p"/>
                      </m:rPr>
                      <w:rPr>
                        <w:rFonts w:ascii="Cambria Math" w:hAnsi="Cambria Math" w:cstheme="minorBidi"/>
                        <w:kern w:val="2"/>
                        <w:sz w:val="24"/>
                        <w:szCs w:val="24"/>
                        <w:lang w:val="en-US" w:bidi="ar-SA"/>
                      </w:rPr>
                      <m:t>×</m:t>
                    </m:r>
                    <m:sSup>
                      <m:sSupPr>
                        <m:ctrlPr>
                          <w:rPr>
                            <w:rFonts w:ascii="Cambria Math" w:hAnsi="Cambria Math" w:cstheme="minorBidi"/>
                            <w:kern w:val="2"/>
                            <w:sz w:val="24"/>
                            <w:szCs w:val="24"/>
                            <w:lang w:val="en-US" w:bidi="ar-SA"/>
                          </w:rPr>
                        </m:ctrlPr>
                      </m:sSupPr>
                      <m:e>
                        <m:r>
                          <m:rPr>
                            <m:sty m:val="p"/>
                          </m:rPr>
                          <w:rPr>
                            <w:rFonts w:hint="default" w:ascii="Cambria Math" w:hAnsi="Cambria Math" w:cstheme="minorBidi"/>
                            <w:kern w:val="2"/>
                            <w:sz w:val="24"/>
                            <w:szCs w:val="24"/>
                            <w:lang w:val="en-US" w:eastAsia="zh-CN" w:bidi="ar-SA"/>
                          </w:rPr>
                          <m:t>10</m:t>
                        </m:r>
                        <m:ctrlPr>
                          <w:rPr>
                            <w:rFonts w:ascii="Cambria Math" w:hAnsi="Cambria Math" w:cstheme="minorBidi"/>
                            <w:kern w:val="2"/>
                            <w:sz w:val="24"/>
                            <w:szCs w:val="24"/>
                            <w:lang w:val="en-US" w:bidi="ar-SA"/>
                          </w:rPr>
                        </m:ctrlPr>
                      </m:e>
                      <m:sup>
                        <m:r>
                          <m:rPr>
                            <m:sty m:val="p"/>
                          </m:rPr>
                          <w:rPr>
                            <w:rFonts w:hint="default" w:ascii="Cambria Math" w:hAnsi="Cambria Math" w:cstheme="minorBidi"/>
                            <w:kern w:val="2"/>
                            <w:sz w:val="24"/>
                            <w:szCs w:val="24"/>
                            <w:lang w:val="en-US" w:eastAsia="zh-CN" w:bidi="ar-SA"/>
                          </w:rPr>
                          <m:t>−6</m:t>
                        </m:r>
                        <m:ctrlPr>
                          <w:rPr>
                            <w:rFonts w:ascii="Cambria Math" w:hAnsi="Cambria Math" w:cstheme="minorBidi"/>
                            <w:kern w:val="2"/>
                            <w:sz w:val="24"/>
                            <w:szCs w:val="24"/>
                            <w:lang w:val="en-US" w:bidi="ar-SA"/>
                          </w:rPr>
                        </m:ctrlPr>
                      </m:sup>
                    </m:sSup>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Q</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t</m:t>
                    </m:r>
                    <m:ctrlPr>
                      <w:rPr>
                        <w:rFonts w:hint="default" w:ascii="Cambria Math" w:hAnsi="Cambria Math" w:cstheme="minorBidi"/>
                        <w:kern w:val="2"/>
                        <w:sz w:val="24"/>
                        <w:szCs w:val="24"/>
                        <w:lang w:val="en-US" w:eastAsia="zh-CN" w:bidi="ar-SA"/>
                      </w:rPr>
                    </m:ctrlPr>
                  </m:den>
                </m:f>
              </m:oMath>
            </m:oMathPara>
          </w:p>
          <w:p w14:paraId="45BE9AD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7D5F369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T—更换周期（活性炭饱和时间），d；项目取值264d；</w:t>
            </w:r>
          </w:p>
          <w:p w14:paraId="7DB59FB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m—活性炭用量，kg；</w:t>
            </w:r>
          </w:p>
          <w:p w14:paraId="6F3E29E2">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S—动态吸附量，按10%取值；</w:t>
            </w:r>
          </w:p>
          <w:p w14:paraId="66A52CF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C—活性炭削减的气态污染物浓度，mg/m</w:t>
            </w:r>
            <w:r>
              <w:rPr>
                <w:rFonts w:hint="eastAsia"/>
                <w:sz w:val="24"/>
                <w:szCs w:val="24"/>
                <w:vertAlign w:val="superscript"/>
                <w:lang w:val="en-US" w:eastAsia="zh-CN"/>
              </w:rPr>
              <w:t>3</w:t>
            </w:r>
            <w:r>
              <w:rPr>
                <w:rFonts w:hint="eastAsia"/>
                <w:sz w:val="24"/>
                <w:szCs w:val="24"/>
                <w:lang w:val="en-US" w:eastAsia="zh-CN"/>
              </w:rPr>
              <w:t>；</w:t>
            </w:r>
          </w:p>
          <w:p w14:paraId="6946587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Q—风量，m</w:t>
            </w:r>
            <w:r>
              <w:rPr>
                <w:rFonts w:hint="eastAsia"/>
                <w:sz w:val="24"/>
                <w:szCs w:val="24"/>
                <w:vertAlign w:val="superscript"/>
                <w:lang w:val="en-US" w:eastAsia="zh-CN"/>
              </w:rPr>
              <w:t>3</w:t>
            </w:r>
            <w:r>
              <w:rPr>
                <w:rFonts w:hint="eastAsia"/>
                <w:sz w:val="24"/>
                <w:szCs w:val="24"/>
                <w:lang w:val="en-US" w:eastAsia="zh-CN"/>
              </w:rPr>
              <w:t>/h；项目风机风量1000m</w:t>
            </w:r>
            <w:r>
              <w:rPr>
                <w:rFonts w:hint="eastAsia"/>
                <w:sz w:val="24"/>
                <w:szCs w:val="24"/>
                <w:vertAlign w:val="superscript"/>
                <w:lang w:val="en-US" w:eastAsia="zh-CN"/>
              </w:rPr>
              <w:t>3</w:t>
            </w:r>
            <w:r>
              <w:rPr>
                <w:rFonts w:hint="eastAsia"/>
                <w:sz w:val="24"/>
                <w:szCs w:val="24"/>
                <w:lang w:val="en-US" w:eastAsia="zh-CN"/>
              </w:rPr>
              <w:t>/h；</w:t>
            </w:r>
          </w:p>
          <w:p w14:paraId="707FB54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t—运行时间，h/d；排风机日运行时间12h。</w:t>
            </w:r>
          </w:p>
          <w:p w14:paraId="7313014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以1年期活性炭达到饱和的使用量计算，活性炭年用量约为2.1kg时能满足项目1年的废气净化要求。项目净化装置活性炭装填量为2kg，考虑到项目运行过程中温度、湿度、以及其他影响因素对活性炭性能的影响，且实际操作中不会在活性炭达到饱和值时才进行更换，故要求建设单位每半年进行1次活性炭更换工作。即项目年使用活性炭的量为4kg/a。</w:t>
            </w:r>
          </w:p>
          <w:p w14:paraId="1F97A31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根据《排污许可证申请与核发技术规范 总则》（HJ942-2018）4.5.2.1中恶臭治理措施为水洗、吸收、氧化、活性炭吸附等，本项目室内异味统一收集后汇集到排风管道中经活性炭吸附装置处理后通过排气筒排出室外，本项目利用活性炭吸附技术属于可行性技术。</w:t>
            </w:r>
          </w:p>
          <w:p w14:paraId="3C7963E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活性炭吸附原理：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其他混合物分离，净化后的气体高空排放。</w:t>
            </w:r>
          </w:p>
          <w:p w14:paraId="6D6F299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（4）废气排放达标分析</w:t>
            </w:r>
          </w:p>
          <w:p w14:paraId="6561D8B6">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本项目废气达标性见下表：</w:t>
            </w:r>
          </w:p>
          <w:p w14:paraId="30E0EA08">
            <w:pPr>
              <w:pStyle w:val="11"/>
              <w:bidi w:val="0"/>
              <w:rPr>
                <w:rFonts w:hint="eastAsia"/>
                <w:lang w:val="en-US" w:eastAsia="zh-CN"/>
              </w:rPr>
            </w:pPr>
            <w:r>
              <w:rPr>
                <w:rFonts w:hint="eastAsia"/>
                <w:lang w:val="en-US" w:eastAsia="zh-CN"/>
              </w:rPr>
              <w:t>表4-7 大气污染物排放达标分析一览表</w:t>
            </w:r>
          </w:p>
          <w:tbl>
            <w:tblPr>
              <w:tblStyle w:val="9"/>
              <w:tblW w:w="80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200"/>
              <w:gridCol w:w="1140"/>
              <w:gridCol w:w="1080"/>
              <w:gridCol w:w="885"/>
              <w:gridCol w:w="1095"/>
              <w:gridCol w:w="1095"/>
              <w:gridCol w:w="660"/>
            </w:tblGrid>
            <w:tr w14:paraId="3BE8AA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restart"/>
                  <w:tcBorders>
                    <w:tl2br w:val="nil"/>
                    <w:tr2bl w:val="nil"/>
                  </w:tcBorders>
                  <w:vAlign w:val="center"/>
                </w:tcPr>
                <w:p w14:paraId="484BD2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排放形式</w:t>
                  </w:r>
                </w:p>
              </w:tc>
              <w:tc>
                <w:tcPr>
                  <w:tcW w:w="1200" w:type="dxa"/>
                  <w:vMerge w:val="restart"/>
                  <w:tcBorders>
                    <w:tl2br w:val="nil"/>
                    <w:tr2bl w:val="nil"/>
                  </w:tcBorders>
                  <w:vAlign w:val="center"/>
                </w:tcPr>
                <w:p w14:paraId="6020CB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w:t>
                  </w:r>
                </w:p>
              </w:tc>
              <w:tc>
                <w:tcPr>
                  <w:tcW w:w="3105" w:type="dxa"/>
                  <w:gridSpan w:val="3"/>
                  <w:tcBorders>
                    <w:tl2br w:val="nil"/>
                    <w:tr2bl w:val="nil"/>
                  </w:tcBorders>
                  <w:vAlign w:val="center"/>
                </w:tcPr>
                <w:p w14:paraId="04B3AE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排放情况</w:t>
                  </w:r>
                </w:p>
              </w:tc>
              <w:tc>
                <w:tcPr>
                  <w:tcW w:w="2190" w:type="dxa"/>
                  <w:gridSpan w:val="2"/>
                  <w:tcBorders>
                    <w:tl2br w:val="nil"/>
                    <w:tr2bl w:val="nil"/>
                  </w:tcBorders>
                  <w:vAlign w:val="center"/>
                </w:tcPr>
                <w:p w14:paraId="5DE9D1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执行标准</w:t>
                  </w:r>
                </w:p>
              </w:tc>
              <w:tc>
                <w:tcPr>
                  <w:tcW w:w="660" w:type="dxa"/>
                  <w:vMerge w:val="restart"/>
                  <w:tcBorders>
                    <w:tl2br w:val="nil"/>
                    <w:tr2bl w:val="nil"/>
                  </w:tcBorders>
                  <w:vAlign w:val="center"/>
                </w:tcPr>
                <w:p w14:paraId="4DB38C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是否达标</w:t>
                  </w:r>
                </w:p>
              </w:tc>
            </w:tr>
            <w:tr w14:paraId="4EFC07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4003D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vMerge w:val="continue"/>
                  <w:tcBorders>
                    <w:tl2br w:val="nil"/>
                    <w:tr2bl w:val="nil"/>
                  </w:tcBorders>
                  <w:vAlign w:val="center"/>
                </w:tcPr>
                <w:p w14:paraId="17C998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tcBorders>
                    <w:tl2br w:val="nil"/>
                    <w:tr2bl w:val="nil"/>
                  </w:tcBorders>
                  <w:vAlign w:val="center"/>
                </w:tcPr>
                <w:p w14:paraId="7D40F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排放浓度mg/m</w:t>
                  </w:r>
                  <w:r>
                    <w:rPr>
                      <w:rFonts w:hint="eastAsia"/>
                      <w:b w:val="0"/>
                      <w:bCs w:val="0"/>
                      <w:sz w:val="21"/>
                      <w:szCs w:val="21"/>
                      <w:vertAlign w:val="superscript"/>
                      <w:lang w:val="en-US" w:eastAsia="zh-CN"/>
                    </w:rPr>
                    <w:t>3</w:t>
                  </w:r>
                </w:p>
              </w:tc>
              <w:tc>
                <w:tcPr>
                  <w:tcW w:w="1080" w:type="dxa"/>
                  <w:tcBorders>
                    <w:tl2br w:val="nil"/>
                    <w:tr2bl w:val="nil"/>
                  </w:tcBorders>
                  <w:vAlign w:val="center"/>
                </w:tcPr>
                <w:p w14:paraId="270770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885" w:type="dxa"/>
                  <w:tcBorders>
                    <w:tl2br w:val="nil"/>
                    <w:tr2bl w:val="nil"/>
                  </w:tcBorders>
                  <w:vAlign w:val="center"/>
                </w:tcPr>
                <w:p w14:paraId="57E885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排放量kg/a</w:t>
                  </w:r>
                </w:p>
              </w:tc>
              <w:tc>
                <w:tcPr>
                  <w:tcW w:w="1095" w:type="dxa"/>
                  <w:tcBorders>
                    <w:tl2br w:val="nil"/>
                    <w:tr2bl w:val="nil"/>
                  </w:tcBorders>
                  <w:vAlign w:val="center"/>
                </w:tcPr>
                <w:p w14:paraId="0548BC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排放浓度mg/m</w:t>
                  </w:r>
                  <w:r>
                    <w:rPr>
                      <w:rFonts w:hint="eastAsia"/>
                      <w:b w:val="0"/>
                      <w:bCs w:val="0"/>
                      <w:sz w:val="21"/>
                      <w:szCs w:val="21"/>
                      <w:vertAlign w:val="superscript"/>
                      <w:lang w:val="en-US" w:eastAsia="zh-CN"/>
                    </w:rPr>
                    <w:t>3</w:t>
                  </w:r>
                </w:p>
              </w:tc>
              <w:tc>
                <w:tcPr>
                  <w:tcW w:w="1095" w:type="dxa"/>
                  <w:tcBorders>
                    <w:tl2br w:val="nil"/>
                    <w:tr2bl w:val="nil"/>
                  </w:tcBorders>
                  <w:vAlign w:val="center"/>
                </w:tcPr>
                <w:p w14:paraId="115887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660" w:type="dxa"/>
                  <w:vMerge w:val="continue"/>
                  <w:tcBorders>
                    <w:tl2br w:val="nil"/>
                    <w:tr2bl w:val="nil"/>
                  </w:tcBorders>
                  <w:vAlign w:val="center"/>
                </w:tcPr>
                <w:p w14:paraId="6E3475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781211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restart"/>
                  <w:tcBorders>
                    <w:tl2br w:val="nil"/>
                    <w:tr2bl w:val="nil"/>
                  </w:tcBorders>
                  <w:vAlign w:val="center"/>
                </w:tcPr>
                <w:p w14:paraId="00AAB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有组织DA001</w:t>
                  </w:r>
                </w:p>
              </w:tc>
              <w:tc>
                <w:tcPr>
                  <w:tcW w:w="1200" w:type="dxa"/>
                  <w:tcBorders>
                    <w:tl2br w:val="nil"/>
                    <w:tr2bl w:val="nil"/>
                  </w:tcBorders>
                  <w:shd w:val="clear" w:color="auto" w:fill="auto"/>
                  <w:vAlign w:val="center"/>
                </w:tcPr>
                <w:p w14:paraId="27D6F5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140" w:type="dxa"/>
                  <w:tcBorders>
                    <w:tl2br w:val="nil"/>
                    <w:tr2bl w:val="nil"/>
                  </w:tcBorders>
                  <w:shd w:val="clear" w:color="auto" w:fill="auto"/>
                  <w:vAlign w:val="center"/>
                </w:tcPr>
                <w:p w14:paraId="6C786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0.002</w:t>
                  </w:r>
                </w:p>
              </w:tc>
              <w:tc>
                <w:tcPr>
                  <w:tcW w:w="1080" w:type="dxa"/>
                  <w:tcBorders>
                    <w:tl2br w:val="nil"/>
                    <w:tr2bl w:val="nil"/>
                  </w:tcBorders>
                  <w:shd w:val="clear" w:color="auto" w:fill="auto"/>
                  <w:vAlign w:val="center"/>
                </w:tcPr>
                <w:p w14:paraId="4C826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0.000002</w:t>
                  </w:r>
                </w:p>
              </w:tc>
              <w:tc>
                <w:tcPr>
                  <w:tcW w:w="885" w:type="dxa"/>
                  <w:tcBorders>
                    <w:tl2br w:val="nil"/>
                    <w:tr2bl w:val="nil"/>
                  </w:tcBorders>
                  <w:shd w:val="clear"/>
                  <w:vAlign w:val="center"/>
                </w:tcPr>
                <w:p w14:paraId="3CD74A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highlight w:val="none"/>
                      <w:vertAlign w:val="baseline"/>
                      <w:lang w:val="en-US" w:eastAsia="zh-CN" w:bidi="ar-SA"/>
                    </w:rPr>
                  </w:pPr>
                  <w:r>
                    <w:rPr>
                      <w:rFonts w:hint="eastAsia"/>
                      <w:sz w:val="21"/>
                      <w:szCs w:val="21"/>
                      <w:highlight w:val="none"/>
                      <w:vertAlign w:val="baseline"/>
                      <w:lang w:val="en-US" w:eastAsia="zh-CN"/>
                    </w:rPr>
                    <w:t>0.006</w:t>
                  </w:r>
                </w:p>
              </w:tc>
              <w:tc>
                <w:tcPr>
                  <w:tcW w:w="1095" w:type="dxa"/>
                  <w:tcBorders>
                    <w:tl2br w:val="nil"/>
                    <w:tr2bl w:val="nil"/>
                  </w:tcBorders>
                  <w:vAlign w:val="center"/>
                </w:tcPr>
                <w:p w14:paraId="2172F3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w:t>
                  </w:r>
                </w:p>
              </w:tc>
              <w:tc>
                <w:tcPr>
                  <w:tcW w:w="1095" w:type="dxa"/>
                  <w:tcBorders>
                    <w:tl2br w:val="nil"/>
                    <w:tr2bl w:val="nil"/>
                  </w:tcBorders>
                  <w:vAlign w:val="center"/>
                </w:tcPr>
                <w:p w14:paraId="1FEB42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0.00046</w:t>
                  </w:r>
                </w:p>
              </w:tc>
              <w:tc>
                <w:tcPr>
                  <w:tcW w:w="660" w:type="dxa"/>
                  <w:tcBorders>
                    <w:tl2br w:val="nil"/>
                    <w:tr2bl w:val="nil"/>
                  </w:tcBorders>
                  <w:vAlign w:val="center"/>
                </w:tcPr>
                <w:p w14:paraId="6BDBED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72863E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79D6FA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tcBorders>
                    <w:tl2br w:val="nil"/>
                    <w:tr2bl w:val="nil"/>
                  </w:tcBorders>
                  <w:shd w:val="clear" w:color="auto" w:fill="auto"/>
                  <w:vAlign w:val="center"/>
                </w:tcPr>
                <w:p w14:paraId="28F034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140" w:type="dxa"/>
                  <w:tcBorders>
                    <w:tl2br w:val="nil"/>
                    <w:tr2bl w:val="nil"/>
                  </w:tcBorders>
                  <w:shd w:val="clear" w:color="auto" w:fill="auto"/>
                  <w:vAlign w:val="center"/>
                </w:tcPr>
                <w:p w14:paraId="464C09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0.02</w:t>
                  </w:r>
                </w:p>
              </w:tc>
              <w:tc>
                <w:tcPr>
                  <w:tcW w:w="1080" w:type="dxa"/>
                  <w:tcBorders>
                    <w:tl2br w:val="nil"/>
                    <w:tr2bl w:val="nil"/>
                  </w:tcBorders>
                  <w:shd w:val="clear" w:color="auto" w:fill="auto"/>
                  <w:vAlign w:val="center"/>
                </w:tcPr>
                <w:p w14:paraId="6C8B74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0.00002</w:t>
                  </w:r>
                </w:p>
              </w:tc>
              <w:tc>
                <w:tcPr>
                  <w:tcW w:w="885" w:type="dxa"/>
                  <w:tcBorders>
                    <w:tl2br w:val="nil"/>
                    <w:tr2bl w:val="nil"/>
                  </w:tcBorders>
                  <w:shd w:val="clear"/>
                  <w:vAlign w:val="center"/>
                </w:tcPr>
                <w:p w14:paraId="68FB6B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highlight w:val="none"/>
                      <w:vertAlign w:val="baseline"/>
                      <w:lang w:val="en-US" w:eastAsia="zh-CN" w:bidi="ar-SA"/>
                    </w:rPr>
                  </w:pPr>
                  <w:r>
                    <w:rPr>
                      <w:rFonts w:hint="eastAsia"/>
                      <w:sz w:val="21"/>
                      <w:szCs w:val="21"/>
                      <w:highlight w:val="none"/>
                      <w:vertAlign w:val="baseline"/>
                      <w:lang w:val="en-US" w:eastAsia="zh-CN"/>
                    </w:rPr>
                    <w:t>0.063</w:t>
                  </w:r>
                </w:p>
              </w:tc>
              <w:tc>
                <w:tcPr>
                  <w:tcW w:w="1095" w:type="dxa"/>
                  <w:tcBorders>
                    <w:tl2br w:val="nil"/>
                    <w:tr2bl w:val="nil"/>
                  </w:tcBorders>
                  <w:vAlign w:val="center"/>
                </w:tcPr>
                <w:p w14:paraId="4302F5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095" w:type="dxa"/>
                  <w:tcBorders>
                    <w:tl2br w:val="nil"/>
                    <w:tr2bl w:val="nil"/>
                  </w:tcBorders>
                  <w:vAlign w:val="center"/>
                </w:tcPr>
                <w:p w14:paraId="0F3A1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0.0093</w:t>
                  </w:r>
                </w:p>
              </w:tc>
              <w:tc>
                <w:tcPr>
                  <w:tcW w:w="660" w:type="dxa"/>
                  <w:tcBorders>
                    <w:tl2br w:val="nil"/>
                    <w:tr2bl w:val="nil"/>
                  </w:tcBorders>
                  <w:vAlign w:val="center"/>
                </w:tcPr>
                <w:p w14:paraId="715CBF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70C4A3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5BF309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tcBorders>
                    <w:tl2br w:val="nil"/>
                    <w:tr2bl w:val="nil"/>
                  </w:tcBorders>
                  <w:shd w:val="clear" w:color="auto" w:fill="auto"/>
                  <w:vAlign w:val="center"/>
                </w:tcPr>
                <w:p w14:paraId="05D94A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0BBDB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1140" w:type="dxa"/>
                  <w:tcBorders>
                    <w:tl2br w:val="nil"/>
                    <w:tr2bl w:val="nil"/>
                  </w:tcBorders>
                  <w:shd w:val="clear" w:color="auto" w:fill="auto"/>
                  <w:vAlign w:val="center"/>
                </w:tcPr>
                <w:p w14:paraId="6F29B9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1080" w:type="dxa"/>
                  <w:tcBorders>
                    <w:tl2br w:val="nil"/>
                    <w:tr2bl w:val="nil"/>
                  </w:tcBorders>
                  <w:shd w:val="clear" w:color="auto" w:fill="auto"/>
                  <w:vAlign w:val="center"/>
                </w:tcPr>
                <w:p w14:paraId="29A5B9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w:t>
                  </w:r>
                </w:p>
                <w:p w14:paraId="62C428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885" w:type="dxa"/>
                  <w:tcBorders>
                    <w:tl2br w:val="nil"/>
                    <w:tr2bl w:val="nil"/>
                  </w:tcBorders>
                  <w:shd w:val="clear" w:color="auto" w:fill="auto"/>
                  <w:vAlign w:val="center"/>
                </w:tcPr>
                <w:p w14:paraId="07839F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1095" w:type="dxa"/>
                  <w:tcBorders>
                    <w:tl2br w:val="nil"/>
                    <w:tr2bl w:val="nil"/>
                  </w:tcBorders>
                  <w:vAlign w:val="center"/>
                </w:tcPr>
                <w:p w14:paraId="40EECA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tcBorders>
                    <w:tl2br w:val="nil"/>
                    <w:tr2bl w:val="nil"/>
                  </w:tcBorders>
                  <w:vAlign w:val="center"/>
                </w:tcPr>
                <w:p w14:paraId="1F318F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25.69</w:t>
                  </w:r>
                </w:p>
              </w:tc>
              <w:tc>
                <w:tcPr>
                  <w:tcW w:w="660" w:type="dxa"/>
                  <w:tcBorders>
                    <w:tl2br w:val="nil"/>
                    <w:tr2bl w:val="nil"/>
                  </w:tcBorders>
                  <w:vAlign w:val="center"/>
                </w:tcPr>
                <w:p w14:paraId="4D1E56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773A5B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restart"/>
                  <w:tcBorders>
                    <w:tl2br w:val="nil"/>
                    <w:tr2bl w:val="nil"/>
                  </w:tcBorders>
                  <w:vAlign w:val="center"/>
                </w:tcPr>
                <w:p w14:paraId="78F868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1200" w:type="dxa"/>
                  <w:tcBorders>
                    <w:tl2br w:val="nil"/>
                    <w:tr2bl w:val="nil"/>
                  </w:tcBorders>
                  <w:shd w:val="clear" w:color="auto" w:fill="auto"/>
                  <w:vAlign w:val="center"/>
                </w:tcPr>
                <w:p w14:paraId="7E56A0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140" w:type="dxa"/>
                  <w:tcBorders>
                    <w:tl2br w:val="nil"/>
                    <w:tr2bl w:val="nil"/>
                  </w:tcBorders>
                  <w:vAlign w:val="center"/>
                </w:tcPr>
                <w:p w14:paraId="0748B4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w:t>
                  </w:r>
                </w:p>
              </w:tc>
              <w:tc>
                <w:tcPr>
                  <w:tcW w:w="1080" w:type="dxa"/>
                  <w:tcBorders>
                    <w:tl2br w:val="nil"/>
                    <w:tr2bl w:val="nil"/>
                  </w:tcBorders>
                  <w:shd w:val="clear" w:color="auto" w:fill="auto"/>
                  <w:vAlign w:val="center"/>
                </w:tcPr>
                <w:p w14:paraId="16147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tcBorders>
                    <w:tl2br w:val="nil"/>
                    <w:tr2bl w:val="nil"/>
                  </w:tcBorders>
                  <w:vAlign w:val="center"/>
                </w:tcPr>
                <w:p w14:paraId="10E678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tcBorders>
                    <w:tl2br w:val="nil"/>
                    <w:tr2bl w:val="nil"/>
                  </w:tcBorders>
                  <w:vAlign w:val="center"/>
                </w:tcPr>
                <w:p w14:paraId="7D2A25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c>
                <w:tcPr>
                  <w:tcW w:w="1095" w:type="dxa"/>
                  <w:tcBorders>
                    <w:tl2br w:val="nil"/>
                    <w:tr2bl w:val="nil"/>
                  </w:tcBorders>
                  <w:vAlign w:val="center"/>
                </w:tcPr>
                <w:p w14:paraId="228E77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tcBorders>
                    <w:tl2br w:val="nil"/>
                    <w:tr2bl w:val="nil"/>
                  </w:tcBorders>
                  <w:vAlign w:val="center"/>
                </w:tcPr>
                <w:p w14:paraId="1C316D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53AE93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vAlign w:val="center"/>
                </w:tcPr>
                <w:p w14:paraId="3A8FE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shd w:val="clear" w:color="auto" w:fill="auto"/>
                  <w:vAlign w:val="center"/>
                </w:tcPr>
                <w:p w14:paraId="1C62E0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140" w:type="dxa"/>
                  <w:vAlign w:val="center"/>
                </w:tcPr>
                <w:p w14:paraId="686927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w:t>
                  </w:r>
                </w:p>
              </w:tc>
              <w:tc>
                <w:tcPr>
                  <w:tcW w:w="1080" w:type="dxa"/>
                  <w:shd w:val="clear" w:color="auto" w:fill="auto"/>
                  <w:vAlign w:val="center"/>
                </w:tcPr>
                <w:p w14:paraId="4E2EAA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vAlign w:val="center"/>
                </w:tcPr>
                <w:p w14:paraId="57923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vAlign w:val="center"/>
                </w:tcPr>
                <w:p w14:paraId="3A12F7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w:t>
                  </w:r>
                </w:p>
              </w:tc>
              <w:tc>
                <w:tcPr>
                  <w:tcW w:w="1095" w:type="dxa"/>
                  <w:vAlign w:val="center"/>
                </w:tcPr>
                <w:p w14:paraId="54D38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vAlign w:val="center"/>
                </w:tcPr>
                <w:p w14:paraId="545671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3388FD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vAlign w:val="center"/>
                </w:tcPr>
                <w:p w14:paraId="612C9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shd w:val="clear" w:color="auto" w:fill="auto"/>
                  <w:vAlign w:val="center"/>
                </w:tcPr>
                <w:p w14:paraId="30EB14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2D5E49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1140" w:type="dxa"/>
                  <w:vAlign w:val="center"/>
                </w:tcPr>
                <w:p w14:paraId="15CDAE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w:t>
                  </w:r>
                </w:p>
                <w:p w14:paraId="2645F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无量纲</w:t>
                  </w:r>
                </w:p>
              </w:tc>
              <w:tc>
                <w:tcPr>
                  <w:tcW w:w="1080" w:type="dxa"/>
                  <w:shd w:val="clear" w:color="auto" w:fill="auto"/>
                  <w:vAlign w:val="center"/>
                </w:tcPr>
                <w:p w14:paraId="1F6715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vAlign w:val="center"/>
                </w:tcPr>
                <w:p w14:paraId="71EE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vAlign w:val="center"/>
                </w:tcPr>
                <w:p w14:paraId="7CDE5E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20无量纲</w:t>
                  </w:r>
                </w:p>
              </w:tc>
              <w:tc>
                <w:tcPr>
                  <w:tcW w:w="1095" w:type="dxa"/>
                  <w:vAlign w:val="center"/>
                </w:tcPr>
                <w:p w14:paraId="28B6DD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vAlign w:val="center"/>
                </w:tcPr>
                <w:p w14:paraId="6DE46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bl>
          <w:p w14:paraId="70BD738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由上表可知，在采取上述措施后，项目废气中污染物排放满足北京市《大气污染物综合排放标准》（DB11/501-2017）中“表3生产工艺废气及其他废气大气污染物排放限值”的要求，项目废气不会对周边大气环境产生重大不利影响。</w:t>
            </w:r>
          </w:p>
          <w:p w14:paraId="2526122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（5）废气排放信息</w:t>
            </w:r>
          </w:p>
          <w:p w14:paraId="5ED074B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本项目废气类别、污染物及污染治理设施信息见表4-8，废气排放口基本情况见下表。</w:t>
            </w:r>
          </w:p>
          <w:p w14:paraId="1894DD64">
            <w:pPr>
              <w:pStyle w:val="11"/>
              <w:bidi w:val="0"/>
              <w:rPr>
                <w:rFonts w:hint="eastAsia"/>
                <w:lang w:val="en-US" w:eastAsia="zh-CN"/>
              </w:rPr>
            </w:pPr>
            <w:r>
              <w:rPr>
                <w:rFonts w:hint="eastAsia"/>
                <w:lang w:val="en-US" w:eastAsia="zh-CN"/>
              </w:rPr>
              <w:t>表4-8 废气类别及污染治理设施信息表</w:t>
            </w:r>
          </w:p>
          <w:tbl>
            <w:tblPr>
              <w:tblStyle w:val="9"/>
              <w:tblW w:w="80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
              <w:gridCol w:w="765"/>
              <w:gridCol w:w="750"/>
              <w:gridCol w:w="825"/>
              <w:gridCol w:w="738"/>
              <w:gridCol w:w="738"/>
              <w:gridCol w:w="738"/>
              <w:gridCol w:w="738"/>
              <w:gridCol w:w="738"/>
              <w:gridCol w:w="675"/>
              <w:gridCol w:w="856"/>
            </w:tblGrid>
            <w:tr w14:paraId="493CA8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tcBorders>
                    <w:tl2br w:val="nil"/>
                    <w:tr2bl w:val="nil"/>
                  </w:tcBorders>
                  <w:vAlign w:val="center"/>
                </w:tcPr>
                <w:p w14:paraId="688E6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序号</w:t>
                  </w:r>
                </w:p>
              </w:tc>
              <w:tc>
                <w:tcPr>
                  <w:tcW w:w="765" w:type="dxa"/>
                  <w:vMerge w:val="restart"/>
                  <w:tcBorders>
                    <w:tl2br w:val="nil"/>
                    <w:tr2bl w:val="nil"/>
                  </w:tcBorders>
                  <w:vAlign w:val="center"/>
                </w:tcPr>
                <w:p w14:paraId="77D87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排放形式</w:t>
                  </w:r>
                </w:p>
              </w:tc>
              <w:tc>
                <w:tcPr>
                  <w:tcW w:w="750" w:type="dxa"/>
                  <w:vMerge w:val="restart"/>
                  <w:tcBorders>
                    <w:tl2br w:val="nil"/>
                    <w:tr2bl w:val="nil"/>
                  </w:tcBorders>
                  <w:vAlign w:val="center"/>
                </w:tcPr>
                <w:p w14:paraId="5B5DA6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废气类别</w:t>
                  </w:r>
                </w:p>
              </w:tc>
              <w:tc>
                <w:tcPr>
                  <w:tcW w:w="825" w:type="dxa"/>
                  <w:vMerge w:val="restart"/>
                  <w:tcBorders>
                    <w:tl2br w:val="nil"/>
                    <w:tr2bl w:val="nil"/>
                  </w:tcBorders>
                  <w:vAlign w:val="center"/>
                </w:tcPr>
                <w:p w14:paraId="2B9DAA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污染物种类</w:t>
                  </w:r>
                </w:p>
              </w:tc>
              <w:tc>
                <w:tcPr>
                  <w:tcW w:w="3690" w:type="dxa"/>
                  <w:gridSpan w:val="5"/>
                  <w:tcBorders>
                    <w:tl2br w:val="nil"/>
                    <w:tr2bl w:val="nil"/>
                  </w:tcBorders>
                  <w:vAlign w:val="center"/>
                </w:tcPr>
                <w:p w14:paraId="1406D8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污染治理设施</w:t>
                  </w:r>
                </w:p>
              </w:tc>
              <w:tc>
                <w:tcPr>
                  <w:tcW w:w="675" w:type="dxa"/>
                  <w:vMerge w:val="restart"/>
                  <w:tcBorders>
                    <w:tl2br w:val="nil"/>
                    <w:tr2bl w:val="nil"/>
                  </w:tcBorders>
                  <w:vAlign w:val="center"/>
                </w:tcPr>
                <w:p w14:paraId="39238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排放去向</w:t>
                  </w:r>
                </w:p>
              </w:tc>
              <w:tc>
                <w:tcPr>
                  <w:tcW w:w="856" w:type="dxa"/>
                  <w:vMerge w:val="restart"/>
                  <w:tcBorders>
                    <w:tl2br w:val="nil"/>
                    <w:tr2bl w:val="nil"/>
                  </w:tcBorders>
                  <w:vAlign w:val="center"/>
                </w:tcPr>
                <w:p w14:paraId="14329C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排放口编号</w:t>
                  </w:r>
                </w:p>
              </w:tc>
            </w:tr>
            <w:tr w14:paraId="38FF0E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500609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15CC4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4F80B8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vMerge w:val="continue"/>
                  <w:tcBorders>
                    <w:tl2br w:val="nil"/>
                    <w:tr2bl w:val="nil"/>
                  </w:tcBorders>
                  <w:vAlign w:val="center"/>
                </w:tcPr>
                <w:p w14:paraId="449FF6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tcBorders>
                    <w:tl2br w:val="nil"/>
                    <w:tr2bl w:val="nil"/>
                  </w:tcBorders>
                  <w:vAlign w:val="center"/>
                </w:tcPr>
                <w:p w14:paraId="211D52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名称</w:t>
                  </w:r>
                </w:p>
              </w:tc>
              <w:tc>
                <w:tcPr>
                  <w:tcW w:w="738" w:type="dxa"/>
                  <w:tcBorders>
                    <w:tl2br w:val="nil"/>
                    <w:tr2bl w:val="nil"/>
                  </w:tcBorders>
                  <w:vAlign w:val="center"/>
                </w:tcPr>
                <w:p w14:paraId="37A76F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风量m</w:t>
                  </w:r>
                  <w:r>
                    <w:rPr>
                      <w:rFonts w:hint="eastAsia"/>
                      <w:sz w:val="21"/>
                      <w:szCs w:val="21"/>
                      <w:vertAlign w:val="superscript"/>
                      <w:lang w:val="en-US" w:eastAsia="zh-CN"/>
                    </w:rPr>
                    <w:t>3</w:t>
                  </w:r>
                  <w:r>
                    <w:rPr>
                      <w:rFonts w:hint="eastAsia"/>
                      <w:sz w:val="21"/>
                      <w:szCs w:val="21"/>
                      <w:vertAlign w:val="baseline"/>
                      <w:lang w:val="en-US" w:eastAsia="zh-CN"/>
                    </w:rPr>
                    <w:t>/h</w:t>
                  </w:r>
                </w:p>
              </w:tc>
              <w:tc>
                <w:tcPr>
                  <w:tcW w:w="738" w:type="dxa"/>
                  <w:tcBorders>
                    <w:tl2br w:val="nil"/>
                    <w:tr2bl w:val="nil"/>
                  </w:tcBorders>
                  <w:vAlign w:val="center"/>
                </w:tcPr>
                <w:p w14:paraId="4C8ED2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收集效率%</w:t>
                  </w:r>
                </w:p>
              </w:tc>
              <w:tc>
                <w:tcPr>
                  <w:tcW w:w="738" w:type="dxa"/>
                  <w:tcBorders>
                    <w:tl2br w:val="nil"/>
                    <w:tr2bl w:val="nil"/>
                  </w:tcBorders>
                  <w:vAlign w:val="center"/>
                </w:tcPr>
                <w:p w14:paraId="15B03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治理工艺去除率%</w:t>
                  </w:r>
                </w:p>
              </w:tc>
              <w:tc>
                <w:tcPr>
                  <w:tcW w:w="738" w:type="dxa"/>
                  <w:tcBorders>
                    <w:tl2br w:val="nil"/>
                    <w:tr2bl w:val="nil"/>
                  </w:tcBorders>
                  <w:vAlign w:val="center"/>
                </w:tcPr>
                <w:p w14:paraId="6B3E5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是否为可行技术</w:t>
                  </w:r>
                </w:p>
              </w:tc>
              <w:tc>
                <w:tcPr>
                  <w:tcW w:w="675" w:type="dxa"/>
                  <w:vMerge w:val="continue"/>
                  <w:tcBorders>
                    <w:tl2br w:val="nil"/>
                    <w:tr2bl w:val="nil"/>
                  </w:tcBorders>
                  <w:vAlign w:val="center"/>
                </w:tcPr>
                <w:p w14:paraId="64471E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56" w:type="dxa"/>
                  <w:vMerge w:val="continue"/>
                  <w:tcBorders>
                    <w:tl2br w:val="nil"/>
                    <w:tr2bl w:val="nil"/>
                  </w:tcBorders>
                  <w:vAlign w:val="center"/>
                </w:tcPr>
                <w:p w14:paraId="28E45E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E4C34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tcBorders>
                    <w:tl2br w:val="nil"/>
                    <w:tr2bl w:val="nil"/>
                  </w:tcBorders>
                  <w:vAlign w:val="center"/>
                </w:tcPr>
                <w:p w14:paraId="11FE0E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765" w:type="dxa"/>
                  <w:vMerge w:val="restart"/>
                  <w:tcBorders>
                    <w:tl2br w:val="nil"/>
                    <w:tr2bl w:val="nil"/>
                  </w:tcBorders>
                  <w:vAlign w:val="center"/>
                </w:tcPr>
                <w:p w14:paraId="0C00A6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w:t>
                  </w:r>
                </w:p>
              </w:tc>
              <w:tc>
                <w:tcPr>
                  <w:tcW w:w="750" w:type="dxa"/>
                  <w:vMerge w:val="restart"/>
                  <w:tcBorders>
                    <w:tl2br w:val="nil"/>
                    <w:tr2bl w:val="nil"/>
                  </w:tcBorders>
                  <w:vAlign w:val="center"/>
                </w:tcPr>
                <w:p w14:paraId="598CF9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动物自身异味及粪便</w:t>
                  </w:r>
                </w:p>
              </w:tc>
              <w:tc>
                <w:tcPr>
                  <w:tcW w:w="825" w:type="dxa"/>
                  <w:tcBorders>
                    <w:tl2br w:val="nil"/>
                    <w:tr2bl w:val="nil"/>
                  </w:tcBorders>
                  <w:shd w:val="clear" w:color="auto" w:fill="auto"/>
                  <w:vAlign w:val="center"/>
                </w:tcPr>
                <w:p w14:paraId="45940F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38" w:type="dxa"/>
                  <w:vMerge w:val="restart"/>
                  <w:tcBorders>
                    <w:tl2br w:val="nil"/>
                    <w:tr2bl w:val="nil"/>
                  </w:tcBorders>
                  <w:vAlign w:val="center"/>
                </w:tcPr>
                <w:p w14:paraId="1976D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活性炭吸附装置、喷洒除臭剂</w:t>
                  </w:r>
                </w:p>
              </w:tc>
              <w:tc>
                <w:tcPr>
                  <w:tcW w:w="738" w:type="dxa"/>
                  <w:vMerge w:val="restart"/>
                  <w:tcBorders>
                    <w:tl2br w:val="nil"/>
                    <w:tr2bl w:val="nil"/>
                  </w:tcBorders>
                  <w:vAlign w:val="center"/>
                </w:tcPr>
                <w:p w14:paraId="05357F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w:t>
                  </w:r>
                </w:p>
              </w:tc>
              <w:tc>
                <w:tcPr>
                  <w:tcW w:w="738" w:type="dxa"/>
                  <w:vMerge w:val="restart"/>
                  <w:tcBorders>
                    <w:tl2br w:val="nil"/>
                    <w:tr2bl w:val="nil"/>
                  </w:tcBorders>
                  <w:vAlign w:val="center"/>
                </w:tcPr>
                <w:p w14:paraId="2252DD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w:t>
                  </w:r>
                </w:p>
              </w:tc>
              <w:tc>
                <w:tcPr>
                  <w:tcW w:w="738" w:type="dxa"/>
                  <w:vMerge w:val="restart"/>
                  <w:tcBorders>
                    <w:tl2br w:val="nil"/>
                    <w:tr2bl w:val="nil"/>
                  </w:tcBorders>
                  <w:vAlign w:val="center"/>
                </w:tcPr>
                <w:p w14:paraId="6C416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75</w:t>
                  </w:r>
                </w:p>
              </w:tc>
              <w:tc>
                <w:tcPr>
                  <w:tcW w:w="738" w:type="dxa"/>
                  <w:vMerge w:val="restart"/>
                  <w:tcBorders>
                    <w:tl2br w:val="nil"/>
                    <w:tr2bl w:val="nil"/>
                  </w:tcBorders>
                  <w:vAlign w:val="center"/>
                </w:tcPr>
                <w:p w14:paraId="3DBE85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w:t>
                  </w:r>
                </w:p>
              </w:tc>
              <w:tc>
                <w:tcPr>
                  <w:tcW w:w="675" w:type="dxa"/>
                  <w:vMerge w:val="restart"/>
                  <w:tcBorders>
                    <w:tl2br w:val="nil"/>
                    <w:tr2bl w:val="nil"/>
                  </w:tcBorders>
                  <w:vAlign w:val="center"/>
                </w:tcPr>
                <w:p w14:paraId="54E7C4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经3.4m高排风口排放</w:t>
                  </w:r>
                </w:p>
              </w:tc>
              <w:tc>
                <w:tcPr>
                  <w:tcW w:w="856" w:type="dxa"/>
                  <w:vMerge w:val="restart"/>
                  <w:tcBorders>
                    <w:tl2br w:val="nil"/>
                    <w:tr2bl w:val="nil"/>
                  </w:tcBorders>
                  <w:vAlign w:val="center"/>
                </w:tcPr>
                <w:p w14:paraId="6AE782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DA001</w:t>
                  </w:r>
                </w:p>
              </w:tc>
            </w:tr>
            <w:tr w14:paraId="453B59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0E371A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049FA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014870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tcBorders>
                    <w:tl2br w:val="nil"/>
                    <w:tr2bl w:val="nil"/>
                  </w:tcBorders>
                  <w:shd w:val="clear" w:color="auto" w:fill="auto"/>
                  <w:vAlign w:val="center"/>
                </w:tcPr>
                <w:p w14:paraId="3524D2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38" w:type="dxa"/>
                  <w:vMerge w:val="continue"/>
                  <w:tcBorders>
                    <w:tl2br w:val="nil"/>
                    <w:tr2bl w:val="nil"/>
                  </w:tcBorders>
                  <w:vAlign w:val="center"/>
                </w:tcPr>
                <w:p w14:paraId="415DD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0958C1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3A704C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7B2A6C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6C188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tcBorders>
                    <w:tl2br w:val="nil"/>
                    <w:tr2bl w:val="nil"/>
                  </w:tcBorders>
                  <w:vAlign w:val="center"/>
                </w:tcPr>
                <w:p w14:paraId="30AD4D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tcBorders>
                    <w:tl2br w:val="nil"/>
                    <w:tr2bl w:val="nil"/>
                  </w:tcBorders>
                  <w:vAlign w:val="center"/>
                </w:tcPr>
                <w:p w14:paraId="704530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41280D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0BF05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46EE72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558A1D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tcBorders>
                    <w:tl2br w:val="nil"/>
                    <w:tr2bl w:val="nil"/>
                  </w:tcBorders>
                  <w:shd w:val="clear" w:color="auto" w:fill="auto"/>
                  <w:vAlign w:val="center"/>
                </w:tcPr>
                <w:p w14:paraId="3CAB28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738" w:type="dxa"/>
                  <w:vMerge w:val="continue"/>
                  <w:tcBorders>
                    <w:tl2br w:val="nil"/>
                    <w:tr2bl w:val="nil"/>
                  </w:tcBorders>
                  <w:vAlign w:val="center"/>
                </w:tcPr>
                <w:p w14:paraId="3A1B0F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5B991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2F974A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2C0FF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33D1C1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tcBorders>
                    <w:tl2br w:val="nil"/>
                    <w:tr2bl w:val="nil"/>
                  </w:tcBorders>
                  <w:vAlign w:val="center"/>
                </w:tcPr>
                <w:p w14:paraId="2B671C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tcBorders>
                    <w:tl2br w:val="nil"/>
                    <w:tr2bl w:val="nil"/>
                  </w:tcBorders>
                  <w:vAlign w:val="center"/>
                </w:tcPr>
                <w:p w14:paraId="091F16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8CCA7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vAlign w:val="center"/>
                </w:tcPr>
                <w:p w14:paraId="1D84F5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765" w:type="dxa"/>
                  <w:vMerge w:val="restart"/>
                  <w:vAlign w:val="center"/>
                </w:tcPr>
                <w:p w14:paraId="70DD44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750" w:type="dxa"/>
                  <w:vMerge w:val="restart"/>
                  <w:vAlign w:val="center"/>
                </w:tcPr>
                <w:p w14:paraId="57FF49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动物自身异味及粪便</w:t>
                  </w:r>
                </w:p>
              </w:tc>
              <w:tc>
                <w:tcPr>
                  <w:tcW w:w="825" w:type="dxa"/>
                  <w:shd w:val="clear" w:color="auto" w:fill="auto"/>
                  <w:vAlign w:val="center"/>
                </w:tcPr>
                <w:p w14:paraId="0D161C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38" w:type="dxa"/>
                  <w:vMerge w:val="continue"/>
                  <w:vAlign w:val="center"/>
                </w:tcPr>
                <w:p w14:paraId="74C3B1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restart"/>
                  <w:vAlign w:val="center"/>
                </w:tcPr>
                <w:p w14:paraId="6740A8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7E5887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12299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06173A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是</w:t>
                  </w:r>
                </w:p>
              </w:tc>
              <w:tc>
                <w:tcPr>
                  <w:tcW w:w="675" w:type="dxa"/>
                  <w:vMerge w:val="restart"/>
                  <w:vAlign w:val="center"/>
                </w:tcPr>
                <w:p w14:paraId="347EAC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856" w:type="dxa"/>
                  <w:vMerge w:val="restart"/>
                  <w:vAlign w:val="center"/>
                </w:tcPr>
                <w:p w14:paraId="661D31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57E7B3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vAlign w:val="center"/>
                </w:tcPr>
                <w:p w14:paraId="2D5926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vAlign w:val="center"/>
                </w:tcPr>
                <w:p w14:paraId="4129B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vAlign w:val="center"/>
                </w:tcPr>
                <w:p w14:paraId="5C6D6A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shd w:val="clear" w:color="auto" w:fill="auto"/>
                  <w:vAlign w:val="center"/>
                </w:tcPr>
                <w:p w14:paraId="352D5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38" w:type="dxa"/>
                  <w:vMerge w:val="continue"/>
                  <w:vAlign w:val="center"/>
                </w:tcPr>
                <w:p w14:paraId="168BD5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05C57F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4FC71C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7E799B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37692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vAlign w:val="center"/>
                </w:tcPr>
                <w:p w14:paraId="0633B8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vAlign w:val="center"/>
                </w:tcPr>
                <w:p w14:paraId="32706B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0D560D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vAlign w:val="center"/>
                </w:tcPr>
                <w:p w14:paraId="0256F3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vAlign w:val="center"/>
                </w:tcPr>
                <w:p w14:paraId="2CCECF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vAlign w:val="center"/>
                </w:tcPr>
                <w:p w14:paraId="1F4F62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shd w:val="clear" w:color="auto" w:fill="auto"/>
                  <w:vAlign w:val="center"/>
                </w:tcPr>
                <w:p w14:paraId="6AFEF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738" w:type="dxa"/>
                  <w:vMerge w:val="continue"/>
                  <w:vAlign w:val="center"/>
                </w:tcPr>
                <w:p w14:paraId="3F2E98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10B59C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59F01A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2799B4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79D2A1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vAlign w:val="center"/>
                </w:tcPr>
                <w:p w14:paraId="6B69A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vAlign w:val="center"/>
                </w:tcPr>
                <w:p w14:paraId="07BEB1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4B3AE2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4" w:type="dxa"/>
                  <w:gridSpan w:val="11"/>
                  <w:vAlign w:val="center"/>
                </w:tcPr>
                <w:p w14:paraId="35929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注：低矮排气筒属于有组织排放，但在一定条件下也可造成与无组织排放相同的效果。因此本项目分析无组织排放。</w:t>
                  </w:r>
                </w:p>
              </w:tc>
            </w:tr>
          </w:tbl>
          <w:p w14:paraId="2232C217">
            <w:pPr>
              <w:pStyle w:val="11"/>
              <w:bidi w:val="0"/>
              <w:rPr>
                <w:rFonts w:hint="eastAsia"/>
                <w:lang w:val="en-US" w:eastAsia="zh-CN"/>
              </w:rPr>
            </w:pPr>
            <w:r>
              <w:rPr>
                <w:rFonts w:hint="eastAsia"/>
                <w:lang w:val="en-US" w:eastAsia="zh-CN"/>
              </w:rPr>
              <w:t>表4-9 废气排放口基本情况表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993"/>
              <w:gridCol w:w="919"/>
              <w:gridCol w:w="1470"/>
              <w:gridCol w:w="990"/>
              <w:gridCol w:w="1314"/>
            </w:tblGrid>
            <w:tr w14:paraId="3B2676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9" w:type="dxa"/>
                  <w:tcBorders>
                    <w:tl2br w:val="nil"/>
                    <w:tr2bl w:val="nil"/>
                  </w:tcBorders>
                  <w:vAlign w:val="center"/>
                </w:tcPr>
                <w:p w14:paraId="27AFD6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排放口编号</w:t>
                  </w:r>
                </w:p>
              </w:tc>
              <w:tc>
                <w:tcPr>
                  <w:tcW w:w="2115" w:type="dxa"/>
                  <w:tcBorders>
                    <w:tl2br w:val="nil"/>
                    <w:tr2bl w:val="nil"/>
                  </w:tcBorders>
                  <w:vAlign w:val="center"/>
                </w:tcPr>
                <w:p w14:paraId="23ED68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地理坐标</w:t>
                  </w:r>
                </w:p>
              </w:tc>
              <w:tc>
                <w:tcPr>
                  <w:tcW w:w="975" w:type="dxa"/>
                  <w:tcBorders>
                    <w:tl2br w:val="nil"/>
                    <w:tr2bl w:val="nil"/>
                  </w:tcBorders>
                  <w:vAlign w:val="center"/>
                </w:tcPr>
                <w:p w14:paraId="37C78E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高度m</w:t>
                  </w:r>
                </w:p>
              </w:tc>
              <w:tc>
                <w:tcPr>
                  <w:tcW w:w="1560" w:type="dxa"/>
                  <w:tcBorders>
                    <w:tl2br w:val="nil"/>
                    <w:tr2bl w:val="nil"/>
                  </w:tcBorders>
                  <w:vAlign w:val="center"/>
                </w:tcPr>
                <w:p w14:paraId="601D5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排气筒内径m</w:t>
                  </w:r>
                </w:p>
              </w:tc>
              <w:tc>
                <w:tcPr>
                  <w:tcW w:w="1050" w:type="dxa"/>
                  <w:tcBorders>
                    <w:tl2br w:val="nil"/>
                    <w:tr2bl w:val="nil"/>
                  </w:tcBorders>
                  <w:vAlign w:val="center"/>
                </w:tcPr>
                <w:p w14:paraId="3758A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温度℃</w:t>
                  </w:r>
                </w:p>
              </w:tc>
              <w:tc>
                <w:tcPr>
                  <w:tcW w:w="1394" w:type="dxa"/>
                  <w:tcBorders>
                    <w:tl2br w:val="nil"/>
                    <w:tr2bl w:val="nil"/>
                  </w:tcBorders>
                  <w:vAlign w:val="center"/>
                </w:tcPr>
                <w:p w14:paraId="271989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排放口类型</w:t>
                  </w:r>
                </w:p>
              </w:tc>
            </w:tr>
            <w:tr w14:paraId="7A6C05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9" w:type="dxa"/>
                  <w:tcBorders>
                    <w:tl2br w:val="nil"/>
                    <w:tr2bl w:val="nil"/>
                  </w:tcBorders>
                  <w:vAlign w:val="center"/>
                </w:tcPr>
                <w:p w14:paraId="36DA36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ascii="Times New Roman" w:hAnsi="Times New Roman" w:cs="Times New Roman"/>
                      <w:b w:val="0"/>
                      <w:bCs w:val="0"/>
                      <w:color w:val="auto"/>
                      <w:spacing w:val="-10"/>
                      <w:sz w:val="21"/>
                      <w:szCs w:val="21"/>
                      <w:highlight w:val="none"/>
                      <w:vertAlign w:val="baseline"/>
                      <w:lang w:val="en-US" w:eastAsia="zh-CN"/>
                    </w:rPr>
                    <w:t>DA001</w:t>
                  </w:r>
                </w:p>
              </w:tc>
              <w:tc>
                <w:tcPr>
                  <w:tcW w:w="2115" w:type="dxa"/>
                  <w:tcBorders>
                    <w:tl2br w:val="nil"/>
                    <w:tr2bl w:val="nil"/>
                  </w:tcBorders>
                  <w:vAlign w:val="center"/>
                </w:tcPr>
                <w:p w14:paraId="54F5DB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东经116°</w:t>
                  </w:r>
                  <w:r>
                    <w:rPr>
                      <w:rFonts w:hint="eastAsia" w:cs="Times New Roman"/>
                      <w:b w:val="0"/>
                      <w:bCs w:val="0"/>
                      <w:color w:val="auto"/>
                      <w:spacing w:val="-10"/>
                      <w:sz w:val="21"/>
                      <w:szCs w:val="21"/>
                      <w:highlight w:val="none"/>
                      <w:vertAlign w:val="baseline"/>
                      <w:lang w:val="en-US" w:eastAsia="zh-CN"/>
                    </w:rPr>
                    <w:t>17</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41.412</w:t>
                  </w:r>
                  <w:r>
                    <w:rPr>
                      <w:rFonts w:hint="default" w:ascii="Times New Roman" w:hAnsi="Times New Roman" w:cs="Times New Roman"/>
                      <w:b w:val="0"/>
                      <w:bCs w:val="0"/>
                      <w:color w:val="auto"/>
                      <w:spacing w:val="-10"/>
                      <w:sz w:val="21"/>
                      <w:szCs w:val="21"/>
                      <w:highlight w:val="none"/>
                      <w:vertAlign w:val="baseline"/>
                      <w:lang w:val="en-US" w:eastAsia="zh-CN"/>
                    </w:rPr>
                    <w:t>″</w:t>
                  </w:r>
                </w:p>
                <w:p w14:paraId="22C7FA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北纬39°</w:t>
                  </w:r>
                  <w:r>
                    <w:rPr>
                      <w:rFonts w:hint="eastAsia" w:cs="Times New Roman"/>
                      <w:b w:val="0"/>
                      <w:bCs w:val="0"/>
                      <w:color w:val="auto"/>
                      <w:spacing w:val="-10"/>
                      <w:sz w:val="21"/>
                      <w:szCs w:val="21"/>
                      <w:highlight w:val="none"/>
                      <w:vertAlign w:val="baseline"/>
                      <w:lang w:val="en-US" w:eastAsia="zh-CN"/>
                    </w:rPr>
                    <w:t>49</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55.896</w:t>
                  </w:r>
                  <w:r>
                    <w:rPr>
                      <w:rFonts w:hint="default" w:ascii="Times New Roman" w:hAnsi="Times New Roman" w:cs="Times New Roman"/>
                      <w:b w:val="0"/>
                      <w:bCs w:val="0"/>
                      <w:color w:val="auto"/>
                      <w:spacing w:val="-10"/>
                      <w:sz w:val="21"/>
                      <w:szCs w:val="21"/>
                      <w:highlight w:val="none"/>
                      <w:vertAlign w:val="baseline"/>
                      <w:lang w:val="en-US" w:eastAsia="zh-CN"/>
                    </w:rPr>
                    <w:t>″</w:t>
                  </w:r>
                </w:p>
              </w:tc>
              <w:tc>
                <w:tcPr>
                  <w:tcW w:w="975" w:type="dxa"/>
                  <w:tcBorders>
                    <w:tl2br w:val="nil"/>
                    <w:tr2bl w:val="nil"/>
                  </w:tcBorders>
                  <w:vAlign w:val="center"/>
                </w:tcPr>
                <w:p w14:paraId="0DFFA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3.4</w:t>
                  </w:r>
                </w:p>
              </w:tc>
              <w:tc>
                <w:tcPr>
                  <w:tcW w:w="1560" w:type="dxa"/>
                  <w:tcBorders>
                    <w:tl2br w:val="nil"/>
                    <w:tr2bl w:val="nil"/>
                  </w:tcBorders>
                  <w:vAlign w:val="center"/>
                </w:tcPr>
                <w:p w14:paraId="70523E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0.2</w:t>
                  </w:r>
                </w:p>
              </w:tc>
              <w:tc>
                <w:tcPr>
                  <w:tcW w:w="1050" w:type="dxa"/>
                  <w:tcBorders>
                    <w:tl2br w:val="nil"/>
                    <w:tr2bl w:val="nil"/>
                  </w:tcBorders>
                  <w:vAlign w:val="center"/>
                </w:tcPr>
                <w:p w14:paraId="2B554E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与外环境相同</w:t>
                  </w:r>
                </w:p>
              </w:tc>
              <w:tc>
                <w:tcPr>
                  <w:tcW w:w="1394" w:type="dxa"/>
                  <w:tcBorders>
                    <w:tl2br w:val="nil"/>
                    <w:tr2bl w:val="nil"/>
                  </w:tcBorders>
                  <w:vAlign w:val="center"/>
                </w:tcPr>
                <w:p w14:paraId="6254C2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一般排放口</w:t>
                  </w:r>
                </w:p>
              </w:tc>
            </w:tr>
          </w:tbl>
          <w:p w14:paraId="2F4A37F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（6）非正常情况排放</w:t>
            </w:r>
          </w:p>
          <w:p w14:paraId="1A08F42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废气非正常排放情况是指污染物治理设施停运进行检修，或者运行出现故障，达不到应有治理效率的情况下的污染物排放。本项目可能出现非正常排放的原因主要为排风系统故障、活性炭饱和或失活等情形，从而导致废气不经治理或未达到治理效果直接排放。出现该类情况时，污染物排放计算具体情况见下表。</w:t>
            </w:r>
          </w:p>
          <w:p w14:paraId="2E963E8A">
            <w:pPr>
              <w:pStyle w:val="11"/>
              <w:bidi w:val="0"/>
              <w:rPr>
                <w:rFonts w:hint="eastAsia"/>
                <w:lang w:val="en-US" w:eastAsia="zh-CN"/>
              </w:rPr>
            </w:pPr>
            <w:r>
              <w:rPr>
                <w:rFonts w:hint="eastAsia"/>
                <w:lang w:val="en-US" w:eastAsia="zh-CN"/>
              </w:rPr>
              <w:t>表4-10 项目废气非正常排放情况汇总表（臭气浓度无量纲）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695"/>
              <w:gridCol w:w="960"/>
              <w:gridCol w:w="1095"/>
              <w:gridCol w:w="1110"/>
              <w:gridCol w:w="2057"/>
            </w:tblGrid>
            <w:tr w14:paraId="5B47DE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restart"/>
                  <w:tcBorders>
                    <w:tl2br w:val="nil"/>
                    <w:tr2bl w:val="nil"/>
                  </w:tcBorders>
                  <w:vAlign w:val="center"/>
                </w:tcPr>
                <w:p w14:paraId="140536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695" w:type="dxa"/>
                  <w:vMerge w:val="restart"/>
                  <w:tcBorders>
                    <w:tl2br w:val="nil"/>
                    <w:tr2bl w:val="nil"/>
                  </w:tcBorders>
                  <w:vAlign w:val="center"/>
                </w:tcPr>
                <w:p w14:paraId="5AFAE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非正常排放情况</w:t>
                  </w:r>
                </w:p>
                <w:p w14:paraId="201D45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c>
                <w:tcPr>
                  <w:tcW w:w="3165" w:type="dxa"/>
                  <w:gridSpan w:val="3"/>
                  <w:tcBorders>
                    <w:tl2br w:val="nil"/>
                    <w:tr2bl w:val="nil"/>
                  </w:tcBorders>
                  <w:vAlign w:val="center"/>
                </w:tcPr>
                <w:p w14:paraId="192C42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057" w:type="dxa"/>
                  <w:vMerge w:val="restart"/>
                  <w:tcBorders>
                    <w:tl2br w:val="nil"/>
                    <w:tr2bl w:val="nil"/>
                  </w:tcBorders>
                  <w:vAlign w:val="center"/>
                </w:tcPr>
                <w:p w14:paraId="6014F7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129F49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continue"/>
                  <w:tcBorders>
                    <w:tl2br w:val="nil"/>
                    <w:tr2bl w:val="nil"/>
                  </w:tcBorders>
                  <w:vAlign w:val="center"/>
                </w:tcPr>
                <w:p w14:paraId="03084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95" w:type="dxa"/>
                  <w:vMerge w:val="continue"/>
                  <w:tcBorders>
                    <w:tl2br w:val="nil"/>
                    <w:tr2bl w:val="nil"/>
                  </w:tcBorders>
                  <w:vAlign w:val="center"/>
                </w:tcPr>
                <w:p w14:paraId="735994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60" w:type="dxa"/>
                  <w:tcBorders>
                    <w:tl2br w:val="nil"/>
                    <w:tr2bl w:val="nil"/>
                  </w:tcBorders>
                  <w:vAlign w:val="center"/>
                </w:tcPr>
                <w:p w14:paraId="5AC53E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95" w:type="dxa"/>
                  <w:tcBorders>
                    <w:tl2br w:val="nil"/>
                    <w:tr2bl w:val="nil"/>
                  </w:tcBorders>
                  <w:vAlign w:val="center"/>
                </w:tcPr>
                <w:p w14:paraId="75A32E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10" w:type="dxa"/>
                  <w:tcBorders>
                    <w:tl2br w:val="nil"/>
                    <w:tr2bl w:val="nil"/>
                  </w:tcBorders>
                  <w:vAlign w:val="center"/>
                </w:tcPr>
                <w:p w14:paraId="198992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057" w:type="dxa"/>
                  <w:vMerge w:val="continue"/>
                  <w:tcBorders>
                    <w:tl2br w:val="nil"/>
                    <w:tr2bl w:val="nil"/>
                  </w:tcBorders>
                  <w:vAlign w:val="center"/>
                </w:tcPr>
                <w:p w14:paraId="2253BF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3BFD4E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422324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695" w:type="dxa"/>
                  <w:tcBorders>
                    <w:tl2br w:val="nil"/>
                    <w:tr2bl w:val="nil"/>
                  </w:tcBorders>
                  <w:vAlign w:val="center"/>
                </w:tcPr>
                <w:p w14:paraId="53525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960" w:type="dxa"/>
                  <w:vMerge w:val="restart"/>
                  <w:tcBorders>
                    <w:tl2br w:val="nil"/>
                    <w:tr2bl w:val="nil"/>
                  </w:tcBorders>
                  <w:vAlign w:val="center"/>
                </w:tcPr>
                <w:p w14:paraId="2A433D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①排风系统故障；</w:t>
                  </w:r>
                </w:p>
                <w:p w14:paraId="40B2CE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②活性炭饱和或失活。</w:t>
                  </w:r>
                </w:p>
              </w:tc>
              <w:tc>
                <w:tcPr>
                  <w:tcW w:w="1095" w:type="dxa"/>
                  <w:vMerge w:val="restart"/>
                  <w:tcBorders>
                    <w:tl2br w:val="nil"/>
                    <w:tr2bl w:val="nil"/>
                  </w:tcBorders>
                  <w:vAlign w:val="center"/>
                </w:tcPr>
                <w:p w14:paraId="3C98FA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1次/a</w:t>
                  </w:r>
                </w:p>
              </w:tc>
              <w:tc>
                <w:tcPr>
                  <w:tcW w:w="1110" w:type="dxa"/>
                  <w:vMerge w:val="restart"/>
                  <w:tcBorders>
                    <w:tl2br w:val="nil"/>
                    <w:tr2bl w:val="nil"/>
                  </w:tcBorders>
                  <w:vAlign w:val="center"/>
                </w:tcPr>
                <w:p w14:paraId="30A771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2h/次</w:t>
                  </w:r>
                </w:p>
              </w:tc>
              <w:tc>
                <w:tcPr>
                  <w:tcW w:w="2057" w:type="dxa"/>
                  <w:vMerge w:val="restart"/>
                  <w:tcBorders>
                    <w:tl2br w:val="nil"/>
                    <w:tr2bl w:val="nil"/>
                  </w:tcBorders>
                  <w:vAlign w:val="center"/>
                </w:tcPr>
                <w:p w14:paraId="0D723A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①立即停止运行，待相关设备设施修复后再行开展经营活动；②定期检查保养相关设备及设施；③常备新鲜活性炭，并妥善保存；④加强管理，检查设施运行情况。</w:t>
                  </w:r>
                </w:p>
              </w:tc>
            </w:tr>
            <w:tr w14:paraId="774BD8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45FA91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695" w:type="dxa"/>
                  <w:tcBorders>
                    <w:tl2br w:val="nil"/>
                    <w:tr2bl w:val="nil"/>
                  </w:tcBorders>
                  <w:vAlign w:val="center"/>
                </w:tcPr>
                <w:p w14:paraId="06DFC1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p>
              </w:tc>
              <w:tc>
                <w:tcPr>
                  <w:tcW w:w="960" w:type="dxa"/>
                  <w:vMerge w:val="continue"/>
                  <w:tcBorders>
                    <w:tl2br w:val="nil"/>
                    <w:tr2bl w:val="nil"/>
                  </w:tcBorders>
                  <w:vAlign w:val="center"/>
                </w:tcPr>
                <w:p w14:paraId="57E90D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2525BF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3F398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71B5AE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76AAA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6AE2AB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1695" w:type="dxa"/>
                  <w:tcBorders>
                    <w:tl2br w:val="nil"/>
                    <w:tr2bl w:val="nil"/>
                  </w:tcBorders>
                  <w:vAlign w:val="center"/>
                </w:tcPr>
                <w:p w14:paraId="26E05D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25</w:t>
                  </w:r>
                </w:p>
              </w:tc>
              <w:tc>
                <w:tcPr>
                  <w:tcW w:w="960" w:type="dxa"/>
                  <w:vMerge w:val="continue"/>
                  <w:tcBorders>
                    <w:tl2br w:val="nil"/>
                    <w:tr2bl w:val="nil"/>
                  </w:tcBorders>
                  <w:vAlign w:val="center"/>
                </w:tcPr>
                <w:p w14:paraId="4D43BA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0584FA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3A5BC0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15E47B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096D2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5" w:type="dxa"/>
                  <w:gridSpan w:val="6"/>
                  <w:tcBorders>
                    <w:tl2br w:val="nil"/>
                    <w:tr2bl w:val="nil"/>
                  </w:tcBorders>
                  <w:vAlign w:val="center"/>
                </w:tcPr>
                <w:p w14:paraId="2B8D4E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非正常情况下的污染物排放浓度即为污染物产生浓度（未经治理），可以通过各污染物治理后的排放浓度与废气净化效率进行反推计算得出</w:t>
                  </w:r>
                </w:p>
              </w:tc>
            </w:tr>
          </w:tbl>
          <w:p w14:paraId="45F77862">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经分析计算，本项目建成后医院非正常情况存在时间较短，发生非正常情况时医院产生的废气对周围大气环境和大气环境保护目标影响较小。</w:t>
            </w:r>
          </w:p>
          <w:p w14:paraId="2A21D156">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为杜绝废气非正常排放情况的发生，本项目采取以下措施确保废气达标排放：</w:t>
            </w:r>
          </w:p>
          <w:p w14:paraId="6B1A27A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①建立健全环保管理机构，定期对医院管理人员和技术人员进行岗位培训，加强环保意识；</w:t>
            </w:r>
          </w:p>
          <w:p w14:paraId="1A39D97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②加强活性炭的巡检力度，及时发现并处理设备产生的隐患；</w:t>
            </w:r>
          </w:p>
          <w:p w14:paraId="7CD699C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③及时对室内及宠物笼等设施进行清理清洁，定期在各房间及走廊过道内喷洒除臭剂、空气清新剂等辅助措施；</w:t>
            </w:r>
          </w:p>
          <w:p w14:paraId="25AE637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④按计划定期更换活性炭，定期对设备进行维护保养。</w:t>
            </w:r>
          </w:p>
          <w:p w14:paraId="766F390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（7）废气监测计划</w:t>
            </w:r>
          </w:p>
          <w:p w14:paraId="12B5231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根据《排污单位自行监测技术指南 总则》（HJ 819-2017），项目废气监测计划见下表。</w:t>
            </w:r>
          </w:p>
          <w:p w14:paraId="50E48B88">
            <w:pPr>
              <w:pStyle w:val="11"/>
              <w:bidi w:val="0"/>
              <w:rPr>
                <w:rFonts w:hint="eastAsia"/>
                <w:lang w:val="en-US" w:eastAsia="zh-CN"/>
              </w:rPr>
            </w:pPr>
            <w:r>
              <w:rPr>
                <w:rFonts w:hint="eastAsia"/>
                <w:lang w:val="en-US" w:eastAsia="zh-CN"/>
              </w:rPr>
              <w:t>表4-11 项目废气监测计划</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305"/>
              <w:gridCol w:w="1256"/>
              <w:gridCol w:w="1525"/>
              <w:gridCol w:w="1020"/>
              <w:gridCol w:w="1720"/>
            </w:tblGrid>
            <w:tr w14:paraId="00D85E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197" w:type="dxa"/>
                  <w:vMerge w:val="restart"/>
                  <w:tcBorders>
                    <w:tl2br w:val="nil"/>
                    <w:tr2bl w:val="nil"/>
                  </w:tcBorders>
                  <w:vAlign w:val="center"/>
                </w:tcPr>
                <w:p w14:paraId="45A02E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1305" w:type="dxa"/>
                  <w:vMerge w:val="restart"/>
                  <w:tcBorders>
                    <w:tl2br w:val="nil"/>
                    <w:tr2bl w:val="nil"/>
                  </w:tcBorders>
                  <w:vAlign w:val="center"/>
                </w:tcPr>
                <w:p w14:paraId="6D93AF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256" w:type="dxa"/>
                  <w:vMerge w:val="restart"/>
                  <w:tcBorders>
                    <w:tl2br w:val="nil"/>
                    <w:tr2bl w:val="nil"/>
                  </w:tcBorders>
                  <w:vAlign w:val="center"/>
                </w:tcPr>
                <w:p w14:paraId="1187F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4265" w:type="dxa"/>
                  <w:gridSpan w:val="3"/>
                  <w:tcBorders>
                    <w:tl2br w:val="nil"/>
                    <w:tr2bl w:val="nil"/>
                  </w:tcBorders>
                  <w:vAlign w:val="center"/>
                </w:tcPr>
                <w:p w14:paraId="4BFBA9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4B9D28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6E285D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7355BA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vMerge w:val="continue"/>
                  <w:tcBorders>
                    <w:tl2br w:val="nil"/>
                    <w:tr2bl w:val="nil"/>
                  </w:tcBorders>
                  <w:vAlign w:val="center"/>
                </w:tcPr>
                <w:p w14:paraId="56F05E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525" w:type="dxa"/>
                  <w:tcBorders>
                    <w:tl2br w:val="nil"/>
                    <w:tr2bl w:val="nil"/>
                  </w:tcBorders>
                  <w:vAlign w:val="center"/>
                </w:tcPr>
                <w:p w14:paraId="49ECB4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1020" w:type="dxa"/>
                  <w:tcBorders>
                    <w:tl2br w:val="nil"/>
                    <w:tr2bl w:val="nil"/>
                  </w:tcBorders>
                  <w:vAlign w:val="center"/>
                </w:tcPr>
                <w:p w14:paraId="1A0408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1720" w:type="dxa"/>
                  <w:tcBorders>
                    <w:tl2br w:val="nil"/>
                    <w:tr2bl w:val="nil"/>
                  </w:tcBorders>
                  <w:vAlign w:val="center"/>
                </w:tcPr>
                <w:p w14:paraId="1FF60D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464BD5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restart"/>
                  <w:tcBorders>
                    <w:tl2br w:val="nil"/>
                    <w:tr2bl w:val="nil"/>
                  </w:tcBorders>
                  <w:vAlign w:val="center"/>
                </w:tcPr>
                <w:p w14:paraId="66912A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动物异味</w:t>
                  </w:r>
                </w:p>
              </w:tc>
              <w:tc>
                <w:tcPr>
                  <w:tcW w:w="1305" w:type="dxa"/>
                  <w:vMerge w:val="restart"/>
                  <w:tcBorders>
                    <w:tl2br w:val="nil"/>
                    <w:tr2bl w:val="nil"/>
                  </w:tcBorders>
                  <w:vAlign w:val="center"/>
                </w:tcPr>
                <w:p w14:paraId="341095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有组织排放</w:t>
                  </w:r>
                </w:p>
              </w:tc>
              <w:tc>
                <w:tcPr>
                  <w:tcW w:w="1256" w:type="dxa"/>
                  <w:tcBorders>
                    <w:tl2br w:val="nil"/>
                    <w:tr2bl w:val="nil"/>
                  </w:tcBorders>
                  <w:shd w:val="clear" w:color="auto" w:fill="auto"/>
                  <w:vAlign w:val="center"/>
                </w:tcPr>
                <w:p w14:paraId="548F3B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525" w:type="dxa"/>
                  <w:vMerge w:val="restart"/>
                  <w:tcBorders>
                    <w:tl2br w:val="nil"/>
                    <w:tr2bl w:val="nil"/>
                  </w:tcBorders>
                  <w:vAlign w:val="center"/>
                </w:tcPr>
                <w:p w14:paraId="7DA4F9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DA001</w:t>
                  </w:r>
                </w:p>
              </w:tc>
              <w:tc>
                <w:tcPr>
                  <w:tcW w:w="1020" w:type="dxa"/>
                  <w:vMerge w:val="restart"/>
                  <w:tcBorders>
                    <w:tl2br w:val="nil"/>
                    <w:tr2bl w:val="nil"/>
                  </w:tcBorders>
                  <w:vAlign w:val="center"/>
                </w:tcPr>
                <w:p w14:paraId="71F5F4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1720" w:type="dxa"/>
                  <w:vMerge w:val="restart"/>
                  <w:tcBorders>
                    <w:tl2br w:val="nil"/>
                    <w:tr2bl w:val="nil"/>
                  </w:tcBorders>
                  <w:vAlign w:val="center"/>
                </w:tcPr>
                <w:p w14:paraId="5342A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委托具有CMA相关资质的第三方机构监测</w:t>
                  </w:r>
                </w:p>
              </w:tc>
            </w:tr>
            <w:tr w14:paraId="79620B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7935BB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vMerge w:val="continue"/>
                  <w:tcBorders>
                    <w:tl2br w:val="nil"/>
                    <w:tr2bl w:val="nil"/>
                  </w:tcBorders>
                  <w:vAlign w:val="center"/>
                </w:tcPr>
                <w:p w14:paraId="7834BB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56" w:type="dxa"/>
                  <w:tcBorders>
                    <w:tl2br w:val="nil"/>
                    <w:tr2bl w:val="nil"/>
                  </w:tcBorders>
                  <w:shd w:val="clear" w:color="auto" w:fill="auto"/>
                  <w:vAlign w:val="center"/>
                </w:tcPr>
                <w:p w14:paraId="1E53C2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525" w:type="dxa"/>
                  <w:vMerge w:val="continue"/>
                  <w:tcBorders>
                    <w:tl2br w:val="nil"/>
                    <w:tr2bl w:val="nil"/>
                  </w:tcBorders>
                  <w:vAlign w:val="center"/>
                </w:tcPr>
                <w:p w14:paraId="587764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20" w:type="dxa"/>
                  <w:vMerge w:val="continue"/>
                  <w:tcBorders>
                    <w:tl2br w:val="nil"/>
                    <w:tr2bl w:val="nil"/>
                  </w:tcBorders>
                  <w:vAlign w:val="center"/>
                </w:tcPr>
                <w:p w14:paraId="5956FB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20" w:type="dxa"/>
                  <w:vMerge w:val="continue"/>
                  <w:tcBorders>
                    <w:tl2br w:val="nil"/>
                    <w:tr2bl w:val="nil"/>
                  </w:tcBorders>
                  <w:vAlign w:val="center"/>
                </w:tcPr>
                <w:p w14:paraId="50AEAA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D7CF9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7D0033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vMerge w:val="continue"/>
                  <w:tcBorders>
                    <w:tl2br w:val="nil"/>
                    <w:tr2bl w:val="nil"/>
                  </w:tcBorders>
                  <w:vAlign w:val="center"/>
                </w:tcPr>
                <w:p w14:paraId="6A0FA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56" w:type="dxa"/>
                  <w:tcBorders>
                    <w:tl2br w:val="nil"/>
                    <w:tr2bl w:val="nil"/>
                  </w:tcBorders>
                  <w:shd w:val="clear" w:color="auto" w:fill="auto"/>
                  <w:vAlign w:val="center"/>
                </w:tcPr>
                <w:p w14:paraId="78506B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1525" w:type="dxa"/>
                  <w:vMerge w:val="continue"/>
                  <w:tcBorders>
                    <w:tl2br w:val="nil"/>
                    <w:tr2bl w:val="nil"/>
                  </w:tcBorders>
                  <w:vAlign w:val="center"/>
                </w:tcPr>
                <w:p w14:paraId="2D5D72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20" w:type="dxa"/>
                  <w:vMerge w:val="continue"/>
                  <w:tcBorders>
                    <w:tl2br w:val="nil"/>
                    <w:tr2bl w:val="nil"/>
                  </w:tcBorders>
                  <w:vAlign w:val="center"/>
                </w:tcPr>
                <w:p w14:paraId="38C32E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20" w:type="dxa"/>
                  <w:vMerge w:val="continue"/>
                  <w:tcBorders>
                    <w:tl2br w:val="nil"/>
                    <w:tr2bl w:val="nil"/>
                  </w:tcBorders>
                  <w:vAlign w:val="center"/>
                </w:tcPr>
                <w:p w14:paraId="350659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37FB8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535511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restart"/>
                  <w:tcBorders>
                    <w:tl2br w:val="nil"/>
                    <w:tr2bl w:val="nil"/>
                  </w:tcBorders>
                  <w:vAlign w:val="center"/>
                </w:tcPr>
                <w:p w14:paraId="351FA8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无组织排放</w:t>
                  </w:r>
                </w:p>
              </w:tc>
              <w:tc>
                <w:tcPr>
                  <w:tcW w:w="1256" w:type="dxa"/>
                  <w:tcBorders>
                    <w:tl2br w:val="nil"/>
                    <w:tr2bl w:val="nil"/>
                  </w:tcBorders>
                  <w:vAlign w:val="center"/>
                </w:tcPr>
                <w:p w14:paraId="4D49FD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525" w:type="dxa"/>
                  <w:vMerge w:val="restart"/>
                  <w:tcBorders>
                    <w:tl2br w:val="nil"/>
                    <w:tr2bl w:val="nil"/>
                  </w:tcBorders>
                  <w:vAlign w:val="center"/>
                </w:tcPr>
                <w:p w14:paraId="3A9F19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单位周界无组织排放监控点</w:t>
                  </w:r>
                </w:p>
              </w:tc>
              <w:tc>
                <w:tcPr>
                  <w:tcW w:w="1020" w:type="dxa"/>
                  <w:vMerge w:val="restart"/>
                  <w:tcBorders>
                    <w:tl2br w:val="nil"/>
                    <w:tr2bl w:val="nil"/>
                  </w:tcBorders>
                  <w:vAlign w:val="center"/>
                </w:tcPr>
                <w:p w14:paraId="394AAD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1720" w:type="dxa"/>
                  <w:vMerge w:val="continue"/>
                  <w:tcBorders>
                    <w:tl2br w:val="nil"/>
                    <w:tr2bl w:val="nil"/>
                  </w:tcBorders>
                  <w:vAlign w:val="center"/>
                </w:tcPr>
                <w:p w14:paraId="6CC21D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D50E2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7AE690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313C87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tcBorders>
                    <w:tl2br w:val="nil"/>
                    <w:tr2bl w:val="nil"/>
                  </w:tcBorders>
                  <w:vAlign w:val="center"/>
                </w:tcPr>
                <w:p w14:paraId="6E61FC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525" w:type="dxa"/>
                  <w:vMerge w:val="continue"/>
                  <w:tcBorders>
                    <w:tl2br w:val="nil"/>
                    <w:tr2bl w:val="nil"/>
                  </w:tcBorders>
                  <w:vAlign w:val="center"/>
                </w:tcPr>
                <w:p w14:paraId="168405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20" w:type="dxa"/>
                  <w:vMerge w:val="continue"/>
                  <w:tcBorders>
                    <w:tl2br w:val="nil"/>
                    <w:tr2bl w:val="nil"/>
                  </w:tcBorders>
                  <w:vAlign w:val="center"/>
                </w:tcPr>
                <w:p w14:paraId="6A29C0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20" w:type="dxa"/>
                  <w:vMerge w:val="continue"/>
                  <w:tcBorders>
                    <w:tl2br w:val="nil"/>
                    <w:tr2bl w:val="nil"/>
                  </w:tcBorders>
                  <w:vAlign w:val="center"/>
                </w:tcPr>
                <w:p w14:paraId="0A328A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C4790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569FDA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4C161D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tcBorders>
                    <w:tl2br w:val="nil"/>
                    <w:tr2bl w:val="nil"/>
                  </w:tcBorders>
                  <w:vAlign w:val="center"/>
                </w:tcPr>
                <w:p w14:paraId="43120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1525" w:type="dxa"/>
                  <w:vMerge w:val="continue"/>
                  <w:tcBorders>
                    <w:tl2br w:val="nil"/>
                    <w:tr2bl w:val="nil"/>
                  </w:tcBorders>
                  <w:vAlign w:val="center"/>
                </w:tcPr>
                <w:p w14:paraId="5B112C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20" w:type="dxa"/>
                  <w:vMerge w:val="continue"/>
                  <w:tcBorders>
                    <w:tl2br w:val="nil"/>
                    <w:tr2bl w:val="nil"/>
                  </w:tcBorders>
                  <w:vAlign w:val="center"/>
                </w:tcPr>
                <w:p w14:paraId="404CC6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20" w:type="dxa"/>
                  <w:vMerge w:val="continue"/>
                  <w:tcBorders>
                    <w:tl2br w:val="nil"/>
                    <w:tr2bl w:val="nil"/>
                  </w:tcBorders>
                  <w:vAlign w:val="center"/>
                </w:tcPr>
                <w:p w14:paraId="5E5874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31CF0E5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2、水环境影响分析</w:t>
            </w:r>
          </w:p>
          <w:p w14:paraId="578624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（1）废水源强核算</w:t>
            </w:r>
          </w:p>
          <w:p w14:paraId="15B4325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本项目总排水量为0.62m</w:t>
            </w:r>
            <w:r>
              <w:rPr>
                <w:rFonts w:hint="eastAsia"/>
                <w:vertAlign w:val="superscript"/>
                <w:lang w:val="en-US" w:eastAsia="zh-CN"/>
              </w:rPr>
              <w:t>3</w:t>
            </w:r>
            <w:r>
              <w:rPr>
                <w:rFonts w:hint="eastAsia"/>
                <w:lang w:val="en-US" w:eastAsia="zh-CN"/>
              </w:rPr>
              <w:t>/d、163.94m</w:t>
            </w:r>
            <w:r>
              <w:rPr>
                <w:rFonts w:hint="eastAsia"/>
                <w:vertAlign w:val="superscript"/>
                <w:lang w:val="en-US" w:eastAsia="zh-CN"/>
              </w:rPr>
              <w:t>3</w:t>
            </w:r>
            <w:r>
              <w:rPr>
                <w:rFonts w:hint="eastAsia"/>
                <w:lang w:val="en-US" w:eastAsia="zh-CN"/>
              </w:rPr>
              <w:t>/a，其中动物诊疗废水排水量为0.08m</w:t>
            </w:r>
            <w:r>
              <w:rPr>
                <w:rFonts w:hint="eastAsia"/>
                <w:vertAlign w:val="superscript"/>
                <w:lang w:val="en-US" w:eastAsia="zh-CN"/>
              </w:rPr>
              <w:t>3</w:t>
            </w:r>
            <w:r>
              <w:rPr>
                <w:rFonts w:hint="eastAsia"/>
                <w:lang w:val="en-US" w:eastAsia="zh-CN"/>
              </w:rPr>
              <w:t>/d、21.38m</w:t>
            </w:r>
            <w:r>
              <w:rPr>
                <w:rFonts w:hint="eastAsia"/>
                <w:vertAlign w:val="superscript"/>
                <w:lang w:val="en-US" w:eastAsia="zh-CN"/>
              </w:rPr>
              <w:t>3</w:t>
            </w:r>
            <w:r>
              <w:rPr>
                <w:rFonts w:hint="eastAsia"/>
                <w:lang w:val="en-US" w:eastAsia="zh-CN"/>
              </w:rPr>
              <w:t>/a，美容洗浴废水排水量为0.32m</w:t>
            </w:r>
            <w:r>
              <w:rPr>
                <w:rFonts w:hint="eastAsia"/>
                <w:vertAlign w:val="superscript"/>
                <w:lang w:val="en-US" w:eastAsia="zh-CN"/>
              </w:rPr>
              <w:t>3</w:t>
            </w:r>
            <w:r>
              <w:rPr>
                <w:rFonts w:hint="eastAsia"/>
                <w:lang w:val="en-US" w:eastAsia="zh-CN"/>
              </w:rPr>
              <w:t>/d、85.54m</w:t>
            </w:r>
            <w:r>
              <w:rPr>
                <w:rFonts w:hint="eastAsia"/>
                <w:vertAlign w:val="superscript"/>
                <w:lang w:val="en-US" w:eastAsia="zh-CN"/>
              </w:rPr>
              <w:t>3</w:t>
            </w:r>
            <w:r>
              <w:rPr>
                <w:rFonts w:hint="eastAsia"/>
                <w:lang w:val="en-US" w:eastAsia="zh-CN"/>
              </w:rPr>
              <w:t>/a，生活废水排水量为0.22m</w:t>
            </w:r>
            <w:r>
              <w:rPr>
                <w:rFonts w:hint="eastAsia"/>
                <w:vertAlign w:val="superscript"/>
                <w:lang w:val="en-US" w:eastAsia="zh-CN"/>
              </w:rPr>
              <w:t>3</w:t>
            </w:r>
            <w:r>
              <w:rPr>
                <w:rFonts w:hint="eastAsia"/>
                <w:lang w:val="en-US" w:eastAsia="zh-CN"/>
              </w:rPr>
              <w:t>/d、57.02m</w:t>
            </w:r>
            <w:r>
              <w:rPr>
                <w:rFonts w:hint="eastAsia"/>
                <w:vertAlign w:val="superscript"/>
                <w:lang w:val="en-US" w:eastAsia="zh-CN"/>
              </w:rPr>
              <w:t>3</w:t>
            </w:r>
            <w:r>
              <w:rPr>
                <w:rFonts w:hint="eastAsia"/>
                <w:lang w:val="en-US" w:eastAsia="zh-CN"/>
              </w:rPr>
              <w:t>/a。动物诊疗废水和美容洗浴废水经污水处理设施消毒处理后，同生活废水一同排入所在建筑防渗化粪池进行预处理，最终经市政污水管网排入北京中设水处理有限公司良乡污水处理厂。</w:t>
            </w:r>
          </w:p>
          <w:p w14:paraId="472D13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项目生活污水水质参照《水工业工程设计手册建筑和小区给水排水》中，P650表12-41公共建筑生活污水水质的数据。废水中主要污染物浓度变化范围：CODcr：350~450mg/L、BOD</w:t>
            </w:r>
            <w:r>
              <w:rPr>
                <w:rFonts w:hint="eastAsia"/>
                <w:vertAlign w:val="subscript"/>
                <w:lang w:val="en-US" w:eastAsia="zh-CN"/>
              </w:rPr>
              <w:t>5</w:t>
            </w:r>
            <w:r>
              <w:rPr>
                <w:rFonts w:hint="eastAsia"/>
                <w:lang w:val="en-US" w:eastAsia="zh-CN"/>
              </w:rPr>
              <w:t>：180~250mg/L、SS：200~300mg/L、氨氮：35~40mg/L，均取最大值。粪大肠菌群参考《酶底物法测定东莞市地下水、地表水、生活污水中粪大肠菌群、总大肠菌群的研究》（广东化工2021年第9期第48卷，刘文亮，东莞市环境监测中心站，广东东莞523000）中生活污水实际样品粪大肠菌群检测结果在1400~1700MPN/L，本项目取最大值。</w:t>
            </w:r>
          </w:p>
          <w:p w14:paraId="6FFEB3E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动物诊疗废水、美容洗浴废水参照《医院污水处理工程技术规范》（HJ2029-2013）中医疗废水浓度范围为：pH：6.5~9（无量纲）、COD：150~300mg/L、BOD</w:t>
            </w:r>
            <w:r>
              <w:rPr>
                <w:rFonts w:hint="eastAsia"/>
                <w:vertAlign w:val="subscript"/>
                <w:lang w:val="en-US" w:eastAsia="zh-CN"/>
              </w:rPr>
              <w:t>5</w:t>
            </w:r>
            <w:r>
              <w:rPr>
                <w:rFonts w:hint="eastAsia"/>
                <w:lang w:val="en-US" w:eastAsia="zh-CN"/>
              </w:rPr>
              <w:t>：80~150mg/L、SS：40~120mg/L、粪大肠菌群：1.0×10</w:t>
            </w:r>
            <w:r>
              <w:rPr>
                <w:rFonts w:hint="eastAsia"/>
                <w:vertAlign w:val="superscript"/>
                <w:lang w:val="en-US" w:eastAsia="zh-CN"/>
              </w:rPr>
              <w:t>6</w:t>
            </w:r>
            <w:r>
              <w:rPr>
                <w:rFonts w:hint="eastAsia"/>
                <w:lang w:val="en-US" w:eastAsia="zh-CN"/>
              </w:rPr>
              <w:t>~3.0×10</w:t>
            </w:r>
            <w:r>
              <w:rPr>
                <w:rFonts w:hint="eastAsia"/>
                <w:vertAlign w:val="superscript"/>
                <w:lang w:val="en-US" w:eastAsia="zh-CN"/>
              </w:rPr>
              <w:t>8</w:t>
            </w:r>
            <w:r>
              <w:rPr>
                <w:rFonts w:hint="eastAsia"/>
                <w:lang w:val="en-US" w:eastAsia="zh-CN"/>
              </w:rPr>
              <w:t>MPN/L、氨氮：20~45mg/L。本项目均按高限取值，即诊疗废水、美容洗浴废水中主要污染物产生浓度是CODcr：300mg/L、BOD</w:t>
            </w:r>
            <w:r>
              <w:rPr>
                <w:rFonts w:hint="eastAsia"/>
                <w:vertAlign w:val="subscript"/>
                <w:lang w:val="en-US" w:eastAsia="zh-CN"/>
              </w:rPr>
              <w:t>5</w:t>
            </w:r>
            <w:r>
              <w:rPr>
                <w:rFonts w:hint="eastAsia"/>
                <w:lang w:val="en-US" w:eastAsia="zh-CN"/>
              </w:rPr>
              <w:t>：150mg/L、SS：120mg/L、氨氮：45mg/L、粪大肠菌群3.0×10</w:t>
            </w:r>
            <w:r>
              <w:rPr>
                <w:rFonts w:hint="eastAsia"/>
                <w:vertAlign w:val="superscript"/>
                <w:lang w:val="en-US" w:eastAsia="zh-CN"/>
              </w:rPr>
              <w:t>8</w:t>
            </w:r>
            <w:r>
              <w:rPr>
                <w:rFonts w:hint="eastAsia"/>
                <w:lang w:val="en-US" w:eastAsia="zh-CN"/>
              </w:rPr>
              <w:t>MPN/L。</w:t>
            </w:r>
          </w:p>
          <w:p w14:paraId="721F2AB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3C2E623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本项目安装1套污水处理设备对动物诊疗废水、美容洗浴废水进行消毒处理，设备位于化验室，设备日处理能力均为1m</w:t>
            </w:r>
            <w:r>
              <w:rPr>
                <w:rFonts w:hint="eastAsia"/>
                <w:vertAlign w:val="superscript"/>
                <w:lang w:val="en-US" w:eastAsia="zh-CN"/>
              </w:rPr>
              <w:t>3</w:t>
            </w:r>
            <w:r>
              <w:rPr>
                <w:rFonts w:hint="eastAsia"/>
                <w:lang w:val="en-US" w:eastAsia="zh-CN"/>
              </w:rPr>
              <w:t>/d，采用次氯酸钠消毒工艺。污水处理流程为：</w:t>
            </w:r>
          </w:p>
          <w:p w14:paraId="57C7416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drawing>
                <wp:inline distT="0" distB="0" distL="114300" distR="114300">
                  <wp:extent cx="3959860" cy="1913255"/>
                  <wp:effectExtent l="0" t="0" r="0" b="0"/>
                  <wp:docPr id="1"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wps"/>
                          <pic:cNvPicPr>
                            <a:picLocks noChangeAspect="1"/>
                          </pic:cNvPicPr>
                        </pic:nvPicPr>
                        <pic:blipFill>
                          <a:blip r:embed="rId20"/>
                          <a:stretch>
                            <a:fillRect/>
                          </a:stretch>
                        </pic:blipFill>
                        <pic:spPr>
                          <a:xfrm>
                            <a:off x="0" y="0"/>
                            <a:ext cx="3959860" cy="1913255"/>
                          </a:xfrm>
                          <a:prstGeom prst="rect">
                            <a:avLst/>
                          </a:prstGeom>
                        </pic:spPr>
                      </pic:pic>
                    </a:graphicData>
                  </a:graphic>
                </wp:inline>
              </w:drawing>
            </w:r>
          </w:p>
          <w:p w14:paraId="3DB68D1A">
            <w:pPr>
              <w:pStyle w:val="11"/>
              <w:bidi w:val="0"/>
              <w:rPr>
                <w:rFonts w:hint="default"/>
                <w:lang w:val="en-US" w:eastAsia="zh-CN"/>
              </w:rPr>
            </w:pPr>
            <w:r>
              <w:rPr>
                <w:rFonts w:hint="eastAsia"/>
                <w:lang w:val="en-US" w:eastAsia="zh-CN"/>
              </w:rPr>
              <w:t>图4-1 污水处理设备处理工艺示意图</w:t>
            </w:r>
          </w:p>
          <w:p w14:paraId="1529692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废水汇入调节池，经停留时间1小时后，再自流至消毒池。消毒单元采用手工定时投放次氯酸钠消毒药剂，废水与消毒剂充分混合反应，停留时间为1小时，可保证消毒效果。</w:t>
            </w:r>
          </w:p>
          <w:p w14:paraId="03D4C05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（3）环境影响分析</w:t>
            </w:r>
          </w:p>
          <w:p w14:paraId="5AE8AE1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1）废水排放分析</w:t>
            </w:r>
          </w:p>
          <w:p w14:paraId="698EE46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次氯酸钠和二氧化氯消毒液对城市污水消毒效果的研究》，10mg/L次氯酸钠（以有效氯计）接触20min对粪大肠菌群的去除率为99.999%。化粪池预处理效率参照《化粪池原理及水污染物去除率》中数据，化粪池对CODcr的处理效率约为15%，BOD</w:t>
            </w:r>
            <w:r>
              <w:rPr>
                <w:rFonts w:hint="eastAsia"/>
                <w:vertAlign w:val="subscript"/>
                <w:lang w:val="en-US" w:eastAsia="zh-CN"/>
              </w:rPr>
              <w:t>5</w:t>
            </w:r>
            <w:r>
              <w:rPr>
                <w:rFonts w:hint="eastAsia"/>
                <w:lang w:val="en-US" w:eastAsia="zh-CN"/>
              </w:rPr>
              <w:t>的处理效率约为9%，SS的处理效率约为30%，氨氮的处理效率约为3%。</w:t>
            </w:r>
          </w:p>
          <w:p w14:paraId="029AEA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项目动物诊疗废水、美容洗浴废水经污水处理设备处理前后，与生活污水一同排入集中化粪池，经化粪池预处理前后的水质情况、各项污染物的产生量、排放量，见下表。</w:t>
            </w:r>
          </w:p>
          <w:p w14:paraId="71AB0172">
            <w:pPr>
              <w:pStyle w:val="11"/>
              <w:bidi w:val="0"/>
              <w:rPr>
                <w:rFonts w:hint="default"/>
                <w:lang w:val="en-US" w:eastAsia="zh-CN"/>
              </w:rPr>
            </w:pPr>
            <w:r>
              <w:rPr>
                <w:rFonts w:hint="eastAsia"/>
                <w:lang w:val="en-US" w:eastAsia="zh-CN"/>
              </w:rPr>
              <w:t>表4-12 项目水污染物产生量排放量一览表</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927"/>
              <w:gridCol w:w="927"/>
              <w:gridCol w:w="927"/>
              <w:gridCol w:w="927"/>
              <w:gridCol w:w="927"/>
              <w:gridCol w:w="1304"/>
            </w:tblGrid>
            <w:tr w14:paraId="1D2185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E3A4B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指标</w:t>
                  </w:r>
                </w:p>
              </w:tc>
              <w:tc>
                <w:tcPr>
                  <w:tcW w:w="927" w:type="dxa"/>
                  <w:tcBorders>
                    <w:tl2br w:val="nil"/>
                    <w:tr2bl w:val="nil"/>
                  </w:tcBorders>
                  <w:vAlign w:val="center"/>
                </w:tcPr>
                <w:p w14:paraId="0EFFA3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CODcr</w:t>
                  </w:r>
                </w:p>
              </w:tc>
              <w:tc>
                <w:tcPr>
                  <w:tcW w:w="927" w:type="dxa"/>
                  <w:tcBorders>
                    <w:tl2br w:val="nil"/>
                    <w:tr2bl w:val="nil"/>
                  </w:tcBorders>
                  <w:vAlign w:val="center"/>
                </w:tcPr>
                <w:p w14:paraId="3CB258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BOD</w:t>
                  </w:r>
                  <w:r>
                    <w:rPr>
                      <w:rFonts w:hint="eastAsia"/>
                      <w:b/>
                      <w:bCs/>
                      <w:sz w:val="21"/>
                      <w:szCs w:val="21"/>
                      <w:vertAlign w:val="subscript"/>
                      <w:lang w:val="en-US" w:eastAsia="zh-CN"/>
                    </w:rPr>
                    <w:t>5</w:t>
                  </w:r>
                </w:p>
              </w:tc>
              <w:tc>
                <w:tcPr>
                  <w:tcW w:w="927" w:type="dxa"/>
                  <w:tcBorders>
                    <w:tl2br w:val="nil"/>
                    <w:tr2bl w:val="nil"/>
                  </w:tcBorders>
                  <w:vAlign w:val="center"/>
                </w:tcPr>
                <w:p w14:paraId="08A518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NH</w:t>
                  </w:r>
                  <w:r>
                    <w:rPr>
                      <w:rFonts w:hint="eastAsia"/>
                      <w:b/>
                      <w:bCs/>
                      <w:sz w:val="21"/>
                      <w:szCs w:val="21"/>
                      <w:vertAlign w:val="subscript"/>
                      <w:lang w:val="en-US" w:eastAsia="zh-CN"/>
                    </w:rPr>
                    <w:t>3</w:t>
                  </w:r>
                  <w:r>
                    <w:rPr>
                      <w:rFonts w:hint="eastAsia"/>
                      <w:b/>
                      <w:bCs/>
                      <w:sz w:val="21"/>
                      <w:szCs w:val="21"/>
                      <w:vertAlign w:val="baseline"/>
                      <w:lang w:val="en-US" w:eastAsia="zh-CN"/>
                    </w:rPr>
                    <w:t>-N</w:t>
                  </w:r>
                </w:p>
              </w:tc>
              <w:tc>
                <w:tcPr>
                  <w:tcW w:w="927" w:type="dxa"/>
                  <w:tcBorders>
                    <w:tl2br w:val="nil"/>
                    <w:tr2bl w:val="nil"/>
                  </w:tcBorders>
                  <w:vAlign w:val="center"/>
                </w:tcPr>
                <w:p w14:paraId="276DC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SS</w:t>
                  </w:r>
                </w:p>
              </w:tc>
              <w:tc>
                <w:tcPr>
                  <w:tcW w:w="927" w:type="dxa"/>
                  <w:tcBorders>
                    <w:tl2br w:val="nil"/>
                    <w:tr2bl w:val="nil"/>
                  </w:tcBorders>
                  <w:vAlign w:val="center"/>
                </w:tcPr>
                <w:p w14:paraId="759843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总余氯</w:t>
                  </w:r>
                </w:p>
              </w:tc>
              <w:tc>
                <w:tcPr>
                  <w:tcW w:w="1304" w:type="dxa"/>
                  <w:tcBorders>
                    <w:tl2br w:val="nil"/>
                    <w:tr2bl w:val="nil"/>
                  </w:tcBorders>
                  <w:vAlign w:val="center"/>
                </w:tcPr>
                <w:p w14:paraId="55F30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粪大肠菌群</w:t>
                  </w:r>
                </w:p>
              </w:tc>
            </w:tr>
            <w:tr w14:paraId="10BE2B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57BF2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诊疗废水、美容洗浴废水处理前污染物产生浓度（mg/L）</w:t>
                  </w:r>
                </w:p>
              </w:tc>
              <w:tc>
                <w:tcPr>
                  <w:tcW w:w="927" w:type="dxa"/>
                  <w:tcBorders>
                    <w:tl2br w:val="nil"/>
                    <w:tr2bl w:val="nil"/>
                  </w:tcBorders>
                  <w:vAlign w:val="center"/>
                </w:tcPr>
                <w:p w14:paraId="22421F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FCB8E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5B9787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0A4470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14A054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7041CB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0E40CC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2CA20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C39D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诊疗废水、美容洗浴废水各污染物产生量（t/a）</w:t>
                  </w:r>
                </w:p>
              </w:tc>
              <w:tc>
                <w:tcPr>
                  <w:tcW w:w="927" w:type="dxa"/>
                  <w:tcBorders>
                    <w:tl2br w:val="nil"/>
                    <w:tr2bl w:val="nil"/>
                  </w:tcBorders>
                  <w:vAlign w:val="center"/>
                </w:tcPr>
                <w:p w14:paraId="4704ED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0.032</w:t>
                  </w:r>
                </w:p>
              </w:tc>
              <w:tc>
                <w:tcPr>
                  <w:tcW w:w="927" w:type="dxa"/>
                  <w:tcBorders>
                    <w:tl2br w:val="nil"/>
                    <w:tr2bl w:val="nil"/>
                  </w:tcBorders>
                  <w:vAlign w:val="center"/>
                </w:tcPr>
                <w:p w14:paraId="23774D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0.016</w:t>
                  </w:r>
                </w:p>
              </w:tc>
              <w:tc>
                <w:tcPr>
                  <w:tcW w:w="927" w:type="dxa"/>
                  <w:tcBorders>
                    <w:tl2br w:val="nil"/>
                    <w:tr2bl w:val="nil"/>
                  </w:tcBorders>
                  <w:vAlign w:val="center"/>
                </w:tcPr>
                <w:p w14:paraId="7B0A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0.005</w:t>
                  </w:r>
                </w:p>
              </w:tc>
              <w:tc>
                <w:tcPr>
                  <w:tcW w:w="927" w:type="dxa"/>
                  <w:tcBorders>
                    <w:tl2br w:val="nil"/>
                    <w:tr2bl w:val="nil"/>
                  </w:tcBorders>
                  <w:vAlign w:val="center"/>
                </w:tcPr>
                <w:p w14:paraId="3E958F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0.013</w:t>
                  </w:r>
                </w:p>
              </w:tc>
              <w:tc>
                <w:tcPr>
                  <w:tcW w:w="927" w:type="dxa"/>
                  <w:tcBorders>
                    <w:tl2br w:val="nil"/>
                    <w:tr2bl w:val="nil"/>
                  </w:tcBorders>
                  <w:vAlign w:val="center"/>
                </w:tcPr>
                <w:p w14:paraId="7AF6DE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AC537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10CA8F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22AB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污水处理设备去除率（次氯酸钠消毒）</w:t>
                  </w:r>
                </w:p>
              </w:tc>
              <w:tc>
                <w:tcPr>
                  <w:tcW w:w="927" w:type="dxa"/>
                  <w:tcBorders>
                    <w:tl2br w:val="nil"/>
                    <w:tr2bl w:val="nil"/>
                  </w:tcBorders>
                  <w:vAlign w:val="center"/>
                </w:tcPr>
                <w:p w14:paraId="54C33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4B67A8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3979A7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1E8689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0E1958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BC2F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＞99.999%</w:t>
                  </w:r>
                </w:p>
              </w:tc>
            </w:tr>
            <w:tr w14:paraId="06775C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59637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诊疗废水、美容洗浴废水处理后排放浓度（mg/L）</w:t>
                  </w:r>
                </w:p>
              </w:tc>
              <w:tc>
                <w:tcPr>
                  <w:tcW w:w="927" w:type="dxa"/>
                  <w:tcBorders>
                    <w:tl2br w:val="nil"/>
                    <w:tr2bl w:val="nil"/>
                  </w:tcBorders>
                  <w:vAlign w:val="center"/>
                </w:tcPr>
                <w:p w14:paraId="30C66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DB0C9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6EF52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78D1C2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6F758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3F15B2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＜3000</w:t>
                  </w:r>
                </w:p>
                <w:p w14:paraId="1D5B7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61978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2FE308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诊疗废水、美容洗浴废水各污染物排放量（t/a）</w:t>
                  </w:r>
                </w:p>
              </w:tc>
              <w:tc>
                <w:tcPr>
                  <w:tcW w:w="927" w:type="dxa"/>
                  <w:tcBorders>
                    <w:tl2br w:val="nil"/>
                    <w:tr2bl w:val="nil"/>
                  </w:tcBorders>
                  <w:vAlign w:val="center"/>
                </w:tcPr>
                <w:p w14:paraId="1FBE74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0.032</w:t>
                  </w:r>
                </w:p>
              </w:tc>
              <w:tc>
                <w:tcPr>
                  <w:tcW w:w="927" w:type="dxa"/>
                  <w:tcBorders>
                    <w:tl2br w:val="nil"/>
                    <w:tr2bl w:val="nil"/>
                  </w:tcBorders>
                  <w:vAlign w:val="center"/>
                </w:tcPr>
                <w:p w14:paraId="2B1ED6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0.016</w:t>
                  </w:r>
                </w:p>
              </w:tc>
              <w:tc>
                <w:tcPr>
                  <w:tcW w:w="927" w:type="dxa"/>
                  <w:tcBorders>
                    <w:tl2br w:val="nil"/>
                    <w:tr2bl w:val="nil"/>
                  </w:tcBorders>
                  <w:vAlign w:val="center"/>
                </w:tcPr>
                <w:p w14:paraId="66222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0.005</w:t>
                  </w:r>
                </w:p>
              </w:tc>
              <w:tc>
                <w:tcPr>
                  <w:tcW w:w="927" w:type="dxa"/>
                  <w:tcBorders>
                    <w:tl2br w:val="nil"/>
                    <w:tr2bl w:val="nil"/>
                  </w:tcBorders>
                  <w:vAlign w:val="center"/>
                </w:tcPr>
                <w:p w14:paraId="4D80C8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0.013</w:t>
                  </w:r>
                </w:p>
              </w:tc>
              <w:tc>
                <w:tcPr>
                  <w:tcW w:w="927" w:type="dxa"/>
                  <w:tcBorders>
                    <w:tl2br w:val="nil"/>
                    <w:tr2bl w:val="nil"/>
                  </w:tcBorders>
                  <w:vAlign w:val="center"/>
                </w:tcPr>
                <w:p w14:paraId="1C21C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30B6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5567F2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4E26F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生活废水产生浓度（mg/L）</w:t>
                  </w:r>
                </w:p>
              </w:tc>
              <w:tc>
                <w:tcPr>
                  <w:tcW w:w="927" w:type="dxa"/>
                  <w:tcBorders>
                    <w:tl2br w:val="nil"/>
                    <w:tr2bl w:val="nil"/>
                  </w:tcBorders>
                  <w:vAlign w:val="center"/>
                </w:tcPr>
                <w:p w14:paraId="46E672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c>
                <w:tcPr>
                  <w:tcW w:w="927" w:type="dxa"/>
                  <w:tcBorders>
                    <w:tl2br w:val="nil"/>
                    <w:tr2bl w:val="nil"/>
                  </w:tcBorders>
                  <w:vAlign w:val="center"/>
                </w:tcPr>
                <w:p w14:paraId="42FCE5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250</w:t>
                  </w:r>
                </w:p>
              </w:tc>
              <w:tc>
                <w:tcPr>
                  <w:tcW w:w="927" w:type="dxa"/>
                  <w:tcBorders>
                    <w:tl2br w:val="nil"/>
                    <w:tr2bl w:val="nil"/>
                  </w:tcBorders>
                  <w:vAlign w:val="center"/>
                </w:tcPr>
                <w:p w14:paraId="4C103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w:t>
                  </w:r>
                </w:p>
              </w:tc>
              <w:tc>
                <w:tcPr>
                  <w:tcW w:w="927" w:type="dxa"/>
                  <w:tcBorders>
                    <w:tl2br w:val="nil"/>
                    <w:tr2bl w:val="nil"/>
                  </w:tcBorders>
                  <w:vAlign w:val="center"/>
                </w:tcPr>
                <w:p w14:paraId="67ECE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46353D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5C9E6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1700</w:t>
                  </w:r>
                </w:p>
                <w:p w14:paraId="1012E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060C9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A7CB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生活废水各污染物产生量（t/a）</w:t>
                  </w:r>
                </w:p>
              </w:tc>
              <w:tc>
                <w:tcPr>
                  <w:tcW w:w="927" w:type="dxa"/>
                  <w:tcBorders>
                    <w:tl2br w:val="nil"/>
                    <w:tr2bl w:val="nil"/>
                  </w:tcBorders>
                  <w:vAlign w:val="center"/>
                </w:tcPr>
                <w:p w14:paraId="7A0E2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0.026</w:t>
                  </w:r>
                </w:p>
              </w:tc>
              <w:tc>
                <w:tcPr>
                  <w:tcW w:w="927" w:type="dxa"/>
                  <w:tcBorders>
                    <w:tl2br w:val="nil"/>
                    <w:tr2bl w:val="nil"/>
                  </w:tcBorders>
                  <w:vAlign w:val="center"/>
                </w:tcPr>
                <w:p w14:paraId="11C473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0.014</w:t>
                  </w:r>
                </w:p>
              </w:tc>
              <w:tc>
                <w:tcPr>
                  <w:tcW w:w="927" w:type="dxa"/>
                  <w:tcBorders>
                    <w:tl2br w:val="nil"/>
                    <w:tr2bl w:val="nil"/>
                  </w:tcBorders>
                  <w:vAlign w:val="center"/>
                </w:tcPr>
                <w:p w14:paraId="688D6F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0.002</w:t>
                  </w:r>
                </w:p>
              </w:tc>
              <w:tc>
                <w:tcPr>
                  <w:tcW w:w="927" w:type="dxa"/>
                  <w:tcBorders>
                    <w:tl2br w:val="nil"/>
                    <w:tr2bl w:val="nil"/>
                  </w:tcBorders>
                  <w:vAlign w:val="center"/>
                </w:tcPr>
                <w:p w14:paraId="499057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0.017</w:t>
                  </w:r>
                </w:p>
              </w:tc>
              <w:tc>
                <w:tcPr>
                  <w:tcW w:w="927" w:type="dxa"/>
                  <w:tcBorders>
                    <w:tl2br w:val="nil"/>
                    <w:tr2bl w:val="nil"/>
                  </w:tcBorders>
                  <w:vAlign w:val="center"/>
                </w:tcPr>
                <w:p w14:paraId="580087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BAED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470A68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B6D4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综合废水各污染物产生量（t/a）</w:t>
                  </w:r>
                </w:p>
              </w:tc>
              <w:tc>
                <w:tcPr>
                  <w:tcW w:w="927" w:type="dxa"/>
                  <w:tcBorders>
                    <w:tl2br w:val="nil"/>
                    <w:tr2bl w:val="nil"/>
                  </w:tcBorders>
                  <w:vAlign w:val="center"/>
                </w:tcPr>
                <w:p w14:paraId="68B7B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0.058</w:t>
                  </w:r>
                </w:p>
              </w:tc>
              <w:tc>
                <w:tcPr>
                  <w:tcW w:w="927" w:type="dxa"/>
                  <w:tcBorders>
                    <w:tl2br w:val="nil"/>
                    <w:tr2bl w:val="nil"/>
                  </w:tcBorders>
                  <w:vAlign w:val="center"/>
                </w:tcPr>
                <w:p w14:paraId="53D36E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0.030</w:t>
                  </w:r>
                </w:p>
              </w:tc>
              <w:tc>
                <w:tcPr>
                  <w:tcW w:w="927" w:type="dxa"/>
                  <w:tcBorders>
                    <w:tl2br w:val="nil"/>
                    <w:tr2bl w:val="nil"/>
                  </w:tcBorders>
                  <w:vAlign w:val="center"/>
                </w:tcPr>
                <w:p w14:paraId="3AD05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w:t>
                  </w:r>
                </w:p>
              </w:tc>
              <w:tc>
                <w:tcPr>
                  <w:tcW w:w="927" w:type="dxa"/>
                  <w:tcBorders>
                    <w:tl2br w:val="nil"/>
                    <w:tr2bl w:val="nil"/>
                  </w:tcBorders>
                  <w:vAlign w:val="center"/>
                </w:tcPr>
                <w:p w14:paraId="0583D3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0.030</w:t>
                  </w:r>
                </w:p>
              </w:tc>
              <w:tc>
                <w:tcPr>
                  <w:tcW w:w="927" w:type="dxa"/>
                  <w:tcBorders>
                    <w:tl2br w:val="nil"/>
                    <w:tr2bl w:val="nil"/>
                  </w:tcBorders>
                  <w:vAlign w:val="center"/>
                </w:tcPr>
                <w:p w14:paraId="11B802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6C74EC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3C9D1F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8AE4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综合废水各污染物产生浓度（mg/L）</w:t>
                  </w:r>
                </w:p>
              </w:tc>
              <w:tc>
                <w:tcPr>
                  <w:tcW w:w="927" w:type="dxa"/>
                  <w:tcBorders>
                    <w:tl2br w:val="nil"/>
                    <w:tr2bl w:val="nil"/>
                  </w:tcBorders>
                  <w:vAlign w:val="center"/>
                </w:tcPr>
                <w:p w14:paraId="42999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354</w:t>
                  </w:r>
                </w:p>
              </w:tc>
              <w:tc>
                <w:tcPr>
                  <w:tcW w:w="927" w:type="dxa"/>
                  <w:tcBorders>
                    <w:tl2br w:val="nil"/>
                    <w:tr2bl w:val="nil"/>
                  </w:tcBorders>
                  <w:vAlign w:val="center"/>
                </w:tcPr>
                <w:p w14:paraId="563290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w:t>
                  </w:r>
                </w:p>
              </w:tc>
              <w:tc>
                <w:tcPr>
                  <w:tcW w:w="927" w:type="dxa"/>
                  <w:tcBorders>
                    <w:tl2br w:val="nil"/>
                    <w:tr2bl w:val="nil"/>
                  </w:tcBorders>
                  <w:vAlign w:val="center"/>
                </w:tcPr>
                <w:p w14:paraId="31B26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43</w:t>
                  </w:r>
                </w:p>
              </w:tc>
              <w:tc>
                <w:tcPr>
                  <w:tcW w:w="927" w:type="dxa"/>
                  <w:tcBorders>
                    <w:tl2br w:val="nil"/>
                    <w:tr2bl w:val="nil"/>
                  </w:tcBorders>
                  <w:vAlign w:val="center"/>
                </w:tcPr>
                <w:p w14:paraId="775BEF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w:t>
                  </w:r>
                </w:p>
              </w:tc>
              <w:tc>
                <w:tcPr>
                  <w:tcW w:w="927" w:type="dxa"/>
                  <w:tcBorders>
                    <w:tl2br w:val="nil"/>
                    <w:tr2bl w:val="nil"/>
                  </w:tcBorders>
                  <w:vAlign w:val="center"/>
                </w:tcPr>
                <w:p w14:paraId="79C40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12E729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＜2325</w:t>
                  </w:r>
                </w:p>
                <w:p w14:paraId="420477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D0877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D5E7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化粪池去除率</w:t>
                  </w:r>
                </w:p>
              </w:tc>
              <w:tc>
                <w:tcPr>
                  <w:tcW w:w="927" w:type="dxa"/>
                  <w:tcBorders>
                    <w:tl2br w:val="nil"/>
                    <w:tr2bl w:val="nil"/>
                  </w:tcBorders>
                  <w:vAlign w:val="center"/>
                </w:tcPr>
                <w:p w14:paraId="2C0F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927" w:type="dxa"/>
                  <w:tcBorders>
                    <w:tl2br w:val="nil"/>
                    <w:tr2bl w:val="nil"/>
                  </w:tcBorders>
                  <w:vAlign w:val="center"/>
                </w:tcPr>
                <w:p w14:paraId="488F56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927" w:type="dxa"/>
                  <w:tcBorders>
                    <w:tl2br w:val="nil"/>
                    <w:tr2bl w:val="nil"/>
                  </w:tcBorders>
                  <w:vAlign w:val="center"/>
                </w:tcPr>
                <w:p w14:paraId="1C0DA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927" w:type="dxa"/>
                  <w:tcBorders>
                    <w:tl2br w:val="nil"/>
                    <w:tr2bl w:val="nil"/>
                  </w:tcBorders>
                  <w:vAlign w:val="center"/>
                </w:tcPr>
                <w:p w14:paraId="414E33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w:t>
                  </w:r>
                </w:p>
              </w:tc>
              <w:tc>
                <w:tcPr>
                  <w:tcW w:w="927" w:type="dxa"/>
                  <w:tcBorders>
                    <w:tl2br w:val="nil"/>
                    <w:tr2bl w:val="nil"/>
                  </w:tcBorders>
                  <w:vAlign w:val="center"/>
                </w:tcPr>
                <w:p w14:paraId="6508E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E8BE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0EC0CA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4F86B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化粪池处理后各污染物产生浓度（mg/L）</w:t>
                  </w:r>
                </w:p>
              </w:tc>
              <w:tc>
                <w:tcPr>
                  <w:tcW w:w="927" w:type="dxa"/>
                  <w:tcBorders>
                    <w:tl2br w:val="nil"/>
                    <w:tr2bl w:val="nil"/>
                  </w:tcBorders>
                  <w:vAlign w:val="center"/>
                </w:tcPr>
                <w:p w14:paraId="7274AA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141ACD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167</w:t>
                  </w:r>
                </w:p>
              </w:tc>
              <w:tc>
                <w:tcPr>
                  <w:tcW w:w="927" w:type="dxa"/>
                  <w:tcBorders>
                    <w:tl2br w:val="nil"/>
                    <w:tr2bl w:val="nil"/>
                  </w:tcBorders>
                  <w:vAlign w:val="center"/>
                </w:tcPr>
                <w:p w14:paraId="1026A8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w:t>
                  </w:r>
                </w:p>
              </w:tc>
              <w:tc>
                <w:tcPr>
                  <w:tcW w:w="927" w:type="dxa"/>
                  <w:tcBorders>
                    <w:tl2br w:val="nil"/>
                    <w:tr2bl w:val="nil"/>
                  </w:tcBorders>
                  <w:vAlign w:val="center"/>
                </w:tcPr>
                <w:p w14:paraId="7D3D66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128</w:t>
                  </w:r>
                </w:p>
              </w:tc>
              <w:tc>
                <w:tcPr>
                  <w:tcW w:w="927" w:type="dxa"/>
                  <w:tcBorders>
                    <w:tl2br w:val="nil"/>
                    <w:tr2bl w:val="nil"/>
                  </w:tcBorders>
                  <w:vAlign w:val="center"/>
                </w:tcPr>
                <w:p w14:paraId="2C6F81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47A59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CD39A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5077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污染物排放量（t/a）</w:t>
                  </w:r>
                </w:p>
              </w:tc>
              <w:tc>
                <w:tcPr>
                  <w:tcW w:w="927" w:type="dxa"/>
                  <w:tcBorders>
                    <w:tl2br w:val="nil"/>
                    <w:tr2bl w:val="nil"/>
                  </w:tcBorders>
                  <w:vAlign w:val="center"/>
                </w:tcPr>
                <w:p w14:paraId="5004A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0.049</w:t>
                  </w:r>
                </w:p>
              </w:tc>
              <w:tc>
                <w:tcPr>
                  <w:tcW w:w="927" w:type="dxa"/>
                  <w:tcBorders>
                    <w:tl2br w:val="nil"/>
                    <w:tr2bl w:val="nil"/>
                  </w:tcBorders>
                  <w:vAlign w:val="center"/>
                </w:tcPr>
                <w:p w14:paraId="0D19C3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0.027</w:t>
                  </w:r>
                </w:p>
              </w:tc>
              <w:tc>
                <w:tcPr>
                  <w:tcW w:w="927" w:type="dxa"/>
                  <w:tcBorders>
                    <w:tl2br w:val="nil"/>
                    <w:tr2bl w:val="nil"/>
                  </w:tcBorders>
                  <w:vAlign w:val="center"/>
                </w:tcPr>
                <w:p w14:paraId="4DBD93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w:t>
                  </w:r>
                </w:p>
              </w:tc>
              <w:tc>
                <w:tcPr>
                  <w:tcW w:w="927" w:type="dxa"/>
                  <w:tcBorders>
                    <w:tl2br w:val="nil"/>
                    <w:tr2bl w:val="nil"/>
                  </w:tcBorders>
                  <w:vAlign w:val="center"/>
                </w:tcPr>
                <w:p w14:paraId="0AB21E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0.021</w:t>
                  </w:r>
                </w:p>
              </w:tc>
              <w:tc>
                <w:tcPr>
                  <w:tcW w:w="927" w:type="dxa"/>
                  <w:tcBorders>
                    <w:tl2br w:val="nil"/>
                    <w:tr2bl w:val="nil"/>
                  </w:tcBorders>
                  <w:vAlign w:val="center"/>
                </w:tcPr>
                <w:p w14:paraId="46A0C1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212339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5A589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8C371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排放标准（mg/L）</w:t>
                  </w:r>
                </w:p>
              </w:tc>
              <w:tc>
                <w:tcPr>
                  <w:tcW w:w="927" w:type="dxa"/>
                  <w:tcBorders>
                    <w:tl2br w:val="nil"/>
                    <w:tr2bl w:val="nil"/>
                  </w:tcBorders>
                  <w:vAlign w:val="center"/>
                </w:tcPr>
                <w:p w14:paraId="5B7137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927" w:type="dxa"/>
                  <w:tcBorders>
                    <w:tl2br w:val="nil"/>
                    <w:tr2bl w:val="nil"/>
                  </w:tcBorders>
                  <w:vAlign w:val="center"/>
                </w:tcPr>
                <w:p w14:paraId="24F442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0B70F5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5F85F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927" w:type="dxa"/>
                  <w:tcBorders>
                    <w:tl2br w:val="nil"/>
                    <w:tr2bl w:val="nil"/>
                  </w:tcBorders>
                  <w:vAlign w:val="center"/>
                </w:tcPr>
                <w:p w14:paraId="3C434B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3082B5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10000</w:t>
                  </w:r>
                </w:p>
                <w:p w14:paraId="5F0380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bl>
          <w:p w14:paraId="160EE5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项目动物诊疗废水、美容洗浴废水经污水处理设备消毒处理后，与生活污水一同排入所在建筑防渗化粪池处理。项目综合废水中各污染物排放浓度符合北京市《水污染物综合排放标准》（DB11/307-2013）中排入公共污水处理系统的水污染物排放限值。</w:t>
            </w:r>
          </w:p>
          <w:p w14:paraId="16F31E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2）非正常情况排放</w:t>
            </w:r>
          </w:p>
          <w:p w14:paraId="01B366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废水非正常排放情况是指污水处理设备停运进行检修，或者运行出现故障，达不到应有治理效率的情况下的污染物排放。本项目废水可能出现非正常排放的原因主要为污水处理设备故障不运行，以及消毒剂加药泵故障未加药或过量加药；超负荷接诊时，污水池存纳的废水超过有效容积等。出现该类情况时，污染物排放具体情况见下表。</w:t>
            </w:r>
          </w:p>
          <w:p w14:paraId="34B5794D">
            <w:pPr>
              <w:pStyle w:val="11"/>
              <w:bidi w:val="0"/>
              <w:rPr>
                <w:rFonts w:hint="default"/>
                <w:lang w:val="en-US" w:eastAsia="zh-CN"/>
              </w:rPr>
            </w:pPr>
            <w:r>
              <w:rPr>
                <w:rFonts w:hint="eastAsia"/>
                <w:lang w:val="en-US" w:eastAsia="zh-CN"/>
              </w:rPr>
              <w:t>表4-13 项目废水非正常排放情况汇总表</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1110"/>
              <w:gridCol w:w="1215"/>
              <w:gridCol w:w="1080"/>
              <w:gridCol w:w="1125"/>
              <w:gridCol w:w="2177"/>
            </w:tblGrid>
            <w:tr w14:paraId="482706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318" w:type="dxa"/>
                  <w:vMerge w:val="restart"/>
                  <w:tcBorders>
                    <w:tl2br w:val="nil"/>
                    <w:tr2bl w:val="nil"/>
                  </w:tcBorders>
                  <w:vAlign w:val="center"/>
                </w:tcPr>
                <w:p w14:paraId="1EC345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主要污染物</w:t>
                  </w:r>
                </w:p>
              </w:tc>
              <w:tc>
                <w:tcPr>
                  <w:tcW w:w="1110" w:type="dxa"/>
                  <w:vMerge w:val="restart"/>
                  <w:tcBorders>
                    <w:tl2br w:val="nil"/>
                    <w:tr2bl w:val="nil"/>
                  </w:tcBorders>
                  <w:vAlign w:val="center"/>
                </w:tcPr>
                <w:p w14:paraId="0560FE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非正常排放情况排放浓度</w:t>
                  </w:r>
                </w:p>
              </w:tc>
              <w:tc>
                <w:tcPr>
                  <w:tcW w:w="3420" w:type="dxa"/>
                  <w:gridSpan w:val="3"/>
                  <w:tcBorders>
                    <w:tl2br w:val="nil"/>
                    <w:tr2bl w:val="nil"/>
                  </w:tcBorders>
                  <w:vAlign w:val="center"/>
                </w:tcPr>
                <w:p w14:paraId="7B9386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177" w:type="dxa"/>
                  <w:vMerge w:val="restart"/>
                  <w:tcBorders>
                    <w:tl2br w:val="nil"/>
                    <w:tr2bl w:val="nil"/>
                  </w:tcBorders>
                  <w:vAlign w:val="center"/>
                </w:tcPr>
                <w:p w14:paraId="4994A8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5911E0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vMerge w:val="continue"/>
                  <w:tcBorders>
                    <w:tl2br w:val="nil"/>
                    <w:tr2bl w:val="nil"/>
                  </w:tcBorders>
                  <w:vAlign w:val="center"/>
                </w:tcPr>
                <w:p w14:paraId="6F29DE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5A09CE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15" w:type="dxa"/>
                  <w:tcBorders>
                    <w:tl2br w:val="nil"/>
                    <w:tr2bl w:val="nil"/>
                  </w:tcBorders>
                  <w:vAlign w:val="center"/>
                </w:tcPr>
                <w:p w14:paraId="52A47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80" w:type="dxa"/>
                  <w:tcBorders>
                    <w:tl2br w:val="nil"/>
                    <w:tr2bl w:val="nil"/>
                  </w:tcBorders>
                  <w:vAlign w:val="center"/>
                </w:tcPr>
                <w:p w14:paraId="017081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25" w:type="dxa"/>
                  <w:tcBorders>
                    <w:tl2br w:val="nil"/>
                    <w:tr2bl w:val="nil"/>
                  </w:tcBorders>
                  <w:vAlign w:val="center"/>
                </w:tcPr>
                <w:p w14:paraId="2E730A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177" w:type="dxa"/>
                  <w:vMerge w:val="continue"/>
                  <w:tcBorders>
                    <w:tl2br w:val="nil"/>
                    <w:tr2bl w:val="nil"/>
                  </w:tcBorders>
                  <w:vAlign w:val="center"/>
                </w:tcPr>
                <w:p w14:paraId="23B85E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C7DEE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7A8561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粪大肠菌群</w:t>
                  </w:r>
                </w:p>
              </w:tc>
              <w:tc>
                <w:tcPr>
                  <w:tcW w:w="1110" w:type="dxa"/>
                  <w:tcBorders>
                    <w:tl2br w:val="nil"/>
                    <w:tr2bl w:val="nil"/>
                  </w:tcBorders>
                  <w:vAlign w:val="center"/>
                </w:tcPr>
                <w:p w14:paraId="4DE765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17B142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c>
                <w:tcPr>
                  <w:tcW w:w="1215" w:type="dxa"/>
                  <w:vMerge w:val="restart"/>
                  <w:tcBorders>
                    <w:tl2br w:val="nil"/>
                    <w:tr2bl w:val="nil"/>
                  </w:tcBorders>
                  <w:vAlign w:val="center"/>
                </w:tcPr>
                <w:p w14:paraId="381EAA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①污水处理设备故障，设备停运；</w:t>
                  </w:r>
                </w:p>
                <w:p w14:paraId="6CBEEA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②加药系统故障，消毒剂未加或过量；</w:t>
                  </w:r>
                </w:p>
                <w:p w14:paraId="37C503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③超负荷运行，废水水量超过设计要求。</w:t>
                  </w:r>
                </w:p>
              </w:tc>
              <w:tc>
                <w:tcPr>
                  <w:tcW w:w="1080" w:type="dxa"/>
                  <w:vMerge w:val="restart"/>
                  <w:tcBorders>
                    <w:tl2br w:val="nil"/>
                    <w:tr2bl w:val="nil"/>
                  </w:tcBorders>
                  <w:vAlign w:val="center"/>
                </w:tcPr>
                <w:p w14:paraId="277B62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22468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1次/a</w:t>
                  </w:r>
                </w:p>
              </w:tc>
              <w:tc>
                <w:tcPr>
                  <w:tcW w:w="1125" w:type="dxa"/>
                  <w:vMerge w:val="restart"/>
                  <w:tcBorders>
                    <w:tl2br w:val="nil"/>
                    <w:tr2bl w:val="nil"/>
                  </w:tcBorders>
                  <w:vAlign w:val="center"/>
                </w:tcPr>
                <w:p w14:paraId="0ED77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7553DC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1小时/次</w:t>
                  </w:r>
                </w:p>
              </w:tc>
              <w:tc>
                <w:tcPr>
                  <w:tcW w:w="2177" w:type="dxa"/>
                  <w:vMerge w:val="restart"/>
                  <w:tcBorders>
                    <w:tl2br w:val="nil"/>
                    <w:tr2bl w:val="nil"/>
                  </w:tcBorders>
                  <w:vAlign w:val="center"/>
                </w:tcPr>
                <w:p w14:paraId="2B100C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①立即停止产生污水的诊疗项目，待相关设备设施修复后再行开展经营活动；</w:t>
                  </w:r>
                </w:p>
                <w:p w14:paraId="3B58AF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②定期检查保养相关设备及设施；</w:t>
                  </w:r>
                </w:p>
                <w:p w14:paraId="04CDDC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③院内可预备三氯异氰尿酸消毒片，设备故障或遇水量高负荷不能保证停留时间时，采取人工加药；</w:t>
                  </w:r>
                </w:p>
                <w:p w14:paraId="1E8CE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④加强管理，检查设施运行情况。</w:t>
                  </w:r>
                </w:p>
              </w:tc>
            </w:tr>
            <w:tr w14:paraId="759D6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6964E0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总余氯</w:t>
                  </w:r>
                </w:p>
              </w:tc>
              <w:tc>
                <w:tcPr>
                  <w:tcW w:w="1110" w:type="dxa"/>
                  <w:tcBorders>
                    <w:tl2br w:val="nil"/>
                    <w:tr2bl w:val="nil"/>
                  </w:tcBorders>
                  <w:vAlign w:val="center"/>
                </w:tcPr>
                <w:p w14:paraId="1C75B0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8</w:t>
                  </w:r>
                  <w:r>
                    <w:rPr>
                      <w:rFonts w:hint="eastAsia"/>
                      <w:b w:val="0"/>
                      <w:bCs w:val="0"/>
                      <w:sz w:val="21"/>
                      <w:szCs w:val="21"/>
                      <w:vertAlign w:val="baseline"/>
                      <w:lang w:val="en-US" w:eastAsia="zh-CN"/>
                    </w:rPr>
                    <w:t>mg/m</w:t>
                  </w:r>
                  <w:r>
                    <w:rPr>
                      <w:rFonts w:hint="eastAsia"/>
                      <w:b w:val="0"/>
                      <w:bCs w:val="0"/>
                      <w:sz w:val="21"/>
                      <w:szCs w:val="21"/>
                      <w:vertAlign w:val="superscript"/>
                      <w:lang w:val="en-US" w:eastAsia="zh-CN"/>
                    </w:rPr>
                    <w:t>3</w:t>
                  </w:r>
                </w:p>
              </w:tc>
              <w:tc>
                <w:tcPr>
                  <w:tcW w:w="1215" w:type="dxa"/>
                  <w:vMerge w:val="continue"/>
                  <w:tcBorders>
                    <w:tl2br w:val="nil"/>
                    <w:tr2bl w:val="nil"/>
                  </w:tcBorders>
                  <w:vAlign w:val="center"/>
                </w:tcPr>
                <w:p w14:paraId="5032A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80" w:type="dxa"/>
                  <w:vMerge w:val="continue"/>
                  <w:tcBorders>
                    <w:tl2br w:val="nil"/>
                    <w:tr2bl w:val="nil"/>
                  </w:tcBorders>
                  <w:vAlign w:val="center"/>
                </w:tcPr>
                <w:p w14:paraId="7DD40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5A3C76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177" w:type="dxa"/>
                  <w:vMerge w:val="continue"/>
                  <w:tcBorders>
                    <w:tl2br w:val="nil"/>
                    <w:tr2bl w:val="nil"/>
                  </w:tcBorders>
                  <w:vAlign w:val="center"/>
                </w:tcPr>
                <w:p w14:paraId="40393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076EB78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经分析，项目非正常工况存在时间较短，由于污水处理设备具有调节池，可以存纳废水，在非正常工况较短时间内不会发生废水外排情况。同时为避免废水的非正常排放，建设单位须加强污水处理设备的管理，定期检修及保养，确保环保设施正常运行。此外，建设单位应加强对员工的环保意识及相关知识的培训与管理，由专人每日检查环保治理设备或设施的运行状况。</w:t>
            </w:r>
          </w:p>
          <w:p w14:paraId="223D85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3）污水处理措施可行性分析</w:t>
            </w:r>
          </w:p>
          <w:p w14:paraId="408719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项目动物诊疗废水产生于手术室、化验室等，美容洗浴废水产生于美容洗浴室，建设单位在化验室安装污水处理设备，保证废水全部收集并进行消毒处理。</w:t>
            </w:r>
          </w:p>
          <w:p w14:paraId="647B3B5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根据污水处理工程设计单位提供的项目污水处理方案，污水设备处理能力为1m</w:t>
            </w:r>
            <w:r>
              <w:rPr>
                <w:rFonts w:hint="eastAsia"/>
                <w:vertAlign w:val="superscript"/>
                <w:lang w:val="en-US" w:eastAsia="zh-CN"/>
              </w:rPr>
              <w:t>3</w:t>
            </w:r>
            <w:r>
              <w:rPr>
                <w:rFonts w:hint="eastAsia"/>
                <w:lang w:val="en-US" w:eastAsia="zh-CN"/>
              </w:rPr>
              <w:t>/d。本项目动物诊疗废水、美容洗··浴废水最大排放量为0.40m</w:t>
            </w:r>
            <w:r>
              <w:rPr>
                <w:rFonts w:hint="eastAsia"/>
                <w:vertAlign w:val="superscript"/>
                <w:lang w:val="en-US" w:eastAsia="zh-CN"/>
              </w:rPr>
              <w:t>3</w:t>
            </w:r>
            <w:r>
              <w:rPr>
                <w:rFonts w:hint="eastAsia"/>
                <w:lang w:val="en-US" w:eastAsia="zh-CN"/>
              </w:rPr>
              <w:t>/d，如遇设备故障不能正常运行时，医院立即联系厂家，第一时间进行故障排查或现场维修。如果未能完成维修的，项目方应根据自身经营情况，停止产生污水的诊疗项目，待设备维修完毕后再恢复开诊。</w:t>
            </w:r>
          </w:p>
          <w:p w14:paraId="2647CD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项目采取上述措施后，项目不会出现未经处理的动物诊疗废水、美容洗浴废水直接排放的问题。综上，本项目污水治理措施可行。</w:t>
            </w:r>
          </w:p>
          <w:p w14:paraId="7C521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4）排入污水处理厂的可行性分析</w:t>
            </w:r>
          </w:p>
          <w:p w14:paraId="2F8953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废水最终汇入北京中设水处理有限公司良乡污水处理厂，北京中设水处理有限公司良乡污水处理厂设在南四环路与公路环间的绿化带内，流域范围包括石景山区、海淀区、西城区的部分地区，以及西南郊和南郊大部分地区，规划流域面积223.5平方公里，设计处理规模为60万m</w:t>
            </w:r>
            <w:r>
              <w:rPr>
                <w:rFonts w:hint="eastAsia"/>
                <w:vertAlign w:val="superscript"/>
                <w:lang w:val="en-US" w:eastAsia="zh-CN"/>
              </w:rPr>
              <w:t>3</w:t>
            </w:r>
            <w:r>
              <w:rPr>
                <w:rFonts w:hint="eastAsia"/>
                <w:lang w:val="en-US" w:eastAsia="zh-CN"/>
              </w:rPr>
              <w:t>/d。北京中设水处理有限公司良乡污水处理厂设计进水水质为化学需氧量500mg/L、五日生化需氧量300mg/L、悬浮物400mg/L、氨氮45mg/L。设计出水水质达到北京市《城镇污水处理厂水污染物排放标准》（DB11/890-2012）中“表1 新（改、扩）建城镇污水处理厂基本控制项目排放限值B标准”相关要求，即化学需氧量30mg/L、五日生化需氧量6mg/L、悬浮物5mg/L、氨氮1.5（2.5）mg/L。</w:t>
            </w:r>
          </w:p>
          <w:p w14:paraId="3D0669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根据北京北排水环境发展有限公司北京中设水处理有限公司良乡污水处理厂发布的2021年度《企业自行监测年度报告》，北京中设水处理有限公司良乡污水处理厂2021年运行365天，累计处理污水19085.1227万m</w:t>
            </w:r>
            <w:r>
              <w:rPr>
                <w:rFonts w:hint="eastAsia"/>
                <w:vertAlign w:val="superscript"/>
                <w:lang w:val="en-US" w:eastAsia="zh-CN"/>
              </w:rPr>
              <w:t>3</w:t>
            </w:r>
            <w:r>
              <w:rPr>
                <w:rFonts w:hint="eastAsia"/>
                <w:lang w:val="en-US" w:eastAsia="zh-CN"/>
              </w:rPr>
              <w:t>，平均每日处理污水52.29万m</w:t>
            </w:r>
            <w:r>
              <w:rPr>
                <w:rFonts w:hint="eastAsia"/>
                <w:vertAlign w:val="superscript"/>
                <w:lang w:val="en-US" w:eastAsia="zh-CN"/>
              </w:rPr>
              <w:t>3</w:t>
            </w:r>
            <w:r>
              <w:rPr>
                <w:rFonts w:hint="eastAsia"/>
                <w:lang w:val="en-US" w:eastAsia="zh-CN"/>
              </w:rPr>
              <w:t>，污染物检测全部达到排放标准。项目运营期废水最大排放量为0.78m</w:t>
            </w:r>
            <w:r>
              <w:rPr>
                <w:rFonts w:hint="eastAsia"/>
                <w:vertAlign w:val="superscript"/>
                <w:lang w:val="en-US" w:eastAsia="zh-CN"/>
              </w:rPr>
              <w:t>3</w:t>
            </w:r>
            <w:r>
              <w:rPr>
                <w:rFonts w:hint="eastAsia"/>
                <w:lang w:val="en-US" w:eastAsia="zh-CN"/>
              </w:rPr>
              <w:t>/d，占小红门污水处理厂可接纳污水处理能力的比例很小，且项目排水水质能够达到北京市《水污染物综合排放标准》（DB11/307-2013）中排入公共污水处理系统的水污染物排放限值。故北京中设水处理有限公司良乡污水处理厂接纳项目污水不会造成明显的负荷冲击。</w:t>
            </w:r>
          </w:p>
          <w:p w14:paraId="39BE54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因此，本项目废水最终排入北京中设水处理有限公司良乡污水处理厂是可行的。</w:t>
            </w:r>
          </w:p>
          <w:p w14:paraId="046C0E8D">
            <w:pPr>
              <w:pStyle w:val="11"/>
              <w:bidi w:val="0"/>
              <w:rPr>
                <w:rFonts w:hint="eastAsia"/>
                <w:lang w:val="en-US" w:eastAsia="zh-CN"/>
              </w:rPr>
            </w:pPr>
            <w:r>
              <w:rPr>
                <w:rFonts w:hint="eastAsia"/>
                <w:lang w:val="en-US" w:eastAsia="zh-CN"/>
              </w:rPr>
              <w:t>表4-14 项目废水治理措施及排放口说明汇总表</w:t>
            </w:r>
          </w:p>
          <w:tbl>
            <w:tblPr>
              <w:tblStyle w:val="9"/>
              <w:tblW w:w="80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1"/>
              <w:gridCol w:w="915"/>
              <w:gridCol w:w="675"/>
              <w:gridCol w:w="1485"/>
              <w:gridCol w:w="885"/>
              <w:gridCol w:w="1294"/>
              <w:gridCol w:w="1091"/>
              <w:gridCol w:w="915"/>
            </w:tblGrid>
            <w:tr w14:paraId="77939A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dxa"/>
                  <w:vMerge w:val="restart"/>
                  <w:tcBorders>
                    <w:tl2br w:val="nil"/>
                    <w:tr2bl w:val="nil"/>
                  </w:tcBorders>
                  <w:vAlign w:val="center"/>
                </w:tcPr>
                <w:p w14:paraId="44EC0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废水类别</w:t>
                  </w:r>
                </w:p>
              </w:tc>
              <w:tc>
                <w:tcPr>
                  <w:tcW w:w="915" w:type="dxa"/>
                  <w:vMerge w:val="restart"/>
                  <w:tcBorders>
                    <w:tl2br w:val="nil"/>
                    <w:tr2bl w:val="nil"/>
                  </w:tcBorders>
                  <w:vAlign w:val="center"/>
                </w:tcPr>
                <w:p w14:paraId="7012D1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3045" w:type="dxa"/>
                  <w:gridSpan w:val="3"/>
                  <w:tcBorders>
                    <w:tl2br w:val="nil"/>
                    <w:tr2bl w:val="nil"/>
                  </w:tcBorders>
                  <w:vAlign w:val="center"/>
                </w:tcPr>
                <w:p w14:paraId="1F5EC9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废水治理措施</w:t>
                  </w:r>
                </w:p>
              </w:tc>
              <w:tc>
                <w:tcPr>
                  <w:tcW w:w="1294" w:type="dxa"/>
                  <w:vMerge w:val="restart"/>
                  <w:tcBorders>
                    <w:tl2br w:val="nil"/>
                    <w:tr2bl w:val="nil"/>
                  </w:tcBorders>
                  <w:vAlign w:val="center"/>
                </w:tcPr>
                <w:p w14:paraId="47E05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highlight w:val="none"/>
                      <w:vertAlign w:val="baseline"/>
                      <w:lang w:val="en-US" w:eastAsia="zh-CN"/>
                    </w:rPr>
                    <w:t>废水排放口编号及位置</w:t>
                  </w:r>
                </w:p>
              </w:tc>
              <w:tc>
                <w:tcPr>
                  <w:tcW w:w="1091" w:type="dxa"/>
                  <w:vMerge w:val="restart"/>
                  <w:tcBorders>
                    <w:tl2br w:val="nil"/>
                    <w:tr2bl w:val="nil"/>
                  </w:tcBorders>
                  <w:vAlign w:val="center"/>
                </w:tcPr>
                <w:p w14:paraId="2D8F5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排放去向</w:t>
                  </w:r>
                </w:p>
              </w:tc>
              <w:tc>
                <w:tcPr>
                  <w:tcW w:w="915" w:type="dxa"/>
                  <w:vMerge w:val="restart"/>
                  <w:tcBorders>
                    <w:tl2br w:val="nil"/>
                    <w:tr2bl w:val="nil"/>
                  </w:tcBorders>
                  <w:vAlign w:val="center"/>
                </w:tcPr>
                <w:p w14:paraId="689CF0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排放</w:t>
                  </w:r>
                </w:p>
                <w:p w14:paraId="3ACC7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规律</w:t>
                  </w:r>
                </w:p>
              </w:tc>
            </w:tr>
            <w:tr w14:paraId="1DDB82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dxa"/>
                  <w:vMerge w:val="continue"/>
                  <w:tcBorders>
                    <w:tl2br w:val="nil"/>
                    <w:tr2bl w:val="nil"/>
                  </w:tcBorders>
                  <w:vAlign w:val="center"/>
                </w:tcPr>
                <w:p w14:paraId="4712A7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6EBEE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75" w:type="dxa"/>
                  <w:tcBorders>
                    <w:tl2br w:val="nil"/>
                    <w:tr2bl w:val="nil"/>
                  </w:tcBorders>
                  <w:vAlign w:val="center"/>
                </w:tcPr>
                <w:p w14:paraId="7488B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编号名称</w:t>
                  </w:r>
                </w:p>
              </w:tc>
              <w:tc>
                <w:tcPr>
                  <w:tcW w:w="1485" w:type="dxa"/>
                  <w:tcBorders>
                    <w:tl2br w:val="nil"/>
                    <w:tr2bl w:val="nil"/>
                  </w:tcBorders>
                  <w:vAlign w:val="center"/>
                </w:tcPr>
                <w:p w14:paraId="098ED3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工艺</w:t>
                  </w:r>
                </w:p>
              </w:tc>
              <w:tc>
                <w:tcPr>
                  <w:tcW w:w="885" w:type="dxa"/>
                  <w:tcBorders>
                    <w:tl2br w:val="nil"/>
                    <w:tr2bl w:val="nil"/>
                  </w:tcBorders>
                  <w:vAlign w:val="center"/>
                </w:tcPr>
                <w:p w14:paraId="31A19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处理量</w:t>
                  </w:r>
                </w:p>
              </w:tc>
              <w:tc>
                <w:tcPr>
                  <w:tcW w:w="1294" w:type="dxa"/>
                  <w:vMerge w:val="continue"/>
                  <w:tcBorders>
                    <w:tl2br w:val="nil"/>
                    <w:tr2bl w:val="nil"/>
                  </w:tcBorders>
                  <w:vAlign w:val="center"/>
                </w:tcPr>
                <w:p w14:paraId="7A2DB5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6D9F4F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47C08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FD76D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dxa"/>
                  <w:vMerge w:val="restart"/>
                  <w:tcBorders>
                    <w:tl2br w:val="nil"/>
                    <w:tr2bl w:val="nil"/>
                  </w:tcBorders>
                  <w:vAlign w:val="center"/>
                </w:tcPr>
                <w:p w14:paraId="092C99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诊疗废水、美容洗浴废水、生活废水</w:t>
                  </w:r>
                </w:p>
              </w:tc>
              <w:tc>
                <w:tcPr>
                  <w:tcW w:w="915" w:type="dxa"/>
                  <w:vMerge w:val="restart"/>
                  <w:tcBorders>
                    <w:tl2br w:val="nil"/>
                    <w:tr2bl w:val="nil"/>
                  </w:tcBorders>
                  <w:vAlign w:val="center"/>
                </w:tcPr>
                <w:p w14:paraId="141397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pH</w:t>
                  </w:r>
                </w:p>
                <w:p w14:paraId="315156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CODcr</w:t>
                  </w:r>
                </w:p>
                <w:p w14:paraId="663F8A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BOD</w:t>
                  </w:r>
                  <w:r>
                    <w:rPr>
                      <w:rFonts w:hint="eastAsia"/>
                      <w:sz w:val="21"/>
                      <w:szCs w:val="21"/>
                      <w:vertAlign w:val="subscript"/>
                      <w:lang w:val="en-US" w:eastAsia="zh-CN"/>
                    </w:rPr>
                    <w:t>5</w:t>
                  </w:r>
                </w:p>
                <w:p w14:paraId="3EE4E2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SS</w:t>
                  </w:r>
                </w:p>
                <w:p w14:paraId="5ADC42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-N</w:t>
                  </w:r>
                </w:p>
                <w:p w14:paraId="682FD1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总余氯</w:t>
                  </w:r>
                </w:p>
                <w:p w14:paraId="58FB81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675" w:type="dxa"/>
                  <w:tcBorders>
                    <w:tl2br w:val="nil"/>
                    <w:tr2bl w:val="nil"/>
                  </w:tcBorders>
                  <w:vAlign w:val="center"/>
                </w:tcPr>
                <w:p w14:paraId="457415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1485" w:type="dxa"/>
                  <w:tcBorders>
                    <w:tl2br w:val="nil"/>
                    <w:tr2bl w:val="nil"/>
                  </w:tcBorders>
                  <w:vAlign w:val="center"/>
                </w:tcPr>
                <w:p w14:paraId="2423FB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采用次氯酸钠消毒，对粪大肠菌群去除率99.999%</w:t>
                  </w:r>
                </w:p>
              </w:tc>
              <w:tc>
                <w:tcPr>
                  <w:tcW w:w="885" w:type="dxa"/>
                  <w:tcBorders>
                    <w:tl2br w:val="nil"/>
                    <w:tr2bl w:val="nil"/>
                  </w:tcBorders>
                  <w:vAlign w:val="center"/>
                </w:tcPr>
                <w:p w14:paraId="3844C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w:t>
                  </w:r>
                  <w:r>
                    <w:rPr>
                      <w:rFonts w:hint="eastAsia"/>
                      <w:sz w:val="21"/>
                      <w:szCs w:val="21"/>
                      <w:vertAlign w:val="superscript"/>
                      <w:lang w:val="en-US" w:eastAsia="zh-CN"/>
                    </w:rPr>
                    <w:t>3</w:t>
                  </w:r>
                  <w:r>
                    <w:rPr>
                      <w:rFonts w:hint="eastAsia"/>
                      <w:sz w:val="21"/>
                      <w:szCs w:val="21"/>
                      <w:vertAlign w:val="baseline"/>
                      <w:lang w:val="en-US" w:eastAsia="zh-CN"/>
                    </w:rPr>
                    <w:t>/d</w:t>
                  </w:r>
                </w:p>
              </w:tc>
              <w:tc>
                <w:tcPr>
                  <w:tcW w:w="1294" w:type="dxa"/>
                  <w:vMerge w:val="restart"/>
                  <w:tcBorders>
                    <w:tl2br w:val="nil"/>
                    <w:tr2bl w:val="nil"/>
                  </w:tcBorders>
                  <w:vAlign w:val="center"/>
                </w:tcPr>
                <w:p w14:paraId="512940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DW001</w:t>
                  </w:r>
                </w:p>
                <w:p w14:paraId="4BF418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东经：116.</w:t>
                  </w:r>
                  <w:r>
                    <w:rPr>
                      <w:rFonts w:hint="eastAsia"/>
                      <w:sz w:val="21"/>
                      <w:szCs w:val="21"/>
                      <w:vertAlign w:val="baseline"/>
                      <w:lang w:val="en-US" w:eastAsia="zh-CN"/>
                    </w:rPr>
                    <w:t>132394</w:t>
                  </w:r>
                  <w:r>
                    <w:rPr>
                      <w:rFonts w:hint="default"/>
                      <w:sz w:val="21"/>
                      <w:szCs w:val="21"/>
                      <w:vertAlign w:val="baseline"/>
                      <w:lang w:val="en-US" w:eastAsia="zh-CN"/>
                    </w:rPr>
                    <w:t>°</w:t>
                  </w:r>
                </w:p>
                <w:p w14:paraId="3F325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北纬39.</w:t>
                  </w:r>
                  <w:r>
                    <w:rPr>
                      <w:rFonts w:hint="eastAsia"/>
                      <w:sz w:val="21"/>
                      <w:szCs w:val="21"/>
                      <w:vertAlign w:val="baseline"/>
                      <w:lang w:val="en-US" w:eastAsia="zh-CN"/>
                    </w:rPr>
                    <w:t>732442</w:t>
                  </w:r>
                  <w:r>
                    <w:rPr>
                      <w:rFonts w:hint="default"/>
                      <w:sz w:val="21"/>
                      <w:szCs w:val="21"/>
                      <w:vertAlign w:val="baseline"/>
                      <w:lang w:val="en-US" w:eastAsia="zh-CN"/>
                    </w:rPr>
                    <w:t>°</w:t>
                  </w:r>
                </w:p>
              </w:tc>
              <w:tc>
                <w:tcPr>
                  <w:tcW w:w="1091" w:type="dxa"/>
                  <w:vMerge w:val="restart"/>
                  <w:tcBorders>
                    <w:tl2br w:val="nil"/>
                    <w:tr2bl w:val="nil"/>
                  </w:tcBorders>
                  <w:vAlign w:val="center"/>
                </w:tcPr>
                <w:p w14:paraId="0B113B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诊疗废水经消毒后与生活污水排入所在建筑防渗化粪池，最终经市政污水管网排入</w:t>
                  </w:r>
                  <w:r>
                    <w:rPr>
                      <w:rFonts w:hint="eastAsia"/>
                      <w:sz w:val="21"/>
                      <w:szCs w:val="21"/>
                      <w:vertAlign w:val="baseline"/>
                      <w:lang w:val="en-US" w:eastAsia="zh-CN"/>
                    </w:rPr>
                    <w:t>北京中设水处理有限公司良乡污水处理厂</w:t>
                  </w:r>
                </w:p>
              </w:tc>
              <w:tc>
                <w:tcPr>
                  <w:tcW w:w="915" w:type="dxa"/>
                  <w:vMerge w:val="restart"/>
                  <w:tcBorders>
                    <w:tl2br w:val="nil"/>
                    <w:tr2bl w:val="nil"/>
                  </w:tcBorders>
                  <w:vAlign w:val="center"/>
                </w:tcPr>
                <w:p w14:paraId="0930CE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间断排放排放期间流量不稳定且无规律，但不属于冲击性排放</w:t>
                  </w:r>
                </w:p>
              </w:tc>
            </w:tr>
            <w:tr w14:paraId="685C9F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dxa"/>
                  <w:vMerge w:val="continue"/>
                  <w:tcBorders>
                    <w:tl2br w:val="nil"/>
                    <w:tr2bl w:val="nil"/>
                  </w:tcBorders>
                  <w:vAlign w:val="center"/>
                </w:tcPr>
                <w:p w14:paraId="5D34A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52945D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75" w:type="dxa"/>
                  <w:tcBorders>
                    <w:tl2br w:val="nil"/>
                    <w:tr2bl w:val="nil"/>
                  </w:tcBorders>
                  <w:vAlign w:val="center"/>
                </w:tcPr>
                <w:p w14:paraId="7E7025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w:t>
                  </w:r>
                </w:p>
              </w:tc>
              <w:tc>
                <w:tcPr>
                  <w:tcW w:w="1485" w:type="dxa"/>
                  <w:tcBorders>
                    <w:tl2br w:val="nil"/>
                    <w:tr2bl w:val="nil"/>
                  </w:tcBorders>
                  <w:vAlign w:val="center"/>
                </w:tcPr>
                <w:p w14:paraId="756528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厌氧</w:t>
                  </w:r>
                </w:p>
                <w:p w14:paraId="1F4984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发酵</w:t>
                  </w:r>
                </w:p>
              </w:tc>
              <w:tc>
                <w:tcPr>
                  <w:tcW w:w="885" w:type="dxa"/>
                  <w:tcBorders>
                    <w:tl2br w:val="nil"/>
                    <w:tr2bl w:val="nil"/>
                  </w:tcBorders>
                  <w:vAlign w:val="center"/>
                </w:tcPr>
                <w:p w14:paraId="7D7A5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94" w:type="dxa"/>
                  <w:vMerge w:val="continue"/>
                  <w:tcBorders>
                    <w:tl2br w:val="nil"/>
                    <w:tr2bl w:val="nil"/>
                  </w:tcBorders>
                  <w:vAlign w:val="center"/>
                </w:tcPr>
                <w:p w14:paraId="15A8D3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3735CA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1ACE0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74240B5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（4）水环境影响结论</w:t>
            </w:r>
          </w:p>
          <w:p w14:paraId="59EB00B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排放的废水为动物诊疗废水、美容洗浴废水和生活污水。其中诊疗废水经污水处理设备处理达标后与生活污水一同排入所在建筑防渗化粪池，最终经市政污水管网汇入北京中设水处理有限公司良乡污水处理厂集中处理。项目购置安装1台污水处理设备，采用次氯酸钠消毒工艺对诊疗废水消毒处理。经预测计算，项目废水排放浓度能够符合北京市《水污染物合排放标准》（DB11/307-2013）中排入公共污水处理系统的水污染物限值，可达标排放。废水不直接排入地表水体，对当地水环境影响很小。本项目污水处理设备安装区采取防渗处理。在日常运行时，将加强对污水处理设施的管理，确保污水稳定达标排放。</w:t>
            </w:r>
          </w:p>
          <w:p w14:paraId="5208DC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819-2017），项目废水监测计划见下表。</w:t>
            </w:r>
          </w:p>
          <w:p w14:paraId="058419A8">
            <w:pPr>
              <w:pStyle w:val="11"/>
              <w:bidi w:val="0"/>
              <w:rPr>
                <w:rFonts w:hint="default"/>
                <w:lang w:val="en-US" w:eastAsia="zh-CN"/>
              </w:rPr>
            </w:pPr>
            <w:r>
              <w:rPr>
                <w:rFonts w:hint="eastAsia"/>
                <w:lang w:val="en-US" w:eastAsia="zh-CN"/>
              </w:rPr>
              <w:t>表4-15 项目废水监测计划</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140"/>
              <w:gridCol w:w="1395"/>
              <w:gridCol w:w="1485"/>
              <w:gridCol w:w="690"/>
              <w:gridCol w:w="1080"/>
              <w:gridCol w:w="809"/>
            </w:tblGrid>
            <w:tr w14:paraId="419C50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6EA764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1140" w:type="dxa"/>
                  <w:vMerge w:val="restart"/>
                  <w:tcBorders>
                    <w:tl2br w:val="nil"/>
                    <w:tr2bl w:val="nil"/>
                  </w:tcBorders>
                  <w:vAlign w:val="center"/>
                </w:tcPr>
                <w:p w14:paraId="0FEE66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排污口数量及位置</w:t>
                  </w:r>
                </w:p>
              </w:tc>
              <w:tc>
                <w:tcPr>
                  <w:tcW w:w="1395" w:type="dxa"/>
                  <w:vMerge w:val="restart"/>
                  <w:tcBorders>
                    <w:tl2br w:val="nil"/>
                    <w:tr2bl w:val="nil"/>
                  </w:tcBorders>
                  <w:vAlign w:val="center"/>
                </w:tcPr>
                <w:p w14:paraId="156EE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485" w:type="dxa"/>
                  <w:vMerge w:val="restart"/>
                  <w:tcBorders>
                    <w:tl2br w:val="nil"/>
                    <w:tr2bl w:val="nil"/>
                  </w:tcBorders>
                  <w:vAlign w:val="center"/>
                </w:tcPr>
                <w:p w14:paraId="3AEE81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排放限值</w:t>
                  </w:r>
                </w:p>
              </w:tc>
              <w:tc>
                <w:tcPr>
                  <w:tcW w:w="690" w:type="dxa"/>
                  <w:vMerge w:val="restart"/>
                  <w:tcBorders>
                    <w:tl2br w:val="nil"/>
                    <w:tr2bl w:val="nil"/>
                  </w:tcBorders>
                  <w:vAlign w:val="center"/>
                </w:tcPr>
                <w:p w14:paraId="641F9E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1889" w:type="dxa"/>
                  <w:gridSpan w:val="2"/>
                  <w:tcBorders>
                    <w:tl2br w:val="nil"/>
                    <w:tr2bl w:val="nil"/>
                  </w:tcBorders>
                  <w:vAlign w:val="center"/>
                </w:tcPr>
                <w:p w14:paraId="7E41C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3364D4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411E0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EC94F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vMerge w:val="continue"/>
                  <w:tcBorders>
                    <w:tl2br w:val="nil"/>
                    <w:tr2bl w:val="nil"/>
                  </w:tcBorders>
                  <w:vAlign w:val="center"/>
                </w:tcPr>
                <w:p w14:paraId="70E208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85" w:type="dxa"/>
                  <w:vMerge w:val="continue"/>
                  <w:tcBorders>
                    <w:tl2br w:val="nil"/>
                    <w:tr2bl w:val="nil"/>
                  </w:tcBorders>
                  <w:vAlign w:val="center"/>
                </w:tcPr>
                <w:p w14:paraId="6FB850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90" w:type="dxa"/>
                  <w:vMerge w:val="continue"/>
                  <w:tcBorders>
                    <w:tl2br w:val="nil"/>
                    <w:tr2bl w:val="nil"/>
                  </w:tcBorders>
                  <w:vAlign w:val="center"/>
                </w:tcPr>
                <w:p w14:paraId="5EDCD7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tcBorders>
                    <w:tl2br w:val="nil"/>
                    <w:tr2bl w:val="nil"/>
                  </w:tcBorders>
                  <w:vAlign w:val="center"/>
                </w:tcPr>
                <w:p w14:paraId="520947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809" w:type="dxa"/>
                  <w:tcBorders>
                    <w:tl2br w:val="nil"/>
                    <w:tr2bl w:val="nil"/>
                  </w:tcBorders>
                  <w:vAlign w:val="center"/>
                </w:tcPr>
                <w:p w14:paraId="1EFA4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03AE19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7A4295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诊疗废水、美容洗浴废水、生活废水</w:t>
                  </w:r>
                </w:p>
              </w:tc>
              <w:tc>
                <w:tcPr>
                  <w:tcW w:w="1140" w:type="dxa"/>
                  <w:vMerge w:val="restart"/>
                  <w:tcBorders>
                    <w:tl2br w:val="nil"/>
                    <w:tr2bl w:val="nil"/>
                  </w:tcBorders>
                  <w:vAlign w:val="center"/>
                </w:tcPr>
                <w:p w14:paraId="208B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废水总排口DW001</w:t>
                  </w:r>
                </w:p>
              </w:tc>
              <w:tc>
                <w:tcPr>
                  <w:tcW w:w="1395" w:type="dxa"/>
                  <w:tcBorders>
                    <w:tl2br w:val="nil"/>
                    <w:tr2bl w:val="nil"/>
                  </w:tcBorders>
                  <w:vAlign w:val="center"/>
                </w:tcPr>
                <w:p w14:paraId="02497E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w:t>
                  </w:r>
                </w:p>
              </w:tc>
              <w:tc>
                <w:tcPr>
                  <w:tcW w:w="1485" w:type="dxa"/>
                  <w:tcBorders>
                    <w:tl2br w:val="nil"/>
                    <w:tr2bl w:val="nil"/>
                  </w:tcBorders>
                  <w:vAlign w:val="center"/>
                </w:tcPr>
                <w:p w14:paraId="22B79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690" w:type="dxa"/>
                  <w:vMerge w:val="restart"/>
                  <w:tcBorders>
                    <w:tl2br w:val="nil"/>
                    <w:tr2bl w:val="nil"/>
                  </w:tcBorders>
                  <w:vAlign w:val="center"/>
                </w:tcPr>
                <w:p w14:paraId="595F74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间接排放</w:t>
                  </w:r>
                </w:p>
              </w:tc>
              <w:tc>
                <w:tcPr>
                  <w:tcW w:w="1080" w:type="dxa"/>
                  <w:tcBorders>
                    <w:tl2br w:val="nil"/>
                    <w:tr2bl w:val="nil"/>
                  </w:tcBorders>
                  <w:vAlign w:val="center"/>
                </w:tcPr>
                <w:p w14:paraId="36FE3D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809" w:type="dxa"/>
                  <w:vMerge w:val="restart"/>
                  <w:tcBorders>
                    <w:tl2br w:val="nil"/>
                    <w:tr2bl w:val="nil"/>
                  </w:tcBorders>
                  <w:vAlign w:val="center"/>
                </w:tcPr>
                <w:p w14:paraId="7DE9B9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委托具有CMA相关资质的第三方机构进行监测</w:t>
                  </w:r>
                </w:p>
              </w:tc>
            </w:tr>
            <w:tr w14:paraId="23BF13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C358E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3C44C4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3608C5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CODcr</w:t>
                  </w:r>
                </w:p>
              </w:tc>
              <w:tc>
                <w:tcPr>
                  <w:tcW w:w="1485" w:type="dxa"/>
                  <w:tcBorders>
                    <w:tl2br w:val="nil"/>
                    <w:tr2bl w:val="nil"/>
                  </w:tcBorders>
                  <w:vAlign w:val="center"/>
                </w:tcPr>
                <w:p w14:paraId="701AC8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500mg/L</w:t>
                  </w:r>
                </w:p>
              </w:tc>
              <w:tc>
                <w:tcPr>
                  <w:tcW w:w="690" w:type="dxa"/>
                  <w:vMerge w:val="continue"/>
                  <w:tcBorders>
                    <w:tl2br w:val="nil"/>
                    <w:tr2bl w:val="nil"/>
                  </w:tcBorders>
                  <w:vAlign w:val="center"/>
                </w:tcPr>
                <w:p w14:paraId="13EBB2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restart"/>
                  <w:tcBorders>
                    <w:tl2br w:val="nil"/>
                    <w:tr2bl w:val="nil"/>
                  </w:tcBorders>
                  <w:vAlign w:val="center"/>
                </w:tcPr>
                <w:p w14:paraId="531DBC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1次/季度</w:t>
                  </w:r>
                </w:p>
              </w:tc>
              <w:tc>
                <w:tcPr>
                  <w:tcW w:w="809" w:type="dxa"/>
                  <w:vMerge w:val="continue"/>
                  <w:tcBorders>
                    <w:tl2br w:val="nil"/>
                    <w:tr2bl w:val="nil"/>
                  </w:tcBorders>
                  <w:vAlign w:val="center"/>
                </w:tcPr>
                <w:p w14:paraId="410988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E37FB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738763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1FD1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58EA05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BOD</w:t>
                  </w:r>
                  <w:r>
                    <w:rPr>
                      <w:rFonts w:hint="eastAsia"/>
                      <w:sz w:val="21"/>
                      <w:szCs w:val="21"/>
                      <w:vertAlign w:val="subscript"/>
                      <w:lang w:val="en-US" w:eastAsia="zh-CN"/>
                    </w:rPr>
                    <w:t>5</w:t>
                  </w:r>
                </w:p>
              </w:tc>
              <w:tc>
                <w:tcPr>
                  <w:tcW w:w="1485" w:type="dxa"/>
                  <w:tcBorders>
                    <w:tl2br w:val="nil"/>
                    <w:tr2bl w:val="nil"/>
                  </w:tcBorders>
                  <w:vAlign w:val="center"/>
                </w:tcPr>
                <w:p w14:paraId="03EEA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300mg/L</w:t>
                  </w:r>
                </w:p>
              </w:tc>
              <w:tc>
                <w:tcPr>
                  <w:tcW w:w="690" w:type="dxa"/>
                  <w:vMerge w:val="continue"/>
                  <w:tcBorders>
                    <w:tl2br w:val="nil"/>
                    <w:tr2bl w:val="nil"/>
                  </w:tcBorders>
                  <w:vAlign w:val="center"/>
                </w:tcPr>
                <w:p w14:paraId="2869A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6E8BED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205ED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2867B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C47D6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CE1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4F605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SS</w:t>
                  </w:r>
                </w:p>
              </w:tc>
              <w:tc>
                <w:tcPr>
                  <w:tcW w:w="1485" w:type="dxa"/>
                  <w:tcBorders>
                    <w:tl2br w:val="nil"/>
                    <w:tr2bl w:val="nil"/>
                  </w:tcBorders>
                  <w:vAlign w:val="center"/>
                </w:tcPr>
                <w:p w14:paraId="563753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400mg/L</w:t>
                  </w:r>
                </w:p>
              </w:tc>
              <w:tc>
                <w:tcPr>
                  <w:tcW w:w="690" w:type="dxa"/>
                  <w:vMerge w:val="continue"/>
                  <w:tcBorders>
                    <w:tl2br w:val="nil"/>
                    <w:tr2bl w:val="nil"/>
                  </w:tcBorders>
                  <w:vAlign w:val="center"/>
                </w:tcPr>
                <w:p w14:paraId="54A854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0FF97D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1DDA1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EDF01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DE4DC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C1C7A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0E0F1F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-N</w:t>
                  </w:r>
                </w:p>
              </w:tc>
              <w:tc>
                <w:tcPr>
                  <w:tcW w:w="1485" w:type="dxa"/>
                  <w:tcBorders>
                    <w:tl2br w:val="nil"/>
                    <w:tr2bl w:val="nil"/>
                  </w:tcBorders>
                  <w:vAlign w:val="center"/>
                </w:tcPr>
                <w:p w14:paraId="4B8E80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45mg/L</w:t>
                  </w:r>
                </w:p>
              </w:tc>
              <w:tc>
                <w:tcPr>
                  <w:tcW w:w="690" w:type="dxa"/>
                  <w:vMerge w:val="continue"/>
                  <w:tcBorders>
                    <w:tl2br w:val="nil"/>
                    <w:tr2bl w:val="nil"/>
                  </w:tcBorders>
                  <w:vAlign w:val="center"/>
                </w:tcPr>
                <w:p w14:paraId="76004F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4AFEE5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D4B9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631B4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8288E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4329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6C6B9F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1485" w:type="dxa"/>
                  <w:tcBorders>
                    <w:tl2br w:val="nil"/>
                    <w:tr2bl w:val="nil"/>
                  </w:tcBorders>
                  <w:vAlign w:val="center"/>
                </w:tcPr>
                <w:p w14:paraId="210AAB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8mg/L</w:t>
                  </w:r>
                </w:p>
              </w:tc>
              <w:tc>
                <w:tcPr>
                  <w:tcW w:w="690" w:type="dxa"/>
                  <w:vMerge w:val="continue"/>
                  <w:tcBorders>
                    <w:tl2br w:val="nil"/>
                    <w:tr2bl w:val="nil"/>
                  </w:tcBorders>
                  <w:vAlign w:val="center"/>
                </w:tcPr>
                <w:p w14:paraId="29748F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restart"/>
                  <w:tcBorders>
                    <w:tl2br w:val="nil"/>
                    <w:tr2bl w:val="nil"/>
                  </w:tcBorders>
                  <w:vAlign w:val="center"/>
                </w:tcPr>
                <w:p w14:paraId="7D1A0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809" w:type="dxa"/>
                  <w:vMerge w:val="continue"/>
                  <w:tcBorders>
                    <w:tl2br w:val="nil"/>
                    <w:tr2bl w:val="nil"/>
                  </w:tcBorders>
                  <w:vAlign w:val="center"/>
                </w:tcPr>
                <w:p w14:paraId="1FF453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B8231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6A87BA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6F896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tcBorders>
                    <w:tl2br w:val="nil"/>
                    <w:tr2bl w:val="nil"/>
                  </w:tcBorders>
                  <w:vAlign w:val="center"/>
                </w:tcPr>
                <w:p w14:paraId="3D520B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1485" w:type="dxa"/>
                  <w:tcBorders>
                    <w:tl2br w:val="nil"/>
                    <w:tr2bl w:val="nil"/>
                  </w:tcBorders>
                  <w:vAlign w:val="center"/>
                </w:tcPr>
                <w:p w14:paraId="45F587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10000MPN/L</w:t>
                  </w:r>
                </w:p>
              </w:tc>
              <w:tc>
                <w:tcPr>
                  <w:tcW w:w="690" w:type="dxa"/>
                  <w:vMerge w:val="continue"/>
                  <w:tcBorders>
                    <w:tl2br w:val="nil"/>
                    <w:tr2bl w:val="nil"/>
                  </w:tcBorders>
                  <w:vAlign w:val="center"/>
                </w:tcPr>
                <w:p w14:paraId="79061B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4A359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04EE74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35604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tcBorders>
                    <w:tl2br w:val="nil"/>
                    <w:tr2bl w:val="nil"/>
                  </w:tcBorders>
                  <w:vAlign w:val="center"/>
                </w:tcPr>
                <w:p w14:paraId="5B0E7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备注</w:t>
                  </w:r>
                </w:p>
              </w:tc>
              <w:tc>
                <w:tcPr>
                  <w:tcW w:w="6599" w:type="dxa"/>
                  <w:gridSpan w:val="6"/>
                  <w:tcBorders>
                    <w:tl2br w:val="nil"/>
                    <w:tr2bl w:val="nil"/>
                  </w:tcBorders>
                  <w:vAlign w:val="center"/>
                </w:tcPr>
                <w:p w14:paraId="5317D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在公众对项目投诉的情况时，建设单位应按照相关要求增加监测频次</w:t>
                  </w:r>
                </w:p>
              </w:tc>
            </w:tr>
          </w:tbl>
          <w:p w14:paraId="32DE727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3、声环境影响分析</w:t>
            </w:r>
          </w:p>
          <w:p w14:paraId="7A1A6CD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（1）噪声源强及防治措施</w:t>
            </w:r>
          </w:p>
          <w:p w14:paraId="16444D8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本项目营运期噪声源主要包括污水处理设备水泵、排风机、空调外机。</w:t>
            </w:r>
          </w:p>
          <w:p w14:paraId="77B1B09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本项目主要噪声源强及采取的主要防治措施详见下表。</w:t>
            </w:r>
          </w:p>
          <w:p w14:paraId="7262348B">
            <w:pPr>
              <w:pStyle w:val="11"/>
              <w:bidi w:val="0"/>
              <w:rPr>
                <w:rFonts w:hint="default"/>
                <w:lang w:val="en-US" w:eastAsia="zh-CN"/>
              </w:rPr>
            </w:pPr>
            <w:r>
              <w:rPr>
                <w:rFonts w:hint="eastAsia"/>
                <w:lang w:val="en-US" w:eastAsia="zh-CN"/>
              </w:rPr>
              <w:t>表4-16 项目噪声源及源强  （dB(A)）</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840"/>
              <w:gridCol w:w="1395"/>
              <w:gridCol w:w="1245"/>
              <w:gridCol w:w="1230"/>
              <w:gridCol w:w="1696"/>
            </w:tblGrid>
            <w:tr w14:paraId="388E24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F900A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噪声源</w:t>
                  </w:r>
                </w:p>
              </w:tc>
              <w:tc>
                <w:tcPr>
                  <w:tcW w:w="840" w:type="dxa"/>
                  <w:tcBorders>
                    <w:tl2br w:val="nil"/>
                    <w:tr2bl w:val="nil"/>
                  </w:tcBorders>
                  <w:vAlign w:val="center"/>
                </w:tcPr>
                <w:p w14:paraId="2112E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数量</w:t>
                  </w:r>
                </w:p>
              </w:tc>
              <w:tc>
                <w:tcPr>
                  <w:tcW w:w="1395" w:type="dxa"/>
                  <w:tcBorders>
                    <w:tl2br w:val="nil"/>
                    <w:tr2bl w:val="nil"/>
                  </w:tcBorders>
                  <w:vAlign w:val="center"/>
                </w:tcPr>
                <w:p w14:paraId="399124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1245" w:type="dxa"/>
                  <w:tcBorders>
                    <w:tl2br w:val="nil"/>
                    <w:tr2bl w:val="nil"/>
                  </w:tcBorders>
                  <w:vAlign w:val="center"/>
                </w:tcPr>
                <w:p w14:paraId="1F3ABD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1230" w:type="dxa"/>
                  <w:tcBorders>
                    <w:tl2br w:val="nil"/>
                    <w:tr2bl w:val="nil"/>
                  </w:tcBorders>
                  <w:vAlign w:val="center"/>
                </w:tcPr>
                <w:p w14:paraId="5CC43F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声源源强</w:t>
                  </w:r>
                </w:p>
              </w:tc>
              <w:tc>
                <w:tcPr>
                  <w:tcW w:w="1696" w:type="dxa"/>
                  <w:tcBorders>
                    <w:tl2br w:val="nil"/>
                    <w:tr2bl w:val="nil"/>
                  </w:tcBorders>
                  <w:vAlign w:val="center"/>
                </w:tcPr>
                <w:p w14:paraId="5FA0B6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r>
            <w:tr w14:paraId="734589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0396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840" w:type="dxa"/>
                  <w:tcBorders>
                    <w:tl2br w:val="nil"/>
                    <w:tr2bl w:val="nil"/>
                  </w:tcBorders>
                  <w:vAlign w:val="center"/>
                </w:tcPr>
                <w:p w14:paraId="23D1E8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71EFB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室内南侧</w:t>
                  </w:r>
                </w:p>
              </w:tc>
              <w:tc>
                <w:tcPr>
                  <w:tcW w:w="1245" w:type="dxa"/>
                  <w:tcBorders>
                    <w:tl2br w:val="nil"/>
                    <w:tr2bl w:val="nil"/>
                  </w:tcBorders>
                  <w:vAlign w:val="center"/>
                </w:tcPr>
                <w:p w14:paraId="00B748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10min</w:t>
                  </w:r>
                </w:p>
              </w:tc>
              <w:tc>
                <w:tcPr>
                  <w:tcW w:w="1230" w:type="dxa"/>
                  <w:tcBorders>
                    <w:tl2br w:val="nil"/>
                    <w:tr2bl w:val="nil"/>
                  </w:tcBorders>
                  <w:vAlign w:val="center"/>
                </w:tcPr>
                <w:p w14:paraId="1BCFF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c>
                <w:tcPr>
                  <w:tcW w:w="1696" w:type="dxa"/>
                  <w:tcBorders>
                    <w:tl2br w:val="nil"/>
                    <w:tr2bl w:val="nil"/>
                  </w:tcBorders>
                  <w:vAlign w:val="center"/>
                </w:tcPr>
                <w:p w14:paraId="0FEDCE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62B7C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B2C8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排风机</w:t>
                  </w:r>
                </w:p>
              </w:tc>
              <w:tc>
                <w:tcPr>
                  <w:tcW w:w="840" w:type="dxa"/>
                  <w:tcBorders>
                    <w:tl2br w:val="nil"/>
                    <w:tr2bl w:val="nil"/>
                  </w:tcBorders>
                  <w:vAlign w:val="center"/>
                </w:tcPr>
                <w:p w14:paraId="06926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02174E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室内吊顶</w:t>
                  </w:r>
                </w:p>
              </w:tc>
              <w:tc>
                <w:tcPr>
                  <w:tcW w:w="1245" w:type="dxa"/>
                  <w:tcBorders>
                    <w:tl2br w:val="nil"/>
                    <w:tr2bl w:val="nil"/>
                  </w:tcBorders>
                  <w:vAlign w:val="center"/>
                </w:tcPr>
                <w:p w14:paraId="5B61E8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2CD76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w:t>
                  </w:r>
                </w:p>
              </w:tc>
              <w:tc>
                <w:tcPr>
                  <w:tcW w:w="1696" w:type="dxa"/>
                  <w:tcBorders>
                    <w:tl2br w:val="nil"/>
                    <w:tr2bl w:val="nil"/>
                  </w:tcBorders>
                  <w:vAlign w:val="center"/>
                </w:tcPr>
                <w:p w14:paraId="59750C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191D16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EFC7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空调外机</w:t>
                  </w:r>
                </w:p>
              </w:tc>
              <w:tc>
                <w:tcPr>
                  <w:tcW w:w="840" w:type="dxa"/>
                  <w:tcBorders>
                    <w:tl2br w:val="nil"/>
                    <w:tr2bl w:val="nil"/>
                  </w:tcBorders>
                  <w:vAlign w:val="center"/>
                </w:tcPr>
                <w:p w14:paraId="45398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1E1D9F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highlight w:val="none"/>
                      <w:vertAlign w:val="baseline"/>
                      <w:lang w:val="en-US" w:eastAsia="zh-CN"/>
                    </w:rPr>
                    <w:t>室内</w:t>
                  </w:r>
                </w:p>
              </w:tc>
              <w:tc>
                <w:tcPr>
                  <w:tcW w:w="1245" w:type="dxa"/>
                  <w:tcBorders>
                    <w:tl2br w:val="nil"/>
                    <w:tr2bl w:val="nil"/>
                  </w:tcBorders>
                  <w:vAlign w:val="center"/>
                </w:tcPr>
                <w:p w14:paraId="5CC832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01F1F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50-55</w:t>
                  </w:r>
                </w:p>
              </w:tc>
              <w:tc>
                <w:tcPr>
                  <w:tcW w:w="1696" w:type="dxa"/>
                  <w:tcBorders>
                    <w:tl2br w:val="nil"/>
                    <w:tr2bl w:val="nil"/>
                  </w:tcBorders>
                  <w:vAlign w:val="center"/>
                </w:tcPr>
                <w:p w14:paraId="3133A2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w:t>
                  </w:r>
                </w:p>
              </w:tc>
            </w:tr>
          </w:tbl>
          <w:p w14:paraId="0C6F5A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69017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项目无寄养服务，夜间不接诊。项目不设住院服务，故无夜间运行。</w:t>
            </w:r>
          </w:p>
          <w:p w14:paraId="4F8AA86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污水处理设备配套水泵位于室内，噪声源强为70dB(A)。排风机位于室内吊顶内安装，运行时噪声级约为60dB(A)。空调外机安装在室内，仅在夏季3个月昼间运行，声源源强50~55dB(A)。</w:t>
            </w:r>
          </w:p>
          <w:p w14:paraId="61A75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针对污水处理设备等产噪设备，采取安装减振垫、减振基础等措施。减振对噪声降噪可以达到10~15dB(A)。项目主要设备均安装在室内，建筑墙体、天花板、隔断等能够起到有效的隔声作用。对于需要复杂处置或进行手术的动物个体，一般较为虚弱，该类动物由于身体原因不会吠叫，或叫声十分微弱。对于简单诊疗处置的就诊动物，其在医院内停留时间较短，如遇发生吠叫的，由主人或医护及时制止。院方可预备一些宠物零食、玩具，在动物吠叫时转移其注意力。</w:t>
            </w:r>
          </w:p>
          <w:p w14:paraId="06502E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采取上述措施，并经建筑物隔声（建筑物墙体、隔断，以及门窗的综合隔声量约35dB(A)），室外基本无动物吠叫噪声传播。</w:t>
            </w:r>
          </w:p>
          <w:p w14:paraId="1E0B0BC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（3）达标分析</w:t>
            </w:r>
          </w:p>
          <w:p w14:paraId="00934B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本项目噪声源主要位于室内，根据《环境影响评价技术导则 声环境》（HJ2.4-2021），噪声预测模式如下：</w:t>
            </w:r>
          </w:p>
          <w:p w14:paraId="39E0DA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①室内声源等效室外声源声功率级计算方法</w:t>
            </w:r>
          </w:p>
          <w:p w14:paraId="0DFEDB1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default"/>
                <w:lang w:val="en-US" w:eastAsia="zh-CN"/>
              </w:rPr>
              <w:t>声源位于室内，室内声源可采用等效室外声源声功率级法进行计算。设靠近开口处（或窗户）室内、室外某倍频带的声压级或A声级分别为</w:t>
            </w:r>
            <w:r>
              <w:rPr>
                <w:rFonts w:hint="eastAsia"/>
                <w:lang w:val="en-US" w:eastAsia="zh-CN"/>
              </w:rPr>
              <w:t>L</w:t>
            </w:r>
            <w:r>
              <w:rPr>
                <w:rFonts w:hint="eastAsia"/>
                <w:vertAlign w:val="subscript"/>
                <w:lang w:val="en-US" w:eastAsia="zh-CN"/>
              </w:rPr>
              <w:t>p1</w:t>
            </w:r>
            <w:r>
              <w:rPr>
                <w:rFonts w:hint="eastAsia"/>
                <w:lang w:val="en-US" w:eastAsia="zh-CN"/>
              </w:rPr>
              <w:t>和L</w:t>
            </w:r>
            <w:r>
              <w:rPr>
                <w:rFonts w:hint="eastAsia"/>
                <w:vertAlign w:val="subscript"/>
                <w:lang w:val="en-US" w:eastAsia="zh-CN"/>
              </w:rPr>
              <w:t>p2</w:t>
            </w:r>
            <w:r>
              <w:rPr>
                <w:rFonts w:hint="eastAsia"/>
                <w:vertAlign w:val="baseline"/>
                <w:lang w:val="en-US" w:eastAsia="zh-CN"/>
              </w:rPr>
              <w:t>。若声源所在室内声场为近似扩散声场，则室外的倍频带声压级可按以下公式近似求出：</w:t>
            </w:r>
          </w:p>
          <w:p w14:paraId="638EA546">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p2</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p1</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m:t>
                </m:r>
                <m:d>
                  <m:dPr>
                    <m:ctrlPr>
                      <w:rPr>
                        <w:rFonts w:hint="default" w:ascii="Cambria Math" w:hAnsi="Cambria Math"/>
                        <w:i/>
                        <w:vertAlign w:val="baseline"/>
                        <w:lang w:val="en-US" w:eastAsia="zh-CN"/>
                      </w:rPr>
                    </m:ctrlPr>
                  </m:dPr>
                  <m:e>
                    <m:r>
                      <m:rPr/>
                      <w:rPr>
                        <w:rFonts w:hint="default" w:ascii="Cambria Math" w:hAnsi="Cambria Math"/>
                        <w:vertAlign w:val="baseline"/>
                        <w:lang w:val="en-US" w:eastAsia="zh-CN"/>
                      </w:rPr>
                      <m:t>TL+6</m:t>
                    </m:r>
                    <m:ctrlPr>
                      <w:rPr>
                        <w:rFonts w:hint="default" w:ascii="Cambria Math" w:hAnsi="Cambria Math"/>
                        <w:i/>
                        <w:vertAlign w:val="baseline"/>
                        <w:lang w:val="en-US" w:eastAsia="zh-CN"/>
                      </w:rPr>
                    </m:ctrlPr>
                  </m:e>
                </m:d>
              </m:oMath>
            </m:oMathPara>
          </w:p>
          <w:p w14:paraId="2BF4F6A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4EAB6FC">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C99429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p2</w:t>
            </w:r>
            <w:r>
              <w:rPr>
                <w:rFonts w:hint="eastAsia"/>
                <w:vertAlign w:val="baseline"/>
                <w:lang w:val="en-US" w:eastAsia="zh-CN"/>
              </w:rPr>
              <w:t>—靠近开口处（或窗户）室外某倍频带的声压级或A声级，dB；</w:t>
            </w:r>
          </w:p>
          <w:p w14:paraId="241EC92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TL—隔墙（或窗户）倍频带或A声级的隔声量，dB。</w:t>
            </w:r>
          </w:p>
          <w:p w14:paraId="50C2387A">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②某一室内声源靠近围护结构处产生的倍频带声压级或A声级</w:t>
            </w:r>
          </w:p>
          <w:p w14:paraId="2B969E50">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p1</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w</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Q</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4</m:t>
                            </m:r>
                            <m:r>
                              <m:rPr/>
                              <w:rPr>
                                <w:rFonts w:ascii="Cambria Math" w:hAnsi="Cambria Math"/>
                                <w:vertAlign w:val="baseline"/>
                                <w:lang w:val="en-US"/>
                              </w:rPr>
                              <m:t>π</m:t>
                            </m:r>
                            <m:sSup>
                              <m:sSupPr>
                                <m:ctrlPr>
                                  <w:rPr>
                                    <w:rFonts w:ascii="Cambria Math" w:hAnsi="Cambria Math"/>
                                    <w:i/>
                                    <w:vertAlign w:val="baseline"/>
                                    <w:lang w:val="en-US"/>
                                  </w:rPr>
                                </m:ctrlPr>
                              </m:sSupPr>
                              <m:e>
                                <m:r>
                                  <m:rPr/>
                                  <w:rPr>
                                    <w:rFonts w:hint="default" w:ascii="Cambria Math" w:hAnsi="Cambria Math"/>
                                    <w:vertAlign w:val="baseline"/>
                                    <w:lang w:val="en-US" w:eastAsia="zh-CN"/>
                                  </w:rPr>
                                  <m:t>r</m:t>
                                </m:r>
                                <m:ctrlPr>
                                  <w:rPr>
                                    <w:rFonts w:ascii="Cambria Math" w:hAnsi="Cambria Math"/>
                                    <w:i/>
                                    <w:vertAlign w:val="baseline"/>
                                    <w:lang w:val="en-US"/>
                                  </w:rPr>
                                </m:ctrlPr>
                              </m:e>
                              <m:sup>
                                <m:r>
                                  <m:rPr/>
                                  <w:rPr>
                                    <w:rFonts w:hint="default" w:ascii="Cambria Math" w:hAnsi="Cambria Math"/>
                                    <w:vertAlign w:val="baseline"/>
                                    <w:lang w:val="en-US" w:eastAsia="zh-CN"/>
                                  </w:rPr>
                                  <m:t>2</m:t>
                                </m:r>
                                <m:ctrlPr>
                                  <w:rPr>
                                    <w:rFonts w:ascii="Cambria Math" w:hAnsi="Cambria Math"/>
                                    <w:i/>
                                    <w:vertAlign w:val="baseline"/>
                                    <w:lang w:val="en-US"/>
                                  </w:rPr>
                                </m:ctrlPr>
                              </m:sup>
                            </m:sSup>
                            <m:ctrlPr>
                              <w:rPr>
                                <w:rFonts w:hint="default" w:ascii="Cambria Math" w:hAnsi="Cambria Math"/>
                                <w:i/>
                                <w:vertAlign w:val="baseline"/>
                                <w:lang w:val="en-US" w:eastAsia="zh-CN"/>
                              </w:rPr>
                            </m:ctrlPr>
                          </m:den>
                        </m:f>
                        <m:r>
                          <m:rPr/>
                          <w:rPr>
                            <w:rFonts w:hint="default" w:ascii="Cambria Math" w:hAnsi="Cambria Math"/>
                            <w:vertAlign w:val="baseline"/>
                            <w:lang w:val="en-US" w:eastAsia="zh-CN"/>
                          </w:rPr>
                          <m:t>+</m:t>
                        </m:r>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4</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R</m:t>
                            </m:r>
                            <m:ctrlPr>
                              <w:rPr>
                                <w:rFonts w:hint="default" w:ascii="Cambria Math" w:hAnsi="Cambria Math"/>
                                <w:i/>
                                <w:vertAlign w:val="baseline"/>
                                <w:lang w:val="en-US" w:eastAsia="zh-CN"/>
                              </w:rPr>
                            </m:ctrlPr>
                          </m:den>
                        </m:f>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60E81931">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4A381D9">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62C789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L</w:t>
            </w:r>
            <w:r>
              <w:rPr>
                <w:rFonts w:hint="default" w:ascii="Times New Roman" w:hAnsi="Times New Roman" w:eastAsia="清雅楷书" w:cs="Times New Roman"/>
                <w:vertAlign w:val="subscript"/>
                <w:lang w:val="en-US" w:eastAsia="zh-CN"/>
              </w:rPr>
              <w:t>w</w:t>
            </w:r>
            <w:r>
              <w:rPr>
                <w:rFonts w:hint="eastAsia"/>
                <w:vertAlign w:val="baseline"/>
                <w:lang w:val="en-US" w:eastAsia="zh-CN"/>
              </w:rPr>
              <w:t>—靠近开口处（或窗户）室内某倍频带的声压级或A声级，dB；</w:t>
            </w:r>
          </w:p>
          <w:p w14:paraId="0505934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Q—指向性因数，通常对无指向性声源，当声源放在房间中心时，Q=1；当放在一面墙的中心时，Q=2；当放在两面墙夹角处时，Q=4；当放在三面墙夹角处时，Q=8；</w:t>
            </w:r>
          </w:p>
          <w:p w14:paraId="017FC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R—房间常数，R=Sa/（1-a），S为房间内表面面积，m</w:t>
            </w:r>
            <w:r>
              <w:rPr>
                <w:rFonts w:hint="eastAsia"/>
                <w:vertAlign w:val="superscript"/>
                <w:lang w:val="en-US" w:eastAsia="zh-CN"/>
              </w:rPr>
              <w:t>2</w:t>
            </w:r>
            <w:r>
              <w:rPr>
                <w:rFonts w:hint="eastAsia"/>
                <w:lang w:val="en-US" w:eastAsia="zh-CN"/>
              </w:rPr>
              <w:t>；a为平均吸声系数；</w:t>
            </w:r>
          </w:p>
          <w:p w14:paraId="567143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r—声源到靠近围护结构某点处的距离，m。</w:t>
            </w:r>
          </w:p>
          <w:p w14:paraId="2FFCEFA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③户外声传播衰减公式</w:t>
            </w:r>
          </w:p>
          <w:p w14:paraId="376352E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lang w:val="en-US" w:eastAsia="zh-CN"/>
              </w:rPr>
            </w:pPr>
            <m:oMathPara>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r>
                  <m:rPr/>
                  <w:rPr>
                    <w:rFonts w:hint="default" w:ascii="Cambria Math" w:hAnsi="Cambria Math"/>
                    <w:lang w:val="en-US" w:eastAsia="zh-CN"/>
                  </w:rPr>
                  <m:t>=</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r>
                  <m:rPr/>
                  <w:rPr>
                    <w:rFonts w:hint="default" w:ascii="Cambria Math" w:hAnsi="Cambria Math"/>
                    <w:lang w:val="en-US" w:eastAsia="zh-CN"/>
                  </w:rPr>
                  <m:t>−20</m:t>
                </m:r>
                <m:func>
                  <m:funcPr>
                    <m:ctrlPr>
                      <w:rPr>
                        <w:rFonts w:hint="default" w:ascii="Cambria Math" w:hAnsi="Cambria Math"/>
                        <w:lang w:val="en-US" w:eastAsia="zh-CN"/>
                      </w:rPr>
                    </m:ctrlPr>
                  </m:funcPr>
                  <m:fName>
                    <m:r>
                      <m:rPr>
                        <m:sty m:val="p"/>
                      </m:rPr>
                      <w:rPr>
                        <w:rFonts w:ascii="Cambria Math" w:hAnsi="Cambria Math"/>
                        <w:lang w:val="en-US"/>
                      </w:rPr>
                      <m:t>lg</m:t>
                    </m:r>
                    <m:ctrlPr>
                      <w:rPr>
                        <w:rFonts w:hint="default" w:ascii="Cambria Math" w:hAnsi="Cambria Math"/>
                        <w:i/>
                        <w:lang w:val="en-US" w:eastAsia="zh-CN"/>
                      </w:rPr>
                    </m:ctrlPr>
                  </m:fName>
                  <m:e>
                    <m:d>
                      <m:dPr>
                        <m:ctrlPr>
                          <w:rPr>
                            <w:rFonts w:hint="default" w:ascii="Cambria Math" w:hAnsi="Cambria Math"/>
                            <w:i/>
                            <w:lang w:val="en-US" w:eastAsia="zh-CN"/>
                          </w:rPr>
                        </m:ctrlPr>
                      </m:dPr>
                      <m:e>
                        <m:f>
                          <m:fPr>
                            <m:type m:val="skw"/>
                            <m:ctrlPr>
                              <w:rPr>
                                <w:rFonts w:hint="default" w:ascii="Cambria Math" w:hAnsi="Cambria Math"/>
                                <w:i/>
                                <w:lang w:val="en-US" w:eastAsia="zh-CN"/>
                              </w:rPr>
                            </m:ctrlPr>
                          </m:fPr>
                          <m:num>
                            <m:r>
                              <m:rPr/>
                              <w:rPr>
                                <w:rFonts w:hint="default" w:ascii="Cambria Math" w:hAnsi="Cambria Math"/>
                                <w:lang w:val="en-US" w:eastAsia="zh-CN"/>
                              </w:rPr>
                              <m:t>r</m:t>
                            </m:r>
                            <m:ctrlPr>
                              <w:rPr>
                                <w:rFonts w:hint="default" w:ascii="Cambria Math" w:hAnsi="Cambria Math"/>
                                <w:i/>
                                <w:lang w:val="en-US" w:eastAsia="zh-CN"/>
                              </w:rPr>
                            </m:ctrlPr>
                          </m:num>
                          <m:den>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den>
                        </m:f>
                        <m:ctrlPr>
                          <w:rPr>
                            <w:rFonts w:hint="default" w:ascii="Cambria Math" w:hAnsi="Cambria Math"/>
                            <w:i/>
                            <w:lang w:val="en-US" w:eastAsia="zh-CN"/>
                          </w:rPr>
                        </m:ctrlPr>
                      </m:e>
                    </m:d>
                    <m:ctrlPr>
                      <w:rPr>
                        <w:rFonts w:hint="default" w:ascii="Cambria Math" w:hAnsi="Cambria Math"/>
                        <w:i/>
                        <w:lang w:val="en-US" w:eastAsia="zh-CN"/>
                      </w:rPr>
                    </m:ctrlPr>
                  </m:e>
                </m:func>
              </m:oMath>
            </m:oMathPara>
          </w:p>
          <w:p w14:paraId="4404A07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25C7DF9D">
            <w:pPr>
              <w:keepNext w:val="0"/>
              <w:keepLines w:val="0"/>
              <w:pageBreakBefore w:val="0"/>
              <w:widowControl w:val="0"/>
              <w:kinsoku/>
              <w:wordWrap/>
              <w:overflowPunct/>
              <w:topLinePunct w:val="0"/>
              <w:autoSpaceDE/>
              <w:autoSpaceDN/>
              <w:bidi w:val="0"/>
              <w:adjustRightInd w:val="0"/>
              <w:snapToGrid w:val="0"/>
              <w:textAlignment w:val="auto"/>
              <w:rPr>
                <w:rFonts w:hint="eastAsia" w:eastAsia="宋体"/>
                <w:lang w:val="en-US" w:eastAsia="zh-CN"/>
              </w:rPr>
            </w:pPr>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oMath>
            <w:r>
              <w:rPr>
                <w:rFonts w:hint="eastAsia" w:hAnsi="Cambria Math"/>
                <w:i w:val="0"/>
                <w:lang w:val="en-US" w:eastAsia="zh-CN"/>
              </w:rPr>
              <w:t>—预测点处声压级，</w:t>
            </w:r>
            <w:r>
              <w:rPr>
                <w:rFonts w:hint="eastAsia"/>
                <w:vertAlign w:val="baseline"/>
                <w:lang w:val="en-US" w:eastAsia="zh-CN"/>
              </w:rPr>
              <w:t>dB；</w:t>
            </w:r>
          </w:p>
          <w:p w14:paraId="593C80C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oMath>
            <w:r>
              <w:rPr>
                <w:rFonts w:hint="eastAsia" w:hAnsi="Cambria Math"/>
                <w:i w:val="0"/>
                <w:lang w:val="en-US" w:eastAsia="zh-CN"/>
              </w:rPr>
              <w:t>—参考位置𝑟</w:t>
            </w:r>
            <w:r>
              <w:rPr>
                <w:rFonts w:hint="eastAsia" w:hAnsi="Cambria Math"/>
                <w:i w:val="0"/>
                <w:vertAlign w:val="subscript"/>
                <w:lang w:val="en-US" w:eastAsia="zh-CN"/>
              </w:rPr>
              <w:t>0</w:t>
            </w:r>
            <w:r>
              <w:rPr>
                <w:rFonts w:hint="eastAsia" w:hAnsi="Cambria Math"/>
                <w:i w:val="0"/>
                <w:lang w:val="en-US" w:eastAsia="zh-CN"/>
              </w:rPr>
              <w:t>处的声压级，</w:t>
            </w:r>
            <w:r>
              <w:rPr>
                <w:rFonts w:hint="eastAsia"/>
                <w:vertAlign w:val="baseline"/>
                <w:lang w:val="en-US" w:eastAsia="zh-CN"/>
              </w:rPr>
              <w:t>dB；</w:t>
            </w:r>
          </w:p>
          <w:p w14:paraId="4556D62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r—预测点距离声源的距离，m；</w:t>
            </w:r>
          </w:p>
          <w:p w14:paraId="0EFB7F6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w:t>
            </w:r>
            <w:r>
              <w:rPr>
                <w:rFonts w:hint="eastAsia"/>
                <w:vertAlign w:val="subscript"/>
                <w:lang w:val="en-US" w:eastAsia="zh-CN"/>
              </w:rPr>
              <w:t>0</w:t>
            </w:r>
            <w:r>
              <w:rPr>
                <w:rFonts w:hint="eastAsia"/>
                <w:vertAlign w:val="baseline"/>
                <w:lang w:val="en-US" w:eastAsia="zh-CN"/>
              </w:rPr>
              <w:t>—参考位置距离声源的距离，1m。</w:t>
            </w:r>
          </w:p>
          <w:p w14:paraId="51DF969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④噪声源对预测点产生的贡献值公式</w:t>
            </w:r>
          </w:p>
          <w:p w14:paraId="5E73581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begChr m:val="["/>
                        <m:endChr m:val="]"/>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1</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den>
                        </m:f>
                        <m:d>
                          <m:dPr>
                            <m:ctrlPr>
                              <w:rPr>
                                <w:rFonts w:hint="default" w:ascii="Cambria Math" w:hAnsi="Cambria Math"/>
                                <w:i/>
                                <w:vertAlign w:val="baseline"/>
                                <w:lang w:val="en-US" w:eastAsia="zh-CN"/>
                              </w:rPr>
                            </m:ctrlPr>
                          </m:dPr>
                          <m:e>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i=1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N</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e>
                            </m:nary>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r>
                              <m:rPr/>
                              <w:rPr>
                                <w:rFonts w:hint="default" w:ascii="Cambria Math" w:hAnsi="Cambria Math"/>
                                <w:vertAlign w:val="baseline"/>
                                <w:lang w:val="en-US" w:eastAsia="zh-CN"/>
                              </w:rPr>
                              <m:t>+</m:t>
                            </m:r>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j=1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M</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j</m:t>
                                    </m:r>
                                    <m:ctrlPr>
                                      <w:rPr>
                                        <w:rFonts w:hint="default" w:ascii="Cambria Math" w:hAnsi="Cambria Math"/>
                                        <w:i/>
                                        <w:vertAlign w:val="baseline"/>
                                        <w:lang w:val="en-US" w:eastAsia="zh-CN"/>
                                      </w:rPr>
                                    </m:ctrlPr>
                                  </m:sub>
                                </m:sSub>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Aj</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ctrlPr>
                                  <w:rPr>
                                    <w:rFonts w:hint="default" w:ascii="Cambria Math" w:hAnsi="Cambria Math"/>
                                    <w:i/>
                                    <w:vertAlign w:val="baseline"/>
                                    <w:lang w:val="en-US" w:eastAsia="zh-CN"/>
                                  </w:rPr>
                                </m:ctrlPr>
                              </m:e>
                            </m:nary>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34BCDA47">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F2E7E8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oMath>
            <w:r>
              <w:rPr>
                <w:rFonts w:hint="eastAsia" w:hAnsi="Cambria Math"/>
                <w:i w:val="0"/>
                <w:vertAlign w:val="baseline"/>
                <w:lang w:val="en-US" w:eastAsia="zh-CN"/>
              </w:rPr>
              <w:t>—建设项目声源在预测点产生的噪声贡献值，</w:t>
            </w:r>
            <w:r>
              <w:rPr>
                <w:rFonts w:hint="eastAsia"/>
                <w:vertAlign w:val="baseline"/>
                <w:lang w:val="en-US" w:eastAsia="zh-CN"/>
              </w:rPr>
              <w:t>dB；</w:t>
            </w:r>
          </w:p>
          <w:p w14:paraId="1F2CF63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T—用于计算等效声级的时间，s；</w:t>
            </w:r>
          </w:p>
          <w:p w14:paraId="6675DE36">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N—室外声源个数；</w:t>
            </w:r>
          </w:p>
          <w:p w14:paraId="6EE78615">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w:t>
            </w:r>
            <w:r>
              <w:rPr>
                <w:rFonts w:hint="eastAsia"/>
                <w:vertAlign w:val="subscript"/>
                <w:lang w:val="en-US" w:eastAsia="zh-CN"/>
              </w:rPr>
              <w:t>i</w:t>
            </w:r>
            <w:r>
              <w:rPr>
                <w:rFonts w:hint="eastAsia"/>
                <w:vertAlign w:val="baseline"/>
                <w:lang w:val="en-US" w:eastAsia="zh-CN"/>
              </w:rPr>
              <w:t>—在T时间内i声源工作时间，s；</w:t>
            </w:r>
          </w:p>
          <w:p w14:paraId="3ED1041E">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L</w:t>
            </w:r>
            <w:r>
              <w:rPr>
                <w:rFonts w:hint="eastAsia"/>
                <w:vertAlign w:val="subscript"/>
                <w:lang w:val="en-US" w:eastAsia="zh-CN"/>
              </w:rPr>
              <w:t>Ai</w:t>
            </w:r>
            <w:r>
              <w:rPr>
                <w:rFonts w:hint="eastAsia"/>
                <w:vertAlign w:val="baseline"/>
                <w:lang w:val="en-US" w:eastAsia="zh-CN"/>
              </w:rPr>
              <w:t>—i声源在预测点产生的等效连续A声级，dB；</w:t>
            </w:r>
          </w:p>
          <w:p w14:paraId="7EA1FF53">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M—等效室外声源个数；</w:t>
            </w:r>
          </w:p>
          <w:p w14:paraId="02D043B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t</w:t>
            </w:r>
            <w:r>
              <w:rPr>
                <w:rFonts w:hint="eastAsia"/>
                <w:vertAlign w:val="subscript"/>
                <w:lang w:val="en-US" w:eastAsia="zh-CN"/>
              </w:rPr>
              <w:t>j</w:t>
            </w:r>
            <w:r>
              <w:rPr>
                <w:rFonts w:hint="eastAsia"/>
                <w:vertAlign w:val="baseline"/>
                <w:lang w:val="en-US" w:eastAsia="zh-CN"/>
              </w:rPr>
              <w:t>—在T时间内j声源工作时间，s；</w:t>
            </w:r>
          </w:p>
          <w:p w14:paraId="3615956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L</w:t>
            </w:r>
            <w:r>
              <w:rPr>
                <w:rFonts w:hint="eastAsia"/>
                <w:vertAlign w:val="subscript"/>
                <w:lang w:val="en-US" w:eastAsia="zh-CN"/>
              </w:rPr>
              <w:t>Aj</w:t>
            </w:r>
            <w:r>
              <w:rPr>
                <w:rFonts w:hint="eastAsia"/>
                <w:vertAlign w:val="baseline"/>
                <w:lang w:val="en-US" w:eastAsia="zh-CN"/>
              </w:rPr>
              <w:t>—j声源在预测点产生的等效连续A声级，dB。</w:t>
            </w:r>
          </w:p>
          <w:p w14:paraId="3D423672">
            <w:pPr>
              <w:pStyle w:val="11"/>
              <w:bidi w:val="0"/>
              <w:rPr>
                <w:rFonts w:hint="eastAsia"/>
                <w:lang w:val="en-US" w:eastAsia="zh-CN"/>
              </w:rPr>
            </w:pPr>
            <w:r>
              <w:rPr>
                <w:rFonts w:hint="eastAsia"/>
                <w:lang w:val="en-US" w:eastAsia="zh-CN"/>
              </w:rPr>
              <w:t xml:space="preserve">表4-17 </w:t>
            </w:r>
            <w:r>
              <w:rPr>
                <w:rFonts w:hint="eastAsia"/>
                <w:highlight w:val="none"/>
                <w:lang w:val="en-US" w:eastAsia="zh-CN"/>
              </w:rPr>
              <w:t xml:space="preserve">运营期间厂界噪声预测结果 </w:t>
            </w:r>
            <w:r>
              <w:rPr>
                <w:rFonts w:hint="eastAsia"/>
                <w:lang w:val="en-US" w:eastAsia="zh-CN"/>
              </w:rPr>
              <w:t xml:space="preserve"> 单位：dB(A)</w:t>
            </w:r>
          </w:p>
          <w:tbl>
            <w:tblPr>
              <w:tblStyle w:val="8"/>
              <w:tblW w:w="80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756"/>
              <w:gridCol w:w="756"/>
              <w:gridCol w:w="756"/>
              <w:gridCol w:w="934"/>
              <w:gridCol w:w="1334"/>
              <w:gridCol w:w="1334"/>
              <w:gridCol w:w="1118"/>
            </w:tblGrid>
            <w:tr w14:paraId="36E7CA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restart"/>
                  <w:tcBorders>
                    <w:tl2br w:val="nil"/>
                    <w:tr2bl w:val="nil"/>
                  </w:tcBorders>
                  <w:vAlign w:val="center"/>
                </w:tcPr>
                <w:p w14:paraId="3B4825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预测方位</w:t>
                  </w:r>
                </w:p>
              </w:tc>
              <w:tc>
                <w:tcPr>
                  <w:tcW w:w="2268" w:type="dxa"/>
                  <w:gridSpan w:val="3"/>
                  <w:tcBorders>
                    <w:tl2br w:val="nil"/>
                    <w:tr2bl w:val="nil"/>
                  </w:tcBorders>
                  <w:vAlign w:val="center"/>
                </w:tcPr>
                <w:p w14:paraId="519DC4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lang w:val="en-US" w:eastAsia="zh-CN"/>
                    </w:rPr>
                    <w:t>最大值点</w:t>
                  </w:r>
                  <w:r>
                    <w:rPr>
                      <w:rFonts w:hint="default" w:ascii="Times New Roman" w:hAnsi="Times New Roman" w:eastAsia="宋体" w:cs="Times New Roman"/>
                      <w:b/>
                      <w:color w:val="auto"/>
                      <w:sz w:val="21"/>
                      <w:szCs w:val="21"/>
                    </w:rPr>
                    <w:t>空间相对位置/m</w:t>
                  </w:r>
                </w:p>
              </w:tc>
              <w:tc>
                <w:tcPr>
                  <w:tcW w:w="934" w:type="dxa"/>
                  <w:vMerge w:val="restart"/>
                  <w:tcBorders>
                    <w:tl2br w:val="nil"/>
                    <w:tr2bl w:val="nil"/>
                  </w:tcBorders>
                  <w:vAlign w:val="center"/>
                </w:tcPr>
                <w:p w14:paraId="4B002C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时段</w:t>
                  </w:r>
                </w:p>
              </w:tc>
              <w:tc>
                <w:tcPr>
                  <w:tcW w:w="1334" w:type="dxa"/>
                  <w:vMerge w:val="restart"/>
                  <w:tcBorders>
                    <w:tl2br w:val="nil"/>
                    <w:tr2bl w:val="nil"/>
                  </w:tcBorders>
                  <w:vAlign w:val="center"/>
                </w:tcPr>
                <w:p w14:paraId="30A704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贡献值（dB(A)）</w:t>
                  </w:r>
                </w:p>
              </w:tc>
              <w:tc>
                <w:tcPr>
                  <w:tcW w:w="1334" w:type="dxa"/>
                  <w:vMerge w:val="restart"/>
                  <w:tcBorders>
                    <w:tl2br w:val="nil"/>
                    <w:tr2bl w:val="nil"/>
                  </w:tcBorders>
                  <w:vAlign w:val="center"/>
                </w:tcPr>
                <w:p w14:paraId="219F48B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标准限值（dB(A)）</w:t>
                  </w:r>
                </w:p>
              </w:tc>
              <w:tc>
                <w:tcPr>
                  <w:tcW w:w="1118" w:type="dxa"/>
                  <w:vMerge w:val="restart"/>
                  <w:tcBorders>
                    <w:tl2br w:val="nil"/>
                    <w:tr2bl w:val="nil"/>
                  </w:tcBorders>
                  <w:vAlign w:val="center"/>
                </w:tcPr>
                <w:p w14:paraId="603266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231000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continue"/>
                  <w:tcBorders>
                    <w:tl2br w:val="nil"/>
                    <w:tr2bl w:val="nil"/>
                  </w:tcBorders>
                  <w:shd w:val="clear" w:color="auto" w:fill="FFFFFF"/>
                  <w:vAlign w:val="center"/>
                </w:tcPr>
                <w:p w14:paraId="16C714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756" w:type="dxa"/>
                  <w:tcBorders>
                    <w:tl2br w:val="nil"/>
                    <w:tr2bl w:val="nil"/>
                  </w:tcBorders>
                  <w:shd w:val="clear" w:color="auto" w:fill="FFFFFF"/>
                  <w:vAlign w:val="center"/>
                </w:tcPr>
                <w:p w14:paraId="6891452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756" w:type="dxa"/>
                  <w:tcBorders>
                    <w:tl2br w:val="nil"/>
                    <w:tr2bl w:val="nil"/>
                  </w:tcBorders>
                  <w:shd w:val="clear" w:color="auto" w:fill="FFFFFF"/>
                  <w:vAlign w:val="center"/>
                </w:tcPr>
                <w:p w14:paraId="341B6B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756" w:type="dxa"/>
                  <w:tcBorders>
                    <w:tl2br w:val="nil"/>
                    <w:tr2bl w:val="nil"/>
                  </w:tcBorders>
                  <w:shd w:val="clear" w:color="auto" w:fill="FFFFFF"/>
                  <w:vAlign w:val="center"/>
                </w:tcPr>
                <w:p w14:paraId="72F98D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934" w:type="dxa"/>
                  <w:vMerge w:val="continue"/>
                  <w:tcBorders>
                    <w:tl2br w:val="nil"/>
                    <w:tr2bl w:val="nil"/>
                  </w:tcBorders>
                  <w:shd w:val="clear" w:color="auto" w:fill="FFFFFF"/>
                  <w:vAlign w:val="center"/>
                </w:tcPr>
                <w:p w14:paraId="44B397F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1D5B7E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222C4EA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18" w:type="dxa"/>
                  <w:vMerge w:val="continue"/>
                  <w:tcBorders>
                    <w:tl2br w:val="nil"/>
                    <w:tr2bl w:val="nil"/>
                  </w:tcBorders>
                  <w:shd w:val="clear" w:color="auto" w:fill="FFFFFF"/>
                  <w:vAlign w:val="center"/>
                </w:tcPr>
                <w:p w14:paraId="3D5C0F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6E729C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tcBorders>
                    <w:tl2br w:val="nil"/>
                    <w:tr2bl w:val="nil"/>
                  </w:tcBorders>
                  <w:shd w:val="clear" w:color="auto" w:fill="FFFFFF"/>
                  <w:vAlign w:val="center"/>
                </w:tcPr>
                <w:p w14:paraId="1703A9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东</w:t>
                  </w:r>
                  <w:r>
                    <w:rPr>
                      <w:rFonts w:hint="default" w:ascii="Times New Roman" w:hAnsi="Times New Roman" w:eastAsia="宋体" w:cs="Times New Roman"/>
                      <w:color w:val="auto"/>
                      <w:sz w:val="21"/>
                      <w:szCs w:val="21"/>
                    </w:rPr>
                    <w:t>侧</w:t>
                  </w:r>
                </w:p>
              </w:tc>
              <w:tc>
                <w:tcPr>
                  <w:tcW w:w="756" w:type="dxa"/>
                  <w:tcBorders>
                    <w:tl2br w:val="nil"/>
                    <w:tr2bl w:val="nil"/>
                  </w:tcBorders>
                  <w:shd w:val="clear" w:color="auto" w:fill="FFFFFF"/>
                  <w:vAlign w:val="center"/>
                </w:tcPr>
                <w:p w14:paraId="58DBC9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8.1</w:t>
                  </w:r>
                </w:p>
              </w:tc>
              <w:tc>
                <w:tcPr>
                  <w:tcW w:w="756" w:type="dxa"/>
                  <w:tcBorders>
                    <w:tl2br w:val="nil"/>
                    <w:tr2bl w:val="nil"/>
                  </w:tcBorders>
                  <w:shd w:val="clear" w:color="auto" w:fill="FFFFFF"/>
                  <w:vAlign w:val="center"/>
                </w:tcPr>
                <w:p w14:paraId="4642E81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756" w:type="dxa"/>
                  <w:tcBorders>
                    <w:tl2br w:val="nil"/>
                    <w:tr2bl w:val="nil"/>
                  </w:tcBorders>
                  <w:shd w:val="clear" w:color="auto" w:fill="FFFFFF"/>
                  <w:vAlign w:val="center"/>
                </w:tcPr>
                <w:p w14:paraId="1220467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4308086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334" w:type="dxa"/>
                  <w:tcBorders>
                    <w:tl2br w:val="nil"/>
                    <w:tr2bl w:val="nil"/>
                  </w:tcBorders>
                  <w:shd w:val="clear" w:color="auto" w:fill="FFFFFF"/>
                  <w:vAlign w:val="center"/>
                </w:tcPr>
                <w:p w14:paraId="2CD5EC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50.1</w:t>
                  </w:r>
                </w:p>
              </w:tc>
              <w:tc>
                <w:tcPr>
                  <w:tcW w:w="1334" w:type="dxa"/>
                  <w:tcBorders>
                    <w:tl2br w:val="nil"/>
                    <w:tr2bl w:val="nil"/>
                  </w:tcBorders>
                  <w:shd w:val="clear" w:color="auto" w:fill="FFFFFF"/>
                  <w:vAlign w:val="center"/>
                </w:tcPr>
                <w:p w14:paraId="44F0144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1118" w:type="dxa"/>
                  <w:tcBorders>
                    <w:tl2br w:val="nil"/>
                    <w:tr2bl w:val="nil"/>
                  </w:tcBorders>
                  <w:shd w:val="clear" w:color="auto" w:fill="FFFFFF"/>
                  <w:vAlign w:val="center"/>
                </w:tcPr>
                <w:p w14:paraId="488AD9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bl>
          <w:p w14:paraId="3E8D6536">
            <w:pPr>
              <w:pStyle w:val="12"/>
              <w:bidi w:val="0"/>
              <w:rPr>
                <w:rFonts w:hint="eastAsia"/>
                <w:lang w:val="en-US" w:eastAsia="zh-CN"/>
              </w:rPr>
            </w:pPr>
            <w:r>
              <w:rPr>
                <w:rFonts w:hint="eastAsia"/>
                <w:lang w:val="en-US" w:eastAsia="zh-CN"/>
              </w:rPr>
              <w:t>注：表中坐标以厂界中心（116.132263,39.732467）为坐标原点，正东向为X轴正方向，正北向为Y轴正方向</w:t>
            </w:r>
          </w:p>
          <w:p w14:paraId="3E49915E">
            <w:pPr>
              <w:pStyle w:val="11"/>
              <w:bidi w:val="0"/>
              <w:rPr>
                <w:rFonts w:hint="eastAsia"/>
                <w:lang w:val="en-US" w:eastAsia="zh-CN"/>
              </w:rPr>
            </w:pPr>
            <w:r>
              <w:rPr>
                <w:rFonts w:hint="eastAsia"/>
                <w:lang w:val="en-US" w:eastAsia="zh-CN"/>
              </w:rPr>
              <w:t>表4-18 项目敏感目标昼间噪声预测结果一览表  单位：dB(A)</w:t>
            </w:r>
          </w:p>
          <w:tbl>
            <w:tblPr>
              <w:tblStyle w:val="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276"/>
              <w:gridCol w:w="1398"/>
              <w:gridCol w:w="1398"/>
              <w:gridCol w:w="1398"/>
              <w:gridCol w:w="1401"/>
              <w:gridCol w:w="781"/>
            </w:tblGrid>
            <w:tr w14:paraId="406C4B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tcBorders>
                    <w:tl2br w:val="nil"/>
                    <w:tr2bl w:val="nil"/>
                  </w:tcBorders>
                  <w:vAlign w:val="center"/>
                </w:tcPr>
                <w:p w14:paraId="667F40E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序号</w:t>
                  </w:r>
                </w:p>
              </w:tc>
              <w:tc>
                <w:tcPr>
                  <w:tcW w:w="1276" w:type="dxa"/>
                  <w:tcBorders>
                    <w:tl2br w:val="nil"/>
                    <w:tr2bl w:val="nil"/>
                  </w:tcBorders>
                  <w:vAlign w:val="center"/>
                </w:tcPr>
                <w:p w14:paraId="64F0808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声环境保护目标名称</w:t>
                  </w:r>
                </w:p>
              </w:tc>
              <w:tc>
                <w:tcPr>
                  <w:tcW w:w="1398" w:type="dxa"/>
                  <w:tcBorders>
                    <w:tl2br w:val="nil"/>
                    <w:tr2bl w:val="nil"/>
                  </w:tcBorders>
                  <w:vAlign w:val="center"/>
                </w:tcPr>
                <w:p w14:paraId="00FBE51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噪声现状值</w:t>
                  </w:r>
                </w:p>
              </w:tc>
              <w:tc>
                <w:tcPr>
                  <w:tcW w:w="1398" w:type="dxa"/>
                  <w:tcBorders>
                    <w:tl2br w:val="nil"/>
                    <w:tr2bl w:val="nil"/>
                  </w:tcBorders>
                  <w:vAlign w:val="center"/>
                </w:tcPr>
                <w:p w14:paraId="5E6BB30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噪声标准</w:t>
                  </w:r>
                  <w:r>
                    <w:rPr>
                      <w:rFonts w:hint="default" w:ascii="Times New Roman" w:hAnsi="Times New Roman" w:eastAsia="宋体" w:cs="Times New Roman"/>
                      <w:b/>
                      <w:bCs w:val="0"/>
                      <w:color w:val="auto"/>
                      <w:sz w:val="21"/>
                      <w:szCs w:val="21"/>
                    </w:rPr>
                    <w:t>值</w:t>
                  </w:r>
                </w:p>
              </w:tc>
              <w:tc>
                <w:tcPr>
                  <w:tcW w:w="1398" w:type="dxa"/>
                  <w:tcBorders>
                    <w:tl2br w:val="nil"/>
                    <w:tr2bl w:val="nil"/>
                  </w:tcBorders>
                  <w:vAlign w:val="center"/>
                </w:tcPr>
                <w:p w14:paraId="30A6015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噪声贡献值</w:t>
                  </w:r>
                </w:p>
              </w:tc>
              <w:tc>
                <w:tcPr>
                  <w:tcW w:w="1401" w:type="dxa"/>
                  <w:tcBorders>
                    <w:tl2br w:val="nil"/>
                    <w:tr2bl w:val="nil"/>
                  </w:tcBorders>
                  <w:vAlign w:val="center"/>
                </w:tcPr>
                <w:p w14:paraId="565CE79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噪声预测值</w:t>
                  </w:r>
                </w:p>
              </w:tc>
              <w:tc>
                <w:tcPr>
                  <w:tcW w:w="781" w:type="dxa"/>
                  <w:tcBorders>
                    <w:tl2br w:val="nil"/>
                    <w:tr2bl w:val="nil"/>
                  </w:tcBorders>
                  <w:vAlign w:val="center"/>
                </w:tcPr>
                <w:p w14:paraId="22FB3D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46094D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2078C2B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76" w:type="dxa"/>
                  <w:tcBorders>
                    <w:tl2br w:val="nil"/>
                    <w:tr2bl w:val="nil"/>
                  </w:tcBorders>
                  <w:shd w:val="clear" w:color="auto" w:fill="FFFFFF"/>
                  <w:vAlign w:val="center"/>
                </w:tcPr>
                <w:p w14:paraId="58747FC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拱辰星园4号楼5m</w:t>
                  </w:r>
                </w:p>
              </w:tc>
              <w:tc>
                <w:tcPr>
                  <w:tcW w:w="1398" w:type="dxa"/>
                  <w:tcBorders>
                    <w:tl2br w:val="nil"/>
                    <w:tr2bl w:val="nil"/>
                  </w:tcBorders>
                  <w:shd w:val="clear" w:color="auto" w:fill="FFFFFF"/>
                  <w:vAlign w:val="center"/>
                </w:tcPr>
                <w:p w14:paraId="41F8B70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57</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655E7E8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4BCDE9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41.0</w:t>
                  </w:r>
                  <w:r>
                    <w:rPr>
                      <w:rFonts w:hint="default" w:ascii="Times New Roman" w:hAnsi="Times New Roman" w:eastAsia="宋体" w:cs="Times New Roman"/>
                      <w:b w:val="0"/>
                      <w:bCs/>
                      <w:color w:val="auto"/>
                      <w:sz w:val="21"/>
                      <w:szCs w:val="21"/>
                    </w:rPr>
                    <w:t>dB(A)</w:t>
                  </w:r>
                </w:p>
              </w:tc>
              <w:tc>
                <w:tcPr>
                  <w:tcW w:w="1401" w:type="dxa"/>
                  <w:tcBorders>
                    <w:tl2br w:val="nil"/>
                    <w:tr2bl w:val="nil"/>
                  </w:tcBorders>
                  <w:shd w:val="clear" w:color="auto" w:fill="FFFFFF"/>
                  <w:vAlign w:val="center"/>
                </w:tcPr>
                <w:p w14:paraId="240953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57.1</w:t>
                  </w:r>
                  <w:r>
                    <w:rPr>
                      <w:rFonts w:hint="default" w:ascii="Times New Roman" w:hAnsi="Times New Roman" w:eastAsia="宋体" w:cs="Times New Roman"/>
                      <w:b w:val="0"/>
                      <w:bCs/>
                      <w:color w:val="auto"/>
                      <w:sz w:val="21"/>
                      <w:szCs w:val="21"/>
                    </w:rPr>
                    <w:t>dB(A)</w:t>
                  </w:r>
                </w:p>
              </w:tc>
              <w:tc>
                <w:tcPr>
                  <w:tcW w:w="781" w:type="dxa"/>
                  <w:tcBorders>
                    <w:tl2br w:val="nil"/>
                    <w:tr2bl w:val="nil"/>
                  </w:tcBorders>
                  <w:shd w:val="clear" w:color="auto" w:fill="FFFFFF"/>
                  <w:vAlign w:val="center"/>
                </w:tcPr>
                <w:p w14:paraId="3A588F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633DC4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40AB48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276" w:type="dxa"/>
                  <w:tcBorders>
                    <w:tl2br w:val="nil"/>
                    <w:tr2bl w:val="nil"/>
                  </w:tcBorders>
                  <w:shd w:val="clear" w:color="auto" w:fill="FFFFFF"/>
                  <w:vAlign w:val="center"/>
                </w:tcPr>
                <w:p w14:paraId="33B5C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房山区良乡第二中学</w:t>
                  </w:r>
                </w:p>
              </w:tc>
              <w:tc>
                <w:tcPr>
                  <w:tcW w:w="1398" w:type="dxa"/>
                  <w:tcBorders>
                    <w:tl2br w:val="nil"/>
                    <w:tr2bl w:val="nil"/>
                  </w:tcBorders>
                  <w:shd w:val="clear" w:color="auto" w:fill="FFFFFF"/>
                  <w:vAlign w:val="center"/>
                </w:tcPr>
                <w:p w14:paraId="6CD6759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57</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5ED04D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59FDDF3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w:t>
                  </w:r>
                  <w:r>
                    <w:rPr>
                      <w:rFonts w:hint="default" w:ascii="Times New Roman" w:hAnsi="Times New Roman" w:eastAsia="宋体" w:cs="Times New Roman"/>
                      <w:b w:val="0"/>
                      <w:bCs/>
                      <w:color w:val="auto"/>
                      <w:sz w:val="21"/>
                      <w:szCs w:val="21"/>
                    </w:rPr>
                    <w:t>dB(A)</w:t>
                  </w:r>
                </w:p>
              </w:tc>
              <w:tc>
                <w:tcPr>
                  <w:tcW w:w="1401" w:type="dxa"/>
                  <w:tcBorders>
                    <w:tl2br w:val="nil"/>
                    <w:tr2bl w:val="nil"/>
                  </w:tcBorders>
                  <w:shd w:val="clear" w:color="auto" w:fill="FFFFFF"/>
                  <w:vAlign w:val="center"/>
                </w:tcPr>
                <w:p w14:paraId="5AFEFD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57.0</w:t>
                  </w:r>
                  <w:r>
                    <w:rPr>
                      <w:rFonts w:hint="default" w:ascii="Times New Roman" w:hAnsi="Times New Roman" w:eastAsia="宋体" w:cs="Times New Roman"/>
                      <w:b w:val="0"/>
                      <w:bCs/>
                      <w:color w:val="auto"/>
                      <w:sz w:val="21"/>
                      <w:szCs w:val="21"/>
                    </w:rPr>
                    <w:t>dB(A)</w:t>
                  </w:r>
                </w:p>
              </w:tc>
              <w:tc>
                <w:tcPr>
                  <w:tcW w:w="781" w:type="dxa"/>
                  <w:tcBorders>
                    <w:tl2br w:val="nil"/>
                    <w:tr2bl w:val="nil"/>
                  </w:tcBorders>
                  <w:shd w:val="clear" w:color="auto" w:fill="FFFFFF"/>
                  <w:vAlign w:val="center"/>
                </w:tcPr>
                <w:p w14:paraId="4E5A00E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167ACD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433C05E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276" w:type="dxa"/>
                  <w:tcBorders>
                    <w:tl2br w:val="nil"/>
                    <w:tr2bl w:val="nil"/>
                  </w:tcBorders>
                  <w:shd w:val="clear" w:color="auto" w:fill="FFFFFF"/>
                  <w:vAlign w:val="center"/>
                </w:tcPr>
                <w:p w14:paraId="2E6D38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楸树家园1号楼</w:t>
                  </w:r>
                </w:p>
              </w:tc>
              <w:tc>
                <w:tcPr>
                  <w:tcW w:w="1398" w:type="dxa"/>
                  <w:tcBorders>
                    <w:tl2br w:val="nil"/>
                    <w:tr2bl w:val="nil"/>
                  </w:tcBorders>
                  <w:shd w:val="clear" w:color="auto" w:fill="FFFFFF"/>
                  <w:vAlign w:val="center"/>
                </w:tcPr>
                <w:p w14:paraId="48C037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58</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44812EF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2917970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22.9</w:t>
                  </w:r>
                  <w:r>
                    <w:rPr>
                      <w:rFonts w:hint="default" w:ascii="Times New Roman" w:hAnsi="Times New Roman" w:eastAsia="宋体" w:cs="Times New Roman"/>
                      <w:b w:val="0"/>
                      <w:bCs/>
                      <w:color w:val="auto"/>
                      <w:sz w:val="21"/>
                      <w:szCs w:val="21"/>
                    </w:rPr>
                    <w:t>dB(A)</w:t>
                  </w:r>
                </w:p>
              </w:tc>
              <w:tc>
                <w:tcPr>
                  <w:tcW w:w="1401" w:type="dxa"/>
                  <w:tcBorders>
                    <w:tl2br w:val="nil"/>
                    <w:tr2bl w:val="nil"/>
                  </w:tcBorders>
                  <w:shd w:val="clear" w:color="auto" w:fill="FFFFFF"/>
                  <w:vAlign w:val="center"/>
                </w:tcPr>
                <w:p w14:paraId="0F404D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58.0</w:t>
                  </w:r>
                  <w:r>
                    <w:rPr>
                      <w:rFonts w:hint="default" w:ascii="Times New Roman" w:hAnsi="Times New Roman" w:eastAsia="宋体" w:cs="Times New Roman"/>
                      <w:b w:val="0"/>
                      <w:bCs/>
                      <w:color w:val="auto"/>
                      <w:sz w:val="21"/>
                      <w:szCs w:val="21"/>
                    </w:rPr>
                    <w:t>dB(A)</w:t>
                  </w:r>
                </w:p>
              </w:tc>
              <w:tc>
                <w:tcPr>
                  <w:tcW w:w="781" w:type="dxa"/>
                  <w:tcBorders>
                    <w:tl2br w:val="nil"/>
                    <w:tr2bl w:val="nil"/>
                  </w:tcBorders>
                  <w:shd w:val="clear" w:color="auto" w:fill="FFFFFF"/>
                  <w:vAlign w:val="center"/>
                </w:tcPr>
                <w:p w14:paraId="7A9D2D9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608C07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451AFA6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276" w:type="dxa"/>
                  <w:tcBorders>
                    <w:tl2br w:val="nil"/>
                    <w:tr2bl w:val="nil"/>
                  </w:tcBorders>
                  <w:shd w:val="clear" w:color="auto" w:fill="FFFFFF"/>
                  <w:vAlign w:val="center"/>
                </w:tcPr>
                <w:p w14:paraId="56BDD3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楸树家园2号楼</w:t>
                  </w:r>
                </w:p>
              </w:tc>
              <w:tc>
                <w:tcPr>
                  <w:tcW w:w="1398" w:type="dxa"/>
                  <w:tcBorders>
                    <w:tl2br w:val="nil"/>
                    <w:tr2bl w:val="nil"/>
                  </w:tcBorders>
                  <w:shd w:val="clear" w:color="auto" w:fill="FFFFFF"/>
                  <w:vAlign w:val="center"/>
                </w:tcPr>
                <w:p w14:paraId="20590C9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58</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5BCD68C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r>
                    <w:rPr>
                      <w:rFonts w:hint="default" w:ascii="Times New Roman" w:hAnsi="Times New Roman" w:eastAsia="宋体" w:cs="Times New Roman"/>
                      <w:b w:val="0"/>
                      <w:bCs/>
                      <w:color w:val="auto"/>
                      <w:sz w:val="21"/>
                      <w:szCs w:val="21"/>
                    </w:rPr>
                    <w:t>dB(A)</w:t>
                  </w:r>
                </w:p>
              </w:tc>
              <w:tc>
                <w:tcPr>
                  <w:tcW w:w="1398" w:type="dxa"/>
                  <w:tcBorders>
                    <w:tl2br w:val="nil"/>
                    <w:tr2bl w:val="nil"/>
                  </w:tcBorders>
                  <w:shd w:val="clear" w:color="auto" w:fill="FFFFFF"/>
                  <w:vAlign w:val="center"/>
                </w:tcPr>
                <w:p w14:paraId="5BC0649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20.0</w:t>
                  </w:r>
                  <w:r>
                    <w:rPr>
                      <w:rFonts w:hint="default" w:ascii="Times New Roman" w:hAnsi="Times New Roman" w:eastAsia="宋体" w:cs="Times New Roman"/>
                      <w:b w:val="0"/>
                      <w:bCs/>
                      <w:color w:val="auto"/>
                      <w:sz w:val="21"/>
                      <w:szCs w:val="21"/>
                    </w:rPr>
                    <w:t>dB(A)</w:t>
                  </w:r>
                </w:p>
              </w:tc>
              <w:tc>
                <w:tcPr>
                  <w:tcW w:w="1401" w:type="dxa"/>
                  <w:tcBorders>
                    <w:tl2br w:val="nil"/>
                    <w:tr2bl w:val="nil"/>
                  </w:tcBorders>
                  <w:shd w:val="clear" w:color="auto" w:fill="FFFFFF"/>
                  <w:vAlign w:val="center"/>
                </w:tcPr>
                <w:p w14:paraId="76693E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58.0</w:t>
                  </w:r>
                  <w:r>
                    <w:rPr>
                      <w:rFonts w:hint="default" w:ascii="Times New Roman" w:hAnsi="Times New Roman" w:eastAsia="宋体" w:cs="Times New Roman"/>
                      <w:b w:val="0"/>
                      <w:bCs/>
                      <w:color w:val="auto"/>
                      <w:sz w:val="21"/>
                      <w:szCs w:val="21"/>
                    </w:rPr>
                    <w:t>dB(A)</w:t>
                  </w:r>
                </w:p>
              </w:tc>
              <w:tc>
                <w:tcPr>
                  <w:tcW w:w="781" w:type="dxa"/>
                  <w:tcBorders>
                    <w:tl2br w:val="nil"/>
                    <w:tr2bl w:val="nil"/>
                  </w:tcBorders>
                  <w:shd w:val="clear" w:color="auto" w:fill="FFFFFF"/>
                  <w:vAlign w:val="center"/>
                </w:tcPr>
                <w:p w14:paraId="650755E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bl>
          <w:p w14:paraId="6A81C8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（4）声环境影响分析结论</w:t>
            </w:r>
          </w:p>
          <w:p w14:paraId="66FA6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项目不设住院服务，故项目无夜间运行。项目对噪声源采取合理布局。产生的噪声经减振、建筑物隔声及距离衰减作用后，项目厂界的噪声贡献值可以达到国家《工业企业厂界环境噪声排放标准》（GB12348-2008）中2类标准限值的要求。项目噪声传播至周围住宅楼处，对其本底噪声没有明显影响，预测值能够达到《声环境质量标准》（GB3096-2008）中2类标准要求。项目噪声对所在地声环境及周围各住宅楼居住环境影响较小。</w:t>
            </w:r>
          </w:p>
          <w:p w14:paraId="140C94A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819-2017），项目噪声监测计划见下表中所示，由于项目南厂界、北厂界、西厂界均位于商业建筑内部，与其他商业单位紧邻，故项目运行期噪声监测计划仅对东厂界进行。</w:t>
            </w:r>
          </w:p>
          <w:p w14:paraId="3C0FD8B9">
            <w:pPr>
              <w:pStyle w:val="11"/>
              <w:bidi w:val="0"/>
              <w:rPr>
                <w:rFonts w:hint="default"/>
                <w:lang w:val="en-US" w:eastAsia="zh-CN"/>
              </w:rPr>
            </w:pPr>
            <w:r>
              <w:rPr>
                <w:rFonts w:hint="eastAsia"/>
                <w:lang w:val="en-US" w:eastAsia="zh-CN"/>
              </w:rPr>
              <w:t>表4-18 本项目噪声监测计划</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45"/>
              <w:gridCol w:w="1710"/>
              <w:gridCol w:w="1125"/>
              <w:gridCol w:w="2888"/>
            </w:tblGrid>
            <w:tr w14:paraId="68115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53DC5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5" w:type="dxa"/>
                  <w:tcBorders>
                    <w:tl2br w:val="nil"/>
                    <w:tr2bl w:val="nil"/>
                  </w:tcBorders>
                  <w:vAlign w:val="center"/>
                </w:tcPr>
                <w:p w14:paraId="0DE7A8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710" w:type="dxa"/>
                  <w:tcBorders>
                    <w:tl2br w:val="nil"/>
                    <w:tr2bl w:val="nil"/>
                  </w:tcBorders>
                  <w:vAlign w:val="center"/>
                </w:tcPr>
                <w:p w14:paraId="60EBEB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125" w:type="dxa"/>
                  <w:tcBorders>
                    <w:tl2br w:val="nil"/>
                    <w:tr2bl w:val="nil"/>
                  </w:tcBorders>
                  <w:vAlign w:val="center"/>
                </w:tcPr>
                <w:p w14:paraId="68E3FC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2888" w:type="dxa"/>
                  <w:tcBorders>
                    <w:tl2br w:val="nil"/>
                    <w:tr2bl w:val="nil"/>
                  </w:tcBorders>
                  <w:vAlign w:val="center"/>
                </w:tcPr>
                <w:p w14:paraId="682F2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0DDB93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1DC6C4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5" w:type="dxa"/>
                  <w:tcBorders>
                    <w:tl2br w:val="nil"/>
                    <w:tr2bl w:val="nil"/>
                  </w:tcBorders>
                  <w:vAlign w:val="center"/>
                </w:tcPr>
                <w:p w14:paraId="2CDA6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项目所在楼东厂界外1m</w:t>
                  </w:r>
                </w:p>
              </w:tc>
              <w:tc>
                <w:tcPr>
                  <w:tcW w:w="1710" w:type="dxa"/>
                  <w:tcBorders>
                    <w:tl2br w:val="nil"/>
                    <w:tr2bl w:val="nil"/>
                  </w:tcBorders>
                  <w:vAlign w:val="center"/>
                </w:tcPr>
                <w:p w14:paraId="04712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1125" w:type="dxa"/>
                  <w:tcBorders>
                    <w:tl2br w:val="nil"/>
                    <w:tr2bl w:val="nil"/>
                  </w:tcBorders>
                  <w:vAlign w:val="center"/>
                </w:tcPr>
                <w:p w14:paraId="25C75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1次/季度</w:t>
                  </w:r>
                </w:p>
              </w:tc>
              <w:tc>
                <w:tcPr>
                  <w:tcW w:w="2888" w:type="dxa"/>
                  <w:tcBorders>
                    <w:tl2br w:val="nil"/>
                    <w:tr2bl w:val="nil"/>
                  </w:tcBorders>
                  <w:vAlign w:val="center"/>
                </w:tcPr>
                <w:p w14:paraId="7B62C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《工业企业厂界环境噪声排放标准》（GB12348-2008）中2类标准</w:t>
                  </w:r>
                </w:p>
              </w:tc>
            </w:tr>
            <w:tr w14:paraId="69B341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5"/>
                  <w:tcBorders>
                    <w:tl2br w:val="nil"/>
                    <w:tr2bl w:val="nil"/>
                  </w:tcBorders>
                  <w:vAlign w:val="center"/>
                </w:tcPr>
                <w:p w14:paraId="3A2AA7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注：在有公众对项目投诉的情况时，建设单位应按照相关要求增加监测频次。</w:t>
                  </w:r>
                </w:p>
              </w:tc>
            </w:tr>
          </w:tbl>
          <w:p w14:paraId="3AA8BBB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4、固体废物环境影响分析</w:t>
            </w:r>
          </w:p>
          <w:p w14:paraId="6F12DE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本项目运营期产生的固体废物为危险废物（医疗废物）、一般工业固体废物和生活垃圾。</w:t>
            </w:r>
          </w:p>
          <w:p w14:paraId="5641FD9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（1）固体废物源强分析</w:t>
            </w:r>
          </w:p>
          <w:p w14:paraId="4787E96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w:t>
            </w:r>
          </w:p>
          <w:p w14:paraId="115B70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国家危险废物名录》（2025年版），以及《医疗废物分类目录》（2021年版）（国卫医函[2021]238号，国家卫健委、国家生态环境部），结合该项目诊疗特性，本项目运营期间所生产的医疗废物分属于危险废物中HW01（医疗废物）类物质，必须经有资质的单位进行收集、转运及处置。医疗废物暂存于医院内的医疗废物暂存间。项目产生的医疗废物主要为感染性废物（化验后产生的废试纸、试剂盒；及沾染血液、组织液的棉球、纱布、口罩等，以及污水处理设备产生的拦截物）、病理性废物（手术后产生的动物器官、组织，包括动物血液、组织液等）、损伤性废物（一次性针头、刀片等）。项目使用的兽药根据接待情况采购并少量储备，不会出现过期药物药品，无药物性废物及化学性废物产生。</w:t>
            </w:r>
          </w:p>
          <w:p w14:paraId="1562E4B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根据京锐（北京）动物医院有限公司提供的验收运行数据，该医院年运行350d，接待量7000例，年产生医疗废物2.5t/a。则平均每日每只就诊动物的医疗废物产生量为0.36kg/d。则本项目预计年产生医疗废物0.57t/a。</w:t>
            </w:r>
          </w:p>
          <w:p w14:paraId="505AF759">
            <w:pPr>
              <w:pStyle w:val="11"/>
              <w:bidi w:val="0"/>
              <w:rPr>
                <w:rFonts w:hint="default"/>
                <w:lang w:val="en-US" w:eastAsia="zh-CN"/>
              </w:rPr>
            </w:pPr>
            <w:r>
              <w:rPr>
                <w:rFonts w:hint="eastAsia"/>
                <w:lang w:val="en-US" w:eastAsia="zh-CN"/>
              </w:rPr>
              <w:t>表4-19 本项目危险废物汇总表</w:t>
            </w:r>
          </w:p>
          <w:tbl>
            <w:tblPr>
              <w:tblStyle w:val="9"/>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290"/>
              <w:gridCol w:w="855"/>
              <w:gridCol w:w="500"/>
              <w:gridCol w:w="500"/>
              <w:gridCol w:w="500"/>
              <w:gridCol w:w="1695"/>
              <w:gridCol w:w="525"/>
              <w:gridCol w:w="563"/>
              <w:gridCol w:w="803"/>
            </w:tblGrid>
            <w:tr w14:paraId="21B489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tcBorders>
                    <w:tl2br w:val="nil"/>
                    <w:tr2bl w:val="nil"/>
                  </w:tcBorders>
                  <w:vAlign w:val="center"/>
                </w:tcPr>
                <w:p w14:paraId="6F055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1290" w:type="dxa"/>
                  <w:tcBorders>
                    <w:tl2br w:val="nil"/>
                    <w:tr2bl w:val="nil"/>
                  </w:tcBorders>
                  <w:vAlign w:val="center"/>
                </w:tcPr>
                <w:p w14:paraId="17446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危废代码</w:t>
                  </w:r>
                </w:p>
              </w:tc>
              <w:tc>
                <w:tcPr>
                  <w:tcW w:w="855" w:type="dxa"/>
                  <w:tcBorders>
                    <w:tl2br w:val="nil"/>
                    <w:tr2bl w:val="nil"/>
                  </w:tcBorders>
                  <w:vAlign w:val="center"/>
                </w:tcPr>
                <w:p w14:paraId="279E50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产生量</w:t>
                  </w:r>
                </w:p>
              </w:tc>
              <w:tc>
                <w:tcPr>
                  <w:tcW w:w="500" w:type="dxa"/>
                  <w:tcBorders>
                    <w:tl2br w:val="nil"/>
                    <w:tr2bl w:val="nil"/>
                  </w:tcBorders>
                  <w:vAlign w:val="center"/>
                </w:tcPr>
                <w:p w14:paraId="3BB33F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产生工序</w:t>
                  </w:r>
                </w:p>
              </w:tc>
              <w:tc>
                <w:tcPr>
                  <w:tcW w:w="500" w:type="dxa"/>
                  <w:tcBorders>
                    <w:tl2br w:val="nil"/>
                    <w:tr2bl w:val="nil"/>
                  </w:tcBorders>
                  <w:vAlign w:val="center"/>
                </w:tcPr>
                <w:p w14:paraId="002BF9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形态</w:t>
                  </w:r>
                </w:p>
              </w:tc>
              <w:tc>
                <w:tcPr>
                  <w:tcW w:w="500" w:type="dxa"/>
                  <w:tcBorders>
                    <w:tl2br w:val="nil"/>
                    <w:tr2bl w:val="nil"/>
                  </w:tcBorders>
                  <w:vAlign w:val="center"/>
                </w:tcPr>
                <w:p w14:paraId="565E5A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主要成分</w:t>
                  </w:r>
                </w:p>
              </w:tc>
              <w:tc>
                <w:tcPr>
                  <w:tcW w:w="1695" w:type="dxa"/>
                  <w:tcBorders>
                    <w:tl2br w:val="nil"/>
                    <w:tr2bl w:val="nil"/>
                  </w:tcBorders>
                  <w:vAlign w:val="center"/>
                </w:tcPr>
                <w:p w14:paraId="6BE2E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有害成分</w:t>
                  </w:r>
                </w:p>
              </w:tc>
              <w:tc>
                <w:tcPr>
                  <w:tcW w:w="525" w:type="dxa"/>
                  <w:tcBorders>
                    <w:tl2br w:val="nil"/>
                    <w:tr2bl w:val="nil"/>
                  </w:tcBorders>
                  <w:vAlign w:val="center"/>
                </w:tcPr>
                <w:p w14:paraId="6E4D27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产废周期</w:t>
                  </w:r>
                </w:p>
              </w:tc>
              <w:tc>
                <w:tcPr>
                  <w:tcW w:w="563" w:type="dxa"/>
                  <w:tcBorders>
                    <w:tl2br w:val="nil"/>
                    <w:tr2bl w:val="nil"/>
                  </w:tcBorders>
                  <w:vAlign w:val="center"/>
                </w:tcPr>
                <w:p w14:paraId="02B208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危险特性</w:t>
                  </w:r>
                </w:p>
              </w:tc>
              <w:tc>
                <w:tcPr>
                  <w:tcW w:w="803" w:type="dxa"/>
                  <w:tcBorders>
                    <w:tl2br w:val="nil"/>
                    <w:tr2bl w:val="nil"/>
                  </w:tcBorders>
                  <w:vAlign w:val="center"/>
                </w:tcPr>
                <w:p w14:paraId="0064D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污染防治措施</w:t>
                  </w:r>
                </w:p>
              </w:tc>
            </w:tr>
            <w:tr w14:paraId="4578BD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restart"/>
                  <w:tcBorders>
                    <w:tl2br w:val="nil"/>
                    <w:tr2bl w:val="nil"/>
                  </w:tcBorders>
                  <w:vAlign w:val="center"/>
                </w:tcPr>
                <w:p w14:paraId="34C01F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医疗废物HW01</w:t>
                  </w:r>
                </w:p>
              </w:tc>
              <w:tc>
                <w:tcPr>
                  <w:tcW w:w="1290" w:type="dxa"/>
                  <w:tcBorders>
                    <w:tl2br w:val="nil"/>
                    <w:tr2bl w:val="nil"/>
                  </w:tcBorders>
                  <w:vAlign w:val="center"/>
                </w:tcPr>
                <w:p w14:paraId="73FC53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感染性废物841-001-01</w:t>
                  </w:r>
                </w:p>
              </w:tc>
              <w:tc>
                <w:tcPr>
                  <w:tcW w:w="855" w:type="dxa"/>
                  <w:vMerge w:val="restart"/>
                  <w:tcBorders>
                    <w:tl2br w:val="nil"/>
                    <w:tr2bl w:val="nil"/>
                  </w:tcBorders>
                  <w:vAlign w:val="center"/>
                </w:tcPr>
                <w:p w14:paraId="42AA45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0.57t/a</w:t>
                  </w:r>
                </w:p>
              </w:tc>
              <w:tc>
                <w:tcPr>
                  <w:tcW w:w="500" w:type="dxa"/>
                  <w:vMerge w:val="restart"/>
                  <w:tcBorders>
                    <w:tl2br w:val="nil"/>
                    <w:tr2bl w:val="nil"/>
                  </w:tcBorders>
                  <w:vAlign w:val="center"/>
                </w:tcPr>
                <w:p w14:paraId="37367C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动物诊疗</w:t>
                  </w:r>
                </w:p>
              </w:tc>
              <w:tc>
                <w:tcPr>
                  <w:tcW w:w="500" w:type="dxa"/>
                  <w:vMerge w:val="restart"/>
                  <w:tcBorders>
                    <w:tl2br w:val="nil"/>
                    <w:tr2bl w:val="nil"/>
                  </w:tcBorders>
                  <w:vAlign w:val="center"/>
                </w:tcPr>
                <w:p w14:paraId="24693E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固态</w:t>
                  </w:r>
                </w:p>
              </w:tc>
              <w:tc>
                <w:tcPr>
                  <w:tcW w:w="500" w:type="dxa"/>
                  <w:vMerge w:val="restart"/>
                  <w:tcBorders>
                    <w:tl2br w:val="nil"/>
                    <w:tr2bl w:val="nil"/>
                  </w:tcBorders>
                  <w:vAlign w:val="center"/>
                </w:tcPr>
                <w:p w14:paraId="4B099E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1695" w:type="dxa"/>
                  <w:tcBorders>
                    <w:tl2br w:val="nil"/>
                    <w:tr2bl w:val="nil"/>
                  </w:tcBorders>
                  <w:vAlign w:val="center"/>
                </w:tcPr>
                <w:p w14:paraId="794C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废试纸、试剂盒；患病动物血液、组织液；及沾染血液、组织液的棉球、纱布、口罩。污水处理设备拦截物</w:t>
                  </w:r>
                </w:p>
              </w:tc>
              <w:tc>
                <w:tcPr>
                  <w:tcW w:w="525" w:type="dxa"/>
                  <w:vMerge w:val="restart"/>
                  <w:tcBorders>
                    <w:tl2br w:val="nil"/>
                    <w:tr2bl w:val="nil"/>
                  </w:tcBorders>
                  <w:vAlign w:val="center"/>
                </w:tcPr>
                <w:p w14:paraId="1178D4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每日</w:t>
                  </w:r>
                </w:p>
              </w:tc>
              <w:tc>
                <w:tcPr>
                  <w:tcW w:w="563" w:type="dxa"/>
                  <w:tcBorders>
                    <w:tl2br w:val="nil"/>
                    <w:tr2bl w:val="nil"/>
                  </w:tcBorders>
                  <w:vAlign w:val="center"/>
                </w:tcPr>
                <w:p w14:paraId="3F3760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In</w:t>
                  </w:r>
                </w:p>
              </w:tc>
              <w:tc>
                <w:tcPr>
                  <w:tcW w:w="803" w:type="dxa"/>
                  <w:vMerge w:val="restart"/>
                  <w:tcBorders>
                    <w:tl2br w:val="nil"/>
                    <w:tr2bl w:val="nil"/>
                  </w:tcBorders>
                  <w:vAlign w:val="center"/>
                </w:tcPr>
                <w:p w14:paraId="5B5775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设置专门的暂存间（设施），防渗措施，张贴标识，定期委托资质单位处置</w:t>
                  </w:r>
                </w:p>
              </w:tc>
            </w:tr>
            <w:tr w14:paraId="199E50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71115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1F3B8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损伤性废物841-002-01</w:t>
                  </w:r>
                </w:p>
              </w:tc>
              <w:tc>
                <w:tcPr>
                  <w:tcW w:w="855" w:type="dxa"/>
                  <w:vMerge w:val="continue"/>
                  <w:tcBorders>
                    <w:tl2br w:val="nil"/>
                    <w:tr2bl w:val="nil"/>
                  </w:tcBorders>
                  <w:vAlign w:val="center"/>
                </w:tcPr>
                <w:p w14:paraId="67BCB4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08631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18C96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6C6E7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E9E37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废手术刀、注射器、输液器针头等物品</w:t>
                  </w:r>
                </w:p>
              </w:tc>
              <w:tc>
                <w:tcPr>
                  <w:tcW w:w="525" w:type="dxa"/>
                  <w:vMerge w:val="continue"/>
                  <w:tcBorders>
                    <w:tl2br w:val="nil"/>
                    <w:tr2bl w:val="nil"/>
                  </w:tcBorders>
                  <w:vAlign w:val="center"/>
                </w:tcPr>
                <w:p w14:paraId="13E219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19B400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7EDDD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28B38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5AE64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0234AC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病理性废物841-003-01</w:t>
                  </w:r>
                </w:p>
              </w:tc>
              <w:tc>
                <w:tcPr>
                  <w:tcW w:w="855" w:type="dxa"/>
                  <w:vMerge w:val="continue"/>
                  <w:tcBorders>
                    <w:tl2br w:val="nil"/>
                    <w:tr2bl w:val="nil"/>
                  </w:tcBorders>
                  <w:vAlign w:val="center"/>
                </w:tcPr>
                <w:p w14:paraId="2117E3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2485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DB794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75CF86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5BFD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动物器官、组织，包括动物血液、组织液</w:t>
                  </w:r>
                </w:p>
              </w:tc>
              <w:tc>
                <w:tcPr>
                  <w:tcW w:w="525" w:type="dxa"/>
                  <w:vMerge w:val="continue"/>
                  <w:tcBorders>
                    <w:tl2br w:val="nil"/>
                    <w:tr2bl w:val="nil"/>
                  </w:tcBorders>
                  <w:vAlign w:val="center"/>
                </w:tcPr>
                <w:p w14:paraId="61BE0D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22FCBF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2A0675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bl>
          <w:p w14:paraId="0B095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2）一般工业固体废物</w:t>
            </w:r>
          </w:p>
          <w:p w14:paraId="6C32D30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使用的手术刀、镊子、手套、口罩、试纸、试剂盒等医疗器械的包装物和各类耗材的包装物，属于一般工业固体废物。根据建设单位提供数据，该类废物年产生量为0.1t/a。该类废物分类收集后，交由废品回收站回收再利用。异味净化系统中的废活性炭，年用量4kg（0.004t/a），由生产厂家回收再利用。其处置符合《一般工业固体废物贮存和填埋污染控制标准》（GB18599-2020）等规定中的要求。</w:t>
            </w:r>
          </w:p>
          <w:p w14:paraId="56F185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3）生活垃圾</w:t>
            </w:r>
          </w:p>
          <w:p w14:paraId="52233A5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工作定员4人，以每人每天0.5kg/d计，则本项目生活垃圾产生量为2kg/d，即0.53t/a，建设单位分类收集，妥善储存，委托当地环卫机构定期清运。建设单位应对生活垃圾严格按照《北京市生活垃圾管理条例》（2020年9月25日修正）的要求，做好垃圾分类收集。定时清运至环卫部门指定的垃圾消纳场所。</w:t>
            </w:r>
          </w:p>
          <w:p w14:paraId="1D8A721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（2）环境管理要求</w:t>
            </w:r>
          </w:p>
          <w:p w14:paraId="769703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1）危险废物（医疗废物）贮存场所环境影响分析及治理措施</w:t>
            </w:r>
          </w:p>
          <w:p w14:paraId="3BC8BE7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①选址可行性</w:t>
            </w:r>
          </w:p>
          <w:p w14:paraId="5C57F3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建设单位已按照《中华人民共和国固体废物污染环境防治法》（2020年版）、《危险废物贮存污染控制标准》（GB18597-2023）、《北京市危险废物污染环境防治条例》（2020年6月5日通过，2020年9月1日实施）等文件的相关规定进行危险废物暂存间的设计和建设，并做好“四防”（防风、防雨、防晒、防渗漏）。项目采用医疗废物暂存柜（暂存设施），设置在医院东侧。建设单位将危险废物暂存间（暂存设施）设置在室内，为封闭独立结构，医疗废物不露天存放，其选址是可行的。</w:t>
            </w:r>
          </w:p>
          <w:p w14:paraId="1E05852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②危险废物暂存能力</w:t>
            </w:r>
          </w:p>
          <w:p w14:paraId="77E7668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项目危险废物暂存间容积约0.3m</w:t>
            </w:r>
            <w:r>
              <w:rPr>
                <w:rFonts w:hint="eastAsia"/>
                <w:vertAlign w:val="superscript"/>
                <w:lang w:val="en-US" w:eastAsia="zh-CN"/>
              </w:rPr>
              <w:t>3</w:t>
            </w:r>
            <w:r>
              <w:rPr>
                <w:rFonts w:hint="eastAsia"/>
                <w:lang w:val="en-US" w:eastAsia="zh-CN"/>
              </w:rPr>
              <w:t>，可以同时容纳50kg的医疗废物。本项目医疗废物产生量为2.16kg/d，可以满足暂存要求，有能力暂存项目产生的医疗废物。在医院日常运行中，随时产生的医疗废物先置于黄色专用容器内，容器上张贴警示标识。每日由专人将医疗废物按照统一路线暂存至医疗废物暂存间内，并分类存放。不能及时转运的病理性废物应放置在冰箱中冷藏贮存，避免不能及时清运时产生异味和滋生细菌。</w:t>
            </w:r>
          </w:p>
          <w:p w14:paraId="6829FC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此外，医疗废物暂存间柜门上应张贴专用警示标识。本项目医疗废物暂存间基本情况见下表。</w:t>
            </w:r>
          </w:p>
          <w:p w14:paraId="60BC1A14">
            <w:pPr>
              <w:pStyle w:val="11"/>
              <w:bidi w:val="0"/>
              <w:rPr>
                <w:rFonts w:hint="default"/>
                <w:lang w:val="en-US" w:eastAsia="zh-CN"/>
              </w:rPr>
            </w:pPr>
            <w:r>
              <w:rPr>
                <w:rFonts w:hint="eastAsia"/>
                <w:lang w:val="en-US" w:eastAsia="zh-CN"/>
              </w:rPr>
              <w:t>表4-20 本项目医疗废物暂存间基本情况汇总表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819"/>
              <w:gridCol w:w="1245"/>
              <w:gridCol w:w="495"/>
              <w:gridCol w:w="765"/>
              <w:gridCol w:w="660"/>
              <w:gridCol w:w="645"/>
              <w:gridCol w:w="1876"/>
            </w:tblGrid>
            <w:tr w14:paraId="0830FD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tcBorders>
                    <w:tl2br w:val="nil"/>
                    <w:tr2bl w:val="nil"/>
                  </w:tcBorders>
                  <w:vAlign w:val="center"/>
                </w:tcPr>
                <w:p w14:paraId="2353E3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贮存场所名称</w:t>
                  </w:r>
                </w:p>
              </w:tc>
              <w:tc>
                <w:tcPr>
                  <w:tcW w:w="759" w:type="dxa"/>
                  <w:tcBorders>
                    <w:tl2br w:val="nil"/>
                    <w:tr2bl w:val="nil"/>
                  </w:tcBorders>
                  <w:vAlign w:val="center"/>
                </w:tcPr>
                <w:p w14:paraId="1BEDD8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819" w:type="dxa"/>
                  <w:tcBorders>
                    <w:tl2br w:val="nil"/>
                    <w:tr2bl w:val="nil"/>
                  </w:tcBorders>
                  <w:vAlign w:val="center"/>
                </w:tcPr>
                <w:p w14:paraId="468EB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危险废物类别</w:t>
                  </w:r>
                </w:p>
              </w:tc>
              <w:tc>
                <w:tcPr>
                  <w:tcW w:w="1245" w:type="dxa"/>
                  <w:tcBorders>
                    <w:tl2br w:val="nil"/>
                    <w:tr2bl w:val="nil"/>
                  </w:tcBorders>
                  <w:vAlign w:val="center"/>
                </w:tcPr>
                <w:p w14:paraId="27C50C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危险废物代码</w:t>
                  </w:r>
                </w:p>
              </w:tc>
              <w:tc>
                <w:tcPr>
                  <w:tcW w:w="495" w:type="dxa"/>
                  <w:tcBorders>
                    <w:tl2br w:val="nil"/>
                    <w:tr2bl w:val="nil"/>
                  </w:tcBorders>
                  <w:vAlign w:val="center"/>
                </w:tcPr>
                <w:p w14:paraId="7E2077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765" w:type="dxa"/>
                  <w:tcBorders>
                    <w:tl2br w:val="nil"/>
                    <w:tr2bl w:val="nil"/>
                  </w:tcBorders>
                  <w:vAlign w:val="center"/>
                </w:tcPr>
                <w:p w14:paraId="461F4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使用容积</w:t>
                  </w:r>
                </w:p>
              </w:tc>
              <w:tc>
                <w:tcPr>
                  <w:tcW w:w="660" w:type="dxa"/>
                  <w:tcBorders>
                    <w:tl2br w:val="nil"/>
                    <w:tr2bl w:val="nil"/>
                  </w:tcBorders>
                  <w:vAlign w:val="center"/>
                </w:tcPr>
                <w:p w14:paraId="50DB8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贮存方式</w:t>
                  </w:r>
                </w:p>
              </w:tc>
              <w:tc>
                <w:tcPr>
                  <w:tcW w:w="645" w:type="dxa"/>
                  <w:tcBorders>
                    <w:tl2br w:val="nil"/>
                    <w:tr2bl w:val="nil"/>
                  </w:tcBorders>
                  <w:vAlign w:val="center"/>
                </w:tcPr>
                <w:p w14:paraId="1C1FBC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贮存能力</w:t>
                  </w:r>
                </w:p>
              </w:tc>
              <w:tc>
                <w:tcPr>
                  <w:tcW w:w="1876" w:type="dxa"/>
                  <w:tcBorders>
                    <w:tl2br w:val="nil"/>
                    <w:tr2bl w:val="nil"/>
                  </w:tcBorders>
                  <w:vAlign w:val="center"/>
                </w:tcPr>
                <w:p w14:paraId="0758FC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贮存周期</w:t>
                  </w:r>
                </w:p>
              </w:tc>
            </w:tr>
            <w:tr w14:paraId="0CAEAB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tcBorders>
                    <w:tl2br w:val="nil"/>
                    <w:tr2bl w:val="nil"/>
                  </w:tcBorders>
                  <w:vAlign w:val="center"/>
                </w:tcPr>
                <w:p w14:paraId="0B1FCC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医疗废物暂存间</w:t>
                  </w:r>
                </w:p>
              </w:tc>
              <w:tc>
                <w:tcPr>
                  <w:tcW w:w="759" w:type="dxa"/>
                  <w:tcBorders>
                    <w:tl2br w:val="nil"/>
                    <w:tr2bl w:val="nil"/>
                  </w:tcBorders>
                  <w:vAlign w:val="center"/>
                </w:tcPr>
                <w:p w14:paraId="38F526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819" w:type="dxa"/>
                  <w:tcBorders>
                    <w:tl2br w:val="nil"/>
                    <w:tr2bl w:val="nil"/>
                  </w:tcBorders>
                  <w:vAlign w:val="center"/>
                </w:tcPr>
                <w:p w14:paraId="336A89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HW01</w:t>
                  </w:r>
                </w:p>
              </w:tc>
              <w:tc>
                <w:tcPr>
                  <w:tcW w:w="1245" w:type="dxa"/>
                  <w:tcBorders>
                    <w:tl2br w:val="nil"/>
                    <w:tr2bl w:val="nil"/>
                  </w:tcBorders>
                  <w:vAlign w:val="center"/>
                </w:tcPr>
                <w:p w14:paraId="122271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841-001-01</w:t>
                  </w:r>
                </w:p>
                <w:p w14:paraId="6DA81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841-002-01</w:t>
                  </w:r>
                </w:p>
                <w:p w14:paraId="219769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841-003-01</w:t>
                  </w:r>
                </w:p>
              </w:tc>
              <w:tc>
                <w:tcPr>
                  <w:tcW w:w="495" w:type="dxa"/>
                  <w:tcBorders>
                    <w:tl2br w:val="nil"/>
                    <w:tr2bl w:val="nil"/>
                  </w:tcBorders>
                  <w:vAlign w:val="center"/>
                </w:tcPr>
                <w:p w14:paraId="663EA9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西北部</w:t>
                  </w:r>
                </w:p>
              </w:tc>
              <w:tc>
                <w:tcPr>
                  <w:tcW w:w="765" w:type="dxa"/>
                  <w:tcBorders>
                    <w:tl2br w:val="nil"/>
                    <w:tr2bl w:val="nil"/>
                  </w:tcBorders>
                  <w:vAlign w:val="center"/>
                </w:tcPr>
                <w:p w14:paraId="7C616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0.3m</w:t>
                  </w:r>
                  <w:r>
                    <w:rPr>
                      <w:rFonts w:hint="eastAsia"/>
                      <w:sz w:val="21"/>
                      <w:szCs w:val="21"/>
                      <w:vertAlign w:val="superscript"/>
                      <w:lang w:val="en-US" w:eastAsia="zh-CN"/>
                    </w:rPr>
                    <w:t>3</w:t>
                  </w:r>
                </w:p>
              </w:tc>
              <w:tc>
                <w:tcPr>
                  <w:tcW w:w="660" w:type="dxa"/>
                  <w:tcBorders>
                    <w:tl2br w:val="nil"/>
                    <w:tr2bl w:val="nil"/>
                  </w:tcBorders>
                  <w:vAlign w:val="center"/>
                </w:tcPr>
                <w:p w14:paraId="67EBF9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容器贮存</w:t>
                  </w:r>
                </w:p>
              </w:tc>
              <w:tc>
                <w:tcPr>
                  <w:tcW w:w="645" w:type="dxa"/>
                  <w:tcBorders>
                    <w:tl2br w:val="nil"/>
                    <w:tr2bl w:val="nil"/>
                  </w:tcBorders>
                  <w:vAlign w:val="center"/>
                </w:tcPr>
                <w:p w14:paraId="77C548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50kg</w:t>
                  </w:r>
                </w:p>
              </w:tc>
              <w:tc>
                <w:tcPr>
                  <w:tcW w:w="1876" w:type="dxa"/>
                  <w:tcBorders>
                    <w:tl2br w:val="nil"/>
                    <w:tr2bl w:val="nil"/>
                  </w:tcBorders>
                  <w:vAlign w:val="center"/>
                </w:tcPr>
                <w:p w14:paraId="34E5D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医疗废物2天清运一次病理性废物冰箱内5℃以下冷藏贮存，贮存时间不超过1周</w:t>
                  </w:r>
                </w:p>
              </w:tc>
            </w:tr>
          </w:tbl>
          <w:p w14:paraId="44F25B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③危险废物暂存中对环境影响分析</w:t>
            </w:r>
          </w:p>
          <w:p w14:paraId="66255E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产生的危险废物为医疗废物，包括病理性废物、损伤性废物、感染性废物。废物中不含有易挥发化学品及其他产生废气的物质，病理性废物冷藏贮存，并在规定的时限内进行转运，不会发生变质产生异味。医疗废物均进行封装，并置于医疗废物专用防腐蚀塑料桶中，不与上下水交叉，不会产生废水。医疗废物暂存设施为不锈钢材质，具有防腐蚀、防渗性能。设施放置的区域地面进行硬化处理，并采取防渗材料铺层。防渗材料宜采用高密度聚乙烯防渗层或其他材料，渗透系数K不大于1.0×10</w:t>
            </w:r>
            <w:r>
              <w:rPr>
                <w:rFonts w:hint="eastAsia"/>
                <w:vertAlign w:val="superscript"/>
                <w:lang w:val="en-US" w:eastAsia="zh-CN"/>
              </w:rPr>
              <w:t>-10</w:t>
            </w:r>
            <w:r>
              <w:rPr>
                <w:rFonts w:hint="eastAsia"/>
                <w:lang w:val="en-US" w:eastAsia="zh-CN"/>
              </w:rPr>
              <w:t>cm/s。项目产生的医疗废物不会发生渗漏污染地下水体及土壤的情形。</w:t>
            </w:r>
          </w:p>
          <w:p w14:paraId="08713BB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2）运输过程的环境影响分析及治理措施</w:t>
            </w:r>
          </w:p>
          <w:p w14:paraId="01C7B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诊室、手术室、化验室等产生医疗废物的地点（房间）均设置医疗废物收集容器，随时产生的医疗废物先存放在该容器中。每日运行结束后，由负责专门岗位的人员按照既定设计路线，检查医疗废物收集情况，并将各个暂存容器集中转运至医疗废物暂存间，并进行分类存放。内部转移路线全部在室内，不会发生遗撒、散落污染外环境及环境保护目标的情况。</w:t>
            </w:r>
          </w:p>
          <w:p w14:paraId="163834E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建设单位还须记录台账，对进出库的医疗废物进行数量、名称、类别、暂存时间、管理人员等信息的记录。</w:t>
            </w:r>
          </w:p>
          <w:p w14:paraId="5EF4431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3）委托处置危险废物的环境影响分析及治理措施</w:t>
            </w:r>
          </w:p>
          <w:p w14:paraId="6A42A08A">
            <w:pPr>
              <w:keepNext w:val="0"/>
              <w:keepLines w:val="0"/>
              <w:pageBreakBefore w:val="0"/>
              <w:widowControl w:val="0"/>
              <w:kinsoku/>
              <w:wordWrap/>
              <w:overflowPunct/>
              <w:topLinePunct w:val="0"/>
              <w:autoSpaceDE/>
              <w:autoSpaceDN/>
              <w:bidi w:val="0"/>
              <w:adjustRightInd w:val="0"/>
              <w:snapToGrid w:val="0"/>
              <w:textAlignment w:val="auto"/>
              <w:rPr>
                <w:rFonts w:hint="eastAsia"/>
                <w:highlight w:val="none"/>
                <w:lang w:val="en-US" w:eastAsia="zh-CN"/>
              </w:rPr>
            </w:pPr>
            <w:r>
              <w:rPr>
                <w:rFonts w:hint="eastAsia"/>
                <w:lang w:val="en-US" w:eastAsia="zh-CN"/>
              </w:rPr>
              <w:t>项目危险废物不进行利用或自行处置，采取委托具有相关运输与处置资质的单位进行委托处置。建设单位已和北京光凯祥瑞环保科技有限公司签订了委托处置协议，由该资质单位对医疗废物进行清运、处置。进行清运时，要与所委托单位的运送人员交接填写危险废物转移联单。本项目医疗废物应提</w:t>
            </w:r>
            <w:r>
              <w:rPr>
                <w:rFonts w:hint="eastAsia"/>
                <w:highlight w:val="none"/>
                <w:lang w:val="en-US" w:eastAsia="zh-CN"/>
              </w:rPr>
              <w:t>前做好包装、标示，并盛于周转箱内。</w:t>
            </w:r>
          </w:p>
          <w:p w14:paraId="72E667D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highlight w:val="none"/>
                <w:lang w:val="en-US" w:eastAsia="zh-CN"/>
              </w:rPr>
              <w:t>北京光凯祥瑞环保科技有限公司经</w:t>
            </w:r>
            <w:r>
              <w:rPr>
                <w:rFonts w:hint="eastAsia"/>
                <w:lang w:val="en-US" w:eastAsia="zh-CN"/>
              </w:rPr>
              <w:t>营危险废物类别为HW01（医疗废物），经营方式为：收集、贮存、处置，经营规模为5000t/a，有效期在2024年01月01日至2025年12月31日。本项目产生的危险废物类别为HW01（医疗废物），符合北京光凯祥瑞环保科技有限公司处置的危险废物的类别；本项目产生的医疗废物由北京光凯祥瑞环保科技有限公司定期收集、处置，符合北京光凯祥瑞环保科技有限公司的经营方式；本项目医疗废物产生量1.38t/a，仅占北京光凯祥瑞环保科技有限公司处理能力的0.0276%，北京光凯祥瑞环保科技有限公司有能力处置项目产生的医疗废物。</w:t>
            </w:r>
          </w:p>
          <w:p w14:paraId="6545A62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4）危险废物日常管理要求</w:t>
            </w:r>
          </w:p>
          <w:p w14:paraId="1989ED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应定期开展对员工的培训教育，了解相关法律法规，制定相关的操作规程。医疗废物与其他废物不得混放，必须使用专用容器盛放，并暂存至医疗废物暂存间。暂存间由专人进行管理，日常为锁闭状态。每日由专职工作人员进行废物转移至暂存间，并进行分类暂存。医疗废物出入库时需要如实记录台账登记，并在与转运处置单位交接时做好转移联单。在日常管理中，应由专人定期检查医疗废物暂存间及所在区域的地面、墙面有无破损裂缝，暂存容器是否老化腐蚀或包装袋是否出现破损。如出现问题，应采取及时进行修复或购置新容器等措施。</w:t>
            </w:r>
          </w:p>
          <w:p w14:paraId="5521394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5）一般工业固废治理措施</w:t>
            </w:r>
          </w:p>
          <w:p w14:paraId="6CF4181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应按照《中华人民共和国固体废物污染环境防治法》（2020年版）、《一般工业固体废物贮存和填埋污染控制标准》（GB18599-2020）等规定中的要求对该类废物进行处置，建设单位将项目产生的废活性炭交由生产厂家回收再利用，不直接向外环境排放。</w:t>
            </w:r>
          </w:p>
          <w:p w14:paraId="48F9414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6）生活垃圾治理措施</w:t>
            </w:r>
          </w:p>
          <w:p w14:paraId="2B39A9E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项目生活垃圾按照《中华人民共和国固体废物污染环境防治法》（2020年版）、《北京市生活垃圾管理条例》（2020年9月25日修正）的要求采取分类收集，妥善储存，及时清运至物业及环卫部门指定场所。</w:t>
            </w:r>
          </w:p>
          <w:p w14:paraId="7B4121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（3）固体废物环境影响分析结论</w:t>
            </w:r>
          </w:p>
          <w:p w14:paraId="4FACBA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对生活垃圾，以及一般工业固体废物的处置能够满足《中华人民共和国固体废物污染环境防治法》（2020年版）、《北京市生活垃圾管理条例》（2020年9月25日修正），以及《一般工业固体废物贮存和填埋污染控制标准》（GB18599-2020）等相关规定。对医疗废物的收集、暂存及委托转运处置，能够满足《医疗废物管理条例》（中华人民共和国国务院令第380号令）、《危险废物贮存污染控制标准》（GB18597-2023）、《北京市危险废物污染环境防治条例》（2020年6月5日通过，2020年9月1日实施）等相关规定的要求。建设单位对固体废物加强管理，及时妥善处理，运营期固体废物对周围环境影响较小。</w:t>
            </w:r>
          </w:p>
          <w:p w14:paraId="63296CB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5、地下水、土壤环境影响分析</w:t>
            </w:r>
          </w:p>
          <w:p w14:paraId="3BC94AB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过程中，所排废水包括生活污水、动物诊疗废水、美容洗浴废水。诊疗废水、美容洗浴废水经消毒处理后，与生活污水等一同排入所在建筑集中防渗化粪池预处理，最终经市政污水管网进入北京中设水处理有限公司良乡污水处理厂集中处理。项目污水处理设备安装区、污水管道及医疗废物暂存间及所在区域的地面均采取严格的防渗措施。</w:t>
            </w:r>
          </w:p>
          <w:p w14:paraId="472750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（1）重点防渗区防渗措施</w:t>
            </w:r>
          </w:p>
          <w:p w14:paraId="48C5992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1）污水处理设备</w:t>
            </w:r>
          </w:p>
          <w:p w14:paraId="4723859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①污水处理设施内设自动水量、水位监测仪器以及高位报警器，对水量和水位进行监测，当出现水量、水位变动较大时，及时采取相应措施；</w:t>
            </w:r>
          </w:p>
          <w:p w14:paraId="020601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②污水管道采用防渗、防腐管材。污水处理设备安装区宜采用高密度聚乙烯防渗层或其他材料进行防渗处理，材料的渗透系数K不大于1.0×10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6F0446E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2）医疗废物暂存间</w:t>
            </w:r>
          </w:p>
          <w:p w14:paraId="0FAB053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暂存间内暂存的医疗废物均严格执行《医疗废物管理条例》，及时收集本单位产生的医疗废物，并按类别分置于防渗漏、防锐器穿透的专用包装物或者密闭的容器内，防止其中的液体渗漏；对垃圾收集区进行地面硬化，对医疗废物暂存间放置的区域进行地面硬化和防渗处理。防渗材料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0F50A7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（2）一般防渗区防渗措施</w:t>
            </w:r>
          </w:p>
          <w:p w14:paraId="26239D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本项目涉及有上下水管路房间的地面拟采取防渗处理，材料的渗透系数K不大于1.0×10</w:t>
            </w:r>
            <w:r>
              <w:rPr>
                <w:rFonts w:hint="eastAsia"/>
                <w:vertAlign w:val="superscript"/>
                <w:lang w:val="en-US" w:eastAsia="zh-CN"/>
              </w:rPr>
              <w:t>-7</w:t>
            </w:r>
            <w:r>
              <w:rPr>
                <w:rFonts w:hint="eastAsia"/>
                <w:lang w:val="en-US" w:eastAsia="zh-CN"/>
              </w:rPr>
              <w:t>cm/s。</w:t>
            </w:r>
          </w:p>
          <w:p w14:paraId="41A568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建设单位注意固体废物尤其是危险废物的及时回收与处理，生活垃圾设置密封垃圾箱，均不在露天堆放，并及时外运处理，以避免对地下水及土壤环境造成影响的可能。在保障各项防渗措施及其他管理措施治理效果的情况下，本项目不存在对地下水及土壤造成环境污染的途径。</w:t>
            </w:r>
          </w:p>
          <w:p w14:paraId="63E8674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6、环境风险影响分析</w:t>
            </w:r>
          </w:p>
          <w:p w14:paraId="2F31426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本项目具有一定的危险性，存在发生火灾、爆炸、原料泄漏等突发性风险事故的可能性。</w:t>
            </w:r>
          </w:p>
          <w:p w14:paraId="30A5F42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（1）风险源调查</w:t>
            </w:r>
          </w:p>
          <w:p w14:paraId="6A36558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根据《建设项目环境风险评价技术导则》（HJ 169-2018）附录B重点关注的危险物质及临界量，以及《企业突发环境事件风险分级方法》（HJ 941-2018）附录A突发环境事件风险物质及临界量清单，对拟建项目涉及到的物质进行识别。本项目危险物质调查结果见下表。</w:t>
            </w:r>
          </w:p>
          <w:p w14:paraId="42A3DC7D">
            <w:pPr>
              <w:pStyle w:val="11"/>
              <w:bidi w:val="0"/>
              <w:rPr>
                <w:rFonts w:hint="default"/>
                <w:highlight w:val="none"/>
                <w:lang w:val="en-US" w:eastAsia="zh-CN"/>
              </w:rPr>
            </w:pPr>
            <w:r>
              <w:rPr>
                <w:rFonts w:hint="eastAsia"/>
                <w:highlight w:val="none"/>
                <w:lang w:val="en-US" w:eastAsia="zh-CN"/>
              </w:rPr>
              <w:t>表4-21 危险物质汇总表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500"/>
              <w:gridCol w:w="1395"/>
              <w:gridCol w:w="1365"/>
              <w:gridCol w:w="1290"/>
              <w:gridCol w:w="930"/>
              <w:gridCol w:w="886"/>
            </w:tblGrid>
            <w:tr w14:paraId="772F10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10945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1500" w:type="dxa"/>
                  <w:tcBorders>
                    <w:tl2br w:val="nil"/>
                    <w:tr2bl w:val="nil"/>
                  </w:tcBorders>
                  <w:vAlign w:val="center"/>
                </w:tcPr>
                <w:p w14:paraId="1D681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名称</w:t>
                  </w:r>
                </w:p>
              </w:tc>
              <w:tc>
                <w:tcPr>
                  <w:tcW w:w="1395" w:type="dxa"/>
                  <w:tcBorders>
                    <w:tl2br w:val="nil"/>
                    <w:tr2bl w:val="nil"/>
                  </w:tcBorders>
                  <w:vAlign w:val="center"/>
                </w:tcPr>
                <w:p w14:paraId="56E3B1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HJ169对照</w:t>
                  </w:r>
                </w:p>
              </w:tc>
              <w:tc>
                <w:tcPr>
                  <w:tcW w:w="1365" w:type="dxa"/>
                  <w:tcBorders>
                    <w:tl2br w:val="nil"/>
                    <w:tr2bl w:val="nil"/>
                  </w:tcBorders>
                  <w:vAlign w:val="center"/>
                </w:tcPr>
                <w:p w14:paraId="0A0019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存放位置</w:t>
                  </w:r>
                </w:p>
              </w:tc>
              <w:tc>
                <w:tcPr>
                  <w:tcW w:w="1290" w:type="dxa"/>
                  <w:tcBorders>
                    <w:tl2br w:val="nil"/>
                    <w:tr2bl w:val="nil"/>
                  </w:tcBorders>
                  <w:vAlign w:val="center"/>
                </w:tcPr>
                <w:p w14:paraId="2F352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最大存储量t</w:t>
                  </w:r>
                </w:p>
              </w:tc>
              <w:tc>
                <w:tcPr>
                  <w:tcW w:w="930" w:type="dxa"/>
                  <w:tcBorders>
                    <w:tl2br w:val="nil"/>
                    <w:tr2bl w:val="nil"/>
                  </w:tcBorders>
                  <w:vAlign w:val="center"/>
                </w:tcPr>
                <w:p w14:paraId="25A0D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临界量t</w:t>
                  </w:r>
                </w:p>
              </w:tc>
              <w:tc>
                <w:tcPr>
                  <w:tcW w:w="886" w:type="dxa"/>
                  <w:tcBorders>
                    <w:tl2br w:val="nil"/>
                    <w:tr2bl w:val="nil"/>
                  </w:tcBorders>
                  <w:vAlign w:val="center"/>
                </w:tcPr>
                <w:p w14:paraId="06E1E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Q值</w:t>
                  </w:r>
                </w:p>
              </w:tc>
            </w:tr>
            <w:tr w14:paraId="52895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06BF4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1500" w:type="dxa"/>
                  <w:tcBorders>
                    <w:tl2br w:val="nil"/>
                    <w:tr2bl w:val="nil"/>
                  </w:tcBorders>
                  <w:shd w:val="clear" w:color="auto" w:fill="auto"/>
                  <w:vAlign w:val="center"/>
                </w:tcPr>
                <w:p w14:paraId="0612F9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医用酒精</w:t>
                  </w:r>
                </w:p>
                <w:p w14:paraId="76EE70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（乙醇）</w:t>
                  </w:r>
                </w:p>
              </w:tc>
              <w:tc>
                <w:tcPr>
                  <w:tcW w:w="1395" w:type="dxa"/>
                  <w:tcBorders>
                    <w:tl2br w:val="nil"/>
                    <w:tr2bl w:val="nil"/>
                  </w:tcBorders>
                  <w:shd w:val="clear" w:color="auto" w:fill="auto"/>
                  <w:vAlign w:val="center"/>
                </w:tcPr>
                <w:p w14:paraId="1E169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64-17-5</w:t>
                  </w:r>
                </w:p>
              </w:tc>
              <w:tc>
                <w:tcPr>
                  <w:tcW w:w="1365" w:type="dxa"/>
                  <w:tcBorders>
                    <w:tl2br w:val="nil"/>
                    <w:tr2bl w:val="nil"/>
                  </w:tcBorders>
                  <w:vAlign w:val="center"/>
                </w:tcPr>
                <w:p w14:paraId="20193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手术室</w:t>
                  </w:r>
                </w:p>
              </w:tc>
              <w:tc>
                <w:tcPr>
                  <w:tcW w:w="1290" w:type="dxa"/>
                  <w:tcBorders>
                    <w:tl2br w:val="nil"/>
                    <w:tr2bl w:val="nil"/>
                  </w:tcBorders>
                  <w:shd w:val="clear"/>
                  <w:vAlign w:val="center"/>
                </w:tcPr>
                <w:p w14:paraId="710F0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0.0045</w:t>
                  </w:r>
                </w:p>
              </w:tc>
              <w:tc>
                <w:tcPr>
                  <w:tcW w:w="930" w:type="dxa"/>
                  <w:tcBorders>
                    <w:tl2br w:val="nil"/>
                    <w:tr2bl w:val="nil"/>
                  </w:tcBorders>
                  <w:shd w:val="clear"/>
                  <w:vAlign w:val="center"/>
                </w:tcPr>
                <w:p w14:paraId="3E2ED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500</w:t>
                  </w:r>
                </w:p>
              </w:tc>
              <w:tc>
                <w:tcPr>
                  <w:tcW w:w="886" w:type="dxa"/>
                  <w:tcBorders>
                    <w:tl2br w:val="nil"/>
                    <w:tr2bl w:val="nil"/>
                  </w:tcBorders>
                  <w:vAlign w:val="center"/>
                </w:tcPr>
                <w:p w14:paraId="690C9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0.00001</w:t>
                  </w:r>
                </w:p>
              </w:tc>
            </w:tr>
            <w:tr w14:paraId="57E90E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41DE8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1500" w:type="dxa"/>
                  <w:tcBorders>
                    <w:tl2br w:val="nil"/>
                    <w:tr2bl w:val="nil"/>
                  </w:tcBorders>
                  <w:shd w:val="clear" w:color="auto" w:fill="auto"/>
                  <w:vAlign w:val="center"/>
                </w:tcPr>
                <w:p w14:paraId="5B62D9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污水消毒剂</w:t>
                  </w:r>
                </w:p>
                <w:p w14:paraId="2704BC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6420F0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085E8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化验室</w:t>
                  </w:r>
                </w:p>
              </w:tc>
              <w:tc>
                <w:tcPr>
                  <w:tcW w:w="1290" w:type="dxa"/>
                  <w:tcBorders>
                    <w:tl2br w:val="nil"/>
                    <w:tr2bl w:val="nil"/>
                  </w:tcBorders>
                  <w:shd w:val="clear"/>
                  <w:vAlign w:val="center"/>
                </w:tcPr>
                <w:p w14:paraId="2F4D3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0.01</w:t>
                  </w:r>
                </w:p>
              </w:tc>
              <w:tc>
                <w:tcPr>
                  <w:tcW w:w="930" w:type="dxa"/>
                  <w:tcBorders>
                    <w:tl2br w:val="nil"/>
                    <w:tr2bl w:val="nil"/>
                  </w:tcBorders>
                  <w:shd w:val="clear"/>
                  <w:vAlign w:val="center"/>
                </w:tcPr>
                <w:p w14:paraId="458F6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5</w:t>
                  </w:r>
                </w:p>
              </w:tc>
              <w:tc>
                <w:tcPr>
                  <w:tcW w:w="886" w:type="dxa"/>
                  <w:tcBorders>
                    <w:tl2br w:val="nil"/>
                    <w:tr2bl w:val="nil"/>
                  </w:tcBorders>
                  <w:vAlign w:val="center"/>
                </w:tcPr>
                <w:p w14:paraId="0AE29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0.002</w:t>
                  </w:r>
                </w:p>
              </w:tc>
            </w:tr>
            <w:tr w14:paraId="248F9C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2EA1E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1500" w:type="dxa"/>
                  <w:tcBorders>
                    <w:tl2br w:val="nil"/>
                    <w:tr2bl w:val="nil"/>
                  </w:tcBorders>
                  <w:shd w:val="clear" w:color="auto" w:fill="auto"/>
                  <w:vAlign w:val="center"/>
                </w:tcPr>
                <w:p w14:paraId="49CC0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84消毒液</w:t>
                  </w:r>
                </w:p>
                <w:p w14:paraId="55B3AC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744125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1B0523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药房</w:t>
                  </w:r>
                </w:p>
              </w:tc>
              <w:tc>
                <w:tcPr>
                  <w:tcW w:w="1290" w:type="dxa"/>
                  <w:tcBorders>
                    <w:tl2br w:val="nil"/>
                    <w:tr2bl w:val="nil"/>
                  </w:tcBorders>
                  <w:shd w:val="clear"/>
                  <w:vAlign w:val="center"/>
                </w:tcPr>
                <w:p w14:paraId="0DF872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0.0002</w:t>
                  </w:r>
                </w:p>
              </w:tc>
              <w:tc>
                <w:tcPr>
                  <w:tcW w:w="930" w:type="dxa"/>
                  <w:tcBorders>
                    <w:tl2br w:val="nil"/>
                    <w:tr2bl w:val="nil"/>
                  </w:tcBorders>
                  <w:shd w:val="clear"/>
                  <w:vAlign w:val="center"/>
                </w:tcPr>
                <w:p w14:paraId="18D01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color w:val="auto"/>
                      <w:spacing w:val="-10"/>
                      <w:kern w:val="2"/>
                      <w:sz w:val="21"/>
                      <w:szCs w:val="21"/>
                      <w:highlight w:val="none"/>
                      <w:vertAlign w:val="baseline"/>
                      <w:lang w:val="en-US" w:eastAsia="zh-CN" w:bidi="ar-SA"/>
                    </w:rPr>
                  </w:pPr>
                  <w:r>
                    <w:rPr>
                      <w:rFonts w:hint="eastAsia"/>
                      <w:b w:val="0"/>
                      <w:bCs w:val="0"/>
                      <w:color w:val="auto"/>
                      <w:spacing w:val="-10"/>
                      <w:sz w:val="21"/>
                      <w:szCs w:val="21"/>
                      <w:highlight w:val="none"/>
                      <w:vertAlign w:val="baseline"/>
                      <w:lang w:val="en-US" w:eastAsia="zh-CN"/>
                    </w:rPr>
                    <w:t>5</w:t>
                  </w:r>
                </w:p>
              </w:tc>
              <w:tc>
                <w:tcPr>
                  <w:tcW w:w="886" w:type="dxa"/>
                  <w:tcBorders>
                    <w:tl2br w:val="nil"/>
                    <w:tr2bl w:val="nil"/>
                  </w:tcBorders>
                  <w:vAlign w:val="center"/>
                </w:tcPr>
                <w:p w14:paraId="0DADD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0.00004</w:t>
                  </w:r>
                </w:p>
              </w:tc>
            </w:tr>
            <w:tr w14:paraId="43D0F5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7" w:type="dxa"/>
                  <w:gridSpan w:val="6"/>
                  <w:vAlign w:val="center"/>
                </w:tcPr>
                <w:p w14:paraId="4CF63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合计</w:t>
                  </w:r>
                </w:p>
              </w:tc>
              <w:tc>
                <w:tcPr>
                  <w:tcW w:w="886" w:type="dxa"/>
                  <w:vAlign w:val="center"/>
                </w:tcPr>
                <w:p w14:paraId="4211E5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0.00205</w:t>
                  </w:r>
                </w:p>
              </w:tc>
            </w:tr>
          </w:tbl>
          <w:p w14:paraId="0774A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b/>
                <w:bCs/>
                <w:sz w:val="18"/>
                <w:szCs w:val="18"/>
                <w:highlight w:val="none"/>
                <w:lang w:val="en-US" w:eastAsia="zh-CN"/>
              </w:rPr>
            </w:pPr>
            <w:r>
              <w:rPr>
                <w:rFonts w:hint="eastAsia"/>
                <w:b/>
                <w:bCs/>
                <w:sz w:val="18"/>
                <w:szCs w:val="18"/>
                <w:highlight w:val="none"/>
                <w:lang w:val="en-US" w:eastAsia="zh-CN"/>
              </w:rPr>
              <w:t>注：</w:t>
            </w:r>
          </w:p>
          <w:p w14:paraId="5EB72C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b/>
                <w:bCs/>
                <w:sz w:val="18"/>
                <w:szCs w:val="18"/>
                <w:highlight w:val="none"/>
                <w:lang w:val="en-US" w:eastAsia="zh-CN"/>
              </w:rPr>
            </w:pPr>
            <w:r>
              <w:rPr>
                <w:rFonts w:hint="eastAsia"/>
                <w:b/>
                <w:bCs/>
                <w:sz w:val="18"/>
                <w:szCs w:val="18"/>
                <w:highlight w:val="none"/>
                <w:lang w:val="en-US" w:eastAsia="zh-CN"/>
              </w:rPr>
              <w:t>①医用酒精中乙醇质量分数为75%，密度0.85g/cm3；</w:t>
            </w:r>
          </w:p>
          <w:p w14:paraId="284FE4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b/>
                <w:bCs/>
                <w:sz w:val="18"/>
                <w:szCs w:val="18"/>
                <w:highlight w:val="none"/>
                <w:lang w:val="en-US" w:eastAsia="zh-CN"/>
              </w:rPr>
            </w:pPr>
            <w:r>
              <w:rPr>
                <w:rFonts w:hint="eastAsia"/>
                <w:b/>
                <w:bCs/>
                <w:sz w:val="18"/>
                <w:szCs w:val="18"/>
                <w:highlight w:val="none"/>
                <w:lang w:val="en-US" w:eastAsia="zh-CN"/>
              </w:rPr>
              <w:t>②84消毒液中主要成为次氯酸钠等含氯消毒剂，含量在5.5%-6.5%，密度1.2g/cm3，后续分析中以次氯酸钠计。</w:t>
            </w:r>
          </w:p>
          <w:p w14:paraId="67F7572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当存在多种危险物质时按下式计算该物质总量与其临界量比值（Q）</w:t>
            </w:r>
          </w:p>
          <w:p w14:paraId="3834F3C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t>Q=q1/Q1+q2/Q2+…+qn/Qn</w:t>
            </w:r>
          </w:p>
          <w:p w14:paraId="28FAD8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CBC513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q1，q2，…，qn—每种危险化学品最大存在总量，单位为吨（t）；</w:t>
            </w:r>
          </w:p>
          <w:p w14:paraId="39B7AE6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Q1，Q2，…，Qn—每种危险物质的临界量，单位为吨（t）。</w:t>
            </w:r>
          </w:p>
          <w:p w14:paraId="21C581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由上表可知，本项目危险物质临界量比值</w:t>
            </w:r>
            <w:r>
              <w:rPr>
                <w:rFonts w:hint="eastAsia"/>
                <w:highlight w:val="none"/>
                <w:lang w:val="en-US" w:eastAsia="zh-CN"/>
              </w:rPr>
              <w:t>Q=0.00205＜1，根</w:t>
            </w:r>
            <w:r>
              <w:rPr>
                <w:rFonts w:hint="eastAsia"/>
                <w:lang w:val="en-US" w:eastAsia="zh-CN"/>
              </w:rPr>
              <w:t>据《建设项目环境风险评价技术导则》附录C，当Q＜1时，该项目环境风险潜势为I。该项目环境风险潜势为I时，项目风险评价工作等级为简单分析。</w:t>
            </w:r>
          </w:p>
          <w:p w14:paraId="7649109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（2）环境影响途径及防范措施</w:t>
            </w:r>
          </w:p>
          <w:p w14:paraId="317D40A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1）</w:t>
            </w:r>
            <w:r>
              <w:rPr>
                <w:rFonts w:hint="eastAsia"/>
                <w:lang w:val="en-US" w:eastAsia="zh-CN"/>
              </w:rPr>
              <w:t>影响途径</w:t>
            </w:r>
          </w:p>
          <w:p w14:paraId="17C8592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根据《建设项目环境风险评价技术导则》（HJ 169-2018），环境风险类型包括：危险物质泄漏，以及火灾、爆炸等引发的伴生/次生污染物排放。环境影响途径：乙醇可导致火灾或爆炸事故，并引发的伴生/次生污染物排放；次氯酸钠泄露可导致大气、水体污染等。</w:t>
            </w:r>
          </w:p>
          <w:p w14:paraId="427CFA4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2）危害后果</w:t>
            </w:r>
          </w:p>
          <w:p w14:paraId="5273A7B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①大气污染：一旦发生火灾或爆炸，会产生大量浓烟，浓烟中含有大量一氧化碳、二氧化碳、可吸入颗粒物以及剧毒气体，造成大气污染；</w:t>
            </w:r>
          </w:p>
          <w:p w14:paraId="480FF57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地表水和地下水污染，主要危险物质的泄露可导致地表水和地下水的污染，管网系统由于管道堵塞、管道破裂和管道接头处的破损，会造成大量污水外溢，污染地表水和地下水；或由于排水不畅时易引起污水漫溢污染地表水和地下水。</w:t>
            </w:r>
          </w:p>
          <w:p w14:paraId="413CBE8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3）风险防范措施</w:t>
            </w:r>
          </w:p>
          <w:p w14:paraId="662AD68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w:t>
            </w:r>
            <w:r>
              <w:rPr>
                <w:rFonts w:hint="eastAsia"/>
                <w:lang w:val="en-US" w:eastAsia="zh-CN"/>
              </w:rPr>
              <w:t>泄露</w:t>
            </w:r>
          </w:p>
          <w:p w14:paraId="6AA3FCF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建设单位在贮存和使用乙醇、84消毒液及污水处理消毒剂时采取如下措施：</w:t>
            </w:r>
          </w:p>
          <w:p w14:paraId="184EAEB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医用酒精放置在药房专门的药品柜中；84消毒液放置在药房货架上；次氯酸钠药剂放置在污水处理设备配备的防渗、防腐蚀药箱中。项目医疗废物暂存间、污水处理设备安装区进行防渗处理，防渗材料厚度不小于2.00mm，防渗系数K≤10</w:t>
            </w:r>
            <w:r>
              <w:rPr>
                <w:rFonts w:hint="eastAsia"/>
                <w:vertAlign w:val="superscript"/>
                <w:lang w:val="en-US" w:eastAsia="zh-CN"/>
              </w:rPr>
              <w:t>-10</w:t>
            </w:r>
            <w:r>
              <w:rPr>
                <w:rFonts w:hint="eastAsia"/>
                <w:lang w:val="en-US" w:eastAsia="zh-CN"/>
              </w:rPr>
              <w:t>cm/s。药房等存放化学药品的区域均进行地面硬化，并采取防渗措施。</w:t>
            </w:r>
          </w:p>
          <w:p w14:paraId="2E3F6D1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b药剂入库时，严格检验物品质量、数量、包装情况、有无泄漏；在贮存期内，定期检查，发现其品质变化、包装破损、渗漏等状况，及时处理。</w:t>
            </w:r>
          </w:p>
          <w:p w14:paraId="377534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在采取上述措施后，本项目发生泄漏风险的机率较低，对环境的影响较小。</w:t>
            </w:r>
          </w:p>
          <w:p w14:paraId="49A7D1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w:t>
            </w:r>
            <w:r>
              <w:rPr>
                <w:rFonts w:hint="eastAsia"/>
                <w:lang w:val="en-US" w:eastAsia="zh-CN"/>
              </w:rPr>
              <w:t>火灾或爆炸</w:t>
            </w:r>
          </w:p>
          <w:p w14:paraId="041DF15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09DD43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w:t>
            </w:r>
            <w:r>
              <w:rPr>
                <w:rFonts w:hint="default"/>
                <w:lang w:val="en-US" w:eastAsia="zh-CN"/>
              </w:rPr>
              <w:t>涉及药剂存放、使用的场所均需要设置灭火器等消防器材；</w:t>
            </w:r>
          </w:p>
          <w:p w14:paraId="6633C29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w:t>
            </w:r>
            <w:r>
              <w:rPr>
                <w:rFonts w:hint="default"/>
                <w:lang w:val="en-US" w:eastAsia="zh-CN"/>
              </w:rPr>
              <w:t>加强火源管理，严禁烟火带入，储存场所应设有明显的禁止烟火安全标志；</w:t>
            </w:r>
          </w:p>
          <w:p w14:paraId="22C1A4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c</w:t>
            </w:r>
            <w:r>
              <w:rPr>
                <w:rFonts w:hint="default"/>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的应急措施。</w:t>
            </w:r>
          </w:p>
          <w:p w14:paraId="5CA8218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在采取上述措施后，火灾或爆炸风险隐患可降至最低。</w:t>
            </w:r>
          </w:p>
          <w:p w14:paraId="3CC0419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（3）应急处置措施</w:t>
            </w:r>
          </w:p>
          <w:p w14:paraId="586061D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w:t>
            </w:r>
            <w:r>
              <w:rPr>
                <w:rFonts w:hint="default"/>
                <w:lang w:val="en-US" w:eastAsia="zh-CN"/>
              </w:rPr>
              <w:t>泄漏</w:t>
            </w:r>
          </w:p>
          <w:p w14:paraId="7AE6AE7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①发现有盛放酒精、次氯酸钠溶液的瓶、桶等容器出现裂隙或破损，尚未发生泄漏的，应由工作人员对容器进行修补。不能修好的，要立即更换新的专用容器并将酒精等化学品妥善转移至新容器内。</w:t>
            </w:r>
          </w:p>
          <w:p w14:paraId="03890D9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发生化学品少量泄漏，现场人员做好个人防护后，先妥善处置发生泄漏的化学品容器，可使用抹布、纸等对泄漏的物质进行吸附擦拭。如出现大量泄漏，现场人员应立即向医院负责人报告，同时建立警戒。禁止无关人员涉事区域，事故现场严禁开关非防爆电器、接打手机等易产生火花的行为。可使用吸附棉、吸油毡等对化学品进行吸附收集，如不能自行处置的，应视事故情况请求公安、消防、医疗、生态环境等外部机构援助。</w:t>
            </w:r>
          </w:p>
          <w:p w14:paraId="583745C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③合理通风，加速扩散。</w:t>
            </w:r>
          </w:p>
          <w:p w14:paraId="41F2817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④处置吸附化学品的物品，应按照危险废物进行管理，及时联系相关具有处置资质的单位清运。</w:t>
            </w:r>
          </w:p>
          <w:p w14:paraId="09BE40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w:t>
            </w:r>
            <w:r>
              <w:rPr>
                <w:rFonts w:hint="default"/>
                <w:lang w:val="en-US" w:eastAsia="zh-CN"/>
              </w:rPr>
              <w:t>火灾或爆炸</w:t>
            </w:r>
          </w:p>
          <w:p w14:paraId="4DD56FC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①初期火灾，可用灭火器扑灭的，工作人员及时灭火。灭火结束后，将灭火废物如泡沫干粉等进行收集。向消防部门报告处置情况。</w:t>
            </w:r>
          </w:p>
          <w:p w14:paraId="6BDC74E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②若灭火器、消防栓等器材不能控制火势。应在第一时间向周边群众发出警示，疏散院内员工及顾客，以及周边人员。并立即申请消防、公安、医疗及生态环境等外部救援。</w:t>
            </w:r>
          </w:p>
          <w:p w14:paraId="3D6E031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③出现大量消防废水，应采用沙袋封堵雨水总排口，使用容器将消防废水全部收集。事故处置结束后，对消防废水进行后续转移处理（不能在火场周围封堵），委托具有相关处置资质的单位进行转运。</w:t>
            </w:r>
          </w:p>
          <w:p w14:paraId="30FB87F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（4）环境风险评价结论</w:t>
            </w:r>
          </w:p>
          <w:p w14:paraId="7C697E4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综上所述，针对风险，本次评价进行了简要的分析，并在此基础上提出了相应的风险防范措施和事故风险应急预案，项目在运营期认真执行各项防范措施等，可以将环境风险降到最低，本项目的环境风险是可以接受的。</w:t>
            </w:r>
          </w:p>
          <w:p w14:paraId="6B4864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4687E5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E6E4FF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6B1A93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621F23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C6AD92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980BD5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3A2B68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0C1E06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5ACDD0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27BA17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9009EA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711B2AF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B84B9E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3C68B5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E5EE9B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82EBF7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B9E0D2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91B713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7FCB10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FE91F7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D15CC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F804BF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1DB360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BBF24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E6FB3ED">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default"/>
                <w:lang w:val="en-US" w:eastAsia="zh-CN"/>
              </w:rPr>
            </w:pPr>
          </w:p>
        </w:tc>
      </w:tr>
    </w:tbl>
    <w:p w14:paraId="6A07CCC8">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C2C5FEF">
      <w:pPr>
        <w:pStyle w:val="2"/>
        <w:bidi w:val="0"/>
        <w:rPr>
          <w:rFonts w:hint="eastAsia"/>
          <w:lang w:val="en-US" w:eastAsia="zh-CN"/>
        </w:rPr>
      </w:pPr>
      <w:r>
        <w:rPr>
          <w:rFonts w:hint="eastAsia"/>
          <w:lang w:val="en-US" w:eastAsia="zh-CN"/>
        </w:rPr>
        <w:t>五、环境保护措施监督检查清单</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0"/>
        <w:gridCol w:w="1425"/>
        <w:gridCol w:w="2408"/>
        <w:gridCol w:w="2141"/>
      </w:tblGrid>
      <w:tr w14:paraId="14229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84"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875E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3741AF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44CE5F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mc:AlternateContent>
                <mc:Choice Requires="wpsCustomData">
                  <wpsCustomData:diagonalParaType/>
                </mc:Choice>
              </mc:AlternateContent>
              <w:rPr>
                <w:rFonts w:hint="default"/>
                <w:b/>
                <w:bCs/>
                <w:sz w:val="21"/>
                <w:szCs w:val="21"/>
                <w:vertAlign w:val="baseline"/>
                <w:lang w:val="en-US" w:eastAsia="zh-CN"/>
              </w:rPr>
            </w:pPr>
            <w:r>
              <w:rPr>
                <w:rFonts w:hint="eastAsia"/>
                <w:b/>
                <w:bCs/>
                <w:sz w:val="21"/>
                <w:szCs w:val="21"/>
                <w:vertAlign w:val="baseline"/>
                <w:lang w:val="en-US" w:eastAsia="zh-CN"/>
              </w:rPr>
              <w:t>要素</w:t>
            </w:r>
          </w:p>
          <w:p w14:paraId="77A04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 xml:space="preserve">    内容</w:t>
            </w:r>
          </w:p>
        </w:tc>
        <w:tc>
          <w:tcPr>
            <w:tcW w:w="1590" w:type="dxa"/>
            <w:vAlign w:val="center"/>
          </w:tcPr>
          <w:p w14:paraId="53AAA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排放口（编号、名称）/污染源</w:t>
            </w:r>
          </w:p>
        </w:tc>
        <w:tc>
          <w:tcPr>
            <w:tcW w:w="1425" w:type="dxa"/>
            <w:vAlign w:val="center"/>
          </w:tcPr>
          <w:p w14:paraId="2ECE53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污染物项目</w:t>
            </w:r>
          </w:p>
        </w:tc>
        <w:tc>
          <w:tcPr>
            <w:tcW w:w="2408" w:type="dxa"/>
            <w:vAlign w:val="center"/>
          </w:tcPr>
          <w:p w14:paraId="227AB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环境保护措施</w:t>
            </w:r>
          </w:p>
        </w:tc>
        <w:tc>
          <w:tcPr>
            <w:tcW w:w="2141" w:type="dxa"/>
            <w:vAlign w:val="center"/>
          </w:tcPr>
          <w:p w14:paraId="06EF9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执行标准</w:t>
            </w:r>
          </w:p>
        </w:tc>
      </w:tr>
      <w:tr w14:paraId="42F04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6164CE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大气环境</w:t>
            </w:r>
          </w:p>
        </w:tc>
        <w:tc>
          <w:tcPr>
            <w:tcW w:w="1590" w:type="dxa"/>
            <w:vMerge w:val="restart"/>
            <w:vAlign w:val="center"/>
          </w:tcPr>
          <w:p w14:paraId="00231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DA001</w:t>
            </w:r>
          </w:p>
        </w:tc>
        <w:tc>
          <w:tcPr>
            <w:tcW w:w="1425" w:type="dxa"/>
            <w:vAlign w:val="center"/>
          </w:tcPr>
          <w:p w14:paraId="15A315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2408" w:type="dxa"/>
            <w:vMerge w:val="restart"/>
            <w:vAlign w:val="center"/>
          </w:tcPr>
          <w:p w14:paraId="1B115D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default"/>
                <w:sz w:val="24"/>
                <w:szCs w:val="24"/>
                <w:highlight w:val="none"/>
                <w:vertAlign w:val="baseline"/>
                <w:lang w:val="en-US" w:eastAsia="zh-CN"/>
              </w:rPr>
              <w:t>采取笼子下方放置托盘，托盘中放置猫砂便于吸收粪尿，宠物粪尿被猫砂吸收包裹后及时由医护人员清理并装入专门的密封袋中密封保存，同时喷洒除臭剂、空气清新剂等净化措施，此外，运营期间各科室均关闭门窗，异味进行统一收集后汇集到排风管道中通过活性炭净化装置处理，经位于南侧的排风口排出室外</w:t>
            </w:r>
          </w:p>
        </w:tc>
        <w:tc>
          <w:tcPr>
            <w:tcW w:w="2141" w:type="dxa"/>
            <w:vMerge w:val="restart"/>
            <w:vAlign w:val="center"/>
          </w:tcPr>
          <w:p w14:paraId="6C2428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北京市《大气污染物综合排放标准》（DB11/501-2017）中“表3 生产工艺废气及其他废气大气污染物排放限值”</w:t>
            </w:r>
          </w:p>
        </w:tc>
      </w:tr>
      <w:tr w14:paraId="5E0CA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A29EB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590" w:type="dxa"/>
            <w:vMerge w:val="continue"/>
            <w:vAlign w:val="center"/>
          </w:tcPr>
          <w:p w14:paraId="7C2F8E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25" w:type="dxa"/>
            <w:vAlign w:val="center"/>
          </w:tcPr>
          <w:p w14:paraId="7C7615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2408" w:type="dxa"/>
            <w:vMerge w:val="continue"/>
            <w:vAlign w:val="center"/>
          </w:tcPr>
          <w:p w14:paraId="540BD2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16123C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13700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CB41E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590" w:type="dxa"/>
            <w:vMerge w:val="continue"/>
            <w:vAlign w:val="center"/>
          </w:tcPr>
          <w:p w14:paraId="3C2C0B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25" w:type="dxa"/>
            <w:vAlign w:val="center"/>
          </w:tcPr>
          <w:p w14:paraId="7E24D4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臭气浓度</w:t>
            </w:r>
          </w:p>
        </w:tc>
        <w:tc>
          <w:tcPr>
            <w:tcW w:w="2408" w:type="dxa"/>
            <w:vMerge w:val="continue"/>
            <w:vAlign w:val="center"/>
          </w:tcPr>
          <w:p w14:paraId="7E874B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4B8427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1D01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C7974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restart"/>
            <w:vAlign w:val="center"/>
          </w:tcPr>
          <w:p w14:paraId="0CE5FD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无组织排放</w:t>
            </w:r>
          </w:p>
          <w:p w14:paraId="0CAEB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（就诊动物）</w:t>
            </w:r>
          </w:p>
        </w:tc>
        <w:tc>
          <w:tcPr>
            <w:tcW w:w="1425" w:type="dxa"/>
            <w:vAlign w:val="center"/>
          </w:tcPr>
          <w:p w14:paraId="48DC5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2408" w:type="dxa"/>
            <w:vMerge w:val="continue"/>
            <w:vAlign w:val="center"/>
          </w:tcPr>
          <w:p w14:paraId="102B02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restart"/>
            <w:vAlign w:val="center"/>
          </w:tcPr>
          <w:p w14:paraId="393359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北京市《大气污染物综合排放标准》（DB11/501-2017）</w:t>
            </w:r>
          </w:p>
        </w:tc>
      </w:tr>
      <w:tr w14:paraId="106B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08884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00ECE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7DAACF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2408" w:type="dxa"/>
            <w:vMerge w:val="continue"/>
            <w:vAlign w:val="center"/>
          </w:tcPr>
          <w:p w14:paraId="0106D1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0852CF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2D88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416B4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590" w:type="dxa"/>
            <w:vMerge w:val="continue"/>
            <w:vAlign w:val="center"/>
          </w:tcPr>
          <w:p w14:paraId="785145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425" w:type="dxa"/>
            <w:vAlign w:val="center"/>
          </w:tcPr>
          <w:p w14:paraId="6F4BE6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臭气浓度</w:t>
            </w:r>
          </w:p>
        </w:tc>
        <w:tc>
          <w:tcPr>
            <w:tcW w:w="2408" w:type="dxa"/>
            <w:vMerge w:val="continue"/>
            <w:vAlign w:val="center"/>
          </w:tcPr>
          <w:p w14:paraId="1555A3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136B6F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1DC2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110B06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地表水</w:t>
            </w:r>
          </w:p>
          <w:p w14:paraId="60C2C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环境</w:t>
            </w:r>
          </w:p>
        </w:tc>
        <w:tc>
          <w:tcPr>
            <w:tcW w:w="1590" w:type="dxa"/>
            <w:vMerge w:val="restart"/>
            <w:vAlign w:val="center"/>
          </w:tcPr>
          <w:p w14:paraId="2D8A76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园区废水</w:t>
            </w:r>
          </w:p>
          <w:p w14:paraId="2944E1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总排放口</w:t>
            </w:r>
          </w:p>
        </w:tc>
        <w:tc>
          <w:tcPr>
            <w:tcW w:w="1425" w:type="dxa"/>
            <w:vAlign w:val="center"/>
          </w:tcPr>
          <w:p w14:paraId="17CFA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pH</w:t>
            </w:r>
          </w:p>
        </w:tc>
        <w:tc>
          <w:tcPr>
            <w:tcW w:w="2408" w:type="dxa"/>
            <w:vMerge w:val="restart"/>
            <w:vAlign w:val="center"/>
          </w:tcPr>
          <w:p w14:paraId="791104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highlight w:val="none"/>
                <w:vertAlign w:val="baseline"/>
                <w:lang w:val="en-US" w:eastAsia="zh-CN"/>
              </w:rPr>
              <w:t>动物诊疗废水、美容洗浴废水经污水处理设备消毒后，与生活污水一同排入所在建筑集中防渗化粪池预处理，最终经市政污水管网进入北京中设水处理有限公司良乡污水处理厂集中处理</w:t>
            </w:r>
          </w:p>
        </w:tc>
        <w:tc>
          <w:tcPr>
            <w:tcW w:w="2141" w:type="dxa"/>
            <w:vMerge w:val="restart"/>
            <w:vAlign w:val="center"/>
          </w:tcPr>
          <w:p w14:paraId="250565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北京市《水污染物综合排放标准》（DB11/307-2013）</w:t>
            </w:r>
          </w:p>
        </w:tc>
      </w:tr>
      <w:tr w14:paraId="4EA0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83E69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6DFC2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140D42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2408" w:type="dxa"/>
            <w:vMerge w:val="continue"/>
            <w:vAlign w:val="center"/>
          </w:tcPr>
          <w:p w14:paraId="5E1E2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30ED6B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595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1306C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6FE77E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2E897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BOD</w:t>
            </w:r>
            <w:r>
              <w:rPr>
                <w:rFonts w:hint="eastAsia"/>
                <w:sz w:val="24"/>
                <w:szCs w:val="24"/>
                <w:vertAlign w:val="subscript"/>
                <w:lang w:val="en-US" w:eastAsia="zh-CN"/>
              </w:rPr>
              <w:t>5</w:t>
            </w:r>
          </w:p>
        </w:tc>
        <w:tc>
          <w:tcPr>
            <w:tcW w:w="2408" w:type="dxa"/>
            <w:vMerge w:val="continue"/>
            <w:vAlign w:val="center"/>
          </w:tcPr>
          <w:p w14:paraId="6F3A86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7B0BE5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E0A5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55A3F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5C5E05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D71D6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SS</w:t>
            </w:r>
          </w:p>
        </w:tc>
        <w:tc>
          <w:tcPr>
            <w:tcW w:w="2408" w:type="dxa"/>
            <w:vMerge w:val="continue"/>
            <w:vAlign w:val="center"/>
          </w:tcPr>
          <w:p w14:paraId="11E1CE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A3AB5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1A8E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DECE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3C68A7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64935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2408" w:type="dxa"/>
            <w:vMerge w:val="continue"/>
            <w:vAlign w:val="center"/>
          </w:tcPr>
          <w:p w14:paraId="5A5E20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04E65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0B3F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3520C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7B8D5D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71FD8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总余氯</w:t>
            </w:r>
          </w:p>
        </w:tc>
        <w:tc>
          <w:tcPr>
            <w:tcW w:w="2408" w:type="dxa"/>
            <w:vMerge w:val="continue"/>
            <w:vAlign w:val="center"/>
          </w:tcPr>
          <w:p w14:paraId="70698D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FB81E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FFC8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7C346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1A5578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4CE86F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粪大肠菌群</w:t>
            </w:r>
          </w:p>
        </w:tc>
        <w:tc>
          <w:tcPr>
            <w:tcW w:w="2408" w:type="dxa"/>
            <w:vMerge w:val="continue"/>
            <w:vAlign w:val="center"/>
          </w:tcPr>
          <w:p w14:paraId="6273C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6D850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4F1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384" w:type="dxa"/>
            <w:vAlign w:val="center"/>
          </w:tcPr>
          <w:p w14:paraId="2AF0A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声环境</w:t>
            </w:r>
          </w:p>
        </w:tc>
        <w:tc>
          <w:tcPr>
            <w:tcW w:w="1590" w:type="dxa"/>
            <w:vAlign w:val="center"/>
          </w:tcPr>
          <w:p w14:paraId="66A7D5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w:t>
            </w:r>
          </w:p>
        </w:tc>
        <w:tc>
          <w:tcPr>
            <w:tcW w:w="1425" w:type="dxa"/>
            <w:tcBorders/>
            <w:vAlign w:val="center"/>
          </w:tcPr>
          <w:p w14:paraId="270495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设备噪声</w:t>
            </w:r>
          </w:p>
        </w:tc>
        <w:tc>
          <w:tcPr>
            <w:tcW w:w="2408" w:type="dxa"/>
            <w:vAlign w:val="center"/>
          </w:tcPr>
          <w:p w14:paraId="441302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合理布局、采用低噪声设备、安装减振等；室内等候、加强管理等</w:t>
            </w:r>
          </w:p>
        </w:tc>
        <w:tc>
          <w:tcPr>
            <w:tcW w:w="2141" w:type="dxa"/>
            <w:vAlign w:val="center"/>
          </w:tcPr>
          <w:p w14:paraId="615CBC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《工业企业厂界环境噪声排放标准》（GB12348-2008）中2类标准</w:t>
            </w:r>
          </w:p>
        </w:tc>
      </w:tr>
      <w:tr w14:paraId="202D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Align w:val="center"/>
          </w:tcPr>
          <w:p w14:paraId="78233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电磁辐射</w:t>
            </w:r>
          </w:p>
        </w:tc>
        <w:tc>
          <w:tcPr>
            <w:tcW w:w="1590" w:type="dxa"/>
            <w:vAlign w:val="center"/>
          </w:tcPr>
          <w:p w14:paraId="77416A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25" w:type="dxa"/>
            <w:vAlign w:val="center"/>
          </w:tcPr>
          <w:p w14:paraId="34C3B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408" w:type="dxa"/>
            <w:vAlign w:val="center"/>
          </w:tcPr>
          <w:p w14:paraId="7D0C72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141" w:type="dxa"/>
            <w:vAlign w:val="center"/>
          </w:tcPr>
          <w:p w14:paraId="31977F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081F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4C560F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固体废物</w:t>
            </w:r>
          </w:p>
        </w:tc>
        <w:tc>
          <w:tcPr>
            <w:tcW w:w="7564" w:type="dxa"/>
            <w:gridSpan w:val="4"/>
            <w:vAlign w:val="center"/>
          </w:tcPr>
          <w:p w14:paraId="030EB8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生活垃圾分类收集，由专人清运至环卫部门指定场所</w:t>
            </w:r>
            <w:r>
              <w:rPr>
                <w:rFonts w:hint="eastAsia"/>
                <w:sz w:val="24"/>
                <w:szCs w:val="24"/>
                <w:vertAlign w:val="baseline"/>
                <w:lang w:val="en-US" w:eastAsia="zh-CN"/>
              </w:rPr>
              <w:t>；</w:t>
            </w:r>
            <w:r>
              <w:rPr>
                <w:rFonts w:hint="default"/>
                <w:sz w:val="24"/>
                <w:szCs w:val="24"/>
                <w:vertAlign w:val="baseline"/>
                <w:lang w:val="en-US" w:eastAsia="zh-CN"/>
              </w:rPr>
              <w:t>一般工业固体废物由废品站回收利用</w:t>
            </w:r>
            <w:r>
              <w:rPr>
                <w:rFonts w:hint="eastAsia"/>
                <w:sz w:val="24"/>
                <w:szCs w:val="24"/>
                <w:vertAlign w:val="baseline"/>
                <w:lang w:val="en-US" w:eastAsia="zh-CN"/>
              </w:rPr>
              <w:t>；</w:t>
            </w:r>
            <w:r>
              <w:rPr>
                <w:rFonts w:hint="default"/>
                <w:sz w:val="24"/>
                <w:szCs w:val="24"/>
                <w:vertAlign w:val="baseline"/>
                <w:lang w:val="en-US" w:eastAsia="zh-CN"/>
              </w:rPr>
              <w:t>医疗废物设置医疗废物暂存间，委托北京光凯祥瑞环保科技有限公司定期清运。</w:t>
            </w:r>
          </w:p>
          <w:p w14:paraId="00B5D3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项目对固体废物的管理及处置应符合《中华人民共和国固体废物污染环境防治法》（2020年版）、《北京市生活垃圾管理条例》（2020年9月25日修正）、《一般工业固体废物贮存和填埋污染控制标准》（GB18599-2020）、《危险废物贮存污染控制标准》（GB18597-2023），以及《医疗废物管理条例》（中华人民共和国国务院令第380号令）等规定。</w:t>
            </w:r>
          </w:p>
        </w:tc>
      </w:tr>
      <w:tr w14:paraId="5A1C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CF996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土壤及地下水污染防治措施</w:t>
            </w:r>
          </w:p>
        </w:tc>
        <w:tc>
          <w:tcPr>
            <w:tcW w:w="7564" w:type="dxa"/>
            <w:gridSpan w:val="4"/>
            <w:vAlign w:val="center"/>
          </w:tcPr>
          <w:p w14:paraId="5CCA10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建设单位拟对医疗废物暂存间、污水处理设备安装区采取地面硬化及防渗处理，防渗材料采用高密度聚乙烯防渗层或其他材料进行防渗处理，材料的渗透系数K不大于1.0×10</w:t>
            </w:r>
            <w:r>
              <w:rPr>
                <w:rFonts w:hint="eastAsia"/>
                <w:sz w:val="24"/>
                <w:szCs w:val="24"/>
                <w:vertAlign w:val="superscript"/>
                <w:lang w:val="en-US" w:eastAsia="zh-CN"/>
              </w:rPr>
              <w:t>-10</w:t>
            </w:r>
            <w:r>
              <w:rPr>
                <w:rFonts w:hint="eastAsia"/>
                <w:sz w:val="24"/>
                <w:szCs w:val="24"/>
                <w:vertAlign w:val="baseline"/>
                <w:lang w:val="en-US" w:eastAsia="zh-CN"/>
              </w:rPr>
              <w:t>cm/s。污水处理设施内设自动水量、水位监测仪器以及高位报警器，对水量和水位进行监测。污水管道采用防渗、防腐管材。医疗废物暂存间内暂存的医疗废物均严格执行《医疗废物管理条例》、《危险废物贮存污染控制标准》、《北京市危险</w:t>
            </w:r>
          </w:p>
          <w:p w14:paraId="360ABA4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废物污染环境防治条例》，及时收集本单位产生的医疗废物，并按类别分置于防渗漏、防锐器穿透的专用包装物或者密闭的容器内，防止其中的液体渗漏。生活垃圾、一般工业固体废物设置密封垃圾箱，均不在露天堆放，并及时外运处理，以避免对地下水及土壤环境造成影响的可能。采取措施后，本项目运营过程中不会对地下水及土壤造成环境污染。</w:t>
            </w:r>
          </w:p>
        </w:tc>
      </w:tr>
      <w:tr w14:paraId="6D790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68865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生态保护措施</w:t>
            </w:r>
          </w:p>
        </w:tc>
        <w:tc>
          <w:tcPr>
            <w:tcW w:w="7564" w:type="dxa"/>
            <w:gridSpan w:val="4"/>
            <w:vAlign w:val="center"/>
          </w:tcPr>
          <w:p w14:paraId="3F1BAC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59BA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EC17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环境风险</w:t>
            </w:r>
          </w:p>
          <w:p w14:paraId="778A8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防范措施</w:t>
            </w:r>
          </w:p>
        </w:tc>
        <w:tc>
          <w:tcPr>
            <w:tcW w:w="7564" w:type="dxa"/>
            <w:gridSpan w:val="4"/>
            <w:vAlign w:val="center"/>
          </w:tcPr>
          <w:p w14:paraId="2CFC86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1.泄漏</w:t>
            </w:r>
          </w:p>
          <w:p w14:paraId="101F9B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建设单位在贮存和使用</w:t>
            </w:r>
            <w:r>
              <w:rPr>
                <w:rFonts w:hint="eastAsia"/>
                <w:sz w:val="24"/>
                <w:szCs w:val="24"/>
                <w:vertAlign w:val="baseline"/>
                <w:lang w:val="en-US" w:eastAsia="zh-CN"/>
              </w:rPr>
              <w:t>医用酒精</w:t>
            </w:r>
            <w:r>
              <w:rPr>
                <w:rFonts w:hint="default"/>
                <w:sz w:val="24"/>
                <w:szCs w:val="24"/>
                <w:vertAlign w:val="baseline"/>
                <w:lang w:val="en-US" w:eastAsia="zh-CN"/>
              </w:rPr>
              <w:t>、84消毒液及污水处理消毒剂时采取如下措施：</w:t>
            </w:r>
          </w:p>
          <w:p w14:paraId="555FB3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医用酒精放置在药房专门的药品柜中；84消毒液放置在药房货架上；次氯酸钠药剂放置在污水处理设备配备的防渗、防腐蚀药箱中。项目医疗废物暂存间、污水处理设备安装区进行防渗处理，防渗材料厚度不小于2.00mm，防渗系数K≤10</w:t>
            </w:r>
            <w:r>
              <w:rPr>
                <w:rFonts w:hint="default"/>
                <w:sz w:val="24"/>
                <w:szCs w:val="24"/>
                <w:vertAlign w:val="superscript"/>
                <w:lang w:val="en-US" w:eastAsia="zh-CN"/>
              </w:rPr>
              <w:t>-10</w:t>
            </w:r>
            <w:r>
              <w:rPr>
                <w:rFonts w:hint="default"/>
                <w:sz w:val="24"/>
                <w:szCs w:val="24"/>
                <w:vertAlign w:val="baseline"/>
                <w:lang w:val="en-US" w:eastAsia="zh-CN"/>
              </w:rPr>
              <w:t>cm/s。药房等存放化学药品的区域均进行地面硬化，并采取防渗措施。</w:t>
            </w:r>
          </w:p>
          <w:p w14:paraId="69655E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药剂入库时，严格检验物品质量、数量、包装情况、有无泄漏；在贮存期内，定期检查，发现其品质变化、包装破损、渗漏等状况，及时处理。</w:t>
            </w:r>
          </w:p>
          <w:p w14:paraId="526332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2.火灾或爆炸</w:t>
            </w:r>
          </w:p>
          <w:p w14:paraId="10A9DE4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668B1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涉及药剂存放、使用的场所均需要设置灭火器等消防器材；</w:t>
            </w:r>
          </w:p>
          <w:p w14:paraId="604EA3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加强火源的管理，严禁烟火带入，储存场所应设有明显的禁止烟火安全标志；</w:t>
            </w:r>
          </w:p>
          <w:p w14:paraId="64EF03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w:t>
            </w:r>
            <w:r>
              <w:rPr>
                <w:rFonts w:hint="default"/>
                <w:sz w:val="24"/>
                <w:szCs w:val="24"/>
                <w:vertAlign w:val="baseline"/>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应急措施。</w:t>
            </w:r>
          </w:p>
        </w:tc>
      </w:tr>
      <w:tr w14:paraId="20D1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1D537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其他环境</w:t>
            </w:r>
          </w:p>
          <w:p w14:paraId="28CC5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管理要求</w:t>
            </w:r>
          </w:p>
        </w:tc>
        <w:tc>
          <w:tcPr>
            <w:tcW w:w="7564" w:type="dxa"/>
            <w:gridSpan w:val="4"/>
            <w:vAlign w:val="center"/>
          </w:tcPr>
          <w:p w14:paraId="6D69366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1、环境管理制度建设</w:t>
            </w:r>
          </w:p>
          <w:p w14:paraId="67E6F4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营运期间的环境管理主要任务是管理、维护各项环保措施，确保其正常运转和达标排放，充分发挥其作用，并做好环境监测工作，及时掌握各项环保设施的运行状况，环境影响动态，必要时采取适当的污染防治措施。</w:t>
            </w:r>
          </w:p>
          <w:p w14:paraId="1E04C3E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环境管理职责：</w:t>
            </w:r>
          </w:p>
          <w:p w14:paraId="71F283C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项目设置专门的环境管理人员，负责检查、督促各项具体工作的落实情况，协调各部门的环境管理工作。</w:t>
            </w:r>
          </w:p>
          <w:p w14:paraId="17E436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①认真贯彻执行国家和北京市的有关环境保护法律、法规和标准，协助协调项目建设、运行活动与环境保护活动。</w:t>
            </w:r>
          </w:p>
          <w:p w14:paraId="462093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②建立项目的污染源档案及相关台帐，并负责编制环境监测和环境质量报告。</w:t>
            </w:r>
          </w:p>
          <w:p w14:paraId="573A05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③监督环保公用设施的运行、维修，以确保其正常稳定运行；负责污染物排放口的规范管理；处理解决环境事故。</w:t>
            </w:r>
          </w:p>
          <w:p w14:paraId="06477A7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④负责有关环境事务方面的对外联络，取得资料；并负责对公众的联络、解释、答复和协调有关涉及公众利益的活动及相应措施等。</w:t>
            </w:r>
          </w:p>
          <w:p w14:paraId="07EC6F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2、排污口规范化管理</w:t>
            </w:r>
          </w:p>
          <w:p w14:paraId="093DFD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根据《关于开展排放口规范化整治工作的通知》（环发[1999]24号）（2006年修订）及其附件《排放口规范化整治技术要求》、北京市《固定污染源监测点位设置技术规范》（DB11/1195-2015），本项目设置1个废气排放口，编号DA001；针对废水设置1个污水排放口，位于医院内东侧的卫生间排水口处，编号DW001。建设单位应在各排污口处设立较明显的排污口（源）标志牌，并注明主要排放污染物的名称，并对有关排污口的情况及污染治理设施的运行情况等进行建档管理。各污染源排放口应设置专项图标，执行《环境保护图形标志-排放口（源）》（GB15562.1-1995）、《环境保护图形标志-固体废物贮存（处置）场》（GB15562.2-1995）及北京市《固定污染源监测点位设置技术规范》（DB11/1195-2015）的相关要求。</w:t>
            </w:r>
          </w:p>
          <w:p w14:paraId="56A7CAA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3、监测要求</w:t>
            </w:r>
          </w:p>
          <w:p w14:paraId="2865B8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废气有组织排放设置监测孔，位置应便于人员开展监测工作，并满足北京市《固定污染源监测点位设置技术规范》（DB11/1195-2015）相关要求；废气排放口应设置监测点位提示性标志牌，标志牌应设置在距污染物监测点位较近且醒目处，并能长久保留，标志牌的技术规格及信息内容应符合北京市《固定污染源监测点位设置技术规范》（DB11/1195-2015）中附录 A 规定，其中点位编码应符合附录 B 的规定；标志牌右下角应设置与标志牌图案总体协调、符合北京市排污口信息化、网络化管理技术要求的二维码。</w:t>
            </w:r>
          </w:p>
          <w:p w14:paraId="356332B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项目废气为无组织排放形式，应按照北京市《大气污染物综合排放标准》（DB11/501-2017）中6.3中“无组织排放监测要求”的规定进行污染物排放监测，即单位周界无组织排放监控点浓度监测按HJ/T 55、HJ/T 194、HJ 691的规定执行。污水监测点应按北京市《固定污染源监测点位设置技术规范》（DB11/1195-2015）要求。</w:t>
            </w:r>
          </w:p>
          <w:p w14:paraId="2184B0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4、与排污许可制衔接要求</w:t>
            </w:r>
          </w:p>
          <w:p w14:paraId="75DEA7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根据《国民经济行业分类》（GB/T 4754-2017）及其修改单，本项目行业类别属于“O8222宠物医院服务”。经核对《固定污染源排污许可分类管理名录（2019年版）》，本项目属于“五十、其他行业”，但不涉及通用工序，依据《排污许可管理办法（试行）》（环境保护部令第48号）中“未纳入固定污染源排污许可分类管理名录的排污单位，暂不需申请排污许可证”的规定执行。故本项目不需办理排污许可证</w:t>
            </w:r>
            <w:r>
              <w:rPr>
                <w:rFonts w:hint="default"/>
                <w:sz w:val="24"/>
                <w:szCs w:val="24"/>
                <w:vertAlign w:val="baseline"/>
                <w:lang w:val="en-US" w:eastAsia="zh-CN"/>
              </w:rPr>
              <w:t>。</w:t>
            </w:r>
          </w:p>
          <w:p w14:paraId="3964AB8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17712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C2D7D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706577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E5316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C60C8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BA81D9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A79CE7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FC3617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F4D7E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E6B774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9B63C0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EC60E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F4AFEF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FB656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31C9E8F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049B48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3D37D6C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600A5B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7396E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6A841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0FB4B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3E19058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85AC65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232D4B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F201F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E9F8E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5E7E2D6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A8EF0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tc>
      </w:tr>
    </w:tbl>
    <w:p w14:paraId="60F09816">
      <w:pPr>
        <w:rPr>
          <w:rFonts w:hint="default"/>
          <w:lang w:val="en-US" w:eastAsia="zh-CN"/>
        </w:r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8E9DB39">
      <w:pPr>
        <w:pStyle w:val="2"/>
        <w:bidi w:val="0"/>
        <w:rPr>
          <w:rFonts w:hint="default"/>
          <w:lang w:val="en-US" w:eastAsia="zh-CN"/>
        </w:rPr>
      </w:pPr>
      <w:r>
        <w:rPr>
          <w:rFonts w:hint="eastAsia"/>
          <w:lang w:val="en-US" w:eastAsia="zh-CN"/>
        </w:rPr>
        <w:t>六、结论</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14:paraId="7252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8" w:type="dxa"/>
            <w:vAlign w:val="center"/>
          </w:tcPr>
          <w:p w14:paraId="1E7008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sz w:val="24"/>
                <w:szCs w:val="24"/>
                <w:vertAlign w:val="baseline"/>
              </w:rPr>
            </w:pPr>
          </w:p>
          <w:p w14:paraId="06A8F30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r>
              <w:rPr>
                <w:rFonts w:hint="eastAsia"/>
                <w:sz w:val="24"/>
                <w:szCs w:val="24"/>
                <w:vertAlign w:val="baseline"/>
              </w:rPr>
              <w:t>综上所述，本项目符合国家及北京市相关产业政策，污染源治理措施可靠有效，污染物均能够达标排放，可以满足当地的环境功能区划的要求，在全面加强监督管理，执行环保“三同时”制度和认真落实各项环保措施的条件下，可实现各类污染物稳定达标排放，满足区域总量控制要求。从环境保护角度分析，项目的建设是可行的，对环境的影响在可接受的范围。</w:t>
            </w:r>
          </w:p>
          <w:p w14:paraId="39C1FACE">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0D4688">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380B0D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B20A74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F5B43BA">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E2B8A1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C241D5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A0BE9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E9F3B1C">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88FDF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56A64F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FB7F2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BA7D3B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515AAB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E9EDB61">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003AA4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D81596F">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BA370F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4F8A0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F2A51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85C9F1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AAC347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8DFF3E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0A2E06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DDFEED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tc>
      </w:tr>
    </w:tbl>
    <w:p w14:paraId="29F34D7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AE10FAF">
      <w:pPr>
        <w:pStyle w:val="2"/>
        <w:keepNext/>
        <w:keepLines/>
        <w:pageBreakBefore w:val="0"/>
        <w:widowControl w:val="0"/>
        <w:kinsoku/>
        <w:wordWrap/>
        <w:overflowPunct/>
        <w:topLinePunct w:val="0"/>
        <w:autoSpaceDE/>
        <w:autoSpaceDN/>
        <w:bidi w:val="0"/>
        <w:adjustRightInd/>
        <w:snapToGrid/>
        <w:jc w:val="both"/>
        <w:textAlignment w:val="auto"/>
        <w:rPr>
          <w:rFonts w:hint="eastAsia"/>
          <w:lang w:val="en-US" w:eastAsia="zh-CN"/>
        </w:rPr>
      </w:pPr>
      <w:r>
        <w:rPr>
          <w:rFonts w:hint="eastAsia"/>
          <w:sz w:val="28"/>
          <w:szCs w:val="28"/>
          <w:lang w:val="en-US" w:eastAsia="zh-CN"/>
        </w:rPr>
        <w:t>附表</w:t>
      </w:r>
    </w:p>
    <w:p w14:paraId="4B580ACF">
      <w:pPr>
        <w:pStyle w:val="2"/>
        <w:bidi w:val="0"/>
        <w:rPr>
          <w:rFonts w:hint="eastAsia"/>
          <w:lang w:val="en-US" w:eastAsia="zh-CN"/>
        </w:rPr>
      </w:pPr>
      <w:r>
        <w:rPr>
          <w:rFonts w:hint="eastAsia"/>
          <w:lang w:val="en-US" w:eastAsia="zh-CN"/>
        </w:rPr>
        <w:t>建设项目污染物排放量汇总表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462"/>
        <w:gridCol w:w="1650"/>
        <w:gridCol w:w="1470"/>
        <w:gridCol w:w="1590"/>
        <w:gridCol w:w="1560"/>
        <w:gridCol w:w="1590"/>
        <w:gridCol w:w="1905"/>
        <w:gridCol w:w="1364"/>
      </w:tblGrid>
      <w:tr w14:paraId="51F9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83"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6D830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p w14:paraId="799D3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分类</w:t>
            </w:r>
          </w:p>
          <w:p w14:paraId="737C6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mc:AlternateContent>
                <mc:Choice Requires="wpsCustomData">
                  <wpsCustomData:diagonalParaType/>
                </mc:Choice>
              </mc:AlternateContent>
              <w:rPr>
                <w:rFonts w:hint="default"/>
                <w:sz w:val="24"/>
                <w:szCs w:val="24"/>
                <w:vertAlign w:val="baseline"/>
                <w:lang w:val="en-US" w:eastAsia="zh-CN"/>
              </w:rPr>
            </w:pPr>
            <w:r>
              <w:rPr>
                <w:rFonts w:hint="eastAsia"/>
                <w:sz w:val="24"/>
                <w:szCs w:val="24"/>
                <w:vertAlign w:val="baseline"/>
                <w:lang w:val="en-US" w:eastAsia="zh-CN"/>
              </w:rPr>
              <w:t>分类</w:t>
            </w:r>
          </w:p>
          <w:p w14:paraId="4559A2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 xml:space="preserve">   项目</w:t>
            </w:r>
          </w:p>
        </w:tc>
        <w:tc>
          <w:tcPr>
            <w:tcW w:w="1462" w:type="dxa"/>
            <w:vAlign w:val="center"/>
          </w:tcPr>
          <w:p w14:paraId="17F05F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污染物名称</w:t>
            </w:r>
          </w:p>
        </w:tc>
        <w:tc>
          <w:tcPr>
            <w:tcW w:w="1650" w:type="dxa"/>
            <w:vAlign w:val="center"/>
          </w:tcPr>
          <w:p w14:paraId="32F7F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现有工程排放量（固体废物产生量）①</w:t>
            </w:r>
          </w:p>
        </w:tc>
        <w:tc>
          <w:tcPr>
            <w:tcW w:w="1470" w:type="dxa"/>
            <w:vAlign w:val="center"/>
          </w:tcPr>
          <w:p w14:paraId="61A33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现有工程许可排放量②</w:t>
            </w:r>
          </w:p>
        </w:tc>
        <w:tc>
          <w:tcPr>
            <w:tcW w:w="1590" w:type="dxa"/>
            <w:vAlign w:val="center"/>
          </w:tcPr>
          <w:p w14:paraId="0DD0B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在建工程排放量（固体废物产生量）③</w:t>
            </w:r>
          </w:p>
        </w:tc>
        <w:tc>
          <w:tcPr>
            <w:tcW w:w="1560" w:type="dxa"/>
            <w:vAlign w:val="center"/>
          </w:tcPr>
          <w:p w14:paraId="4E3FC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本项目排放量（固体废物产生量）④</w:t>
            </w:r>
          </w:p>
        </w:tc>
        <w:tc>
          <w:tcPr>
            <w:tcW w:w="1590" w:type="dxa"/>
            <w:vAlign w:val="center"/>
          </w:tcPr>
          <w:p w14:paraId="110DD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以新代老削减量（新建项目不填）⑤</w:t>
            </w:r>
          </w:p>
        </w:tc>
        <w:tc>
          <w:tcPr>
            <w:tcW w:w="1905" w:type="dxa"/>
            <w:vAlign w:val="center"/>
          </w:tcPr>
          <w:p w14:paraId="1930B0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本项目建成后全厂排放量（固体废物产生量）⑥</w:t>
            </w:r>
          </w:p>
        </w:tc>
        <w:tc>
          <w:tcPr>
            <w:tcW w:w="1364" w:type="dxa"/>
            <w:vAlign w:val="center"/>
          </w:tcPr>
          <w:p w14:paraId="46D7B2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变化量⑦</w:t>
            </w:r>
          </w:p>
        </w:tc>
      </w:tr>
      <w:tr w14:paraId="0DD7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45AFD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废气</w:t>
            </w:r>
          </w:p>
        </w:tc>
        <w:tc>
          <w:tcPr>
            <w:tcW w:w="1462" w:type="dxa"/>
            <w:shd w:val="clear" w:color="auto" w:fill="auto"/>
            <w:vAlign w:val="center"/>
          </w:tcPr>
          <w:p w14:paraId="0F4EA3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1650" w:type="dxa"/>
            <w:vAlign w:val="center"/>
          </w:tcPr>
          <w:p w14:paraId="75B8AF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7352F7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57528A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60" w:type="dxa"/>
            <w:shd w:val="clear" w:color="auto" w:fill="auto"/>
            <w:vAlign w:val="center"/>
          </w:tcPr>
          <w:p w14:paraId="208D1E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0.006kg/a</w:t>
            </w:r>
          </w:p>
        </w:tc>
        <w:tc>
          <w:tcPr>
            <w:tcW w:w="1590" w:type="dxa"/>
            <w:vAlign w:val="center"/>
          </w:tcPr>
          <w:p w14:paraId="1543C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788E4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0.006kg/a</w:t>
            </w:r>
          </w:p>
        </w:tc>
        <w:tc>
          <w:tcPr>
            <w:tcW w:w="1364" w:type="dxa"/>
            <w:shd w:val="clear" w:color="auto" w:fill="auto"/>
            <w:vAlign w:val="center"/>
          </w:tcPr>
          <w:p w14:paraId="6DF8C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+0.006kg/a</w:t>
            </w:r>
          </w:p>
        </w:tc>
      </w:tr>
      <w:tr w14:paraId="1E2E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5066B2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62" w:type="dxa"/>
            <w:shd w:val="clear" w:color="auto" w:fill="auto"/>
            <w:vAlign w:val="center"/>
          </w:tcPr>
          <w:p w14:paraId="3B3B7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1650" w:type="dxa"/>
            <w:vAlign w:val="center"/>
          </w:tcPr>
          <w:p w14:paraId="22956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38570B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0B929A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60" w:type="dxa"/>
            <w:shd w:val="clear" w:color="auto" w:fill="auto"/>
            <w:vAlign w:val="center"/>
          </w:tcPr>
          <w:p w14:paraId="6CE8C5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0.063</w:t>
            </w:r>
            <w:r>
              <w:rPr>
                <w:rFonts w:hint="eastAsia" w:cstheme="minorBidi"/>
                <w:kern w:val="2"/>
                <w:sz w:val="24"/>
                <w:szCs w:val="24"/>
                <w:vertAlign w:val="baseline"/>
                <w:lang w:val="en-US" w:eastAsia="zh-CN" w:bidi="ar-SA"/>
              </w:rPr>
              <w:t>kg/a</w:t>
            </w:r>
          </w:p>
        </w:tc>
        <w:tc>
          <w:tcPr>
            <w:tcW w:w="1590" w:type="dxa"/>
            <w:vAlign w:val="center"/>
          </w:tcPr>
          <w:p w14:paraId="76DD2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6893E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0.063</w:t>
            </w:r>
            <w:r>
              <w:rPr>
                <w:rFonts w:hint="eastAsia" w:cstheme="minorBidi"/>
                <w:kern w:val="2"/>
                <w:sz w:val="24"/>
                <w:szCs w:val="24"/>
                <w:vertAlign w:val="baseline"/>
                <w:lang w:val="en-US" w:eastAsia="zh-CN" w:bidi="ar-SA"/>
              </w:rPr>
              <w:t>kg/a</w:t>
            </w:r>
          </w:p>
        </w:tc>
        <w:tc>
          <w:tcPr>
            <w:tcW w:w="1364" w:type="dxa"/>
            <w:shd w:val="clear" w:color="auto" w:fill="auto"/>
            <w:vAlign w:val="center"/>
          </w:tcPr>
          <w:p w14:paraId="47580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+0.063</w:t>
            </w:r>
            <w:r>
              <w:rPr>
                <w:rFonts w:hint="eastAsia" w:cstheme="minorBidi"/>
                <w:kern w:val="2"/>
                <w:sz w:val="24"/>
                <w:szCs w:val="24"/>
                <w:vertAlign w:val="baseline"/>
                <w:lang w:val="en-US" w:eastAsia="zh-CN" w:bidi="ar-SA"/>
              </w:rPr>
              <w:t>kg/a</w:t>
            </w:r>
          </w:p>
        </w:tc>
      </w:tr>
      <w:tr w14:paraId="7E8D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2084AF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62" w:type="dxa"/>
            <w:shd w:val="clear" w:color="auto" w:fill="auto"/>
            <w:vAlign w:val="center"/>
          </w:tcPr>
          <w:p w14:paraId="2ACC1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臭气浓度</w:t>
            </w:r>
          </w:p>
        </w:tc>
        <w:tc>
          <w:tcPr>
            <w:tcW w:w="1650" w:type="dxa"/>
            <w:vAlign w:val="center"/>
          </w:tcPr>
          <w:p w14:paraId="1F927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1A035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7DA35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60" w:type="dxa"/>
            <w:shd w:val="clear" w:color="auto" w:fill="auto"/>
            <w:vAlign w:val="center"/>
          </w:tcPr>
          <w:p w14:paraId="01E30F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1D19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4FF6D9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364" w:type="dxa"/>
            <w:shd w:val="clear" w:color="auto" w:fill="auto"/>
            <w:vAlign w:val="center"/>
          </w:tcPr>
          <w:p w14:paraId="2B26F7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r>
      <w:tr w14:paraId="5D68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3EA5B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废水</w:t>
            </w:r>
          </w:p>
        </w:tc>
        <w:tc>
          <w:tcPr>
            <w:tcW w:w="1462" w:type="dxa"/>
            <w:vAlign w:val="center"/>
          </w:tcPr>
          <w:p w14:paraId="5B1253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1650" w:type="dxa"/>
            <w:vAlign w:val="center"/>
          </w:tcPr>
          <w:p w14:paraId="6AE93C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385476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2EE87D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60" w:type="dxa"/>
            <w:vAlign w:val="center"/>
          </w:tcPr>
          <w:p w14:paraId="3C549C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0.049t/a</w:t>
            </w:r>
          </w:p>
        </w:tc>
        <w:tc>
          <w:tcPr>
            <w:tcW w:w="1590" w:type="dxa"/>
            <w:vAlign w:val="center"/>
          </w:tcPr>
          <w:p w14:paraId="4592B6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65211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0.049t/a</w:t>
            </w:r>
          </w:p>
        </w:tc>
        <w:tc>
          <w:tcPr>
            <w:tcW w:w="1364" w:type="dxa"/>
            <w:shd w:val="clear" w:color="auto" w:fill="auto"/>
            <w:vAlign w:val="center"/>
          </w:tcPr>
          <w:p w14:paraId="342F1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+0.049t/a</w:t>
            </w:r>
          </w:p>
        </w:tc>
      </w:tr>
      <w:tr w14:paraId="7AC0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63BAE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62" w:type="dxa"/>
            <w:vAlign w:val="center"/>
          </w:tcPr>
          <w:p w14:paraId="28B3A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1650" w:type="dxa"/>
            <w:vAlign w:val="center"/>
          </w:tcPr>
          <w:p w14:paraId="266033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48CC0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7709E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60" w:type="dxa"/>
            <w:vAlign w:val="center"/>
          </w:tcPr>
          <w:p w14:paraId="58BDE4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0.007t/a</w:t>
            </w:r>
          </w:p>
        </w:tc>
        <w:tc>
          <w:tcPr>
            <w:tcW w:w="1590" w:type="dxa"/>
            <w:vAlign w:val="center"/>
          </w:tcPr>
          <w:p w14:paraId="0DEC3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17417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0.007t/a</w:t>
            </w:r>
          </w:p>
        </w:tc>
        <w:tc>
          <w:tcPr>
            <w:tcW w:w="1364" w:type="dxa"/>
            <w:shd w:val="clear" w:color="auto" w:fill="auto"/>
            <w:vAlign w:val="center"/>
          </w:tcPr>
          <w:p w14:paraId="73642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+0.007t/a</w:t>
            </w:r>
          </w:p>
        </w:tc>
      </w:tr>
      <w:tr w14:paraId="6A8E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25DC0F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生活垃圾</w:t>
            </w:r>
          </w:p>
        </w:tc>
        <w:tc>
          <w:tcPr>
            <w:tcW w:w="1462" w:type="dxa"/>
            <w:vAlign w:val="center"/>
          </w:tcPr>
          <w:p w14:paraId="2BF9C0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生活垃圾</w:t>
            </w:r>
          </w:p>
        </w:tc>
        <w:tc>
          <w:tcPr>
            <w:tcW w:w="1650" w:type="dxa"/>
            <w:vAlign w:val="center"/>
          </w:tcPr>
          <w:p w14:paraId="6CC1B9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50AC3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26A217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60" w:type="dxa"/>
            <w:vAlign w:val="center"/>
          </w:tcPr>
          <w:p w14:paraId="21BED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0.53t/a</w:t>
            </w:r>
          </w:p>
        </w:tc>
        <w:tc>
          <w:tcPr>
            <w:tcW w:w="1590" w:type="dxa"/>
            <w:vAlign w:val="center"/>
          </w:tcPr>
          <w:p w14:paraId="2EF86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77AC8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0.53t/a</w:t>
            </w:r>
          </w:p>
        </w:tc>
        <w:tc>
          <w:tcPr>
            <w:tcW w:w="1364" w:type="dxa"/>
            <w:shd w:val="clear" w:color="auto" w:fill="auto"/>
            <w:vAlign w:val="center"/>
          </w:tcPr>
          <w:p w14:paraId="1FC8C7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+0.53t/a</w:t>
            </w:r>
          </w:p>
        </w:tc>
      </w:tr>
      <w:tr w14:paraId="3F02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18996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一般工业固体废物</w:t>
            </w:r>
          </w:p>
        </w:tc>
        <w:tc>
          <w:tcPr>
            <w:tcW w:w="1462" w:type="dxa"/>
            <w:vAlign w:val="center"/>
          </w:tcPr>
          <w:p w14:paraId="27267B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包装物</w:t>
            </w:r>
          </w:p>
        </w:tc>
        <w:tc>
          <w:tcPr>
            <w:tcW w:w="1650" w:type="dxa"/>
            <w:vAlign w:val="center"/>
          </w:tcPr>
          <w:p w14:paraId="384460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77C43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27EC38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60" w:type="dxa"/>
            <w:vAlign w:val="center"/>
          </w:tcPr>
          <w:p w14:paraId="1ED080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0.10t/a</w:t>
            </w:r>
          </w:p>
        </w:tc>
        <w:tc>
          <w:tcPr>
            <w:tcW w:w="1590" w:type="dxa"/>
            <w:vAlign w:val="center"/>
          </w:tcPr>
          <w:p w14:paraId="13E502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0A888E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0.10t/a</w:t>
            </w:r>
          </w:p>
        </w:tc>
        <w:tc>
          <w:tcPr>
            <w:tcW w:w="1364" w:type="dxa"/>
            <w:shd w:val="clear" w:color="auto" w:fill="auto"/>
            <w:vAlign w:val="center"/>
          </w:tcPr>
          <w:p w14:paraId="6CB194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+0.10t/a</w:t>
            </w:r>
          </w:p>
        </w:tc>
      </w:tr>
      <w:tr w14:paraId="2740C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4D5D07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62" w:type="dxa"/>
            <w:vAlign w:val="center"/>
          </w:tcPr>
          <w:p w14:paraId="7C01EF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废活性炭</w:t>
            </w:r>
          </w:p>
        </w:tc>
        <w:tc>
          <w:tcPr>
            <w:tcW w:w="1650" w:type="dxa"/>
            <w:vAlign w:val="center"/>
          </w:tcPr>
          <w:p w14:paraId="6116A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470" w:type="dxa"/>
            <w:vAlign w:val="center"/>
          </w:tcPr>
          <w:p w14:paraId="4250BF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5A4658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60" w:type="dxa"/>
            <w:vAlign w:val="center"/>
          </w:tcPr>
          <w:p w14:paraId="062B72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0.002t/a</w:t>
            </w:r>
          </w:p>
        </w:tc>
        <w:tc>
          <w:tcPr>
            <w:tcW w:w="1590" w:type="dxa"/>
            <w:vAlign w:val="center"/>
          </w:tcPr>
          <w:p w14:paraId="29577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3EFD66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0.002t/a</w:t>
            </w:r>
          </w:p>
        </w:tc>
        <w:tc>
          <w:tcPr>
            <w:tcW w:w="1364" w:type="dxa"/>
            <w:shd w:val="clear" w:color="auto" w:fill="auto"/>
            <w:vAlign w:val="center"/>
          </w:tcPr>
          <w:p w14:paraId="2456E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+0.002t/a</w:t>
            </w:r>
          </w:p>
        </w:tc>
      </w:tr>
      <w:tr w14:paraId="4BE2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7A45B3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危险废物</w:t>
            </w:r>
          </w:p>
        </w:tc>
        <w:tc>
          <w:tcPr>
            <w:tcW w:w="1462" w:type="dxa"/>
            <w:shd w:val="clear" w:color="auto" w:fill="auto"/>
            <w:vAlign w:val="center"/>
          </w:tcPr>
          <w:p w14:paraId="0DD4BC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4"/>
                <w:szCs w:val="24"/>
                <w:highlight w:val="none"/>
                <w:vertAlign w:val="baseline"/>
                <w:lang w:val="en-US" w:eastAsia="zh-CN" w:bidi="ar-SA"/>
              </w:rPr>
            </w:pPr>
            <w:r>
              <w:rPr>
                <w:rFonts w:hint="eastAsia"/>
                <w:b w:val="0"/>
                <w:bCs w:val="0"/>
                <w:spacing w:val="-10"/>
                <w:sz w:val="24"/>
                <w:szCs w:val="24"/>
                <w:highlight w:val="none"/>
                <w:vertAlign w:val="baseline"/>
                <w:lang w:val="en-US" w:eastAsia="zh-CN"/>
              </w:rPr>
              <w:t>医疗废物</w:t>
            </w:r>
          </w:p>
        </w:tc>
        <w:tc>
          <w:tcPr>
            <w:tcW w:w="1650" w:type="dxa"/>
            <w:shd w:val="clear" w:color="auto" w:fill="auto"/>
            <w:vAlign w:val="center"/>
          </w:tcPr>
          <w:p w14:paraId="433A7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470" w:type="dxa"/>
            <w:shd w:val="clear" w:color="auto" w:fill="auto"/>
            <w:vAlign w:val="center"/>
          </w:tcPr>
          <w:p w14:paraId="4B243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90" w:type="dxa"/>
            <w:shd w:val="clear" w:color="auto" w:fill="auto"/>
            <w:vAlign w:val="center"/>
          </w:tcPr>
          <w:p w14:paraId="357340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60" w:type="dxa"/>
            <w:shd w:val="clear" w:color="auto" w:fill="auto"/>
            <w:vAlign w:val="center"/>
          </w:tcPr>
          <w:p w14:paraId="37BAA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0.57t/a</w:t>
            </w:r>
          </w:p>
        </w:tc>
        <w:tc>
          <w:tcPr>
            <w:tcW w:w="1590" w:type="dxa"/>
            <w:vAlign w:val="center"/>
          </w:tcPr>
          <w:p w14:paraId="6B1B30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05" w:type="dxa"/>
            <w:shd w:val="clear" w:color="auto" w:fill="auto"/>
            <w:vAlign w:val="center"/>
          </w:tcPr>
          <w:p w14:paraId="1FB4CC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0.57t/a</w:t>
            </w:r>
          </w:p>
        </w:tc>
        <w:tc>
          <w:tcPr>
            <w:tcW w:w="1364" w:type="dxa"/>
            <w:shd w:val="clear" w:color="auto" w:fill="auto"/>
            <w:vAlign w:val="center"/>
          </w:tcPr>
          <w:p w14:paraId="4DFF15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+0.57t/a</w:t>
            </w:r>
          </w:p>
        </w:tc>
      </w:tr>
    </w:tbl>
    <w:p w14:paraId="336D4934">
      <w:pPr>
        <w:ind w:left="0" w:leftChars="0" w:firstLine="0" w:firstLineChars="0"/>
        <w:rPr>
          <w:rFonts w:hint="default"/>
          <w:lang w:val="en-US" w:eastAsia="zh-CN"/>
        </w:rPr>
      </w:pPr>
      <w:r>
        <w:rPr>
          <w:rFonts w:hint="eastAsia"/>
          <w:sz w:val="21"/>
          <w:szCs w:val="21"/>
          <w:lang w:val="en-US" w:eastAsia="zh-CN"/>
        </w:rPr>
        <w:t>注：⑥=①+③+④-⑤；⑦=⑥-①</w:t>
      </w:r>
    </w:p>
    <w:p w14:paraId="02ED2E1A">
      <w:pPr>
        <w:sectPr>
          <w:pgSz w:w="16838" w:h="11906" w:orient="landscape"/>
          <w:pgMar w:top="1587" w:right="1440" w:bottom="158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138158A">
      <w:pPr>
        <w:rPr>
          <w:rFonts w:hint="eastAsia"/>
          <w:lang w:val="en-US" w:eastAsia="zh-CN"/>
        </w:rPr>
      </w:pPr>
      <w:r>
        <w:rPr>
          <w:rFonts w:hint="eastAsia"/>
          <w:b/>
          <w:bCs/>
          <w:sz w:val="24"/>
          <w:szCs w:val="24"/>
          <w:lang w:val="en-US" w:eastAsia="zh-CN"/>
        </w:rPr>
        <w:t>附图</w:t>
      </w:r>
    </w:p>
    <w:p w14:paraId="2A840484">
      <w:pPr>
        <w:rPr>
          <w:rFonts w:hint="eastAsia"/>
          <w:lang w:val="en-US" w:eastAsia="zh-CN"/>
        </w:rPr>
      </w:pPr>
      <w:r>
        <w:rPr>
          <w:rFonts w:hint="eastAsia"/>
          <w:lang w:val="en-US" w:eastAsia="zh-CN"/>
        </w:rPr>
        <w:t>附图1 项目地理位置图</w:t>
      </w:r>
    </w:p>
    <w:p w14:paraId="0E3A572B">
      <w:pPr>
        <w:rPr>
          <w:rFonts w:hint="eastAsia"/>
          <w:lang w:val="en-US" w:eastAsia="zh-CN"/>
        </w:rPr>
      </w:pPr>
      <w:r>
        <w:rPr>
          <w:rFonts w:hint="eastAsia"/>
          <w:lang w:val="en-US" w:eastAsia="zh-CN"/>
        </w:rPr>
        <w:t>附图2 项目周边关系图</w:t>
      </w:r>
    </w:p>
    <w:p w14:paraId="49E35F7C">
      <w:pPr>
        <w:rPr>
          <w:rFonts w:hint="eastAsia"/>
          <w:lang w:val="en-US" w:eastAsia="zh-CN"/>
        </w:rPr>
      </w:pPr>
      <w:r>
        <w:rPr>
          <w:rFonts w:hint="eastAsia"/>
          <w:lang w:val="en-US" w:eastAsia="zh-CN"/>
        </w:rPr>
        <w:t>附图3 项目平面布置图</w:t>
      </w:r>
    </w:p>
    <w:p w14:paraId="064A03BB">
      <w:pPr>
        <w:rPr>
          <w:rFonts w:hint="eastAsia"/>
          <w:lang w:val="en-US" w:eastAsia="zh-CN"/>
        </w:rPr>
      </w:pPr>
    </w:p>
    <w:p w14:paraId="036C8A3C">
      <w:pPr>
        <w:rPr>
          <w:rFonts w:hint="default"/>
          <w:lang w:val="en-US" w:eastAsia="zh-CN"/>
        </w:rPr>
      </w:pPr>
      <w:r>
        <w:rPr>
          <w:rFonts w:hint="eastAsia"/>
          <w:b/>
          <w:bCs/>
          <w:lang w:val="en-US" w:eastAsia="zh-CN"/>
        </w:rPr>
        <w:t>附件</w:t>
      </w:r>
    </w:p>
    <w:p w14:paraId="599A574A">
      <w:pPr>
        <w:rPr>
          <w:rFonts w:hint="eastAsia"/>
          <w:lang w:val="en-US" w:eastAsia="zh-CN"/>
        </w:rPr>
      </w:pPr>
      <w:r>
        <w:rPr>
          <w:rFonts w:hint="eastAsia"/>
          <w:lang w:val="en-US" w:eastAsia="zh-CN"/>
        </w:rPr>
        <w:t>附件1 营业执照</w:t>
      </w:r>
    </w:p>
    <w:p w14:paraId="22B523AD">
      <w:pPr>
        <w:rPr>
          <w:rFonts w:hint="eastAsia"/>
          <w:lang w:val="en-US" w:eastAsia="zh-CN"/>
        </w:rPr>
      </w:pPr>
      <w:r>
        <w:rPr>
          <w:rFonts w:hint="eastAsia"/>
          <w:lang w:val="en-US" w:eastAsia="zh-CN"/>
        </w:rPr>
        <w:t>附件2 租赁协议</w:t>
      </w:r>
    </w:p>
    <w:p w14:paraId="31B46DB5">
      <w:pPr>
        <w:rPr>
          <w:rFonts w:hint="default"/>
          <w:lang w:val="en-US" w:eastAsia="zh-CN"/>
        </w:rPr>
      </w:pPr>
      <w:r>
        <w:rPr>
          <w:rFonts w:hint="eastAsia"/>
          <w:lang w:val="en-US" w:eastAsia="zh-CN"/>
        </w:rPr>
        <w:t>附件3 房产证</w:t>
      </w:r>
    </w:p>
    <w:p w14:paraId="64542089">
      <w:pPr>
        <w:rPr>
          <w:rFonts w:hint="eastAsia"/>
          <w:lang w:val="en-US" w:eastAsia="zh-CN"/>
        </w:rPr>
      </w:pPr>
      <w:r>
        <w:rPr>
          <w:rFonts w:hint="eastAsia"/>
          <w:lang w:val="en-US" w:eastAsia="zh-CN"/>
        </w:rPr>
        <w:t>附件4 危废处置协议</w:t>
      </w:r>
    </w:p>
    <w:p w14:paraId="6E84777D">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49DF84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val="en-US" w:eastAsia="zh-CN"/>
        </w:rPr>
      </w:pPr>
      <w:r>
        <w:rPr>
          <w:rFonts w:hint="eastAsia" w:ascii="Times New Roman" w:hAnsi="Times New Roman" w:eastAsia="宋体"/>
          <w:b/>
          <w:sz w:val="28"/>
          <w:szCs w:val="28"/>
          <w:highlight w:val="none"/>
        </w:rPr>
        <w:drawing>
          <wp:anchor distT="0" distB="0" distL="114300" distR="114300" simplePos="0" relativeHeight="251672576" behindDoc="0" locked="0" layoutInCell="1" allowOverlap="1">
            <wp:simplePos x="0" y="0"/>
            <wp:positionH relativeFrom="column">
              <wp:posOffset>7504430</wp:posOffset>
            </wp:positionH>
            <wp:positionV relativeFrom="paragraph">
              <wp:posOffset>260350</wp:posOffset>
            </wp:positionV>
            <wp:extent cx="586105" cy="647700"/>
            <wp:effectExtent l="0" t="0" r="4445" b="0"/>
            <wp:wrapNone/>
            <wp:docPr id="26" name="图片 4" descr="微信截图_2021071616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微信截图_20210716163614"/>
                    <pic:cNvPicPr>
                      <a:picLocks noChangeAspect="1"/>
                    </pic:cNvPicPr>
                  </pic:nvPicPr>
                  <pic:blipFill>
                    <a:blip r:embed="rId21"/>
                    <a:stretch>
                      <a:fillRect/>
                    </a:stretch>
                  </pic:blipFill>
                  <pic:spPr>
                    <a:xfrm>
                      <a:off x="0" y="0"/>
                      <a:ext cx="586105" cy="647700"/>
                    </a:xfrm>
                    <a:prstGeom prst="rect">
                      <a:avLst/>
                    </a:prstGeom>
                    <a:noFill/>
                    <a:ln>
                      <a:noFill/>
                    </a:ln>
                  </pic:spPr>
                </pic:pic>
              </a:graphicData>
            </a:graphic>
          </wp:anchor>
        </w:drawing>
      </w:r>
      <w:r>
        <w:rPr>
          <w:sz w:val="24"/>
        </w:rPr>
        <mc:AlternateContent>
          <mc:Choice Requires="wps">
            <w:drawing>
              <wp:anchor distT="0" distB="0" distL="114300" distR="114300" simplePos="0" relativeHeight="251671552" behindDoc="0" locked="0" layoutInCell="1" allowOverlap="1">
                <wp:simplePos x="0" y="0"/>
                <wp:positionH relativeFrom="column">
                  <wp:posOffset>6731000</wp:posOffset>
                </wp:positionH>
                <wp:positionV relativeFrom="paragraph">
                  <wp:posOffset>1882140</wp:posOffset>
                </wp:positionV>
                <wp:extent cx="819150" cy="334010"/>
                <wp:effectExtent l="6350" t="6350" r="12700" b="421640"/>
                <wp:wrapNone/>
                <wp:docPr id="25" name="圆角矩形标注 25"/>
                <wp:cNvGraphicFramePr/>
                <a:graphic xmlns:a="http://schemas.openxmlformats.org/drawingml/2006/main">
                  <a:graphicData uri="http://schemas.microsoft.com/office/word/2010/wordprocessingShape">
                    <wps:wsp>
                      <wps:cNvSpPr/>
                      <wps:spPr>
                        <a:xfrm>
                          <a:off x="6454775" y="3749040"/>
                          <a:ext cx="819150" cy="334010"/>
                        </a:xfrm>
                        <a:prstGeom prst="wedgeRoundRectCallout">
                          <a:avLst>
                            <a:gd name="adj1" fmla="val -20852"/>
                            <a:gd name="adj2" fmla="val 165209"/>
                            <a:gd name="adj3" fmla="val 16667"/>
                          </a:avLst>
                        </a:prstGeom>
                        <a:noFill/>
                        <a:ln>
                          <a:solidFill>
                            <a:schemeClr val="tx1"/>
                          </a:solidFill>
                        </a:ln>
                        <a:extLst>
                          <a:ext uri="{909E8E84-426E-40DD-AFC4-6F175D3DCCD1}">
                            <a14:hiddenFill xmlns:a14="http://schemas.microsoft.com/office/drawing/2010/main">
                              <a:solidFill>
                                <a:schemeClr val="accent1"/>
                              </a:solidFill>
                            </a14:hiddenFill>
                          </a:ext>
                        </a:extLst>
                      </wps:spPr>
                      <wps:style>
                        <a:lnRef idx="2">
                          <a:schemeClr val="accent1">
                            <a:lumMod val="75000"/>
                          </a:schemeClr>
                        </a:lnRef>
                        <a:fillRef idx="1">
                          <a:schemeClr val="accent1"/>
                        </a:fillRef>
                        <a:effectRef idx="0">
                          <a:srgbClr val="FFFFFF"/>
                        </a:effectRef>
                        <a:fontRef idx="minor">
                          <a:schemeClr val="lt1"/>
                        </a:fontRef>
                      </wps:style>
                      <wps:txbx>
                        <w:txbxContent>
                          <w:p w14:paraId="054D87C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530pt;margin-top:148.2pt;height:26.3pt;width:64.5pt;z-index:251671552;v-text-anchor:middle;mso-width-relative:page;mso-height-relative:page;" filled="f" stroked="t" coordsize="21600,21600" o:gfxdata="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" adj="6296,46485,14400">
                <v:fill on="f" focussize="0,0"/>
                <v:stroke weight="1pt" color="#000000 [3213]" miterlimit="8" joinstyle="miter"/>
                <v:imagedata o:title=""/>
                <o:lock v:ext="edit" aspectratio="f"/>
                <v:textbox>
                  <w:txbxContent>
                    <w:p w14:paraId="054D87C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6929755</wp:posOffset>
                </wp:positionH>
                <wp:positionV relativeFrom="paragraph">
                  <wp:posOffset>2583180</wp:posOffset>
                </wp:positionV>
                <wp:extent cx="71755" cy="71755"/>
                <wp:effectExtent l="6350" t="6350" r="17145" b="17145"/>
                <wp:wrapNone/>
                <wp:docPr id="24" name="椭圆 24"/>
                <wp:cNvGraphicFramePr/>
                <a:graphic xmlns:a="http://schemas.openxmlformats.org/drawingml/2006/main">
                  <a:graphicData uri="http://schemas.microsoft.com/office/word/2010/wordprocessingShape">
                    <wps:wsp>
                      <wps:cNvSpPr/>
                      <wps:spPr>
                        <a:xfrm>
                          <a:off x="7322185" y="2825115"/>
                          <a:ext cx="71755" cy="71755"/>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45.65pt;margin-top:203.4pt;height:5.65pt;width:5.65pt;z-index:251670528;v-text-anchor:middle;mso-width-relative:page;mso-height-relative:page;" fillcolor="#000000 [3213]" filled="t" stroked="t" coordsize="21600,21600" o:gfxdata="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RVqI12gAAAA0BAAAPAAAAAAAAAAEAIAAAACIAAABkcnMv&#10;ZG93bnJldi54bWxQSwECFAAUAAAACACHTuJAzEvBS3MCAAACBQAADgAAAAAAAAABACAAAAApAQAA&#10;ZHJzL2Uyb0RvYy54bWxQSwUGAAAAAAYABgBZAQAADgYAAAAA&#10;">
                <v:fill on="t" focussize="0,0"/>
                <v:stroke weight="1pt" color="#000000 [3213]" miterlimit="8" joinstyle="miter"/>
                <v:imagedata o:title=""/>
                <o:lock v:ext="edit" aspectratio="f"/>
              </v:shape>
            </w:pict>
          </mc:Fallback>
        </mc:AlternateContent>
      </w:r>
      <w:r>
        <w:rPr>
          <w:rFonts w:hint="eastAsia"/>
          <w:lang w:val="en-US" w:eastAsia="zh-CN"/>
        </w:rPr>
        <w:drawing>
          <wp:inline distT="0" distB="0" distL="114300" distR="114300">
            <wp:extent cx="7497445" cy="5541010"/>
            <wp:effectExtent l="0" t="0" r="0" b="0"/>
            <wp:docPr id="22" name="图片 22" descr="房山区界限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房山区界限图_00"/>
                    <pic:cNvPicPr>
                      <a:picLocks noChangeAspect="1"/>
                    </pic:cNvPicPr>
                  </pic:nvPicPr>
                  <pic:blipFill>
                    <a:blip r:embed="rId22"/>
                    <a:srcRect l="3462" r="4274"/>
                    <a:stretch>
                      <a:fillRect/>
                    </a:stretch>
                  </pic:blipFill>
                  <pic:spPr>
                    <a:xfrm>
                      <a:off x="0" y="0"/>
                      <a:ext cx="7497445" cy="5541010"/>
                    </a:xfrm>
                    <a:prstGeom prst="rect">
                      <a:avLst/>
                    </a:prstGeom>
                  </pic:spPr>
                </pic:pic>
              </a:graphicData>
            </a:graphic>
          </wp:inline>
        </w:drawing>
      </w:r>
    </w:p>
    <w:p w14:paraId="244565C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lang w:val="en-US" w:eastAsia="zh-CN"/>
        </w:rPr>
        <w:sectPr>
          <w:pgSz w:w="16838" w:h="11906" w:orient="landscape"/>
          <w:pgMar w:top="1304" w:right="1417" w:bottom="1304"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b/>
          <w:bCs/>
          <w:lang w:val="en-US" w:eastAsia="zh-CN"/>
        </w:rPr>
        <w:t>附图1 项目地理位置图</w:t>
      </w:r>
    </w:p>
    <w:p w14:paraId="1742A9F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lang w:val="en-US" w:eastAsia="zh-CN"/>
        </w:rPr>
      </w:pPr>
      <w:r>
        <w:rPr>
          <w:sz w:val="28"/>
        </w:rPr>
        <mc:AlternateContent>
          <mc:Choice Requires="wps">
            <w:drawing>
              <wp:anchor distT="0" distB="0" distL="114300" distR="114300" simplePos="0" relativeHeight="251694080" behindDoc="0" locked="0" layoutInCell="1" allowOverlap="1">
                <wp:simplePos x="0" y="0"/>
                <wp:positionH relativeFrom="column">
                  <wp:posOffset>3808730</wp:posOffset>
                </wp:positionH>
                <wp:positionV relativeFrom="paragraph">
                  <wp:posOffset>3023235</wp:posOffset>
                </wp:positionV>
                <wp:extent cx="1198245" cy="26924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1982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D6D0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拱辰星园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9pt;margin-top:238.05pt;height:21.2pt;width:94.35pt;z-index:251694080;mso-width-relative:page;mso-height-relative:page;" filled="f" stroked="f" coordsize="21600,21600" o:gfxdata="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vqTZbcAAAACwEAAA8AAAAAAAAAAQAgAAAAIgAA&#10;AGRycy9kb3ducmV2LnhtbFBLAQIUABQAAAAIAIdO4kBPB2egPQIAAGgEAAAOAAAAAAAAAAEAIAAA&#10;ACsBAABkcnMvZTJvRG9jLnhtbFBLBQYAAAAABgAGAFkBAADaBQAAAAA=&#10;">
                <v:fill on="f" focussize="0,0"/>
                <v:stroke on="f" weight="0.5pt"/>
                <v:imagedata o:title=""/>
                <o:lock v:ext="edit" aspectratio="f"/>
                <v:textbox>
                  <w:txbxContent>
                    <w:p w14:paraId="1B1D6D0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拱辰星园</w:t>
                      </w:r>
                    </w:p>
                  </w:txbxContent>
                </v:textbox>
              </v:shape>
            </w:pict>
          </mc:Fallback>
        </mc:AlternateContent>
      </w:r>
      <w:r>
        <w:rPr>
          <w:sz w:val="28"/>
        </w:rPr>
        <mc:AlternateContent>
          <mc:Choice Requires="wps">
            <w:drawing>
              <wp:anchor distT="0" distB="0" distL="114300" distR="114300" simplePos="0" relativeHeight="251700224" behindDoc="0" locked="0" layoutInCell="1" allowOverlap="1">
                <wp:simplePos x="0" y="0"/>
                <wp:positionH relativeFrom="column">
                  <wp:posOffset>6132830</wp:posOffset>
                </wp:positionH>
                <wp:positionV relativeFrom="paragraph">
                  <wp:posOffset>2432685</wp:posOffset>
                </wp:positionV>
                <wp:extent cx="1274445" cy="26924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2AA9C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聪慧里小区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2.9pt;margin-top:191.55pt;height:21.2pt;width:100.35pt;z-index:251700224;mso-width-relative:page;mso-height-relative:page;" filled="f" stroked="f" coordsize="21600,21600" o:gfxdata="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&#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YGMS3dwAAAAMAQAADwAAAAAAAAABACAAAAAiAAAA&#10;ZHJzL2Rvd25yZXYueG1sUEsBAhQAFAAAAAgAh07iQN8koBU8AgAAaAQAAA4AAAAAAAAAAQAgAAAA&#10;KwEAAGRycy9lMm9Eb2MueG1sUEsFBgAAAAAGAAYAWQEAANkFAAAAAA==&#10;">
                <v:fill on="f" focussize="0,0"/>
                <v:stroke on="f" weight="0.5pt"/>
                <v:imagedata o:title=""/>
                <o:lock v:ext="edit" aspectratio="f"/>
                <v:textbox>
                  <w:txbxContent>
                    <w:p w14:paraId="1C2AA9C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聪慧里小区</w:t>
                      </w:r>
                    </w:p>
                  </w:txbxContent>
                </v:textbox>
              </v:shape>
            </w:pict>
          </mc:Fallback>
        </mc:AlternateContent>
      </w:r>
      <w:r>
        <w:rPr>
          <w:sz w:val="28"/>
        </w:rPr>
        <mc:AlternateContent>
          <mc:Choice Requires="wps">
            <w:drawing>
              <wp:anchor distT="0" distB="0" distL="114300" distR="114300" simplePos="0" relativeHeight="251699200" behindDoc="0" locked="0" layoutInCell="1" allowOverlap="1">
                <wp:simplePos x="0" y="0"/>
                <wp:positionH relativeFrom="column">
                  <wp:posOffset>4866005</wp:posOffset>
                </wp:positionH>
                <wp:positionV relativeFrom="paragraph">
                  <wp:posOffset>2775585</wp:posOffset>
                </wp:positionV>
                <wp:extent cx="1274445" cy="26924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EA2B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楸树家园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15pt;margin-top:218.55pt;height:21.2pt;width:100.35pt;z-index:251699200;mso-width-relative:page;mso-height-relative:page;" filled="f" stroked="f" coordsize="21600,21600" o:gfxdata="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hji3bdAAAACwEAAA8AAAAAAAAAAQAgAAAAIgAA&#10;AGRycy9kb3ducmV2LnhtbFBLAQIUABQAAAAIAIdO4kBKX/aePAIAAGgEAAAOAAAAAAAAAAEAIAAA&#10;ACwBAABkcnMvZTJvRG9jLnhtbFBLBQYAAAAABgAGAFkBAADaBQAAAAA=&#10;">
                <v:fill on="f" focussize="0,0"/>
                <v:stroke on="f" weight="0.5pt"/>
                <v:imagedata o:title=""/>
                <o:lock v:ext="edit" aspectratio="f"/>
                <v:textbox>
                  <w:txbxContent>
                    <w:p w14:paraId="410EA2B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楸树家园</w:t>
                      </w:r>
                    </w:p>
                  </w:txbxContent>
                </v:textbox>
              </v:shape>
            </w:pict>
          </mc:Fallback>
        </mc:AlternateContent>
      </w:r>
      <w:r>
        <w:rPr>
          <w:sz w:val="28"/>
        </w:rPr>
        <mc:AlternateContent>
          <mc:Choice Requires="wps">
            <w:drawing>
              <wp:anchor distT="0" distB="0" distL="114300" distR="114300" simplePos="0" relativeHeight="251698176" behindDoc="0" locked="0" layoutInCell="1" allowOverlap="1">
                <wp:simplePos x="0" y="0"/>
                <wp:positionH relativeFrom="column">
                  <wp:posOffset>4304030</wp:posOffset>
                </wp:positionH>
                <wp:positionV relativeFrom="paragraph">
                  <wp:posOffset>632460</wp:posOffset>
                </wp:positionV>
                <wp:extent cx="1274445" cy="26924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36CF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西北关家园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8.9pt;margin-top:49.8pt;height:21.2pt;width:100.35pt;z-index:251698176;mso-width-relative:page;mso-height-relative:page;" filled="f" stroked="f" coordsize="21600,21600" o:gfxdata="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&#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YyITtsAAAAKAQAADwAAAAAAAAABACAAAAAiAAAA&#10;ZHJzL2Rvd25yZXYueG1sUEsBAhQAFAAAAAgAh07iQCMxt5g9AgAAaAQAAA4AAAAAAAAAAQAgAAAA&#10;KgEAAGRycy9lMm9Eb2MueG1sUEsFBgAAAAAGAAYAWQEAANkFAAAAAA==&#10;">
                <v:fill on="f" focussize="0,0"/>
                <v:stroke on="f" weight="0.5pt"/>
                <v:imagedata o:title=""/>
                <o:lock v:ext="edit" aspectratio="f"/>
                <v:textbox>
                  <w:txbxContent>
                    <w:p w14:paraId="02E36CF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西北关家园</w:t>
                      </w:r>
                    </w:p>
                  </w:txbxContent>
                </v:textbox>
              </v:shape>
            </w:pict>
          </mc:Fallback>
        </mc:AlternateContent>
      </w:r>
      <w:r>
        <w:rPr>
          <w:sz w:val="28"/>
        </w:rPr>
        <mc:AlternateContent>
          <mc:Choice Requires="wps">
            <w:drawing>
              <wp:anchor distT="0" distB="0" distL="114300" distR="114300" simplePos="0" relativeHeight="251697152" behindDoc="0" locked="0" layoutInCell="1" allowOverlap="1">
                <wp:simplePos x="0" y="0"/>
                <wp:positionH relativeFrom="column">
                  <wp:posOffset>4970780</wp:posOffset>
                </wp:positionH>
                <wp:positionV relativeFrom="paragraph">
                  <wp:posOffset>1375410</wp:posOffset>
                </wp:positionV>
                <wp:extent cx="1274445" cy="26924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68A6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良乡医院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4pt;margin-top:108.3pt;height:21.2pt;width:100.35pt;z-index:251697152;mso-width-relative:page;mso-height-relative:page;" filled="f" stroked="f" coordsize="21600,21600" o:gfxdata="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jXmQ9wAAAALAQAADwAAAAAAAAABACAAAAAiAAAA&#10;ZHJzL2Rvd25yZXYueG1sUEsBAhQAFAAAAAgAh07iQLZK4RM8AgAAaAQAAA4AAAAAAAAAAQAgAAAA&#10;KwEAAGRycy9lMm9Eb2MueG1sUEsFBgAAAAAGAAYAWQEAANkFAAAAAA==&#10;">
                <v:fill on="f" focussize="0,0"/>
                <v:stroke on="f" weight="0.5pt"/>
                <v:imagedata o:title=""/>
                <o:lock v:ext="edit" aspectratio="f"/>
                <v:textbox>
                  <w:txbxContent>
                    <w:p w14:paraId="41A68A6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良乡医院</w:t>
                      </w:r>
                    </w:p>
                  </w:txbxContent>
                </v:textbox>
              </v:shape>
            </w:pict>
          </mc:Fallback>
        </mc:AlternateContent>
      </w:r>
      <w:r>
        <w:rPr>
          <w:sz w:val="28"/>
        </w:rPr>
        <mc:AlternateContent>
          <mc:Choice Requires="wps">
            <w:drawing>
              <wp:anchor distT="0" distB="0" distL="114300" distR="114300" simplePos="0" relativeHeight="251696128" behindDoc="0" locked="0" layoutInCell="1" allowOverlap="1">
                <wp:simplePos x="0" y="0"/>
                <wp:positionH relativeFrom="column">
                  <wp:posOffset>3980180</wp:posOffset>
                </wp:positionH>
                <wp:positionV relativeFrom="paragraph">
                  <wp:posOffset>1099185</wp:posOffset>
                </wp:positionV>
                <wp:extent cx="1274445" cy="26924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3AB19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良乡第二小学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4pt;margin-top:86.55pt;height:21.2pt;width:100.35pt;z-index:251696128;mso-width-relative:page;mso-height-relative:page;" filled="f" stroked="f" coordsize="21600,21600" o:gfxdata="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XiDyt2wAAAAsBAAAPAAAAAAAAAAEAIAAAACIAAABk&#10;cnMvZG93bnJldi54bWxQSwECFAAUAAAACACHTuJASMBqVTwCAABoBAAADgAAAAAAAAABACAAAAAq&#10;AQAAZHJzL2Uyb0RvYy54bWxQSwUGAAAAAAYABgBZAQAA2AUAAAAA&#10;">
                <v:fill on="f" focussize="0,0"/>
                <v:stroke on="f" weight="0.5pt"/>
                <v:imagedata o:title=""/>
                <o:lock v:ext="edit" aspectratio="f"/>
                <v:textbox>
                  <w:txbxContent>
                    <w:p w14:paraId="533AB19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良乡第二小学</w:t>
                      </w:r>
                    </w:p>
                  </w:txbxContent>
                </v:textbox>
              </v:shape>
            </w:pict>
          </mc:Fallback>
        </mc:AlternateContent>
      </w:r>
      <w:r>
        <w:rPr>
          <w:sz w:val="28"/>
        </w:rPr>
        <mc:AlternateContent>
          <mc:Choice Requires="wps">
            <w:drawing>
              <wp:anchor distT="0" distB="0" distL="114300" distR="114300" simplePos="0" relativeHeight="251695104" behindDoc="0" locked="0" layoutInCell="1" allowOverlap="1">
                <wp:simplePos x="0" y="0"/>
                <wp:positionH relativeFrom="column">
                  <wp:posOffset>3884930</wp:posOffset>
                </wp:positionH>
                <wp:positionV relativeFrom="paragraph">
                  <wp:posOffset>2232660</wp:posOffset>
                </wp:positionV>
                <wp:extent cx="1274445" cy="26924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2744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4C597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房山区良乡第二中学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9pt;margin-top:175.8pt;height:21.2pt;width:100.35pt;z-index:251695104;mso-width-relative:page;mso-height-relative:page;" filled="f" stroked="f" coordsize="21600,21600" o:gfxdata="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W+329wAAAALAQAADwAAAAAAAAABACAAAAAiAAAA&#10;ZHJzL2Rvd25yZXYueG1sUEsBAhQAFAAAAAgAh07iQN27PN48AgAAaAQAAA4AAAAAAAAAAQAgAAAA&#10;KwEAAGRycy9lMm9Eb2MueG1sUEsFBgAAAAAGAAYAWQEAANkFAAAAAA==&#10;">
                <v:fill on="f" focussize="0,0"/>
                <v:stroke on="f" weight="0.5pt"/>
                <v:imagedata o:title=""/>
                <o:lock v:ext="edit" aspectratio="f"/>
                <v:textbox>
                  <w:txbxContent>
                    <w:p w14:paraId="444C597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房山区良乡第二中学</w:t>
                      </w:r>
                    </w:p>
                  </w:txbxContent>
                </v:textbox>
              </v:shap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3561080</wp:posOffset>
                </wp:positionH>
                <wp:positionV relativeFrom="paragraph">
                  <wp:posOffset>2585085</wp:posOffset>
                </wp:positionV>
                <wp:extent cx="255270" cy="99187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255270" cy="9918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2B89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西潞东里小区-四里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4pt;margin-top:203.55pt;height:78.1pt;width:20.1pt;z-index:251693056;mso-width-relative:page;mso-height-relative:page;" filled="f" stroked="f" coordsize="21600,21600" o:gfxdata="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RbNIB2wAAAAsBAAAPAAAAAAAAAAEAIAAAACIAAABk&#10;cnMvZG93bnJldi54bWxQSwECFAAUAAAACACHTuJAb1zvOzwCAABnBAAADgAAAAAAAAABACAAAAAq&#10;AQAAZHJzL2Uyb0RvYy54bWxQSwUGAAAAAAYABgBZAQAA2AUAAAAA&#10;">
                <v:fill on="f" focussize="0,0"/>
                <v:stroke on="f" weight="0.5pt"/>
                <v:imagedata o:title=""/>
                <o:lock v:ext="edit" aspectratio="f"/>
                <v:textbox>
                  <w:txbxContent>
                    <w:p w14:paraId="7032B89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西潞东里小区-四里</w:t>
                      </w:r>
                    </w:p>
                  </w:txbxContent>
                </v:textbox>
              </v:shape>
            </w:pict>
          </mc:Fallback>
        </mc:AlternateContent>
      </w:r>
      <w:r>
        <w:rPr>
          <w:sz w:val="28"/>
        </w:rPr>
        <mc:AlternateContent>
          <mc:Choice Requires="wps">
            <w:drawing>
              <wp:anchor distT="0" distB="0" distL="114300" distR="114300" simplePos="0" relativeHeight="251692032" behindDoc="0" locked="0" layoutInCell="1" allowOverlap="1">
                <wp:simplePos x="0" y="0"/>
                <wp:positionH relativeFrom="column">
                  <wp:posOffset>2065655</wp:posOffset>
                </wp:positionH>
                <wp:positionV relativeFrom="paragraph">
                  <wp:posOffset>3147060</wp:posOffset>
                </wp:positionV>
                <wp:extent cx="1198245" cy="26924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1982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B611E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西潞园小区-四里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65pt;margin-top:247.8pt;height:21.2pt;width:94.35pt;z-index:251692032;mso-width-relative:page;mso-height-relative:page;" filled="f" stroked="f" coordsize="21600,21600" o:gfxdata="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ReGRncAAAACwEAAA8AAAAAAAAAAQAgAAAAIgAA&#10;AGRycy9kb3ducmV2LnhtbFBLAQIUABQAAAAIAIdO4kCd2+WsPQIAAGgEAAAOAAAAAAAAAAEAIAAA&#10;ACsBAABkcnMvZTJvRG9jLnhtbFBLBQYAAAAABgAGAFkBAADaBQAAAAA=&#10;">
                <v:fill on="f" focussize="0,0"/>
                <v:stroke on="f" weight="0.5pt"/>
                <v:imagedata o:title=""/>
                <o:lock v:ext="edit" aspectratio="f"/>
                <v:textbox>
                  <w:txbxContent>
                    <w:p w14:paraId="36B611E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西潞园小区-四里</w:t>
                      </w:r>
                    </w:p>
                  </w:txbxContent>
                </v:textbox>
              </v:shape>
            </w:pict>
          </mc:Fallback>
        </mc:AlternateContent>
      </w:r>
      <w:r>
        <w:rPr>
          <w:sz w:val="28"/>
        </w:rPr>
        <mc:AlternateContent>
          <mc:Choice Requires="wps">
            <w:drawing>
              <wp:anchor distT="0" distB="0" distL="114300" distR="114300" simplePos="0" relativeHeight="251691008" behindDoc="0" locked="0" layoutInCell="1" allowOverlap="1">
                <wp:simplePos x="0" y="0"/>
                <wp:positionH relativeFrom="column">
                  <wp:posOffset>2541905</wp:posOffset>
                </wp:positionH>
                <wp:positionV relativeFrom="paragraph">
                  <wp:posOffset>1899285</wp:posOffset>
                </wp:positionV>
                <wp:extent cx="1198245" cy="26924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1982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E9AB5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西潞园小区-三里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15pt;margin-top:149.55pt;height:21.2pt;width:94.35pt;z-index:251691008;mso-width-relative:page;mso-height-relative:page;" filled="f" stroked="f" coordsize="21600,21600" o:gfxdata="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1W5aHcAAAACwEAAA8AAAAAAAAAAQAgAAAAIgAA&#10;AGRycy9kb3ducmV2LnhtbFBLAQIUABQAAAAIAIdO4kAIoLMnPQIAAGgEAAAOAAAAAAAAAAEAIAAA&#10;ACsBAABkcnMvZTJvRG9jLnhtbFBLBQYAAAAABgAGAFkBAADaBQAAAAA=&#10;">
                <v:fill on="f" focussize="0,0"/>
                <v:stroke on="f" weight="0.5pt"/>
                <v:imagedata o:title=""/>
                <o:lock v:ext="edit" aspectratio="f"/>
                <v:textbox>
                  <w:txbxContent>
                    <w:p w14:paraId="55E9AB5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西潞园小区-三里</w:t>
                      </w:r>
                    </w:p>
                  </w:txbxContent>
                </v:textbox>
              </v:shap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3970655</wp:posOffset>
                </wp:positionH>
                <wp:positionV relativeFrom="paragraph">
                  <wp:posOffset>4318635</wp:posOffset>
                </wp:positionV>
                <wp:extent cx="1198245" cy="26924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198245" cy="269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9F9C0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供电局良乡家属院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2.65pt;margin-top:340.05pt;height:21.2pt;width:94.35pt;z-index:251685888;mso-width-relative:page;mso-height-relative:page;" filled="f" stroked="f" coordsize="21600,21600" o:gfxdata="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8PpW2wAAAAsBAAAPAAAAAAAAAAEAIAAAACIAAABk&#10;cnMvZG93bnJldi54bWxQSwECFAAUAAAACACHTuJAtbaUzDwCAABoBAAADgAAAAAAAAABACAAAAAq&#10;AQAAZHJzL2Uyb0RvYy54bWxQSwUGAAAAAAYABgBZAQAA2AUAAAAA&#10;">
                <v:fill on="f" focussize="0,0"/>
                <v:stroke on="f" weight="0.5pt"/>
                <v:imagedata o:title=""/>
                <o:lock v:ext="edit" aspectratio="f"/>
                <v:textbox>
                  <w:txbxContent>
                    <w:p w14:paraId="129F9C0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Theme="minorEastAsia"/>
                          <w:b/>
                          <w:bCs/>
                          <w:color w:val="FFFFFF" w:themeColor="background1"/>
                          <w:sz w:val="18"/>
                          <w:szCs w:val="18"/>
                          <w:lang w:val="en-US" w:eastAsia="zh-CN"/>
                          <w14:textFill>
                            <w14:solidFill>
                              <w14:schemeClr w14:val="bg1"/>
                            </w14:solidFill>
                          </w14:textFill>
                        </w:rPr>
                      </w:pPr>
                      <w:r>
                        <w:rPr>
                          <w:rFonts w:hint="eastAsia"/>
                          <w:b/>
                          <w:bCs/>
                          <w:color w:val="FFFFFF" w:themeColor="background1"/>
                          <w:sz w:val="18"/>
                          <w:szCs w:val="18"/>
                          <w:lang w:val="en-US" w:eastAsia="zh-CN"/>
                          <w14:textFill>
                            <w14:solidFill>
                              <w14:schemeClr w14:val="bg1"/>
                            </w14:solidFill>
                          </w14:textFill>
                        </w:rPr>
                        <w:t>供电局良乡家属院</w:t>
                      </w:r>
                    </w:p>
                  </w:txbxContent>
                </v:textbox>
              </v:shape>
            </w:pict>
          </mc:Fallback>
        </mc:AlternateContent>
      </w:r>
      <w:r>
        <w:rPr>
          <w:rFonts w:hint="default"/>
          <w:sz w:val="21"/>
        </w:rPr>
        <mc:AlternateContent>
          <mc:Choice Requires="wps">
            <w:drawing>
              <wp:anchor distT="0" distB="0" distL="114300" distR="114300" simplePos="0" relativeHeight="251686912" behindDoc="0" locked="0" layoutInCell="1" allowOverlap="1">
                <wp:simplePos x="0" y="0"/>
                <wp:positionH relativeFrom="column">
                  <wp:posOffset>10160</wp:posOffset>
                </wp:positionH>
                <wp:positionV relativeFrom="paragraph">
                  <wp:posOffset>3946525</wp:posOffset>
                </wp:positionV>
                <wp:extent cx="1332865" cy="1532255"/>
                <wp:effectExtent l="4445" t="4445" r="15240" b="6350"/>
                <wp:wrapNone/>
                <wp:docPr id="42" name="文本框 42"/>
                <wp:cNvGraphicFramePr/>
                <a:graphic xmlns:a="http://schemas.openxmlformats.org/drawingml/2006/main">
                  <a:graphicData uri="http://schemas.microsoft.com/office/word/2010/wordprocessingShape">
                    <wps:wsp>
                      <wps:cNvSpPr txBox="1"/>
                      <wps:spPr>
                        <a:xfrm>
                          <a:off x="0" y="0"/>
                          <a:ext cx="1332865" cy="15322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E6B5C0">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4ADBBC79">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2C788604">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敏感目标</w:t>
                            </w:r>
                          </w:p>
                          <w:p w14:paraId="18D81EB7">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厂界500m范围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pt;margin-top:310.75pt;height:120.65pt;width:104.95pt;z-index:251686912;mso-width-relative:page;mso-height-relative:page;" fillcolor="#FFFFFF [3201]" filled="t" stroked="t" coordsize="21600,21600" o:gfxdata="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AoTdUA&#10;AAAIAQAADwAAAAAAAAABACAAAAAiAAAAZHJzL2Rvd25yZXYueG1sUEsBAhQAFAAAAAgAh07iQEs+&#10;eYxbAgAAugQAAA4AAAAAAAAAAQAgAAAAJAEAAGRycy9lMm9Eb2MueG1sUEsFBgAAAAAGAAYAWQEA&#10;APEFAAAAAA==&#10;">
                <v:fill on="t" focussize="0,0"/>
                <v:stroke weight="0.5pt" color="#000000 [3204]" joinstyle="round"/>
                <v:imagedata o:title=""/>
                <o:lock v:ext="edit" aspectratio="f"/>
                <v:textbox>
                  <w:txbxContent>
                    <w:p w14:paraId="22E6B5C0">
                      <w:pPr>
                        <w:keepNext w:val="0"/>
                        <w:keepLines w:val="0"/>
                        <w:pageBreakBefore w:val="0"/>
                        <w:widowControl w:val="0"/>
                        <w:kinsoku/>
                        <w:wordWrap/>
                        <w:overflowPunct/>
                        <w:topLinePunct w:val="0"/>
                        <w:bidi w:val="0"/>
                        <w:adjustRightInd/>
                        <w:snapToGrid/>
                        <w:spacing w:line="432"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图例</w:t>
                      </w:r>
                    </w:p>
                    <w:p w14:paraId="4ADBBC79">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项目位置</w:t>
                      </w:r>
                    </w:p>
                    <w:p w14:paraId="2C788604">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敏感目标</w:t>
                      </w:r>
                    </w:p>
                    <w:p w14:paraId="18D81EB7">
                      <w:pPr>
                        <w:keepNext w:val="0"/>
                        <w:keepLines w:val="0"/>
                        <w:pageBreakBefore w:val="0"/>
                        <w:widowControl w:val="0"/>
                        <w:kinsoku/>
                        <w:wordWrap/>
                        <w:overflowPunct/>
                        <w:topLinePunct w:val="0"/>
                        <w:bidi w:val="0"/>
                        <w:adjustRightInd/>
                        <w:snapToGrid/>
                        <w:spacing w:line="432" w:lineRule="auto"/>
                        <w:ind w:firstLine="420" w:firstLineChars="200"/>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厂界500m范围</w:t>
                      </w:r>
                    </w:p>
                  </w:txbxContent>
                </v:textbox>
              </v:shape>
            </w:pict>
          </mc:Fallback>
        </mc:AlternateContent>
      </w:r>
      <w:r>
        <w:rPr>
          <w:rFonts w:hint="default"/>
          <w:sz w:val="21"/>
        </w:rPr>
        <mc:AlternateContent>
          <mc:Choice Requires="wps">
            <w:drawing>
              <wp:anchor distT="0" distB="0" distL="114300" distR="114300" simplePos="0" relativeHeight="251689984" behindDoc="0" locked="0" layoutInCell="1" allowOverlap="1">
                <wp:simplePos x="0" y="0"/>
                <wp:positionH relativeFrom="column">
                  <wp:posOffset>85725</wp:posOffset>
                </wp:positionH>
                <wp:positionV relativeFrom="paragraph">
                  <wp:posOffset>5201920</wp:posOffset>
                </wp:positionV>
                <wp:extent cx="171450" cy="114300"/>
                <wp:effectExtent l="9525" t="9525" r="9525" b="9525"/>
                <wp:wrapNone/>
                <wp:docPr id="43" name="矩形 43"/>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409.6pt;height:9pt;width:13.5pt;z-index:251689984;v-text-anchor:middle;mso-width-relative:page;mso-height-relative:page;" filled="f" stroked="t" coordsize="21600,21600" o:gfxdata="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5IAIHXAAAACQEAAA8AAAAAAAAAAQAgAAAAIgAAAGRycy9kb3ducmV2LnhtbFBL&#10;AQIUABQAAAAIAIdO4kAbFYj/aQIAAMwEAAAOAAAAAAAAAAEAIAAAACYBAABkcnMvZTJvRG9jLnht&#10;bFBLBQYAAAAABgAGAFkBAAABBgAAAAA=&#10;">
                <v:fill on="f" focussize="0,0"/>
                <v:stroke weight="1.5pt" color="#00B050 [2404]" miterlimit="8" joinstyle="miter"/>
                <v:imagedata o:title=""/>
                <o:lock v:ext="edit" aspectratio="f"/>
              </v:rect>
            </w:pict>
          </mc:Fallback>
        </mc:AlternateContent>
      </w:r>
      <w:r>
        <w:rPr>
          <w:rFonts w:hint="default"/>
          <w:sz w:val="21"/>
        </w:rPr>
        <mc:AlternateContent>
          <mc:Choice Requires="wps">
            <w:drawing>
              <wp:anchor distT="0" distB="0" distL="114300" distR="114300" simplePos="0" relativeHeight="251687936" behindDoc="0" locked="0" layoutInCell="1" allowOverlap="1">
                <wp:simplePos x="0" y="0"/>
                <wp:positionH relativeFrom="column">
                  <wp:posOffset>95885</wp:posOffset>
                </wp:positionH>
                <wp:positionV relativeFrom="paragraph">
                  <wp:posOffset>4479290</wp:posOffset>
                </wp:positionV>
                <wp:extent cx="171450" cy="114300"/>
                <wp:effectExtent l="9525" t="9525" r="9525" b="9525"/>
                <wp:wrapNone/>
                <wp:docPr id="44" name="矩形 44"/>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55pt;margin-top:352.7pt;height:9pt;width:13.5pt;z-index:251687936;v-text-anchor:middle;mso-width-relative:page;mso-height-relative:page;" filled="f" stroked="t" coordsize="21600,21600" o:gfxdata="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AZ5cSXXAAAACQEAAA8AAAAAAAAAAQAgAAAAIgAAAGRycy9kb3ducmV2LnhtbFBL&#10;AQIUABQAAAAIAIdO4kCq+HrLaQIAAMwEAAAOAAAAAAAAAAEAIAAAACYBAABkcnMvZTJvRG9jLnht&#10;bFBLBQYAAAAABgAGAFkBAAABBgAAAAA=&#10;">
                <v:fill on="f" focussize="0,0"/>
                <v:stroke weight="1.5pt" color="#FF0000 [2404]" miterlimit="8" joinstyle="miter"/>
                <v:imagedata o:title=""/>
                <o:lock v:ext="edit" aspectratio="f"/>
              </v:rect>
            </w:pict>
          </mc:Fallback>
        </mc:AlternateContent>
      </w:r>
      <w:r>
        <w:rPr>
          <w:rFonts w:hint="default"/>
          <w:sz w:val="21"/>
        </w:rPr>
        <mc:AlternateContent>
          <mc:Choice Requires="wps">
            <w:drawing>
              <wp:anchor distT="0" distB="0" distL="114300" distR="114300" simplePos="0" relativeHeight="251688960" behindDoc="0" locked="0" layoutInCell="1" allowOverlap="1">
                <wp:simplePos x="0" y="0"/>
                <wp:positionH relativeFrom="column">
                  <wp:posOffset>86360</wp:posOffset>
                </wp:positionH>
                <wp:positionV relativeFrom="paragraph">
                  <wp:posOffset>4831715</wp:posOffset>
                </wp:positionV>
                <wp:extent cx="171450" cy="114300"/>
                <wp:effectExtent l="9525" t="9525" r="9525" b="9525"/>
                <wp:wrapNone/>
                <wp:docPr id="45" name="矩形 45"/>
                <wp:cNvGraphicFramePr/>
                <a:graphic xmlns:a="http://schemas.openxmlformats.org/drawingml/2006/main">
                  <a:graphicData uri="http://schemas.microsoft.com/office/word/2010/wordprocessingShape">
                    <wps:wsp>
                      <wps:cNvSpPr/>
                      <wps:spPr>
                        <a:xfrm>
                          <a:off x="0" y="0"/>
                          <a:ext cx="171450" cy="114300"/>
                        </a:xfrm>
                        <a:prstGeom prst="rect">
                          <a:avLst/>
                        </a:prstGeom>
                        <a:noFill/>
                        <a:ln w="19050">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pt;margin-top:380.45pt;height:9pt;width:13.5pt;z-index:251688960;v-text-anchor:middle;mso-width-relative:page;mso-height-relative:page;" filled="f" stroked="t" coordsize="21600,21600" o:gfxdata="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IwbfRPZAAAACQEAAA8AAAAAAAAAAQAgAAAAIgAAAGRycy9kb3ducmV2LnhtbFBL&#10;AQIUABQAAAAIAIdO4kBZmRy9ZwIAAMwEAAAOAAAAAAAAAAEAIAAAACgBAABkcnMvZTJvRG9jLnht&#10;bFBLBQYAAAAABgAGAFkBAAABBgAAAAA=&#10;">
                <v:fill on="f" focussize="0,0"/>
                <v:stroke weight="1.5pt" color="#FFC000 [2404]" miterlimit="8" joinstyle="miter"/>
                <v:imagedata o:title=""/>
                <o:lock v:ext="edit" aspectratio="f"/>
              </v:rect>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4359910</wp:posOffset>
                </wp:positionH>
                <wp:positionV relativeFrom="paragraph">
                  <wp:posOffset>4296410</wp:posOffset>
                </wp:positionV>
                <wp:extent cx="392430" cy="290830"/>
                <wp:effectExtent l="5080" t="5080" r="21590" b="8890"/>
                <wp:wrapNone/>
                <wp:docPr id="40" name="任意多边形 40"/>
                <wp:cNvGraphicFramePr/>
                <a:graphic xmlns:a="http://schemas.openxmlformats.org/drawingml/2006/main">
                  <a:graphicData uri="http://schemas.microsoft.com/office/word/2010/wordprocessingShape">
                    <wps:wsp>
                      <wps:cNvSpPr/>
                      <wps:spPr>
                        <a:xfrm>
                          <a:off x="5259705" y="5124450"/>
                          <a:ext cx="392430" cy="290830"/>
                        </a:xfrm>
                        <a:custGeom>
                          <a:avLst/>
                          <a:gdLst>
                            <a:gd name="connisteX0" fmla="*/ 0 w 392430"/>
                            <a:gd name="connsiteY0" fmla="*/ 0 h 290830"/>
                            <a:gd name="connisteX1" fmla="*/ 5715 w 392430"/>
                            <a:gd name="connsiteY1" fmla="*/ 290830 h 290830"/>
                            <a:gd name="connisteX2" fmla="*/ 386715 w 392430"/>
                            <a:gd name="connsiteY2" fmla="*/ 290830 h 290830"/>
                            <a:gd name="connisteX3" fmla="*/ 392430 w 392430"/>
                            <a:gd name="connsiteY3" fmla="*/ 5080 h 290830"/>
                            <a:gd name="connisteX4" fmla="*/ 0 w 392430"/>
                            <a:gd name="connsiteY4" fmla="*/ 0 h 29083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392430" h="290830">
                              <a:moveTo>
                                <a:pt x="0" y="0"/>
                              </a:moveTo>
                              <a:lnTo>
                                <a:pt x="5715" y="290830"/>
                              </a:lnTo>
                              <a:lnTo>
                                <a:pt x="386715" y="290830"/>
                              </a:lnTo>
                              <a:lnTo>
                                <a:pt x="392430" y="5080"/>
                              </a:lnTo>
                              <a:lnTo>
                                <a:pt x="0" y="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43.3pt;margin-top:338.3pt;height:22.9pt;width:30.9pt;z-index:251684864;mso-width-relative:page;mso-height-relative:page;" fillcolor="#F2BA02 [3206]" filled="t" stroked="t" coordsize="392430,290830" o:gfxdata="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&#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" path="m0,0l5715,290830,386715,290830,392430,5080,0,0xe">
                <v:path o:connectlocs="0,0;5715,290830;386715,290830;392430,5080;0,0" o:connectangles="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6586220</wp:posOffset>
                </wp:positionH>
                <wp:positionV relativeFrom="paragraph">
                  <wp:posOffset>2319655</wp:posOffset>
                </wp:positionV>
                <wp:extent cx="386715" cy="559435"/>
                <wp:effectExtent l="5080" t="5080" r="8255" b="6985"/>
                <wp:wrapNone/>
                <wp:docPr id="39" name="任意多边形 39"/>
                <wp:cNvGraphicFramePr/>
                <a:graphic xmlns:a="http://schemas.openxmlformats.org/drawingml/2006/main">
                  <a:graphicData uri="http://schemas.microsoft.com/office/word/2010/wordprocessingShape">
                    <wps:wsp>
                      <wps:cNvSpPr/>
                      <wps:spPr>
                        <a:xfrm>
                          <a:off x="7486015" y="3147695"/>
                          <a:ext cx="386715" cy="559435"/>
                        </a:xfrm>
                        <a:custGeom>
                          <a:avLst/>
                          <a:gdLst>
                            <a:gd name="connisteX0" fmla="*/ 0 w 386715"/>
                            <a:gd name="connsiteY0" fmla="*/ 24130 h 559435"/>
                            <a:gd name="connisteX1" fmla="*/ 5715 w 386715"/>
                            <a:gd name="connsiteY1" fmla="*/ 553085 h 559435"/>
                            <a:gd name="connisteX2" fmla="*/ 386715 w 386715"/>
                            <a:gd name="connsiteY2" fmla="*/ 559435 h 559435"/>
                            <a:gd name="connisteX3" fmla="*/ 381000 w 386715"/>
                            <a:gd name="connsiteY3" fmla="*/ 0 h 559435"/>
                            <a:gd name="connisteX4" fmla="*/ 0 w 386715"/>
                            <a:gd name="connsiteY4" fmla="*/ 24130 h 55943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386715" h="559435">
                              <a:moveTo>
                                <a:pt x="0" y="24130"/>
                              </a:moveTo>
                              <a:lnTo>
                                <a:pt x="5715" y="553085"/>
                              </a:lnTo>
                              <a:lnTo>
                                <a:pt x="386715" y="559435"/>
                              </a:lnTo>
                              <a:lnTo>
                                <a:pt x="381000" y="0"/>
                              </a:lnTo>
                              <a:lnTo>
                                <a:pt x="0" y="2413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518.6pt;margin-top:182.65pt;height:44.05pt;width:30.45pt;z-index:251683840;mso-width-relative:page;mso-height-relative:page;" fillcolor="#F2BA02 [3206]" filled="t" stroked="t" coordsize="386715,559435" o:gfxdata="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" path="m0,24130l5715,553085,386715,559435,381000,0,0,24130xe">
                <v:path o:connectlocs="0,24130;5715,553085;386715,559435;381000,0;0,24130" o:connectangles="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4110355</wp:posOffset>
                </wp:positionH>
                <wp:positionV relativeFrom="paragraph">
                  <wp:posOffset>2772410</wp:posOffset>
                </wp:positionV>
                <wp:extent cx="886460" cy="1404620"/>
                <wp:effectExtent l="5080" t="0" r="22860" b="5080"/>
                <wp:wrapNone/>
                <wp:docPr id="38" name="任意多边形 38"/>
                <wp:cNvGraphicFramePr/>
                <a:graphic xmlns:a="http://schemas.openxmlformats.org/drawingml/2006/main">
                  <a:graphicData uri="http://schemas.microsoft.com/office/word/2010/wordprocessingShape">
                    <wps:wsp>
                      <wps:cNvSpPr/>
                      <wps:spPr>
                        <a:xfrm>
                          <a:off x="5010150" y="3600450"/>
                          <a:ext cx="886460" cy="1404620"/>
                        </a:xfrm>
                        <a:custGeom>
                          <a:avLst/>
                          <a:gdLst>
                            <a:gd name="connisteX0" fmla="*/ 23495 w 886460"/>
                            <a:gd name="connsiteY0" fmla="*/ 0 h 1404620"/>
                            <a:gd name="connisteX1" fmla="*/ 0 w 886460"/>
                            <a:gd name="connsiteY1" fmla="*/ 1303020 h 1404620"/>
                            <a:gd name="connisteX2" fmla="*/ 83185 w 886460"/>
                            <a:gd name="connsiteY2" fmla="*/ 1404620 h 1404620"/>
                            <a:gd name="connisteX3" fmla="*/ 624840 w 886460"/>
                            <a:gd name="connsiteY3" fmla="*/ 1404620 h 1404620"/>
                            <a:gd name="connisteX4" fmla="*/ 624840 w 886460"/>
                            <a:gd name="connsiteY4" fmla="*/ 445770 h 1404620"/>
                            <a:gd name="connisteX5" fmla="*/ 886460 w 886460"/>
                            <a:gd name="connsiteY5" fmla="*/ 433705 h 1404620"/>
                            <a:gd name="connisteX6" fmla="*/ 886460 w 886460"/>
                            <a:gd name="connsiteY6" fmla="*/ 17145 h 1404620"/>
                            <a:gd name="connisteX7" fmla="*/ 23495 w 886460"/>
                            <a:gd name="connsiteY7" fmla="*/ 41910 h 140462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Lst>
                          <a:rect l="l" t="t" r="r" b="b"/>
                          <a:pathLst>
                            <a:path w="886460" h="1404620">
                              <a:moveTo>
                                <a:pt x="23495" y="0"/>
                              </a:moveTo>
                              <a:lnTo>
                                <a:pt x="0" y="1303020"/>
                              </a:lnTo>
                              <a:lnTo>
                                <a:pt x="83185" y="1404620"/>
                              </a:lnTo>
                              <a:lnTo>
                                <a:pt x="624840" y="1404620"/>
                              </a:lnTo>
                              <a:lnTo>
                                <a:pt x="624840" y="445770"/>
                              </a:lnTo>
                              <a:lnTo>
                                <a:pt x="886460" y="433705"/>
                              </a:lnTo>
                              <a:lnTo>
                                <a:pt x="886460" y="17145"/>
                              </a:lnTo>
                              <a:lnTo>
                                <a:pt x="23495" y="41910"/>
                              </a:lnTo>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3.65pt;margin-top:218.3pt;height:110.6pt;width:69.8pt;z-index:251682816;mso-width-relative:page;mso-height-relative:page;" fillcolor="#F2BA02 [3206]" filled="t" stroked="t" coordsize="886460,1404620" o:gfxdata="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" path="m23495,0l0,1303020,83185,1404620,624840,1404620,624840,445770,886460,433705,886460,17145,23495,41910e">
                <v:path o:connectlocs="23495,0;0,1303020;83185,1404620;624840,1404620;624840,445770;886460,433705;886460,17145;23495,41910" o:connectangles="0,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1989455</wp:posOffset>
                </wp:positionH>
                <wp:positionV relativeFrom="paragraph">
                  <wp:posOffset>2558415</wp:posOffset>
                </wp:positionV>
                <wp:extent cx="1476375" cy="1030605"/>
                <wp:effectExtent l="5080" t="5080" r="4445" b="12065"/>
                <wp:wrapNone/>
                <wp:docPr id="37" name="任意多边形 37"/>
                <wp:cNvGraphicFramePr/>
                <a:graphic xmlns:a="http://schemas.openxmlformats.org/drawingml/2006/main">
                  <a:graphicData uri="http://schemas.microsoft.com/office/word/2010/wordprocessingShape">
                    <wps:wsp>
                      <wps:cNvSpPr/>
                      <wps:spPr>
                        <a:xfrm>
                          <a:off x="2889250" y="3386455"/>
                          <a:ext cx="1476375" cy="1030605"/>
                        </a:xfrm>
                        <a:custGeom>
                          <a:avLst/>
                          <a:gdLst>
                            <a:gd name="connisteX0" fmla="*/ 12065 w 1476375"/>
                            <a:gd name="connsiteY0" fmla="*/ 1030605 h 1030605"/>
                            <a:gd name="connisteX1" fmla="*/ 1464310 w 1476375"/>
                            <a:gd name="connsiteY1" fmla="*/ 1030605 h 1030605"/>
                            <a:gd name="connisteX2" fmla="*/ 1476375 w 1476375"/>
                            <a:gd name="connsiteY2" fmla="*/ 0 h 1030605"/>
                            <a:gd name="connisteX3" fmla="*/ 946785 w 1476375"/>
                            <a:gd name="connsiteY3" fmla="*/ 18415 h 1030605"/>
                            <a:gd name="connisteX4" fmla="*/ 946785 w 1476375"/>
                            <a:gd name="connsiteY4" fmla="*/ 387350 h 1030605"/>
                            <a:gd name="connisteX5" fmla="*/ 0 w 1476375"/>
                            <a:gd name="connsiteY5" fmla="*/ 381000 h 1030605"/>
                            <a:gd name="connisteX6" fmla="*/ 12065 w 1476375"/>
                            <a:gd name="connsiteY6" fmla="*/ 1030605 h 103060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476375" h="1030605">
                              <a:moveTo>
                                <a:pt x="12065" y="1030605"/>
                              </a:moveTo>
                              <a:lnTo>
                                <a:pt x="1464310" y="1030605"/>
                              </a:lnTo>
                              <a:lnTo>
                                <a:pt x="1476375" y="0"/>
                              </a:lnTo>
                              <a:lnTo>
                                <a:pt x="946785" y="18415"/>
                              </a:lnTo>
                              <a:lnTo>
                                <a:pt x="946785" y="387350"/>
                              </a:lnTo>
                              <a:lnTo>
                                <a:pt x="0" y="381000"/>
                              </a:lnTo>
                              <a:lnTo>
                                <a:pt x="12065" y="1030605"/>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56.65pt;margin-top:201.45pt;height:81.15pt;width:116.25pt;z-index:251681792;mso-width-relative:page;mso-height-relative:page;" fillcolor="#F2BA02 [3206]" filled="t" stroked="t" coordsize="1476375,1030605" o:gfxdata="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zgqU0twAAAAL&#10;AQAADwAAAAAAAAABACAAAAAiAAAAZHJzL2Rvd25yZXYueG1sUEsBAhQAFAAAAAgAh07iQDxWr3du&#10;AwAAWQoAAA4AAAAAAAAAAQAgAAAAKwEAAGRycy9lMm9Eb2MueG1sUEsFBgAAAAAGAAYAWQEAAAsH&#10;AAAAAA==&#10;" path="m12065,1030605l1464310,1030605,1476375,0,946785,18415,946785,387350,0,381000,12065,1030605xe">
                <v:path o:connectlocs="12065,1030605;1464310,1030605;1476375,0;946785,18415;946785,387350;0,381000;12065,1030605" o:connectangles="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3501390</wp:posOffset>
                </wp:positionH>
                <wp:positionV relativeFrom="paragraph">
                  <wp:posOffset>2564765</wp:posOffset>
                </wp:positionV>
                <wp:extent cx="375285" cy="1018540"/>
                <wp:effectExtent l="4445" t="5080" r="20320" b="5080"/>
                <wp:wrapNone/>
                <wp:docPr id="36" name="任意多边形 36"/>
                <wp:cNvGraphicFramePr/>
                <a:graphic xmlns:a="http://schemas.openxmlformats.org/drawingml/2006/main">
                  <a:graphicData uri="http://schemas.microsoft.com/office/word/2010/wordprocessingShape">
                    <wps:wsp>
                      <wps:cNvSpPr/>
                      <wps:spPr>
                        <a:xfrm>
                          <a:off x="4401185" y="3392805"/>
                          <a:ext cx="375285" cy="1018540"/>
                        </a:xfrm>
                        <a:custGeom>
                          <a:avLst/>
                          <a:gdLst>
                            <a:gd name="connisteX0" fmla="*/ 0 w 375285"/>
                            <a:gd name="connsiteY0" fmla="*/ 0 h 1018540"/>
                            <a:gd name="connisteX1" fmla="*/ 0 w 375285"/>
                            <a:gd name="connsiteY1" fmla="*/ 1018540 h 1018540"/>
                            <a:gd name="connisteX2" fmla="*/ 375285 w 375285"/>
                            <a:gd name="connsiteY2" fmla="*/ 1018540 h 1018540"/>
                            <a:gd name="connisteX3" fmla="*/ 357505 w 375285"/>
                            <a:gd name="connsiteY3" fmla="*/ 5715 h 1018540"/>
                            <a:gd name="connisteX4" fmla="*/ 0 w 375285"/>
                            <a:gd name="connsiteY4" fmla="*/ 0 h 101854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375285" h="1018540">
                              <a:moveTo>
                                <a:pt x="0" y="0"/>
                              </a:moveTo>
                              <a:lnTo>
                                <a:pt x="0" y="1018540"/>
                              </a:lnTo>
                              <a:lnTo>
                                <a:pt x="375285" y="1018540"/>
                              </a:lnTo>
                              <a:lnTo>
                                <a:pt x="357505" y="5715"/>
                              </a:lnTo>
                              <a:lnTo>
                                <a:pt x="0" y="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75.7pt;margin-top:201.95pt;height:80.2pt;width:29.55pt;z-index:251680768;mso-width-relative:page;mso-height-relative:page;" fillcolor="#F2BA02 [3206]" filled="t" stroked="t" coordsize="375285,1018540" o:gfxdata="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Ayj+3cAAAACwEAAA8AAAAAAAAAAQAgAAAAIgAAAGRycy9k&#10;b3ducmV2LnhtbFBLAQIUABQAAAAIAIdO4kBzecDYGwMAAIoIAAAOAAAAAAAAAAEAIAAAACsBAABk&#10;cnMvZTJvRG9jLnhtbFBLBQYAAAAABgAGAFkBAAC4BgAAAAA=&#10;" path="m0,0l0,1018540,375285,1018540,357505,5715,0,0xe">
                <v:path o:connectlocs="0,0;0,1018540;375285,1018540;357505,5715;0,0" o:connectangles="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9744" behindDoc="0" locked="0" layoutInCell="1" allowOverlap="1">
                <wp:simplePos x="0" y="0"/>
                <wp:positionH relativeFrom="column">
                  <wp:posOffset>2459990</wp:posOffset>
                </wp:positionH>
                <wp:positionV relativeFrom="paragraph">
                  <wp:posOffset>850265</wp:posOffset>
                </wp:positionV>
                <wp:extent cx="1434465" cy="1440815"/>
                <wp:effectExtent l="5080" t="9525" r="8255" b="16510"/>
                <wp:wrapNone/>
                <wp:docPr id="35" name="任意多边形 35"/>
                <wp:cNvGraphicFramePr/>
                <a:graphic xmlns:a="http://schemas.openxmlformats.org/drawingml/2006/main">
                  <a:graphicData uri="http://schemas.microsoft.com/office/word/2010/wordprocessingShape">
                    <wps:wsp>
                      <wps:cNvSpPr/>
                      <wps:spPr>
                        <a:xfrm>
                          <a:off x="3359785" y="1678305"/>
                          <a:ext cx="1434465" cy="1440815"/>
                        </a:xfrm>
                        <a:custGeom>
                          <a:avLst/>
                          <a:gdLst>
                            <a:gd name="connisteX0" fmla="*/ 1434465 w 1434465"/>
                            <a:gd name="connsiteY0" fmla="*/ 1440815 h 1440815"/>
                            <a:gd name="connisteX1" fmla="*/ 0 w 1434465"/>
                            <a:gd name="connsiteY1" fmla="*/ 1428750 h 1440815"/>
                            <a:gd name="connisteX2" fmla="*/ 29845 w 1434465"/>
                            <a:gd name="connsiteY2" fmla="*/ 714375 h 1440815"/>
                            <a:gd name="connisteX3" fmla="*/ 440055 w 1434465"/>
                            <a:gd name="connsiteY3" fmla="*/ 708025 h 1440815"/>
                            <a:gd name="connisteX4" fmla="*/ 446405 w 1434465"/>
                            <a:gd name="connsiteY4" fmla="*/ 405130 h 1440815"/>
                            <a:gd name="connisteX5" fmla="*/ 988060 w 1434465"/>
                            <a:gd name="connsiteY5" fmla="*/ 0 h 1440815"/>
                            <a:gd name="connisteX6" fmla="*/ 1011555 w 1434465"/>
                            <a:gd name="connsiteY6" fmla="*/ 850900 h 1440815"/>
                            <a:gd name="connisteX7" fmla="*/ 1428750 w 1434465"/>
                            <a:gd name="connsiteY7" fmla="*/ 993775 h 1440815"/>
                            <a:gd name="connisteX8" fmla="*/ 1434465 w 1434465"/>
                            <a:gd name="connsiteY8" fmla="*/ 1440815 h 144081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Lst>
                          <a:rect l="l" t="t" r="r" b="b"/>
                          <a:pathLst>
                            <a:path w="1434465" h="1440815">
                              <a:moveTo>
                                <a:pt x="1434465" y="1440815"/>
                              </a:moveTo>
                              <a:lnTo>
                                <a:pt x="0" y="1428750"/>
                              </a:lnTo>
                              <a:lnTo>
                                <a:pt x="29845" y="714375"/>
                              </a:lnTo>
                              <a:lnTo>
                                <a:pt x="440055" y="708025"/>
                              </a:lnTo>
                              <a:lnTo>
                                <a:pt x="446405" y="405130"/>
                              </a:lnTo>
                              <a:lnTo>
                                <a:pt x="988060" y="0"/>
                              </a:lnTo>
                              <a:lnTo>
                                <a:pt x="1011555" y="850900"/>
                              </a:lnTo>
                              <a:lnTo>
                                <a:pt x="1428750" y="993775"/>
                              </a:lnTo>
                              <a:lnTo>
                                <a:pt x="1434465" y="1440815"/>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93.7pt;margin-top:66.95pt;height:113.45pt;width:112.95pt;z-index:251679744;mso-width-relative:page;mso-height-relative:page;" fillcolor="#F2BA02 [3206]" filled="t" stroked="t" coordsize="1434465,1440815" o:gfxdata="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" path="m1434465,1440815l0,1428750,29845,714375,440055,708025,446405,405130,988060,0,1011555,850900,1428750,993775,1434465,1440815xe">
                <v:path o:connectlocs="1434465,1440815;0,1428750;29845,714375;440055,708025;446405,405130;988060,0;1011555,850900;1428750,993775;1434465,1440815" o:connectangles="0,0,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4108450</wp:posOffset>
                </wp:positionH>
                <wp:positionV relativeFrom="paragraph">
                  <wp:posOffset>760730</wp:posOffset>
                </wp:positionV>
                <wp:extent cx="995045" cy="635000"/>
                <wp:effectExtent l="4445" t="6350" r="10160" b="6350"/>
                <wp:wrapNone/>
                <wp:docPr id="33" name="任意多边形 33"/>
                <wp:cNvGraphicFramePr/>
                <a:graphic xmlns:a="http://schemas.openxmlformats.org/drawingml/2006/main">
                  <a:graphicData uri="http://schemas.microsoft.com/office/word/2010/wordprocessingShape">
                    <wps:wsp>
                      <wps:cNvSpPr/>
                      <wps:spPr>
                        <a:xfrm>
                          <a:off x="5008245" y="1588770"/>
                          <a:ext cx="995045" cy="635000"/>
                        </a:xfrm>
                        <a:custGeom>
                          <a:avLst/>
                          <a:gdLst>
                            <a:gd name="connisteX0" fmla="*/ 995045 w 995045"/>
                            <a:gd name="connsiteY0" fmla="*/ 635000 h 635000"/>
                            <a:gd name="connisteX1" fmla="*/ 0 w 995045"/>
                            <a:gd name="connsiteY1" fmla="*/ 592455 h 635000"/>
                            <a:gd name="connisteX2" fmla="*/ 0 w 995045"/>
                            <a:gd name="connsiteY2" fmla="*/ 0 h 635000"/>
                            <a:gd name="connisteX3" fmla="*/ 401955 w 995045"/>
                            <a:gd name="connsiteY3" fmla="*/ 100330 h 635000"/>
                            <a:gd name="connisteX4" fmla="*/ 428625 w 995045"/>
                            <a:gd name="connsiteY4" fmla="*/ 370840 h 635000"/>
                            <a:gd name="connisteX5" fmla="*/ 979170 w 995045"/>
                            <a:gd name="connsiteY5" fmla="*/ 370840 h 635000"/>
                            <a:gd name="connisteX6" fmla="*/ 995045 w 995045"/>
                            <a:gd name="connsiteY6" fmla="*/ 635000 h 6350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995045" h="635000">
                              <a:moveTo>
                                <a:pt x="995045" y="635000"/>
                              </a:moveTo>
                              <a:lnTo>
                                <a:pt x="0" y="592455"/>
                              </a:lnTo>
                              <a:lnTo>
                                <a:pt x="0" y="0"/>
                              </a:lnTo>
                              <a:lnTo>
                                <a:pt x="401955" y="100330"/>
                              </a:lnTo>
                              <a:lnTo>
                                <a:pt x="428625" y="370840"/>
                              </a:lnTo>
                              <a:lnTo>
                                <a:pt x="979170" y="370840"/>
                              </a:lnTo>
                              <a:lnTo>
                                <a:pt x="995045" y="63500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3.5pt;margin-top:59.9pt;height:50pt;width:78.35pt;z-index:251678720;mso-width-relative:page;mso-height-relative:page;" fillcolor="#F2BA02 [3206]" filled="t" stroked="t" coordsize="995045,635000" o:gfxdata="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" path="m995045,635000l0,592455,0,0,401955,100330,428625,370840,979170,370840,995045,635000xe">
                <v:path o:connectlocs="995045,635000;0,592455;0,0;401955,100330;428625,370840;979170,370840;995045,635000" o:connectangles="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5071745</wp:posOffset>
                </wp:positionH>
                <wp:positionV relativeFrom="paragraph">
                  <wp:posOffset>2315845</wp:posOffset>
                </wp:positionV>
                <wp:extent cx="846455" cy="920750"/>
                <wp:effectExtent l="5080" t="5080" r="5715" b="7620"/>
                <wp:wrapNone/>
                <wp:docPr id="32" name="任意多边形 32"/>
                <wp:cNvGraphicFramePr/>
                <a:graphic xmlns:a="http://schemas.openxmlformats.org/drawingml/2006/main">
                  <a:graphicData uri="http://schemas.microsoft.com/office/word/2010/wordprocessingShape">
                    <wps:wsp>
                      <wps:cNvSpPr/>
                      <wps:spPr>
                        <a:xfrm>
                          <a:off x="5971540" y="3143885"/>
                          <a:ext cx="846455" cy="920750"/>
                        </a:xfrm>
                        <a:custGeom>
                          <a:avLst/>
                          <a:gdLst>
                            <a:gd name="connisteX0" fmla="*/ 10160 w 846455"/>
                            <a:gd name="connsiteY0" fmla="*/ 920750 h 920750"/>
                            <a:gd name="connisteX1" fmla="*/ 819785 w 846455"/>
                            <a:gd name="connsiteY1" fmla="*/ 899160 h 920750"/>
                            <a:gd name="connisteX2" fmla="*/ 846455 w 846455"/>
                            <a:gd name="connsiteY2" fmla="*/ 0 h 920750"/>
                            <a:gd name="connisteX3" fmla="*/ 460375 w 846455"/>
                            <a:gd name="connsiteY3" fmla="*/ 5715 h 920750"/>
                            <a:gd name="connisteX4" fmla="*/ 476250 w 846455"/>
                            <a:gd name="connsiteY4" fmla="*/ 365125 h 920750"/>
                            <a:gd name="connisteX5" fmla="*/ 0 w 846455"/>
                            <a:gd name="connsiteY5" fmla="*/ 354965 h 920750"/>
                            <a:gd name="connisteX6" fmla="*/ 10160 w 846455"/>
                            <a:gd name="connsiteY6" fmla="*/ 920750 h 9207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846455" h="920750">
                              <a:moveTo>
                                <a:pt x="10160" y="920750"/>
                              </a:moveTo>
                              <a:lnTo>
                                <a:pt x="819785" y="899160"/>
                              </a:lnTo>
                              <a:lnTo>
                                <a:pt x="846455" y="0"/>
                              </a:lnTo>
                              <a:lnTo>
                                <a:pt x="460375" y="5715"/>
                              </a:lnTo>
                              <a:lnTo>
                                <a:pt x="476250" y="365125"/>
                              </a:lnTo>
                              <a:lnTo>
                                <a:pt x="0" y="354965"/>
                              </a:lnTo>
                              <a:lnTo>
                                <a:pt x="10160" y="92075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99.35pt;margin-top:182.35pt;height:72.5pt;width:66.65pt;z-index:251677696;mso-width-relative:page;mso-height-relative:page;" fillcolor="#F2BA02 [3206]" filled="t" stroked="t" coordsize="846455,920750" o:gfxdata="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Cpk&#10;zt/ZAAAACwEAAA8AAAAAAAAAAQAgAAAAIgAAAGRycy9kb3ducmV2LnhtbFBLAQIUABQAAAAIAIdO&#10;4kB+suUEeAMAADsKAAAOAAAAAAAAAAEAIAAAACgBAABkcnMvZTJvRG9jLnhtbFBLBQYAAAAABgAG&#10;AFkBAAASBwAAAAA=&#10;" path="m10160,920750l819785,899160,846455,0,460375,5715,476250,365125,0,354965,10160,920750xe">
                <v:path o:connectlocs="10160,920750;819785,899160;846455,0;460375,5715;476250,365125;0,354965;10160,920750" o:connectangles="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4140200</wp:posOffset>
                </wp:positionH>
                <wp:positionV relativeFrom="paragraph">
                  <wp:posOffset>2030730</wp:posOffset>
                </wp:positionV>
                <wp:extent cx="857250" cy="714375"/>
                <wp:effectExtent l="5080" t="5080" r="13970" b="4445"/>
                <wp:wrapNone/>
                <wp:docPr id="31" name="任意多边形 31"/>
                <wp:cNvGraphicFramePr/>
                <a:graphic xmlns:a="http://schemas.openxmlformats.org/drawingml/2006/main">
                  <a:graphicData uri="http://schemas.microsoft.com/office/word/2010/wordprocessingShape">
                    <wps:wsp>
                      <wps:cNvSpPr/>
                      <wps:spPr>
                        <a:xfrm>
                          <a:off x="5039995" y="2858770"/>
                          <a:ext cx="857250" cy="714375"/>
                        </a:xfrm>
                        <a:custGeom>
                          <a:avLst/>
                          <a:gdLst>
                            <a:gd name="connisteX0" fmla="*/ 857250 w 857250"/>
                            <a:gd name="connsiteY0" fmla="*/ 5080 h 714375"/>
                            <a:gd name="connisteX1" fmla="*/ 0 w 857250"/>
                            <a:gd name="connsiteY1" fmla="*/ 0 h 714375"/>
                            <a:gd name="connisteX2" fmla="*/ 5080 w 857250"/>
                            <a:gd name="connsiteY2" fmla="*/ 698500 h 714375"/>
                            <a:gd name="connisteX3" fmla="*/ 830580 w 857250"/>
                            <a:gd name="connsiteY3" fmla="*/ 714375 h 714375"/>
                            <a:gd name="connisteX4" fmla="*/ 857250 w 857250"/>
                            <a:gd name="connsiteY4" fmla="*/ 5080 h 71437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857250" h="714375">
                              <a:moveTo>
                                <a:pt x="857250" y="5080"/>
                              </a:moveTo>
                              <a:lnTo>
                                <a:pt x="0" y="0"/>
                              </a:lnTo>
                              <a:lnTo>
                                <a:pt x="5080" y="698500"/>
                              </a:lnTo>
                              <a:lnTo>
                                <a:pt x="830580" y="714375"/>
                              </a:lnTo>
                              <a:lnTo>
                                <a:pt x="857250" y="508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6pt;margin-top:159.9pt;height:56.25pt;width:67.5pt;z-index:251676672;mso-width-relative:page;mso-height-relative:page;" fillcolor="#F2BA02 [3206]" filled="t" stroked="t" coordsize="857250,714375" o:gfxdata="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" path="m857250,5080l0,0,5080,698500,830580,714375,857250,5080xe">
                <v:path o:connectlocs="857250,5080;0,0;5080,698500;830580,714375;857250,5080" o:connectangles="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5648" behindDoc="0" locked="0" layoutInCell="1" allowOverlap="1">
                <wp:simplePos x="0" y="0"/>
                <wp:positionH relativeFrom="column">
                  <wp:posOffset>4087495</wp:posOffset>
                </wp:positionH>
                <wp:positionV relativeFrom="paragraph">
                  <wp:posOffset>109855</wp:posOffset>
                </wp:positionV>
                <wp:extent cx="1438910" cy="1010285"/>
                <wp:effectExtent l="5715" t="5080" r="22225" b="13335"/>
                <wp:wrapNone/>
                <wp:docPr id="30" name="任意多边形 30"/>
                <wp:cNvGraphicFramePr/>
                <a:graphic xmlns:a="http://schemas.openxmlformats.org/drawingml/2006/main">
                  <a:graphicData uri="http://schemas.microsoft.com/office/word/2010/wordprocessingShape">
                    <wps:wsp>
                      <wps:cNvSpPr/>
                      <wps:spPr>
                        <a:xfrm>
                          <a:off x="4987290" y="937895"/>
                          <a:ext cx="1438910" cy="1010285"/>
                        </a:xfrm>
                        <a:custGeom>
                          <a:avLst/>
                          <a:gdLst>
                            <a:gd name="connisteX0" fmla="*/ 0 w 1438910"/>
                            <a:gd name="connsiteY0" fmla="*/ 577215 h 1010285"/>
                            <a:gd name="connisteX1" fmla="*/ 438785 w 1438910"/>
                            <a:gd name="connsiteY1" fmla="*/ 682625 h 1010285"/>
                            <a:gd name="connisteX2" fmla="*/ 433705 w 1438910"/>
                            <a:gd name="connsiteY2" fmla="*/ 867410 h 1010285"/>
                            <a:gd name="connisteX3" fmla="*/ 497205 w 1438910"/>
                            <a:gd name="connsiteY3" fmla="*/ 1010285 h 1010285"/>
                            <a:gd name="connisteX4" fmla="*/ 984250 w 1438910"/>
                            <a:gd name="connsiteY4" fmla="*/ 989965 h 1010285"/>
                            <a:gd name="connisteX5" fmla="*/ 1438910 w 1438910"/>
                            <a:gd name="connsiteY5" fmla="*/ 942340 h 1010285"/>
                            <a:gd name="connisteX6" fmla="*/ 1275080 w 1438910"/>
                            <a:gd name="connsiteY6" fmla="*/ 5715 h 1010285"/>
                            <a:gd name="connisteX7" fmla="*/ 1005205 w 1438910"/>
                            <a:gd name="connsiteY7" fmla="*/ 0 h 1010285"/>
                            <a:gd name="connisteX8" fmla="*/ 930910 w 1438910"/>
                            <a:gd name="connsiteY8" fmla="*/ 243840 h 1010285"/>
                            <a:gd name="connisteX9" fmla="*/ 581660 w 1438910"/>
                            <a:gd name="connsiteY9" fmla="*/ 184785 h 1010285"/>
                            <a:gd name="connisteX10" fmla="*/ 518160 w 1438910"/>
                            <a:gd name="connsiteY10" fmla="*/ 492125 h 1010285"/>
                            <a:gd name="connisteX11" fmla="*/ 41910 w 1438910"/>
                            <a:gd name="connsiteY11" fmla="*/ 412750 h 1010285"/>
                            <a:gd name="connisteX12" fmla="*/ 0 w 1438910"/>
                            <a:gd name="connsiteY12" fmla="*/ 577215 h 101028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Lst>
                          <a:rect l="l" t="t" r="r" b="b"/>
                          <a:pathLst>
                            <a:path w="1438910" h="1010285">
                              <a:moveTo>
                                <a:pt x="0" y="577215"/>
                              </a:moveTo>
                              <a:lnTo>
                                <a:pt x="438785" y="682625"/>
                              </a:lnTo>
                              <a:lnTo>
                                <a:pt x="433705" y="867410"/>
                              </a:lnTo>
                              <a:lnTo>
                                <a:pt x="497205" y="1010285"/>
                              </a:lnTo>
                              <a:lnTo>
                                <a:pt x="984250" y="989965"/>
                              </a:lnTo>
                              <a:lnTo>
                                <a:pt x="1438910" y="942340"/>
                              </a:lnTo>
                              <a:lnTo>
                                <a:pt x="1275080" y="5715"/>
                              </a:lnTo>
                              <a:lnTo>
                                <a:pt x="1005205" y="0"/>
                              </a:lnTo>
                              <a:lnTo>
                                <a:pt x="930910" y="243840"/>
                              </a:lnTo>
                              <a:lnTo>
                                <a:pt x="581660" y="184785"/>
                              </a:lnTo>
                              <a:lnTo>
                                <a:pt x="518160" y="492125"/>
                              </a:lnTo>
                              <a:lnTo>
                                <a:pt x="41910" y="412750"/>
                              </a:lnTo>
                              <a:lnTo>
                                <a:pt x="0" y="577215"/>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1.85pt;margin-top:8.65pt;height:79.55pt;width:113.3pt;z-index:251675648;mso-width-relative:page;mso-height-relative:page;" fillcolor="#F2BA02 [3206]" filled="t" stroked="t" coordsize="1438910,1010285" o:gfxdata="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" path="m0,577215l438785,682625,433705,867410,497205,1010285,984250,989965,1438910,942340,1275080,5715,1005205,0,930910,243840,581660,184785,518160,492125,41910,412750,0,577215xe">
                <v:path o:connectlocs="0,577215;438785,682625;433705,867410;497205,1010285;984250,989965;1438910,942340;1275080,5715;1005205,0;930910,243840;581660,184785;518160,492125;41910,412750;0,577215" o:connectangles="0,0,0,0,0,0,0,0,0,0,0,0,0"/>
                <v:fill on="t" opacity="13107f" focussize="0,0"/>
                <v:stroke weight="0.5pt" color="#F2BA02 [3206]" miterlimit="8" joinstyle="miter"/>
                <v:imagedata o:title=""/>
                <o:lock v:ext="edit" aspectratio="f"/>
              </v:shap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5158105</wp:posOffset>
                </wp:positionH>
                <wp:positionV relativeFrom="paragraph">
                  <wp:posOffset>1307465</wp:posOffset>
                </wp:positionV>
                <wp:extent cx="965200" cy="361950"/>
                <wp:effectExtent l="5080" t="5080" r="20320" b="13970"/>
                <wp:wrapNone/>
                <wp:docPr id="29" name="任意多边形 29"/>
                <wp:cNvGraphicFramePr/>
                <a:graphic xmlns:a="http://schemas.openxmlformats.org/drawingml/2006/main">
                  <a:graphicData uri="http://schemas.microsoft.com/office/word/2010/wordprocessingShape">
                    <wps:wsp>
                      <wps:cNvSpPr/>
                      <wps:spPr>
                        <a:xfrm>
                          <a:off x="6057900" y="2135505"/>
                          <a:ext cx="965200" cy="361950"/>
                        </a:xfrm>
                        <a:custGeom>
                          <a:avLst/>
                          <a:gdLst>
                            <a:gd name="connisteX0" fmla="*/ 25400 w 965200"/>
                            <a:gd name="connsiteY0" fmla="*/ 44450 h 361950"/>
                            <a:gd name="connisteX1" fmla="*/ 0 w 965200"/>
                            <a:gd name="connsiteY1" fmla="*/ 361950 h 361950"/>
                            <a:gd name="connisteX2" fmla="*/ 958850 w 965200"/>
                            <a:gd name="connsiteY2" fmla="*/ 361950 h 361950"/>
                            <a:gd name="connisteX3" fmla="*/ 965200 w 965200"/>
                            <a:gd name="connsiteY3" fmla="*/ 0 h 361950"/>
                            <a:gd name="connisteX4" fmla="*/ 25400 w 965200"/>
                            <a:gd name="connsiteY4" fmla="*/ 44450 h 36195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965200" h="361950">
                              <a:moveTo>
                                <a:pt x="25400" y="44450"/>
                              </a:moveTo>
                              <a:lnTo>
                                <a:pt x="0" y="361950"/>
                              </a:lnTo>
                              <a:lnTo>
                                <a:pt x="958850" y="361950"/>
                              </a:lnTo>
                              <a:lnTo>
                                <a:pt x="965200" y="0"/>
                              </a:lnTo>
                              <a:lnTo>
                                <a:pt x="25400" y="44450"/>
                              </a:lnTo>
                              <a:close/>
                            </a:path>
                          </a:pathLst>
                        </a:custGeom>
                        <a:solidFill>
                          <a:schemeClr val="accent3">
                            <a:alpha val="20000"/>
                          </a:schemeClr>
                        </a:solidFill>
                        <a:ln w="6350">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406.15pt;margin-top:102.95pt;height:28.5pt;width:76pt;z-index:251674624;mso-width-relative:page;mso-height-relative:page;" fillcolor="#F2BA02 [3206]" filled="t" stroked="t" coordsize="965200,361950" o:gfxdata="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" path="m25400,44450l0,361950,958850,361950,965200,0,25400,44450xe">
                <v:path o:connectlocs="25400,44450;0,361950;958850,361950;965200,0;25400,44450" o:connectangles="0,0,0,0,0"/>
                <v:fill on="t" opacity="13107f" focussize="0,0"/>
                <v:stroke weight="0.5pt" color="#F2BA02 [3206]" miterlimit="8" joinstyle="miter"/>
                <v:imagedata o:title=""/>
                <o:lock v:ext="edit" aspectratio="f"/>
              </v:shape>
            </w:pict>
          </mc:Fallback>
        </mc:AlternateContent>
      </w:r>
      <w:r>
        <w:rPr>
          <w:rFonts w:hint="eastAsia" w:ascii="Times New Roman" w:hAnsi="Times New Roman" w:eastAsia="宋体"/>
          <w:b/>
          <w:sz w:val="28"/>
          <w:szCs w:val="28"/>
          <w:highlight w:val="none"/>
        </w:rPr>
        <w:drawing>
          <wp:anchor distT="0" distB="0" distL="114300" distR="114300" simplePos="0" relativeHeight="251673600" behindDoc="0" locked="0" layoutInCell="1" allowOverlap="1">
            <wp:simplePos x="0" y="0"/>
            <wp:positionH relativeFrom="column">
              <wp:posOffset>8275955</wp:posOffset>
            </wp:positionH>
            <wp:positionV relativeFrom="paragraph">
              <wp:posOffset>83185</wp:posOffset>
            </wp:positionV>
            <wp:extent cx="586105" cy="647700"/>
            <wp:effectExtent l="0" t="0" r="4445" b="0"/>
            <wp:wrapNone/>
            <wp:docPr id="28" name="图片 4" descr="微信截图_2021071616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descr="微信截图_20210716163614"/>
                    <pic:cNvPicPr>
                      <a:picLocks noChangeAspect="1"/>
                    </pic:cNvPicPr>
                  </pic:nvPicPr>
                  <pic:blipFill>
                    <a:blip r:embed="rId21"/>
                    <a:stretch>
                      <a:fillRect/>
                    </a:stretch>
                  </pic:blipFill>
                  <pic:spPr>
                    <a:xfrm>
                      <a:off x="0" y="0"/>
                      <a:ext cx="586105" cy="647700"/>
                    </a:xfrm>
                    <a:prstGeom prst="rect">
                      <a:avLst/>
                    </a:prstGeom>
                    <a:noFill/>
                    <a:ln>
                      <a:noFill/>
                    </a:ln>
                  </pic:spPr>
                </pic:pic>
              </a:graphicData>
            </a:graphic>
          </wp:anchor>
        </w:drawing>
      </w:r>
      <w:r>
        <w:rPr>
          <w:rFonts w:hint="eastAsia"/>
          <w:b/>
          <w:bCs/>
          <w:lang w:val="en-US" w:eastAsia="zh-CN"/>
        </w:rPr>
        <w:drawing>
          <wp:inline distT="0" distB="0" distL="114300" distR="114300">
            <wp:extent cx="8877300" cy="5406390"/>
            <wp:effectExtent l="0" t="0" r="0" b="3810"/>
            <wp:docPr id="27" name="图片 27" descr="周边关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周边关系"/>
                    <pic:cNvPicPr>
                      <a:picLocks noChangeAspect="1"/>
                    </pic:cNvPicPr>
                  </pic:nvPicPr>
                  <pic:blipFill>
                    <a:blip r:embed="rId23"/>
                    <a:srcRect l="5985"/>
                    <a:stretch>
                      <a:fillRect/>
                    </a:stretch>
                  </pic:blipFill>
                  <pic:spPr>
                    <a:xfrm>
                      <a:off x="0" y="0"/>
                      <a:ext cx="8877300" cy="5406390"/>
                    </a:xfrm>
                    <a:prstGeom prst="rect">
                      <a:avLst/>
                    </a:prstGeom>
                  </pic:spPr>
                </pic:pic>
              </a:graphicData>
            </a:graphic>
          </wp:inline>
        </w:drawing>
      </w:r>
    </w:p>
    <w:p w14:paraId="14F94E7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lang w:val="en-US" w:eastAsia="zh-CN"/>
        </w:rPr>
        <w:sectPr>
          <w:pgSz w:w="16838" w:h="11906" w:orient="landscape"/>
          <w:pgMar w:top="1304" w:right="1417" w:bottom="1304"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b/>
          <w:bCs/>
          <w:lang w:val="en-US" w:eastAsia="zh-CN"/>
        </w:rPr>
        <w:t>附图2 项目周边关系图</w:t>
      </w:r>
    </w:p>
    <w:p w14:paraId="6A6C2A8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lang w:val="en-US" w:eastAsia="zh-CN"/>
        </w:rPr>
      </w:pPr>
      <w:r>
        <w:rPr>
          <w:rFonts w:hint="eastAsia" w:ascii="Times New Roman" w:hAnsi="Times New Roman" w:eastAsia="宋体"/>
          <w:b/>
          <w:sz w:val="28"/>
          <w:szCs w:val="28"/>
          <w:highlight w:val="none"/>
        </w:rPr>
        <w:drawing>
          <wp:anchor distT="0" distB="0" distL="114300" distR="114300" simplePos="0" relativeHeight="251701248" behindDoc="0" locked="0" layoutInCell="1" allowOverlap="1">
            <wp:simplePos x="0" y="0"/>
            <wp:positionH relativeFrom="column">
              <wp:posOffset>6894830</wp:posOffset>
            </wp:positionH>
            <wp:positionV relativeFrom="paragraph">
              <wp:posOffset>-46355</wp:posOffset>
            </wp:positionV>
            <wp:extent cx="586105" cy="647700"/>
            <wp:effectExtent l="0" t="0" r="4445" b="0"/>
            <wp:wrapNone/>
            <wp:docPr id="57" name="图片 4" descr="微信截图_2021071616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descr="微信截图_20210716163614"/>
                    <pic:cNvPicPr>
                      <a:picLocks noChangeAspect="1"/>
                    </pic:cNvPicPr>
                  </pic:nvPicPr>
                  <pic:blipFill>
                    <a:blip r:embed="rId21"/>
                    <a:stretch>
                      <a:fillRect/>
                    </a:stretch>
                  </pic:blipFill>
                  <pic:spPr>
                    <a:xfrm>
                      <a:off x="0" y="0"/>
                      <a:ext cx="586105" cy="647700"/>
                    </a:xfrm>
                    <a:prstGeom prst="rect">
                      <a:avLst/>
                    </a:prstGeom>
                    <a:noFill/>
                    <a:ln>
                      <a:noFill/>
                    </a:ln>
                  </pic:spPr>
                </pic:pic>
              </a:graphicData>
            </a:graphic>
          </wp:anchor>
        </w:drawing>
      </w:r>
      <w:r>
        <w:drawing>
          <wp:inline distT="0" distB="0" distL="114300" distR="114300">
            <wp:extent cx="6355080" cy="5197475"/>
            <wp:effectExtent l="0" t="0" r="0" b="0"/>
            <wp:docPr id="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pic:cNvPicPr>
                      <a:picLocks noChangeAspect="1"/>
                    </pic:cNvPicPr>
                  </pic:nvPicPr>
                  <pic:blipFill>
                    <a:blip r:embed="rId24"/>
                    <a:srcRect t="4640" b="7245"/>
                    <a:stretch>
                      <a:fillRect/>
                    </a:stretch>
                  </pic:blipFill>
                  <pic:spPr>
                    <a:xfrm>
                      <a:off x="0" y="0"/>
                      <a:ext cx="6355080" cy="5197475"/>
                    </a:xfrm>
                    <a:prstGeom prst="rect">
                      <a:avLst/>
                    </a:prstGeom>
                    <a:noFill/>
                    <a:ln>
                      <a:noFill/>
                    </a:ln>
                  </pic:spPr>
                </pic:pic>
              </a:graphicData>
            </a:graphic>
          </wp:inline>
        </w:drawing>
      </w:r>
    </w:p>
    <w:p w14:paraId="0BC66D8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b/>
          <w:bCs/>
          <w:lang w:val="en-US" w:eastAsia="zh-CN"/>
        </w:rPr>
      </w:pPr>
      <w:r>
        <w:rPr>
          <w:rFonts w:hint="eastAsia"/>
          <w:b/>
          <w:bCs/>
          <w:lang w:val="en-US" w:eastAsia="zh-CN"/>
        </w:rPr>
        <w:t>附图3 项目平面布置图</w:t>
      </w:r>
    </w:p>
    <w:sectPr>
      <w:pgSz w:w="16838" w:h="11906" w:orient="landscape"/>
      <w:pgMar w:top="1304" w:right="1417" w:bottom="1304"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BD4C31E-B8C3-44F7-A525-D77760A1597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87E083E8-5060-47DB-BE67-28382BA4F4E8}"/>
  </w:font>
  <w:font w:name="Cambria Math">
    <w:panose1 w:val="02040503050406030204"/>
    <w:charset w:val="00"/>
    <w:family w:val="auto"/>
    <w:pitch w:val="default"/>
    <w:sig w:usb0="E00006FF" w:usb1="420024FF" w:usb2="02000000" w:usb3="00000000" w:csb0="2000019F" w:csb1="00000000"/>
    <w:embedRegular r:id="rId3" w:fontKey="{945A8AA9-3EEB-4E1E-9B39-19F16711023C}"/>
  </w:font>
  <w:font w:name="清雅楷书">
    <w:panose1 w:val="02000503000000000000"/>
    <w:charset w:val="86"/>
    <w:family w:val="auto"/>
    <w:pitch w:val="default"/>
    <w:sig w:usb0="8000002F" w:usb1="084164FA" w:usb2="00000012" w:usb3="00000000" w:csb0="00040001" w:csb1="00000000"/>
    <w:embedRegular r:id="rId4" w:fontKey="{6D7018CA-DF70-447F-AC40-4CA3713882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96C6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1D7F664E"/>
    <w:rsid w:val="002E6922"/>
    <w:rsid w:val="00365F61"/>
    <w:rsid w:val="003F2DBE"/>
    <w:rsid w:val="00481283"/>
    <w:rsid w:val="00537C28"/>
    <w:rsid w:val="005673A4"/>
    <w:rsid w:val="00645991"/>
    <w:rsid w:val="007B1791"/>
    <w:rsid w:val="00882190"/>
    <w:rsid w:val="00A51513"/>
    <w:rsid w:val="00B06E28"/>
    <w:rsid w:val="00B405E6"/>
    <w:rsid w:val="00D01278"/>
    <w:rsid w:val="00DC5579"/>
    <w:rsid w:val="00FC1153"/>
    <w:rsid w:val="01131056"/>
    <w:rsid w:val="013870C5"/>
    <w:rsid w:val="017B6273"/>
    <w:rsid w:val="019A6605"/>
    <w:rsid w:val="01A67101"/>
    <w:rsid w:val="01CF32DE"/>
    <w:rsid w:val="01E1048D"/>
    <w:rsid w:val="01F54D28"/>
    <w:rsid w:val="020E58C2"/>
    <w:rsid w:val="02214A54"/>
    <w:rsid w:val="02561432"/>
    <w:rsid w:val="026B74AB"/>
    <w:rsid w:val="028265A2"/>
    <w:rsid w:val="028B5457"/>
    <w:rsid w:val="029E3B99"/>
    <w:rsid w:val="02CF10B4"/>
    <w:rsid w:val="02CF4171"/>
    <w:rsid w:val="02DF39F5"/>
    <w:rsid w:val="030F42DA"/>
    <w:rsid w:val="03517FC2"/>
    <w:rsid w:val="0365214C"/>
    <w:rsid w:val="036F3E65"/>
    <w:rsid w:val="03A03184"/>
    <w:rsid w:val="03AF696B"/>
    <w:rsid w:val="03CF36CE"/>
    <w:rsid w:val="03EA2651"/>
    <w:rsid w:val="03F84D6E"/>
    <w:rsid w:val="0414771C"/>
    <w:rsid w:val="043F0BEF"/>
    <w:rsid w:val="0458580D"/>
    <w:rsid w:val="046046C1"/>
    <w:rsid w:val="04807D93"/>
    <w:rsid w:val="0482251A"/>
    <w:rsid w:val="04CC4FAE"/>
    <w:rsid w:val="04D623D1"/>
    <w:rsid w:val="04F05112"/>
    <w:rsid w:val="05571F68"/>
    <w:rsid w:val="05687CD1"/>
    <w:rsid w:val="05A056BD"/>
    <w:rsid w:val="05CA44E8"/>
    <w:rsid w:val="05E23147"/>
    <w:rsid w:val="05F81E86"/>
    <w:rsid w:val="06226E8B"/>
    <w:rsid w:val="0628019F"/>
    <w:rsid w:val="0630252B"/>
    <w:rsid w:val="06565D7C"/>
    <w:rsid w:val="067F19C3"/>
    <w:rsid w:val="068428E9"/>
    <w:rsid w:val="06C66210"/>
    <w:rsid w:val="06E2193A"/>
    <w:rsid w:val="07125602"/>
    <w:rsid w:val="07131EBF"/>
    <w:rsid w:val="071A5C49"/>
    <w:rsid w:val="071D3730"/>
    <w:rsid w:val="072639A0"/>
    <w:rsid w:val="07366080"/>
    <w:rsid w:val="073C1416"/>
    <w:rsid w:val="078B414B"/>
    <w:rsid w:val="07FB6F8A"/>
    <w:rsid w:val="08200903"/>
    <w:rsid w:val="083F3B30"/>
    <w:rsid w:val="089A2898"/>
    <w:rsid w:val="08C43FC2"/>
    <w:rsid w:val="08E25FED"/>
    <w:rsid w:val="08E367C5"/>
    <w:rsid w:val="092B4317"/>
    <w:rsid w:val="093D03BB"/>
    <w:rsid w:val="097A7B38"/>
    <w:rsid w:val="09EB2C7F"/>
    <w:rsid w:val="09F4121C"/>
    <w:rsid w:val="0A1026E6"/>
    <w:rsid w:val="0A210598"/>
    <w:rsid w:val="0A4E1BFA"/>
    <w:rsid w:val="0A531E98"/>
    <w:rsid w:val="0A5C592B"/>
    <w:rsid w:val="0A775534"/>
    <w:rsid w:val="0AD535F9"/>
    <w:rsid w:val="0AE20526"/>
    <w:rsid w:val="0AF03A75"/>
    <w:rsid w:val="0AFD221C"/>
    <w:rsid w:val="0B0569D0"/>
    <w:rsid w:val="0B2847EE"/>
    <w:rsid w:val="0B4374F7"/>
    <w:rsid w:val="0B892750"/>
    <w:rsid w:val="0B901117"/>
    <w:rsid w:val="0B9A0544"/>
    <w:rsid w:val="0BB47AAC"/>
    <w:rsid w:val="0BFC5617"/>
    <w:rsid w:val="0C060244"/>
    <w:rsid w:val="0C061A9A"/>
    <w:rsid w:val="0C457E2B"/>
    <w:rsid w:val="0C566AD6"/>
    <w:rsid w:val="0C6E3D50"/>
    <w:rsid w:val="0C72724E"/>
    <w:rsid w:val="0C99013C"/>
    <w:rsid w:val="0CAD246E"/>
    <w:rsid w:val="0CDD3AEB"/>
    <w:rsid w:val="0CE76C15"/>
    <w:rsid w:val="0CEB41F5"/>
    <w:rsid w:val="0CF05602"/>
    <w:rsid w:val="0D2766C4"/>
    <w:rsid w:val="0D3451F0"/>
    <w:rsid w:val="0D3779E5"/>
    <w:rsid w:val="0DA0008B"/>
    <w:rsid w:val="0DBE0DD6"/>
    <w:rsid w:val="0DED64B7"/>
    <w:rsid w:val="0DF66631"/>
    <w:rsid w:val="0E1C0F1B"/>
    <w:rsid w:val="0E2F31E9"/>
    <w:rsid w:val="0E362DEB"/>
    <w:rsid w:val="0E4806A0"/>
    <w:rsid w:val="0E4C3A5C"/>
    <w:rsid w:val="0E941B37"/>
    <w:rsid w:val="0EAC6E81"/>
    <w:rsid w:val="0ED2440E"/>
    <w:rsid w:val="0ED62316"/>
    <w:rsid w:val="0ED876BC"/>
    <w:rsid w:val="0F0A3BA7"/>
    <w:rsid w:val="0F0C3DC3"/>
    <w:rsid w:val="0F20786F"/>
    <w:rsid w:val="0F306279"/>
    <w:rsid w:val="0F3D5D2B"/>
    <w:rsid w:val="0F4470B9"/>
    <w:rsid w:val="0F490B74"/>
    <w:rsid w:val="0F5157A2"/>
    <w:rsid w:val="0F5337A0"/>
    <w:rsid w:val="0F7B115A"/>
    <w:rsid w:val="0F89169A"/>
    <w:rsid w:val="0FB436F8"/>
    <w:rsid w:val="0FD85487"/>
    <w:rsid w:val="0FE33A04"/>
    <w:rsid w:val="0FF35FE1"/>
    <w:rsid w:val="0FFD54BA"/>
    <w:rsid w:val="100741D0"/>
    <w:rsid w:val="10077732"/>
    <w:rsid w:val="10284C2D"/>
    <w:rsid w:val="103D35F3"/>
    <w:rsid w:val="1047050D"/>
    <w:rsid w:val="10537F4A"/>
    <w:rsid w:val="105C1B2F"/>
    <w:rsid w:val="107309EB"/>
    <w:rsid w:val="10832BD1"/>
    <w:rsid w:val="10A35FE1"/>
    <w:rsid w:val="10BD35C7"/>
    <w:rsid w:val="10D225C6"/>
    <w:rsid w:val="10D514BB"/>
    <w:rsid w:val="11034D52"/>
    <w:rsid w:val="110B7116"/>
    <w:rsid w:val="111565C8"/>
    <w:rsid w:val="114015B7"/>
    <w:rsid w:val="11472E91"/>
    <w:rsid w:val="114D6B16"/>
    <w:rsid w:val="11550591"/>
    <w:rsid w:val="11C646FD"/>
    <w:rsid w:val="11EA579E"/>
    <w:rsid w:val="120C1B9A"/>
    <w:rsid w:val="124D4F3D"/>
    <w:rsid w:val="12541D09"/>
    <w:rsid w:val="12705219"/>
    <w:rsid w:val="12A14823"/>
    <w:rsid w:val="12C53E13"/>
    <w:rsid w:val="13157F18"/>
    <w:rsid w:val="13293E59"/>
    <w:rsid w:val="133C054F"/>
    <w:rsid w:val="13445CE2"/>
    <w:rsid w:val="139452E8"/>
    <w:rsid w:val="13BA1693"/>
    <w:rsid w:val="14261483"/>
    <w:rsid w:val="1426657D"/>
    <w:rsid w:val="143924B9"/>
    <w:rsid w:val="143D67CD"/>
    <w:rsid w:val="14531B4D"/>
    <w:rsid w:val="145B1CE7"/>
    <w:rsid w:val="14885CD7"/>
    <w:rsid w:val="149F15FA"/>
    <w:rsid w:val="14B7657F"/>
    <w:rsid w:val="14C166CB"/>
    <w:rsid w:val="14CD4A6A"/>
    <w:rsid w:val="14DA013C"/>
    <w:rsid w:val="14F86CA2"/>
    <w:rsid w:val="151D3621"/>
    <w:rsid w:val="151E65FF"/>
    <w:rsid w:val="152158DE"/>
    <w:rsid w:val="152D6DA8"/>
    <w:rsid w:val="15564E61"/>
    <w:rsid w:val="155C30D0"/>
    <w:rsid w:val="157248F3"/>
    <w:rsid w:val="15882875"/>
    <w:rsid w:val="15A4743F"/>
    <w:rsid w:val="15D65076"/>
    <w:rsid w:val="15E038B4"/>
    <w:rsid w:val="15E61275"/>
    <w:rsid w:val="162866FA"/>
    <w:rsid w:val="16602F12"/>
    <w:rsid w:val="166C2FB9"/>
    <w:rsid w:val="166E0EC0"/>
    <w:rsid w:val="16A14DF1"/>
    <w:rsid w:val="16CE5A82"/>
    <w:rsid w:val="16DA75EF"/>
    <w:rsid w:val="16DC407B"/>
    <w:rsid w:val="16E10224"/>
    <w:rsid w:val="16F21AF1"/>
    <w:rsid w:val="17440D71"/>
    <w:rsid w:val="176302F9"/>
    <w:rsid w:val="177B7D38"/>
    <w:rsid w:val="17AF5824"/>
    <w:rsid w:val="180715CC"/>
    <w:rsid w:val="18092A52"/>
    <w:rsid w:val="18261A79"/>
    <w:rsid w:val="18365A0D"/>
    <w:rsid w:val="184E52CB"/>
    <w:rsid w:val="18772E29"/>
    <w:rsid w:val="1892123C"/>
    <w:rsid w:val="18A1557C"/>
    <w:rsid w:val="18B25F38"/>
    <w:rsid w:val="18C27E6E"/>
    <w:rsid w:val="18C4730F"/>
    <w:rsid w:val="18D725FB"/>
    <w:rsid w:val="18E3357D"/>
    <w:rsid w:val="18F31882"/>
    <w:rsid w:val="19226886"/>
    <w:rsid w:val="192B1750"/>
    <w:rsid w:val="19744A3F"/>
    <w:rsid w:val="19AB252D"/>
    <w:rsid w:val="19BC6185"/>
    <w:rsid w:val="19D86C87"/>
    <w:rsid w:val="1A005443"/>
    <w:rsid w:val="1A332204"/>
    <w:rsid w:val="1A6249E0"/>
    <w:rsid w:val="1A7F0200"/>
    <w:rsid w:val="1A886A4E"/>
    <w:rsid w:val="1A8E101F"/>
    <w:rsid w:val="1AA44EB0"/>
    <w:rsid w:val="1AB24B0C"/>
    <w:rsid w:val="1AB64BE3"/>
    <w:rsid w:val="1AB95B8E"/>
    <w:rsid w:val="1ABF1CEA"/>
    <w:rsid w:val="1ACB4B33"/>
    <w:rsid w:val="1AD34930"/>
    <w:rsid w:val="1ADA340E"/>
    <w:rsid w:val="1AE00A7A"/>
    <w:rsid w:val="1AE15B68"/>
    <w:rsid w:val="1AEE6496"/>
    <w:rsid w:val="1B065B6B"/>
    <w:rsid w:val="1B385F1B"/>
    <w:rsid w:val="1B4312C5"/>
    <w:rsid w:val="1B5D283A"/>
    <w:rsid w:val="1B621343"/>
    <w:rsid w:val="1B8151F1"/>
    <w:rsid w:val="1B9238A2"/>
    <w:rsid w:val="1BB362FC"/>
    <w:rsid w:val="1BD658B7"/>
    <w:rsid w:val="1BD72DB7"/>
    <w:rsid w:val="1BEF055C"/>
    <w:rsid w:val="1BF105C9"/>
    <w:rsid w:val="1BFA05BD"/>
    <w:rsid w:val="1C333C64"/>
    <w:rsid w:val="1C511068"/>
    <w:rsid w:val="1C633B5F"/>
    <w:rsid w:val="1C705992"/>
    <w:rsid w:val="1D046F94"/>
    <w:rsid w:val="1D062D03"/>
    <w:rsid w:val="1D217B22"/>
    <w:rsid w:val="1D28626C"/>
    <w:rsid w:val="1D2C40BC"/>
    <w:rsid w:val="1D3339B8"/>
    <w:rsid w:val="1D46143F"/>
    <w:rsid w:val="1D517CB5"/>
    <w:rsid w:val="1D5873FD"/>
    <w:rsid w:val="1D5F77B4"/>
    <w:rsid w:val="1D6F5C49"/>
    <w:rsid w:val="1D7F39B2"/>
    <w:rsid w:val="1D7F664E"/>
    <w:rsid w:val="1D994A74"/>
    <w:rsid w:val="1DB06A2E"/>
    <w:rsid w:val="1DD738F0"/>
    <w:rsid w:val="1DFC78B2"/>
    <w:rsid w:val="1DFE521F"/>
    <w:rsid w:val="1E125451"/>
    <w:rsid w:val="1E27481D"/>
    <w:rsid w:val="1E5D4164"/>
    <w:rsid w:val="1E697AC5"/>
    <w:rsid w:val="1E8F3F05"/>
    <w:rsid w:val="1EA26DE3"/>
    <w:rsid w:val="1EBC0B3B"/>
    <w:rsid w:val="1F016D75"/>
    <w:rsid w:val="1F056768"/>
    <w:rsid w:val="1F244811"/>
    <w:rsid w:val="1F2B5BA0"/>
    <w:rsid w:val="1F4D50E6"/>
    <w:rsid w:val="1F72557D"/>
    <w:rsid w:val="20103DF1"/>
    <w:rsid w:val="20166850"/>
    <w:rsid w:val="202251F5"/>
    <w:rsid w:val="203171E6"/>
    <w:rsid w:val="2043516B"/>
    <w:rsid w:val="20570273"/>
    <w:rsid w:val="206A7046"/>
    <w:rsid w:val="20806F21"/>
    <w:rsid w:val="209E05F3"/>
    <w:rsid w:val="20A0436C"/>
    <w:rsid w:val="20A26336"/>
    <w:rsid w:val="20D109C9"/>
    <w:rsid w:val="20D65FDF"/>
    <w:rsid w:val="20DD6F2F"/>
    <w:rsid w:val="20DE23E5"/>
    <w:rsid w:val="20EA3839"/>
    <w:rsid w:val="20F14BC7"/>
    <w:rsid w:val="21056B7A"/>
    <w:rsid w:val="212C5BFF"/>
    <w:rsid w:val="213243E7"/>
    <w:rsid w:val="213E06CA"/>
    <w:rsid w:val="217355DC"/>
    <w:rsid w:val="21C85928"/>
    <w:rsid w:val="21DE339D"/>
    <w:rsid w:val="21F52EF8"/>
    <w:rsid w:val="21FE134A"/>
    <w:rsid w:val="22037739"/>
    <w:rsid w:val="2265586D"/>
    <w:rsid w:val="22AB456A"/>
    <w:rsid w:val="22CB184E"/>
    <w:rsid w:val="22E06CA1"/>
    <w:rsid w:val="2302587B"/>
    <w:rsid w:val="230360A5"/>
    <w:rsid w:val="23144B9D"/>
    <w:rsid w:val="23161B1F"/>
    <w:rsid w:val="23251995"/>
    <w:rsid w:val="232B7F52"/>
    <w:rsid w:val="23641680"/>
    <w:rsid w:val="2369313B"/>
    <w:rsid w:val="23694EE9"/>
    <w:rsid w:val="23B56896"/>
    <w:rsid w:val="23BC326A"/>
    <w:rsid w:val="23C14D25"/>
    <w:rsid w:val="23F80BF7"/>
    <w:rsid w:val="240E783E"/>
    <w:rsid w:val="242236D7"/>
    <w:rsid w:val="242C70E3"/>
    <w:rsid w:val="243454F7"/>
    <w:rsid w:val="24350EEC"/>
    <w:rsid w:val="244514B2"/>
    <w:rsid w:val="249B5576"/>
    <w:rsid w:val="24A3267C"/>
    <w:rsid w:val="24C34ACD"/>
    <w:rsid w:val="24C77BCA"/>
    <w:rsid w:val="24C83E91"/>
    <w:rsid w:val="24F743AF"/>
    <w:rsid w:val="25050C41"/>
    <w:rsid w:val="253A0D01"/>
    <w:rsid w:val="254404B4"/>
    <w:rsid w:val="254E25E8"/>
    <w:rsid w:val="25585215"/>
    <w:rsid w:val="25756AF1"/>
    <w:rsid w:val="258A49D0"/>
    <w:rsid w:val="258D4688"/>
    <w:rsid w:val="25983863"/>
    <w:rsid w:val="25F25669"/>
    <w:rsid w:val="26215F4F"/>
    <w:rsid w:val="26612D6B"/>
    <w:rsid w:val="26642ABE"/>
    <w:rsid w:val="266D29E7"/>
    <w:rsid w:val="26C65B85"/>
    <w:rsid w:val="26EF1BA9"/>
    <w:rsid w:val="26F176CF"/>
    <w:rsid w:val="27062CC4"/>
    <w:rsid w:val="27457A1B"/>
    <w:rsid w:val="274719E5"/>
    <w:rsid w:val="2751016E"/>
    <w:rsid w:val="278247CB"/>
    <w:rsid w:val="278E4F1E"/>
    <w:rsid w:val="279462AC"/>
    <w:rsid w:val="27975251"/>
    <w:rsid w:val="279B763B"/>
    <w:rsid w:val="27E2526A"/>
    <w:rsid w:val="27E4338C"/>
    <w:rsid w:val="280C4E96"/>
    <w:rsid w:val="281A4A03"/>
    <w:rsid w:val="287A34CB"/>
    <w:rsid w:val="2890116A"/>
    <w:rsid w:val="289C346E"/>
    <w:rsid w:val="28C464D2"/>
    <w:rsid w:val="28DD07CD"/>
    <w:rsid w:val="28E82D54"/>
    <w:rsid w:val="29082BE0"/>
    <w:rsid w:val="292C2C40"/>
    <w:rsid w:val="293E6C7E"/>
    <w:rsid w:val="2944442E"/>
    <w:rsid w:val="295126A7"/>
    <w:rsid w:val="29522768"/>
    <w:rsid w:val="29A13ABE"/>
    <w:rsid w:val="29AC6221"/>
    <w:rsid w:val="29D07A70"/>
    <w:rsid w:val="29D37560"/>
    <w:rsid w:val="29DC75D4"/>
    <w:rsid w:val="2A0E1655"/>
    <w:rsid w:val="2A2722E3"/>
    <w:rsid w:val="2A326424"/>
    <w:rsid w:val="2A5E2BEC"/>
    <w:rsid w:val="2A691C72"/>
    <w:rsid w:val="2A944F41"/>
    <w:rsid w:val="2A9B3276"/>
    <w:rsid w:val="2AAE3A07"/>
    <w:rsid w:val="2ABC1DA2"/>
    <w:rsid w:val="2AD04CEE"/>
    <w:rsid w:val="2AD0584D"/>
    <w:rsid w:val="2AD571B7"/>
    <w:rsid w:val="2AD83742"/>
    <w:rsid w:val="2AFD7873"/>
    <w:rsid w:val="2B033E75"/>
    <w:rsid w:val="2B057BED"/>
    <w:rsid w:val="2B140A52"/>
    <w:rsid w:val="2B237433"/>
    <w:rsid w:val="2B284CA6"/>
    <w:rsid w:val="2B3836F1"/>
    <w:rsid w:val="2B4A7991"/>
    <w:rsid w:val="2B604E23"/>
    <w:rsid w:val="2B8B2DB3"/>
    <w:rsid w:val="2B9351F9"/>
    <w:rsid w:val="2BC576B3"/>
    <w:rsid w:val="2BC85C3C"/>
    <w:rsid w:val="2BD55B51"/>
    <w:rsid w:val="2C1F4644"/>
    <w:rsid w:val="2C2E3173"/>
    <w:rsid w:val="2C5D6089"/>
    <w:rsid w:val="2C6C5FA0"/>
    <w:rsid w:val="2C83526D"/>
    <w:rsid w:val="2C8D7E9A"/>
    <w:rsid w:val="2C9C00DD"/>
    <w:rsid w:val="2D224D02"/>
    <w:rsid w:val="2D2E4EB4"/>
    <w:rsid w:val="2D5C710B"/>
    <w:rsid w:val="2D612B18"/>
    <w:rsid w:val="2D684463"/>
    <w:rsid w:val="2D771835"/>
    <w:rsid w:val="2D7C3246"/>
    <w:rsid w:val="2DA350AD"/>
    <w:rsid w:val="2DB9081B"/>
    <w:rsid w:val="2DF45CF7"/>
    <w:rsid w:val="2DF801CB"/>
    <w:rsid w:val="2E114AFB"/>
    <w:rsid w:val="2E244142"/>
    <w:rsid w:val="2E60513A"/>
    <w:rsid w:val="2E774004"/>
    <w:rsid w:val="2E8250B1"/>
    <w:rsid w:val="2E9D6949"/>
    <w:rsid w:val="2EFC2B92"/>
    <w:rsid w:val="2EFC2E12"/>
    <w:rsid w:val="2F2254B5"/>
    <w:rsid w:val="2F2A1230"/>
    <w:rsid w:val="2F3A598B"/>
    <w:rsid w:val="2F611A76"/>
    <w:rsid w:val="2F6F53BD"/>
    <w:rsid w:val="2F745341"/>
    <w:rsid w:val="2F7D0BFC"/>
    <w:rsid w:val="2FD47F42"/>
    <w:rsid w:val="2FE5304B"/>
    <w:rsid w:val="300E30A0"/>
    <w:rsid w:val="30303A1F"/>
    <w:rsid w:val="305330D0"/>
    <w:rsid w:val="309D08C8"/>
    <w:rsid w:val="30A9101A"/>
    <w:rsid w:val="30C145B6"/>
    <w:rsid w:val="30C23404"/>
    <w:rsid w:val="30DF2C8E"/>
    <w:rsid w:val="30EB3EF2"/>
    <w:rsid w:val="30FC55EE"/>
    <w:rsid w:val="310A3110"/>
    <w:rsid w:val="31127610"/>
    <w:rsid w:val="311E19F3"/>
    <w:rsid w:val="313308E4"/>
    <w:rsid w:val="31352B82"/>
    <w:rsid w:val="314E5151"/>
    <w:rsid w:val="31607B1C"/>
    <w:rsid w:val="31685BE6"/>
    <w:rsid w:val="317C5DA0"/>
    <w:rsid w:val="31813D45"/>
    <w:rsid w:val="318F333A"/>
    <w:rsid w:val="3192419A"/>
    <w:rsid w:val="319553BB"/>
    <w:rsid w:val="31CC4FC0"/>
    <w:rsid w:val="31D900D5"/>
    <w:rsid w:val="3222750B"/>
    <w:rsid w:val="32244627"/>
    <w:rsid w:val="32276EFB"/>
    <w:rsid w:val="3249732A"/>
    <w:rsid w:val="3250694A"/>
    <w:rsid w:val="32513718"/>
    <w:rsid w:val="327411B4"/>
    <w:rsid w:val="32A93F8C"/>
    <w:rsid w:val="32B11D48"/>
    <w:rsid w:val="32B67F88"/>
    <w:rsid w:val="32E26A66"/>
    <w:rsid w:val="32EF7FD9"/>
    <w:rsid w:val="32F715D4"/>
    <w:rsid w:val="331851E3"/>
    <w:rsid w:val="331E0810"/>
    <w:rsid w:val="332744B6"/>
    <w:rsid w:val="332D7CE1"/>
    <w:rsid w:val="334232EB"/>
    <w:rsid w:val="337C30AF"/>
    <w:rsid w:val="338053ED"/>
    <w:rsid w:val="33A822A1"/>
    <w:rsid w:val="33F425AD"/>
    <w:rsid w:val="341C1F51"/>
    <w:rsid w:val="34390D95"/>
    <w:rsid w:val="34720743"/>
    <w:rsid w:val="34744250"/>
    <w:rsid w:val="347C0D67"/>
    <w:rsid w:val="3482405C"/>
    <w:rsid w:val="34A3453E"/>
    <w:rsid w:val="34B8747A"/>
    <w:rsid w:val="34C24459"/>
    <w:rsid w:val="34E22D4D"/>
    <w:rsid w:val="34E645EB"/>
    <w:rsid w:val="34F32864"/>
    <w:rsid w:val="35060098"/>
    <w:rsid w:val="352D2FED"/>
    <w:rsid w:val="35AE771F"/>
    <w:rsid w:val="35E46651"/>
    <w:rsid w:val="35E87669"/>
    <w:rsid w:val="35FA48FF"/>
    <w:rsid w:val="361A2073"/>
    <w:rsid w:val="361E7DB5"/>
    <w:rsid w:val="36323721"/>
    <w:rsid w:val="36513CE6"/>
    <w:rsid w:val="3654016C"/>
    <w:rsid w:val="3679323D"/>
    <w:rsid w:val="3681331C"/>
    <w:rsid w:val="368E7112"/>
    <w:rsid w:val="369A22FE"/>
    <w:rsid w:val="36AA3C04"/>
    <w:rsid w:val="36D37347"/>
    <w:rsid w:val="36E032BC"/>
    <w:rsid w:val="371A6D71"/>
    <w:rsid w:val="37476E97"/>
    <w:rsid w:val="37585548"/>
    <w:rsid w:val="376B202F"/>
    <w:rsid w:val="376C65F4"/>
    <w:rsid w:val="378708F1"/>
    <w:rsid w:val="37A662B4"/>
    <w:rsid w:val="37AA6C4A"/>
    <w:rsid w:val="37AB1B1C"/>
    <w:rsid w:val="37EB016A"/>
    <w:rsid w:val="37ED15CC"/>
    <w:rsid w:val="37FF2434"/>
    <w:rsid w:val="381F5317"/>
    <w:rsid w:val="38787C50"/>
    <w:rsid w:val="388F0AF6"/>
    <w:rsid w:val="38A04AB1"/>
    <w:rsid w:val="38A5656B"/>
    <w:rsid w:val="38AC5B4C"/>
    <w:rsid w:val="38C56FE4"/>
    <w:rsid w:val="38CE6F11"/>
    <w:rsid w:val="38E1010B"/>
    <w:rsid w:val="38E507FA"/>
    <w:rsid w:val="39665CFB"/>
    <w:rsid w:val="398D6742"/>
    <w:rsid w:val="399B0870"/>
    <w:rsid w:val="39DB7DF1"/>
    <w:rsid w:val="3A5B15D7"/>
    <w:rsid w:val="3A5F274A"/>
    <w:rsid w:val="3ADB0417"/>
    <w:rsid w:val="3AEA64B7"/>
    <w:rsid w:val="3AEC101C"/>
    <w:rsid w:val="3AFD443D"/>
    <w:rsid w:val="3B3243A4"/>
    <w:rsid w:val="3B392F9B"/>
    <w:rsid w:val="3B457B92"/>
    <w:rsid w:val="3B4A022A"/>
    <w:rsid w:val="3B642CDE"/>
    <w:rsid w:val="3B7A7FBD"/>
    <w:rsid w:val="3B837F8F"/>
    <w:rsid w:val="3B9D5FBA"/>
    <w:rsid w:val="3BFD4EE9"/>
    <w:rsid w:val="3C1934F8"/>
    <w:rsid w:val="3C333E8E"/>
    <w:rsid w:val="3C463BC1"/>
    <w:rsid w:val="3C4937F9"/>
    <w:rsid w:val="3C860462"/>
    <w:rsid w:val="3C8A1D00"/>
    <w:rsid w:val="3C903A2A"/>
    <w:rsid w:val="3CE05DC4"/>
    <w:rsid w:val="3CF16201"/>
    <w:rsid w:val="3D143381"/>
    <w:rsid w:val="3D31760F"/>
    <w:rsid w:val="3D382687"/>
    <w:rsid w:val="3D403908"/>
    <w:rsid w:val="3D4E0F7F"/>
    <w:rsid w:val="3D726BD0"/>
    <w:rsid w:val="3D7B789B"/>
    <w:rsid w:val="3D8366DF"/>
    <w:rsid w:val="3D915310"/>
    <w:rsid w:val="3DA83CC3"/>
    <w:rsid w:val="3DD551FD"/>
    <w:rsid w:val="3DE6565C"/>
    <w:rsid w:val="3DEE62BF"/>
    <w:rsid w:val="3DF80D16"/>
    <w:rsid w:val="3E1B3936"/>
    <w:rsid w:val="3E2D5039"/>
    <w:rsid w:val="3E3F5C2E"/>
    <w:rsid w:val="3E5B32B3"/>
    <w:rsid w:val="3E610DA3"/>
    <w:rsid w:val="3E6B1E2F"/>
    <w:rsid w:val="3EA11583"/>
    <w:rsid w:val="3EA370A9"/>
    <w:rsid w:val="3EA82911"/>
    <w:rsid w:val="3EBC2FBC"/>
    <w:rsid w:val="3ED6218D"/>
    <w:rsid w:val="3EF34A48"/>
    <w:rsid w:val="3EFC4A0B"/>
    <w:rsid w:val="3F231C80"/>
    <w:rsid w:val="3F352378"/>
    <w:rsid w:val="3F476304"/>
    <w:rsid w:val="3FEB51AC"/>
    <w:rsid w:val="3FFC3940"/>
    <w:rsid w:val="40972C3D"/>
    <w:rsid w:val="409A0980"/>
    <w:rsid w:val="40CA760B"/>
    <w:rsid w:val="40D6341C"/>
    <w:rsid w:val="40DF25DF"/>
    <w:rsid w:val="40E57E4D"/>
    <w:rsid w:val="41024521"/>
    <w:rsid w:val="410C568F"/>
    <w:rsid w:val="41134A1D"/>
    <w:rsid w:val="411643F0"/>
    <w:rsid w:val="41596145"/>
    <w:rsid w:val="41744D2D"/>
    <w:rsid w:val="418A4550"/>
    <w:rsid w:val="418D4040"/>
    <w:rsid w:val="41BB6E00"/>
    <w:rsid w:val="425D496F"/>
    <w:rsid w:val="42755200"/>
    <w:rsid w:val="42AC5635"/>
    <w:rsid w:val="42B0401C"/>
    <w:rsid w:val="42B12D3E"/>
    <w:rsid w:val="42C716E4"/>
    <w:rsid w:val="42C817D4"/>
    <w:rsid w:val="42C926E3"/>
    <w:rsid w:val="42CB6BCE"/>
    <w:rsid w:val="43280C11"/>
    <w:rsid w:val="432C7A52"/>
    <w:rsid w:val="433378D3"/>
    <w:rsid w:val="43566DE0"/>
    <w:rsid w:val="43862465"/>
    <w:rsid w:val="4392593E"/>
    <w:rsid w:val="4395660B"/>
    <w:rsid w:val="43AA712C"/>
    <w:rsid w:val="43B43B06"/>
    <w:rsid w:val="43D321DE"/>
    <w:rsid w:val="43F43D93"/>
    <w:rsid w:val="442B034B"/>
    <w:rsid w:val="44316F05"/>
    <w:rsid w:val="44461FB5"/>
    <w:rsid w:val="44C42545"/>
    <w:rsid w:val="44D97CC8"/>
    <w:rsid w:val="44DB3636"/>
    <w:rsid w:val="44DF4C3A"/>
    <w:rsid w:val="44E80DC8"/>
    <w:rsid w:val="450929D1"/>
    <w:rsid w:val="45163F36"/>
    <w:rsid w:val="452E5DBE"/>
    <w:rsid w:val="453750D5"/>
    <w:rsid w:val="4554734F"/>
    <w:rsid w:val="45E561F9"/>
    <w:rsid w:val="45F11042"/>
    <w:rsid w:val="46243F0D"/>
    <w:rsid w:val="4654512D"/>
    <w:rsid w:val="46731A57"/>
    <w:rsid w:val="46771071"/>
    <w:rsid w:val="469F284C"/>
    <w:rsid w:val="46BE46E5"/>
    <w:rsid w:val="46D544C0"/>
    <w:rsid w:val="46DA4FE2"/>
    <w:rsid w:val="46FA326F"/>
    <w:rsid w:val="47632212"/>
    <w:rsid w:val="478C7274"/>
    <w:rsid w:val="478D6B48"/>
    <w:rsid w:val="47A10840"/>
    <w:rsid w:val="47CC1C05"/>
    <w:rsid w:val="48333FF5"/>
    <w:rsid w:val="484C07B1"/>
    <w:rsid w:val="48623B31"/>
    <w:rsid w:val="487D6BBD"/>
    <w:rsid w:val="488D229E"/>
    <w:rsid w:val="48934632"/>
    <w:rsid w:val="48CE566A"/>
    <w:rsid w:val="48F13107"/>
    <w:rsid w:val="491D5CAA"/>
    <w:rsid w:val="49507E2D"/>
    <w:rsid w:val="496524E9"/>
    <w:rsid w:val="4973642B"/>
    <w:rsid w:val="4974069B"/>
    <w:rsid w:val="49804BB7"/>
    <w:rsid w:val="49831FB1"/>
    <w:rsid w:val="49870902"/>
    <w:rsid w:val="49AC366C"/>
    <w:rsid w:val="49AC7392"/>
    <w:rsid w:val="49B85B8D"/>
    <w:rsid w:val="49E54A1A"/>
    <w:rsid w:val="49ED1B20"/>
    <w:rsid w:val="49F454A4"/>
    <w:rsid w:val="4A01029D"/>
    <w:rsid w:val="4A1B19A9"/>
    <w:rsid w:val="4A35158C"/>
    <w:rsid w:val="4A631DE2"/>
    <w:rsid w:val="4A77546C"/>
    <w:rsid w:val="4A7C3C02"/>
    <w:rsid w:val="4A7D2EA4"/>
    <w:rsid w:val="4AD52CE0"/>
    <w:rsid w:val="4ADB5E1D"/>
    <w:rsid w:val="4AFA47E9"/>
    <w:rsid w:val="4B1B26BD"/>
    <w:rsid w:val="4B384A00"/>
    <w:rsid w:val="4B6732BA"/>
    <w:rsid w:val="4BC66784"/>
    <w:rsid w:val="4C15710C"/>
    <w:rsid w:val="4C254C16"/>
    <w:rsid w:val="4C481290"/>
    <w:rsid w:val="4C806C7C"/>
    <w:rsid w:val="4C871B32"/>
    <w:rsid w:val="4C8D1200"/>
    <w:rsid w:val="4C8F3EBC"/>
    <w:rsid w:val="4CDF47AB"/>
    <w:rsid w:val="4CE0771A"/>
    <w:rsid w:val="4CE63B56"/>
    <w:rsid w:val="4D422183"/>
    <w:rsid w:val="4D9E49DF"/>
    <w:rsid w:val="4DA57F84"/>
    <w:rsid w:val="4DD3102D"/>
    <w:rsid w:val="4DEF09C3"/>
    <w:rsid w:val="4E0B4C6B"/>
    <w:rsid w:val="4E6B36B4"/>
    <w:rsid w:val="4E720846"/>
    <w:rsid w:val="4E751D89"/>
    <w:rsid w:val="4E7B3B9E"/>
    <w:rsid w:val="4E8D5603"/>
    <w:rsid w:val="4E9E788D"/>
    <w:rsid w:val="4EC921AC"/>
    <w:rsid w:val="4ED17C62"/>
    <w:rsid w:val="4F266313"/>
    <w:rsid w:val="4F382CBA"/>
    <w:rsid w:val="4F3B70CA"/>
    <w:rsid w:val="4F62274C"/>
    <w:rsid w:val="4FCF2439"/>
    <w:rsid w:val="4FD77C83"/>
    <w:rsid w:val="4FD95020"/>
    <w:rsid w:val="4FDD50F3"/>
    <w:rsid w:val="4FE324BF"/>
    <w:rsid w:val="4FE63299"/>
    <w:rsid w:val="50212524"/>
    <w:rsid w:val="504338E1"/>
    <w:rsid w:val="5051105B"/>
    <w:rsid w:val="50642410"/>
    <w:rsid w:val="506D5769"/>
    <w:rsid w:val="5090264F"/>
    <w:rsid w:val="50962F12"/>
    <w:rsid w:val="50AE00E4"/>
    <w:rsid w:val="50DB6B76"/>
    <w:rsid w:val="50DE6667"/>
    <w:rsid w:val="50EA011B"/>
    <w:rsid w:val="50F65CE1"/>
    <w:rsid w:val="51037408"/>
    <w:rsid w:val="51054768"/>
    <w:rsid w:val="511B6F73"/>
    <w:rsid w:val="512C3963"/>
    <w:rsid w:val="5151508A"/>
    <w:rsid w:val="51533C6F"/>
    <w:rsid w:val="5176689F"/>
    <w:rsid w:val="51937BB9"/>
    <w:rsid w:val="51A111A9"/>
    <w:rsid w:val="51AF3FA8"/>
    <w:rsid w:val="51DB6702"/>
    <w:rsid w:val="51E47CAD"/>
    <w:rsid w:val="51E63A25"/>
    <w:rsid w:val="51F06EA8"/>
    <w:rsid w:val="51F15F26"/>
    <w:rsid w:val="520224D5"/>
    <w:rsid w:val="520774F7"/>
    <w:rsid w:val="521F6F37"/>
    <w:rsid w:val="522307D5"/>
    <w:rsid w:val="522602C5"/>
    <w:rsid w:val="52272522"/>
    <w:rsid w:val="522916D2"/>
    <w:rsid w:val="52374280"/>
    <w:rsid w:val="524A2E7A"/>
    <w:rsid w:val="5268268C"/>
    <w:rsid w:val="52D17DA0"/>
    <w:rsid w:val="53315789"/>
    <w:rsid w:val="533B1F79"/>
    <w:rsid w:val="539B2FF7"/>
    <w:rsid w:val="53CD2652"/>
    <w:rsid w:val="53CE29C2"/>
    <w:rsid w:val="53D63625"/>
    <w:rsid w:val="545C2AD3"/>
    <w:rsid w:val="54B25E40"/>
    <w:rsid w:val="54CD67D6"/>
    <w:rsid w:val="54DB5397"/>
    <w:rsid w:val="54F40207"/>
    <w:rsid w:val="5531145B"/>
    <w:rsid w:val="553E2958"/>
    <w:rsid w:val="558772CD"/>
    <w:rsid w:val="55CE3E0E"/>
    <w:rsid w:val="55D843B0"/>
    <w:rsid w:val="55DD513F"/>
    <w:rsid w:val="55FB68DC"/>
    <w:rsid w:val="561A4A63"/>
    <w:rsid w:val="562B40FC"/>
    <w:rsid w:val="563924BC"/>
    <w:rsid w:val="563A726F"/>
    <w:rsid w:val="56421912"/>
    <w:rsid w:val="56576C9F"/>
    <w:rsid w:val="569A59E3"/>
    <w:rsid w:val="56AF6ADB"/>
    <w:rsid w:val="56D025AE"/>
    <w:rsid w:val="570D1A54"/>
    <w:rsid w:val="576F626A"/>
    <w:rsid w:val="57A14FC1"/>
    <w:rsid w:val="57B679F5"/>
    <w:rsid w:val="57DD4F82"/>
    <w:rsid w:val="581666E6"/>
    <w:rsid w:val="581E2F41"/>
    <w:rsid w:val="584A4990"/>
    <w:rsid w:val="58AE3380"/>
    <w:rsid w:val="58B008E9"/>
    <w:rsid w:val="58C425E6"/>
    <w:rsid w:val="5903310E"/>
    <w:rsid w:val="59142C25"/>
    <w:rsid w:val="59222643"/>
    <w:rsid w:val="592E5DE4"/>
    <w:rsid w:val="59464DA9"/>
    <w:rsid w:val="597C07CB"/>
    <w:rsid w:val="59E95E90"/>
    <w:rsid w:val="59EC3F96"/>
    <w:rsid w:val="59F70FA5"/>
    <w:rsid w:val="59F76459"/>
    <w:rsid w:val="5A087BE3"/>
    <w:rsid w:val="5A1517DA"/>
    <w:rsid w:val="5A202555"/>
    <w:rsid w:val="5A35680A"/>
    <w:rsid w:val="5A4E2167"/>
    <w:rsid w:val="5A514F94"/>
    <w:rsid w:val="5A6051AD"/>
    <w:rsid w:val="5A6B0E63"/>
    <w:rsid w:val="5A6F20DD"/>
    <w:rsid w:val="5A717C66"/>
    <w:rsid w:val="5A837B59"/>
    <w:rsid w:val="5AD175C5"/>
    <w:rsid w:val="5AE6533A"/>
    <w:rsid w:val="5AEB3E5A"/>
    <w:rsid w:val="5AF01CBC"/>
    <w:rsid w:val="5AF06053"/>
    <w:rsid w:val="5B0371FD"/>
    <w:rsid w:val="5B04316E"/>
    <w:rsid w:val="5B2B4256"/>
    <w:rsid w:val="5B5163B3"/>
    <w:rsid w:val="5B8300AB"/>
    <w:rsid w:val="5C275F49"/>
    <w:rsid w:val="5C313AEE"/>
    <w:rsid w:val="5C5C4DA4"/>
    <w:rsid w:val="5C7210D8"/>
    <w:rsid w:val="5C746AB7"/>
    <w:rsid w:val="5C881250"/>
    <w:rsid w:val="5CA24B14"/>
    <w:rsid w:val="5CAF2C65"/>
    <w:rsid w:val="5CE76EFF"/>
    <w:rsid w:val="5CEE7C31"/>
    <w:rsid w:val="5D345A94"/>
    <w:rsid w:val="5D352A64"/>
    <w:rsid w:val="5D7925EB"/>
    <w:rsid w:val="5DB06C95"/>
    <w:rsid w:val="5DB951D2"/>
    <w:rsid w:val="5E2002BE"/>
    <w:rsid w:val="5E270D2F"/>
    <w:rsid w:val="5E4C4C10"/>
    <w:rsid w:val="5E6275F0"/>
    <w:rsid w:val="5E8728D2"/>
    <w:rsid w:val="5EC55836"/>
    <w:rsid w:val="5EF063F0"/>
    <w:rsid w:val="5EF54B0B"/>
    <w:rsid w:val="5EFC4888"/>
    <w:rsid w:val="5EFC6BC4"/>
    <w:rsid w:val="5EFD23AE"/>
    <w:rsid w:val="5F0648D7"/>
    <w:rsid w:val="5F2A6295"/>
    <w:rsid w:val="5F381638"/>
    <w:rsid w:val="5F6917F1"/>
    <w:rsid w:val="5F6D5C81"/>
    <w:rsid w:val="5F9A5F76"/>
    <w:rsid w:val="5FB011CE"/>
    <w:rsid w:val="5FB24F46"/>
    <w:rsid w:val="5FBC5DC5"/>
    <w:rsid w:val="5FC04E06"/>
    <w:rsid w:val="5FCB6008"/>
    <w:rsid w:val="5FD0361E"/>
    <w:rsid w:val="5FDF533E"/>
    <w:rsid w:val="5FEF619A"/>
    <w:rsid w:val="5FF97FD7"/>
    <w:rsid w:val="60144461"/>
    <w:rsid w:val="601B0D3D"/>
    <w:rsid w:val="60200102"/>
    <w:rsid w:val="6065020A"/>
    <w:rsid w:val="60653D12"/>
    <w:rsid w:val="608D1D0E"/>
    <w:rsid w:val="609B568F"/>
    <w:rsid w:val="60A75DFC"/>
    <w:rsid w:val="61001CE1"/>
    <w:rsid w:val="61023A4D"/>
    <w:rsid w:val="61202383"/>
    <w:rsid w:val="614E49B4"/>
    <w:rsid w:val="619D7A4B"/>
    <w:rsid w:val="61A42FB4"/>
    <w:rsid w:val="61B74A96"/>
    <w:rsid w:val="61CD6067"/>
    <w:rsid w:val="61D5331B"/>
    <w:rsid w:val="61DD4253"/>
    <w:rsid w:val="621C7E79"/>
    <w:rsid w:val="621D13A6"/>
    <w:rsid w:val="6223037D"/>
    <w:rsid w:val="62554E07"/>
    <w:rsid w:val="625E2DB7"/>
    <w:rsid w:val="6260512D"/>
    <w:rsid w:val="628D77F7"/>
    <w:rsid w:val="62946B85"/>
    <w:rsid w:val="62B67116"/>
    <w:rsid w:val="62E23D94"/>
    <w:rsid w:val="62E53885"/>
    <w:rsid w:val="62E5574C"/>
    <w:rsid w:val="62E879E8"/>
    <w:rsid w:val="62FA7330"/>
    <w:rsid w:val="635C5BB2"/>
    <w:rsid w:val="636624E3"/>
    <w:rsid w:val="63696264"/>
    <w:rsid w:val="63696E29"/>
    <w:rsid w:val="637263BC"/>
    <w:rsid w:val="637A3FCD"/>
    <w:rsid w:val="637A570E"/>
    <w:rsid w:val="63853C08"/>
    <w:rsid w:val="639E2ACA"/>
    <w:rsid w:val="63A566FC"/>
    <w:rsid w:val="63D34A76"/>
    <w:rsid w:val="63EF200F"/>
    <w:rsid w:val="643E6C3E"/>
    <w:rsid w:val="64413923"/>
    <w:rsid w:val="6449399F"/>
    <w:rsid w:val="644A1AD5"/>
    <w:rsid w:val="64524F4A"/>
    <w:rsid w:val="64590086"/>
    <w:rsid w:val="64602851"/>
    <w:rsid w:val="64610CE9"/>
    <w:rsid w:val="64913083"/>
    <w:rsid w:val="64A82747"/>
    <w:rsid w:val="64BC3B67"/>
    <w:rsid w:val="64DC3870"/>
    <w:rsid w:val="64E42046"/>
    <w:rsid w:val="653B3C30"/>
    <w:rsid w:val="65471226"/>
    <w:rsid w:val="654E74BF"/>
    <w:rsid w:val="655C6080"/>
    <w:rsid w:val="657D21E6"/>
    <w:rsid w:val="659A2704"/>
    <w:rsid w:val="65AD0E8B"/>
    <w:rsid w:val="65B62578"/>
    <w:rsid w:val="65C634F9"/>
    <w:rsid w:val="65C8585C"/>
    <w:rsid w:val="65C92FEA"/>
    <w:rsid w:val="65E816C2"/>
    <w:rsid w:val="65F8567D"/>
    <w:rsid w:val="65FA13F5"/>
    <w:rsid w:val="66174349"/>
    <w:rsid w:val="661B1DC2"/>
    <w:rsid w:val="662E109F"/>
    <w:rsid w:val="664E7ECA"/>
    <w:rsid w:val="66677D78"/>
    <w:rsid w:val="667F4A03"/>
    <w:rsid w:val="66866CA0"/>
    <w:rsid w:val="66AC4B45"/>
    <w:rsid w:val="67074E05"/>
    <w:rsid w:val="671A256A"/>
    <w:rsid w:val="674D3AD6"/>
    <w:rsid w:val="675B4115"/>
    <w:rsid w:val="6782581A"/>
    <w:rsid w:val="678648A8"/>
    <w:rsid w:val="67A94E81"/>
    <w:rsid w:val="67EA72A2"/>
    <w:rsid w:val="67EC0641"/>
    <w:rsid w:val="67F105D6"/>
    <w:rsid w:val="67F16B5C"/>
    <w:rsid w:val="68282249"/>
    <w:rsid w:val="68437083"/>
    <w:rsid w:val="686D4100"/>
    <w:rsid w:val="686E08E3"/>
    <w:rsid w:val="688356D2"/>
    <w:rsid w:val="689830EE"/>
    <w:rsid w:val="68AA7102"/>
    <w:rsid w:val="68E1689C"/>
    <w:rsid w:val="68EF0FB9"/>
    <w:rsid w:val="693115D2"/>
    <w:rsid w:val="6943629B"/>
    <w:rsid w:val="69670B4F"/>
    <w:rsid w:val="69746B44"/>
    <w:rsid w:val="69847953"/>
    <w:rsid w:val="698E639C"/>
    <w:rsid w:val="69B55CD8"/>
    <w:rsid w:val="69C8489A"/>
    <w:rsid w:val="6A136F29"/>
    <w:rsid w:val="6A1A7241"/>
    <w:rsid w:val="6A1C198C"/>
    <w:rsid w:val="6A435600"/>
    <w:rsid w:val="6A52305F"/>
    <w:rsid w:val="6A5A5184"/>
    <w:rsid w:val="6B022B8D"/>
    <w:rsid w:val="6B124127"/>
    <w:rsid w:val="6B573396"/>
    <w:rsid w:val="6B7C77F1"/>
    <w:rsid w:val="6B99448D"/>
    <w:rsid w:val="6B9F5C32"/>
    <w:rsid w:val="6BAF2675"/>
    <w:rsid w:val="6BB822C3"/>
    <w:rsid w:val="6BBB1626"/>
    <w:rsid w:val="6BBF2EC5"/>
    <w:rsid w:val="6BDB75D3"/>
    <w:rsid w:val="6BE217A4"/>
    <w:rsid w:val="6BF012D0"/>
    <w:rsid w:val="6C0C2AFD"/>
    <w:rsid w:val="6C15018D"/>
    <w:rsid w:val="6C303574"/>
    <w:rsid w:val="6C3C3B50"/>
    <w:rsid w:val="6C445178"/>
    <w:rsid w:val="6C44786E"/>
    <w:rsid w:val="6C4E5FF7"/>
    <w:rsid w:val="6C987FDB"/>
    <w:rsid w:val="6CA14487"/>
    <w:rsid w:val="6CB40765"/>
    <w:rsid w:val="6CBF2710"/>
    <w:rsid w:val="6CE626D3"/>
    <w:rsid w:val="6CE64481"/>
    <w:rsid w:val="6D2448C8"/>
    <w:rsid w:val="6D2B458A"/>
    <w:rsid w:val="6D313AC1"/>
    <w:rsid w:val="6D382D72"/>
    <w:rsid w:val="6D4A665F"/>
    <w:rsid w:val="6D5A5246"/>
    <w:rsid w:val="6DB256C5"/>
    <w:rsid w:val="6DDD7632"/>
    <w:rsid w:val="6E116188"/>
    <w:rsid w:val="6E2D0C79"/>
    <w:rsid w:val="6E426268"/>
    <w:rsid w:val="6E7C32EF"/>
    <w:rsid w:val="6EAC097F"/>
    <w:rsid w:val="6EB457CF"/>
    <w:rsid w:val="6EBF31DC"/>
    <w:rsid w:val="6EC151A6"/>
    <w:rsid w:val="6EFF182A"/>
    <w:rsid w:val="6F0F2106"/>
    <w:rsid w:val="6F376AFB"/>
    <w:rsid w:val="6F4C550C"/>
    <w:rsid w:val="6F80296B"/>
    <w:rsid w:val="6FC72057"/>
    <w:rsid w:val="6FD00963"/>
    <w:rsid w:val="6FDA37C5"/>
    <w:rsid w:val="6FF02351"/>
    <w:rsid w:val="702F4584"/>
    <w:rsid w:val="703C400F"/>
    <w:rsid w:val="703D79F0"/>
    <w:rsid w:val="704763A0"/>
    <w:rsid w:val="705834D7"/>
    <w:rsid w:val="70797C5D"/>
    <w:rsid w:val="70826EAE"/>
    <w:rsid w:val="709564D3"/>
    <w:rsid w:val="70D80585"/>
    <w:rsid w:val="70E64A50"/>
    <w:rsid w:val="70F42876"/>
    <w:rsid w:val="70F74EAF"/>
    <w:rsid w:val="70FB4BE6"/>
    <w:rsid w:val="71397275"/>
    <w:rsid w:val="71683B72"/>
    <w:rsid w:val="71755DD4"/>
    <w:rsid w:val="71A60541"/>
    <w:rsid w:val="71BB1B5A"/>
    <w:rsid w:val="71C535A8"/>
    <w:rsid w:val="71D84CE0"/>
    <w:rsid w:val="71FE1745"/>
    <w:rsid w:val="72087E0A"/>
    <w:rsid w:val="72186237"/>
    <w:rsid w:val="72676064"/>
    <w:rsid w:val="727D4B80"/>
    <w:rsid w:val="728C7879"/>
    <w:rsid w:val="72A07E28"/>
    <w:rsid w:val="72B47DC8"/>
    <w:rsid w:val="72CA076A"/>
    <w:rsid w:val="72D444F2"/>
    <w:rsid w:val="72E476B5"/>
    <w:rsid w:val="72EA4C72"/>
    <w:rsid w:val="73090B02"/>
    <w:rsid w:val="730B7B0B"/>
    <w:rsid w:val="73133AF6"/>
    <w:rsid w:val="732950C8"/>
    <w:rsid w:val="73341FFD"/>
    <w:rsid w:val="735C724B"/>
    <w:rsid w:val="73814A84"/>
    <w:rsid w:val="73C37108"/>
    <w:rsid w:val="73ED27FD"/>
    <w:rsid w:val="73F61BDB"/>
    <w:rsid w:val="74207B19"/>
    <w:rsid w:val="742D6E39"/>
    <w:rsid w:val="743414C6"/>
    <w:rsid w:val="74405F2F"/>
    <w:rsid w:val="74490953"/>
    <w:rsid w:val="7453031D"/>
    <w:rsid w:val="7480345A"/>
    <w:rsid w:val="74803A5D"/>
    <w:rsid w:val="74A6269D"/>
    <w:rsid w:val="74CC21AE"/>
    <w:rsid w:val="74D86DA5"/>
    <w:rsid w:val="74D90B4D"/>
    <w:rsid w:val="75420F96"/>
    <w:rsid w:val="754E0E15"/>
    <w:rsid w:val="75616D9B"/>
    <w:rsid w:val="756D573F"/>
    <w:rsid w:val="756E622E"/>
    <w:rsid w:val="75926677"/>
    <w:rsid w:val="759D6957"/>
    <w:rsid w:val="75BB0D91"/>
    <w:rsid w:val="75D21A46"/>
    <w:rsid w:val="75EB6213"/>
    <w:rsid w:val="761F7B7A"/>
    <w:rsid w:val="76270648"/>
    <w:rsid w:val="765212AD"/>
    <w:rsid w:val="76585AF4"/>
    <w:rsid w:val="765A29A5"/>
    <w:rsid w:val="7673071D"/>
    <w:rsid w:val="767E1BCE"/>
    <w:rsid w:val="76931859"/>
    <w:rsid w:val="76B17777"/>
    <w:rsid w:val="76BB679E"/>
    <w:rsid w:val="76F60EB9"/>
    <w:rsid w:val="770666C4"/>
    <w:rsid w:val="773B3127"/>
    <w:rsid w:val="778C162A"/>
    <w:rsid w:val="77984802"/>
    <w:rsid w:val="779E42D6"/>
    <w:rsid w:val="77D01FB6"/>
    <w:rsid w:val="77DC4DFE"/>
    <w:rsid w:val="780F782A"/>
    <w:rsid w:val="78783C4A"/>
    <w:rsid w:val="78974A35"/>
    <w:rsid w:val="78C626DB"/>
    <w:rsid w:val="78C947D3"/>
    <w:rsid w:val="78CC2212"/>
    <w:rsid w:val="78D53285"/>
    <w:rsid w:val="790B60C7"/>
    <w:rsid w:val="792E3438"/>
    <w:rsid w:val="79E65AC0"/>
    <w:rsid w:val="79FC3536"/>
    <w:rsid w:val="7A050E41"/>
    <w:rsid w:val="7A082A05"/>
    <w:rsid w:val="7A082C5C"/>
    <w:rsid w:val="7A3158C6"/>
    <w:rsid w:val="7A3C0BE4"/>
    <w:rsid w:val="7A554441"/>
    <w:rsid w:val="7A8F7A6A"/>
    <w:rsid w:val="7A965738"/>
    <w:rsid w:val="7AB21E46"/>
    <w:rsid w:val="7AB94F83"/>
    <w:rsid w:val="7AC2124A"/>
    <w:rsid w:val="7AE925AF"/>
    <w:rsid w:val="7B0179C8"/>
    <w:rsid w:val="7B034450"/>
    <w:rsid w:val="7B053505"/>
    <w:rsid w:val="7B2B5D06"/>
    <w:rsid w:val="7B451FBE"/>
    <w:rsid w:val="7B494559"/>
    <w:rsid w:val="7B4D1C06"/>
    <w:rsid w:val="7B963516"/>
    <w:rsid w:val="7BB20D3D"/>
    <w:rsid w:val="7BBF0CBF"/>
    <w:rsid w:val="7BD52290"/>
    <w:rsid w:val="7BE11BCC"/>
    <w:rsid w:val="7BE473F9"/>
    <w:rsid w:val="7BE6624C"/>
    <w:rsid w:val="7BF769D3"/>
    <w:rsid w:val="7C127041"/>
    <w:rsid w:val="7C442F72"/>
    <w:rsid w:val="7CE24C65"/>
    <w:rsid w:val="7D6B2EAC"/>
    <w:rsid w:val="7D87580C"/>
    <w:rsid w:val="7D987E31"/>
    <w:rsid w:val="7DD0449A"/>
    <w:rsid w:val="7DED3078"/>
    <w:rsid w:val="7DF87373"/>
    <w:rsid w:val="7E04294B"/>
    <w:rsid w:val="7E083482"/>
    <w:rsid w:val="7E0B3D48"/>
    <w:rsid w:val="7E4153DE"/>
    <w:rsid w:val="7E626D78"/>
    <w:rsid w:val="7E71755F"/>
    <w:rsid w:val="7EA2457D"/>
    <w:rsid w:val="7EA515B5"/>
    <w:rsid w:val="7EBE76E6"/>
    <w:rsid w:val="7ED21D83"/>
    <w:rsid w:val="7EE60311"/>
    <w:rsid w:val="7EE741A2"/>
    <w:rsid w:val="7EEC216D"/>
    <w:rsid w:val="7F0D3AEF"/>
    <w:rsid w:val="7F0F5AB9"/>
    <w:rsid w:val="7F10538E"/>
    <w:rsid w:val="7F1964E7"/>
    <w:rsid w:val="7F1E5CFC"/>
    <w:rsid w:val="7F5B2AAD"/>
    <w:rsid w:val="7F7935CD"/>
    <w:rsid w:val="7F833DB1"/>
    <w:rsid w:val="7F845A5F"/>
    <w:rsid w:val="7F923FF5"/>
    <w:rsid w:val="7FA96493"/>
    <w:rsid w:val="7FC56178"/>
    <w:rsid w:val="7FEC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eastAsia="黑体"/>
      <w:b/>
      <w:bCs/>
      <w:kern w:val="44"/>
      <w:sz w:val="30"/>
      <w:szCs w:val="3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adjustRightInd w:val="0"/>
      <w:snapToGrid w:val="0"/>
      <w:spacing w:line="460" w:lineRule="atLeast"/>
      <w:ind w:firstLine="200" w:firstLineChars="200"/>
    </w:pPr>
    <w:rPr>
      <w:rFonts w:ascii="Times New Roman" w:hAnsi="Times New Roman" w:eastAsia="宋体"/>
      <w:sz w:val="24"/>
    </w:rPr>
  </w:style>
  <w:style w:type="paragraph" w:styleId="4">
    <w:name w:val="caption"/>
    <w:basedOn w:val="1"/>
    <w:next w:val="1"/>
    <w:unhideWhenUsed/>
    <w:qFormat/>
    <w:uiPriority w:val="0"/>
    <w:rPr>
      <w:rFonts w:ascii="Arial" w:hAnsi="Arial" w:eastAsia="黑体"/>
      <w:sz w:val="20"/>
    </w:r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注图注"/>
    <w:basedOn w:val="1"/>
    <w:qFormat/>
    <w:uiPriority w:val="0"/>
    <w:pPr>
      <w:ind w:firstLine="0" w:firstLineChars="0"/>
      <w:jc w:val="center"/>
    </w:pPr>
    <w:rPr>
      <w:b/>
      <w:bCs/>
      <w:sz w:val="21"/>
      <w:szCs w:val="21"/>
    </w:rPr>
  </w:style>
  <w:style w:type="paragraph" w:customStyle="1" w:styleId="12">
    <w:name w:val="标注"/>
    <w:basedOn w:val="1"/>
    <w:qFormat/>
    <w:uiPriority w:val="0"/>
    <w:pPr>
      <w:adjustRightInd w:val="0"/>
      <w:snapToGrid w:val="0"/>
      <w:ind w:firstLine="0" w:firstLineChars="0"/>
    </w:pPr>
    <w:rPr>
      <w:rFonts w:ascii="Times New Roman" w:hAnsi="Times New Roman" w:eastAsia="宋体" w:cs="Times New Roman"/>
      <w:b/>
      <w:bCs/>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6.png"/><Relationship Id="rId23" Type="http://schemas.openxmlformats.org/officeDocument/2006/relationships/image" Target="media/image15.jpeg"/><Relationship Id="rId22" Type="http://schemas.openxmlformats.org/officeDocument/2006/relationships/image" Target="media/image14.png"/><Relationship Id="rId21" Type="http://schemas.openxmlformats.org/officeDocument/2006/relationships/image" Target="media/image13.jpe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wmf"/><Relationship Id="rId14" Type="http://schemas.openxmlformats.org/officeDocument/2006/relationships/oleObject" Target="embeddings/oleObject2.bin"/><Relationship Id="rId13" Type="http://schemas.openxmlformats.org/officeDocument/2006/relationships/image" Target="media/image6.wmf"/><Relationship Id="rId12" Type="http://schemas.openxmlformats.org/officeDocument/2006/relationships/oleObject" Target="embeddings/oleObject1.bin"/><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kzNzUzMzM0MjY3IiwKCSJHcm91cElkIiA6ICIzODg1MDgyOTkiLAoJIkltYWdlIiA6ICJpVkJPUncwS0dnb0FBQUFOU1VoRVVnQUFCREFBQUFIa0NBWUFBQURJQTkrSUFBQUFBWE5TUjBJQXJzNGM2UUFBSUFCSlJFRlVlSnpzM1hsOFhIVzkvL0gzNTV4Sms3YTAyRklXc1VyeFZsdENPem5uRFBCREJGZGMwQ3U0QWxkWlZOeFJGRmRFVWJicmRkZXJ5SlhyVlJBUkJWeFFVRUVVVVZGY3lKeVpKSTJ0QkN4YWdiS1Y3azB5Y3o2L1B6ckJZWnEwU1p0bTB2SjZQaDU1Wk9hN2ZrNWlNUG4wdTBn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RTTS9qOWRIMmd4U3VXT2x3QUFBQUJKUlU1RXJrSmdnZz09IiwKCSJUaGVtZSIgOiAiIiwKCSJUeXBlIiA6ICJmbG93IiwKCSJVc2VySWQiIDogIjM3MDMxNDk0MyIsCgkiVmVyc2lvbiIgOiAiIgp9Cg=="/>
    </extobj>
    <extobj name="ECB019B1-382A-4266-B25C-5B523AA43C14-2">
      <extobjdata type="ECB019B1-382A-4266-B25C-5B523AA43C14" data="ewoJIkZpbGVJZCIgOiAiMzI0MjQzOTA2MTM1IiwKCSJHcm91cElkIiA6ICIzODg1MDgyOTkiLAoJIkltYWdlIiA6ICJpVkJPUncwS0dnb0FBQUFOU1VoRVVnQUFBekFBQUFEVENBWUFBQUJlTVBhcUFBQUFBWE5TUjBJQXJzNGM2UUFBSUFCSlJFRlVlSnpzM1htY1cxWDVQL0RQYzI1bU10TmxvR05iS0ZTWjRraEwyaWIzM0tDSWdvRHdSVkRaQkFWRmY2eUtLSXZnaG9wK0FRVnhCVnhBRkdVVlVWRlFVUkZGRUFWQnlMMlphVHUwWHdvTVdLRnMzYmZwSk9mNS9aRmt6S1JKWisvTXRKLzM2OVZYazNQdlBmZEo1aWE1ejcxbkFZ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iZmMvTy9vTjFObHpvZGtBQUFBQVNVVk9SSzVDWUlJPSIsCgkiVGhlbWUiIDogIiIsCgkiVHlwZSIgOiAiZmxvdyIsCgkiVmVyc2lvbiIgOiAiIgp9Cg=="/>
    </extobj>
    <extobj name="ECB019B1-382A-4266-B25C-5B523AA43C14-3">
      <extobjdata type="ECB019B1-382A-4266-B25C-5B523AA43C14" data="ewoJIkZpbGVJZCIgOiAiMzkxNzc3OTMyMjU3IiwKCSJHcm91cElkIiA6ICIzODg1MDgyOTkiLAoJIkltYWdlIiA6ICJpVkJPUncwS0dnb0FBQUFOU1VoRVVnQUFBdVVBQUFGbUNBWUFBQURLOXVRVkFBQUFBWE5TUjBJQXJzNGM2UUFBSUFCSlJFRlVlSnpzM1hsOEhWWGRQL0RQOTh5a1dkcVVVbllvVXJUU0VwcDc1OHhGUWNDSFZRRVhRRUJGUWNVVnhBMTlSTkJIQlJFUVVGd0FVWCtpOGdpNDRBSzRJQ3FMckNwd1orWW1KVStMUVNLVWZTblEwcWJKbmZQOS9aRzU0ZmIySmsyNjNUVDl2Rit2dkhMdjJlWTd5VFQ5Wm5MbUhJ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YjRuL0Q5Wjd1UnBKSE0veEFBQUFBRWxGVGtTdVFtQ0MiLAoJIlRoZW1lIiA6ICIiLAoJIlR5cGUiIDogImZsb3ciLAoJIlVzZXJJZCIgOiAiMzcwMzE0OTQz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35</Words>
  <Characters>35</Characters>
  <Lines>0</Lines>
  <Paragraphs>0</Paragraphs>
  <TotalTime>10</TotalTime>
  <ScaleCrop>false</ScaleCrop>
  <LinksUpToDate>false</LinksUpToDate>
  <CharactersWithSpaces>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2024-08-05T03:59:00Z</dcterms:created>
  <dc:creator>拾</dc:creator>
  <cp:lastModifiedBy>拾</cp:lastModifiedBy>
  <cp:lastPrinted>2025-03-03T06:04:00Z</cp:lastPrinted>
  <dcterms:modified xsi:type="dcterms:W3CDTF">2025-05-15T07:06:12Z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BF18B327208A4EE196C1F782632D6BAA_13</vt:lpwstr>
  </property>
  <property fmtid="{D5CDD505-2E9C-101B-9397-08002B2CF9AE}" pid="4" name="KSOTemplateDocerSaveRecord">
    <vt:lpwstr>eyJoZGlkIjoiYTI4OTQyYWQxMTk4OThiOTA2YzA1YjgxN2IzYjZkMmIiLCJ1c2VySWQiOiIzNzAzMTQ5NDMifQ==</vt:lpwstr>
  </property>
</Properties>
</file>