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82077C">
      <w:pPr>
        <w:pStyle w:val="2"/>
        <w:jc w:val="center"/>
        <w:rPr>
          <w:rFonts w:hint="default" w:ascii="Times New Roman" w:hAnsi="Times New Roman" w:eastAsia="宋体" w:cs="Times New Roman"/>
          <w:color w:val="auto"/>
          <w:sz w:val="36"/>
          <w:szCs w:val="36"/>
          <w:highlight w:val="none"/>
        </w:rPr>
      </w:pPr>
      <w:r>
        <w:rPr>
          <w:rFonts w:hint="default" w:ascii="Times New Roman" w:hAnsi="Times New Roman" w:eastAsia="宋体" w:cs="Times New Roman"/>
          <w:b w:val="0"/>
          <w:bCs w:val="0"/>
          <w:color w:val="auto"/>
          <w:sz w:val="36"/>
          <w:szCs w:val="36"/>
          <w:highlight w:val="none"/>
        </w:rPr>
        <w:t>一、建设项目基本情况</w:t>
      </w:r>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2129"/>
        <w:gridCol w:w="1968"/>
        <w:gridCol w:w="2134"/>
        <w:gridCol w:w="2639"/>
      </w:tblGrid>
      <w:tr w14:paraId="00B00F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9" w:type="dxa"/>
            <w:tcMar>
              <w:top w:w="16" w:type="dxa"/>
              <w:left w:w="16" w:type="dxa"/>
              <w:right w:w="16" w:type="dxa"/>
            </w:tcMar>
            <w:vAlign w:val="center"/>
          </w:tcPr>
          <w:p w14:paraId="5865EC3F">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建设项目名称</w:t>
            </w:r>
          </w:p>
        </w:tc>
        <w:tc>
          <w:tcPr>
            <w:tcW w:w="6741" w:type="dxa"/>
            <w:gridSpan w:val="3"/>
            <w:vAlign w:val="center"/>
          </w:tcPr>
          <w:p w14:paraId="592522AC">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中信金属先进材料研究院装修项目</w:t>
            </w:r>
          </w:p>
        </w:tc>
      </w:tr>
      <w:tr w14:paraId="19DD7A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9" w:type="dxa"/>
            <w:tcMar>
              <w:top w:w="16" w:type="dxa"/>
              <w:left w:w="16" w:type="dxa"/>
              <w:right w:w="16" w:type="dxa"/>
            </w:tcMar>
            <w:vAlign w:val="center"/>
          </w:tcPr>
          <w:p w14:paraId="7D3C7020">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项目代码</w:t>
            </w:r>
          </w:p>
        </w:tc>
        <w:tc>
          <w:tcPr>
            <w:tcW w:w="6741" w:type="dxa"/>
            <w:gridSpan w:val="3"/>
            <w:shd w:val="clear" w:color="auto" w:fill="auto"/>
            <w:vAlign w:val="center"/>
          </w:tcPr>
          <w:p w14:paraId="12A688DE">
            <w:pPr>
              <w:adjustRightInd w:val="0"/>
              <w:snapToGrid w:val="0"/>
              <w:ind w:firstLine="0" w:firstLineChars="0"/>
              <w:jc w:val="center"/>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w:t>
            </w:r>
          </w:p>
        </w:tc>
      </w:tr>
      <w:tr w14:paraId="05DA7D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5" w:hRule="atLeast"/>
          <w:jc w:val="center"/>
        </w:trPr>
        <w:tc>
          <w:tcPr>
            <w:tcW w:w="2129" w:type="dxa"/>
            <w:tcMar>
              <w:top w:w="16" w:type="dxa"/>
              <w:left w:w="16" w:type="dxa"/>
              <w:right w:w="16" w:type="dxa"/>
            </w:tcMar>
            <w:vAlign w:val="center"/>
          </w:tcPr>
          <w:p w14:paraId="1D504164">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建设单位</w:t>
            </w:r>
          </w:p>
          <w:p w14:paraId="297E071B">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联系人</w:t>
            </w:r>
          </w:p>
        </w:tc>
        <w:tc>
          <w:tcPr>
            <w:tcW w:w="1968" w:type="dxa"/>
            <w:vAlign w:val="center"/>
          </w:tcPr>
          <w:p w14:paraId="4667E713">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许立雄</w:t>
            </w:r>
          </w:p>
        </w:tc>
        <w:tc>
          <w:tcPr>
            <w:tcW w:w="2134" w:type="dxa"/>
            <w:vAlign w:val="center"/>
          </w:tcPr>
          <w:p w14:paraId="1B18A46A">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联系方式</w:t>
            </w:r>
          </w:p>
        </w:tc>
        <w:tc>
          <w:tcPr>
            <w:tcW w:w="2639" w:type="dxa"/>
            <w:vAlign w:val="center"/>
          </w:tcPr>
          <w:p w14:paraId="1B682830">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18071519510</w:t>
            </w:r>
          </w:p>
        </w:tc>
      </w:tr>
      <w:tr w14:paraId="27AEC8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9" w:type="dxa"/>
            <w:tcMar>
              <w:top w:w="16" w:type="dxa"/>
              <w:left w:w="16" w:type="dxa"/>
              <w:right w:w="16" w:type="dxa"/>
            </w:tcMar>
            <w:vAlign w:val="center"/>
          </w:tcPr>
          <w:p w14:paraId="2A06A25C">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建设地点</w:t>
            </w:r>
          </w:p>
        </w:tc>
        <w:tc>
          <w:tcPr>
            <w:tcW w:w="6741" w:type="dxa"/>
            <w:gridSpan w:val="3"/>
            <w:vAlign w:val="center"/>
          </w:tcPr>
          <w:p w14:paraId="5B8F68A7">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北京经济技术开发区</w:t>
            </w:r>
            <w:r>
              <w:rPr>
                <w:rFonts w:hint="default" w:ascii="Times New Roman" w:hAnsi="Times New Roman" w:eastAsia="宋体" w:cs="Times New Roman"/>
                <w:sz w:val="24"/>
                <w:highlight w:val="none"/>
                <w:lang w:val="en-US" w:eastAsia="zh-CN"/>
              </w:rPr>
              <w:t>康定街15号前沿科技创新港金田加速区5号楼1-2层</w:t>
            </w:r>
          </w:p>
        </w:tc>
      </w:tr>
      <w:tr w14:paraId="0EF82D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37" w:hRule="atLeast"/>
          <w:jc w:val="center"/>
        </w:trPr>
        <w:tc>
          <w:tcPr>
            <w:tcW w:w="2129" w:type="dxa"/>
            <w:tcMar>
              <w:top w:w="16" w:type="dxa"/>
              <w:left w:w="16" w:type="dxa"/>
              <w:right w:w="16" w:type="dxa"/>
            </w:tcMar>
            <w:vAlign w:val="center"/>
          </w:tcPr>
          <w:p w14:paraId="77519D8B">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地理坐标</w:t>
            </w:r>
          </w:p>
        </w:tc>
        <w:tc>
          <w:tcPr>
            <w:tcW w:w="6741" w:type="dxa"/>
            <w:gridSpan w:val="3"/>
            <w:vAlign w:val="center"/>
          </w:tcPr>
          <w:p w14:paraId="1115DE27">
            <w:pPr>
              <w:jc w:val="center"/>
              <w:rPr>
                <w:rFonts w:hint="default" w:ascii="Times New Roman" w:hAnsi="Times New Roman" w:eastAsia="宋体" w:cs="Times New Roman"/>
                <w:sz w:val="24"/>
                <w:highlight w:val="none"/>
                <w:lang w:eastAsia="zh-CN"/>
              </w:rPr>
            </w:pPr>
            <w:r>
              <w:rPr>
                <w:rFonts w:hint="default" w:ascii="Times New Roman" w:hAnsi="Times New Roman" w:eastAsia="宋体" w:cs="Times New Roman"/>
                <w:sz w:val="24"/>
                <w:highlight w:val="none"/>
              </w:rPr>
              <w:t>东经116°3</w:t>
            </w:r>
            <w:r>
              <w:rPr>
                <w:rFonts w:hint="default" w:ascii="Times New Roman" w:hAnsi="Times New Roman" w:eastAsia="宋体" w:cs="Times New Roman"/>
                <w:sz w:val="24"/>
                <w:highlight w:val="none"/>
                <w:lang w:val="en-US" w:eastAsia="zh-CN"/>
              </w:rPr>
              <w:t>2</w:t>
            </w:r>
            <w:r>
              <w:rPr>
                <w:rFonts w:hint="default" w:ascii="Times New Roman" w:hAnsi="Times New Roman" w:eastAsia="宋体" w:cs="Times New Roman"/>
                <w:sz w:val="24"/>
                <w:highlight w:val="none"/>
              </w:rPr>
              <w:t>′</w:t>
            </w:r>
            <w:r>
              <w:rPr>
                <w:rFonts w:hint="default" w:ascii="Times New Roman" w:hAnsi="Times New Roman" w:eastAsia="宋体" w:cs="Times New Roman"/>
                <w:sz w:val="24"/>
                <w:highlight w:val="none"/>
                <w:lang w:val="en-US" w:eastAsia="zh-CN"/>
              </w:rPr>
              <w:t>4.520</w:t>
            </w:r>
            <w:r>
              <w:rPr>
                <w:rFonts w:hint="default" w:ascii="Times New Roman" w:hAnsi="Times New Roman" w:eastAsia="宋体" w:cs="Times New Roman"/>
                <w:sz w:val="24"/>
                <w:highlight w:val="none"/>
              </w:rPr>
              <w:t>″，北纬39°</w:t>
            </w:r>
            <w:r>
              <w:rPr>
                <w:rFonts w:hint="default" w:ascii="Times New Roman" w:hAnsi="Times New Roman" w:eastAsia="宋体" w:cs="Times New Roman"/>
                <w:sz w:val="24"/>
                <w:highlight w:val="none"/>
                <w:lang w:eastAsia="zh-CN"/>
              </w:rPr>
              <w:t>46'</w:t>
            </w:r>
            <w:r>
              <w:rPr>
                <w:rFonts w:hint="default" w:ascii="Times New Roman" w:hAnsi="Times New Roman" w:eastAsia="宋体" w:cs="Times New Roman"/>
                <w:sz w:val="24"/>
                <w:highlight w:val="none"/>
                <w:lang w:val="en-US" w:eastAsia="zh-CN"/>
              </w:rPr>
              <w:t xml:space="preserve"> 25.760</w:t>
            </w:r>
            <w:r>
              <w:rPr>
                <w:rFonts w:hint="default" w:ascii="Times New Roman" w:hAnsi="Times New Roman" w:eastAsia="宋体" w:cs="Times New Roman"/>
                <w:sz w:val="24"/>
                <w:highlight w:val="none"/>
                <w:lang w:eastAsia="zh-CN"/>
              </w:rPr>
              <w:t>''</w:t>
            </w:r>
          </w:p>
        </w:tc>
      </w:tr>
      <w:tr w14:paraId="17F8E2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04" w:hRule="atLeast"/>
          <w:jc w:val="center"/>
        </w:trPr>
        <w:tc>
          <w:tcPr>
            <w:tcW w:w="2129" w:type="dxa"/>
            <w:tcMar>
              <w:top w:w="16" w:type="dxa"/>
              <w:left w:w="16" w:type="dxa"/>
              <w:right w:w="16" w:type="dxa"/>
            </w:tcMar>
            <w:vAlign w:val="center"/>
          </w:tcPr>
          <w:p w14:paraId="61E320A1">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国民经济行业类别</w:t>
            </w:r>
          </w:p>
        </w:tc>
        <w:tc>
          <w:tcPr>
            <w:tcW w:w="1968" w:type="dxa"/>
            <w:vAlign w:val="center"/>
          </w:tcPr>
          <w:p w14:paraId="5E2552B8">
            <w:pPr>
              <w:keepNext w:val="0"/>
              <w:keepLines w:val="0"/>
              <w:widowControl/>
              <w:suppressLineNumbers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M73</w:t>
            </w: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0</w:t>
            </w:r>
            <w:r>
              <w:rPr>
                <w:rFonts w:hint="default" w:ascii="Times New Roman" w:hAnsi="Times New Roman" w:eastAsia="宋体" w:cs="Times New Roman"/>
                <w:color w:val="auto"/>
                <w:sz w:val="24"/>
                <w:highlight w:val="none"/>
                <w:lang w:val="en-US" w:eastAsia="zh-CN"/>
              </w:rPr>
              <w:t>工程和技术研究和实验发展</w:t>
            </w:r>
          </w:p>
        </w:tc>
        <w:tc>
          <w:tcPr>
            <w:tcW w:w="2134" w:type="dxa"/>
            <w:vAlign w:val="center"/>
          </w:tcPr>
          <w:p w14:paraId="6252AF40">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建设项目行业类别</w:t>
            </w:r>
          </w:p>
        </w:tc>
        <w:tc>
          <w:tcPr>
            <w:tcW w:w="2639" w:type="dxa"/>
            <w:vAlign w:val="center"/>
          </w:tcPr>
          <w:p w14:paraId="191A1088">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四十五、研究和</w:t>
            </w:r>
            <w:r>
              <w:rPr>
                <w:rFonts w:hint="default" w:ascii="Times New Roman" w:hAnsi="Times New Roman" w:eastAsia="宋体" w:cs="Times New Roman"/>
                <w:color w:val="auto"/>
                <w:sz w:val="24"/>
                <w:highlight w:val="none"/>
                <w:lang w:eastAsia="zh-CN"/>
              </w:rPr>
              <w:t>实验</w:t>
            </w:r>
            <w:r>
              <w:rPr>
                <w:rFonts w:hint="default" w:ascii="Times New Roman" w:hAnsi="Times New Roman" w:eastAsia="宋体" w:cs="Times New Roman"/>
                <w:color w:val="auto"/>
                <w:sz w:val="24"/>
                <w:highlight w:val="none"/>
              </w:rPr>
              <w:t>发展，98.专业实验室、研发（</w:t>
            </w:r>
            <w:r>
              <w:rPr>
                <w:rFonts w:hint="default" w:ascii="Times New Roman" w:hAnsi="Times New Roman" w:eastAsia="宋体" w:cs="Times New Roman"/>
                <w:color w:val="auto"/>
                <w:sz w:val="24"/>
                <w:highlight w:val="none"/>
                <w:lang w:eastAsia="zh-CN"/>
              </w:rPr>
              <w:t>实验</w:t>
            </w:r>
            <w:r>
              <w:rPr>
                <w:rFonts w:hint="default" w:ascii="Times New Roman" w:hAnsi="Times New Roman" w:eastAsia="宋体" w:cs="Times New Roman"/>
                <w:color w:val="auto"/>
                <w:sz w:val="24"/>
                <w:highlight w:val="none"/>
              </w:rPr>
              <w:t>）基地</w:t>
            </w:r>
          </w:p>
        </w:tc>
      </w:tr>
      <w:tr w14:paraId="537203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129" w:type="dxa"/>
            <w:tcMar>
              <w:top w:w="16" w:type="dxa"/>
              <w:left w:w="16" w:type="dxa"/>
              <w:right w:w="16" w:type="dxa"/>
            </w:tcMar>
            <w:vAlign w:val="center"/>
          </w:tcPr>
          <w:p w14:paraId="421867C8">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建设性质</w:t>
            </w:r>
          </w:p>
        </w:tc>
        <w:tc>
          <w:tcPr>
            <w:tcW w:w="1968" w:type="dxa"/>
            <w:vAlign w:val="center"/>
          </w:tcPr>
          <w:p w14:paraId="3D5249B6">
            <w:pPr>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新建（迁建）</w:t>
            </w:r>
          </w:p>
          <w:p w14:paraId="18E28DBB">
            <w:pPr>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sym w:font="Wingdings 2" w:char="00A3"/>
            </w:r>
            <w:r>
              <w:rPr>
                <w:rFonts w:hint="default" w:ascii="Times New Roman" w:hAnsi="Times New Roman" w:eastAsia="宋体" w:cs="Times New Roman"/>
                <w:sz w:val="24"/>
                <w:highlight w:val="none"/>
              </w:rPr>
              <w:t>改建</w:t>
            </w:r>
          </w:p>
          <w:p w14:paraId="466404C4">
            <w:pPr>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sym w:font="Wingdings 2" w:char="00A3"/>
            </w:r>
            <w:r>
              <w:rPr>
                <w:rFonts w:hint="default" w:ascii="Times New Roman" w:hAnsi="Times New Roman" w:eastAsia="宋体" w:cs="Times New Roman"/>
                <w:sz w:val="24"/>
                <w:highlight w:val="none"/>
              </w:rPr>
              <w:t>扩建</w:t>
            </w:r>
          </w:p>
          <w:p w14:paraId="0617B823">
            <w:pPr>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sym w:font="Wingdings 2" w:char="00A3"/>
            </w:r>
            <w:r>
              <w:rPr>
                <w:rFonts w:hint="default" w:ascii="Times New Roman" w:hAnsi="Times New Roman" w:eastAsia="宋体" w:cs="Times New Roman"/>
                <w:sz w:val="24"/>
                <w:highlight w:val="none"/>
              </w:rPr>
              <w:t>技术改造</w:t>
            </w:r>
          </w:p>
        </w:tc>
        <w:tc>
          <w:tcPr>
            <w:tcW w:w="2134" w:type="dxa"/>
            <w:vAlign w:val="center"/>
          </w:tcPr>
          <w:p w14:paraId="56FFBD87">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建设项目申报情形</w:t>
            </w:r>
          </w:p>
        </w:tc>
        <w:tc>
          <w:tcPr>
            <w:tcW w:w="2639" w:type="dxa"/>
            <w:vAlign w:val="center"/>
          </w:tcPr>
          <w:p w14:paraId="2C16C155">
            <w:pPr>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 xml:space="preserve">☑首次申报项目             </w:t>
            </w:r>
          </w:p>
          <w:p w14:paraId="000392D4">
            <w:pPr>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sym w:font="Wingdings 2" w:char="00A3"/>
            </w:r>
            <w:r>
              <w:rPr>
                <w:rFonts w:hint="default" w:ascii="Times New Roman" w:hAnsi="Times New Roman" w:eastAsia="宋体" w:cs="Times New Roman"/>
                <w:sz w:val="24"/>
                <w:highlight w:val="none"/>
              </w:rPr>
              <w:t>不予批准后再次申报项目</w:t>
            </w:r>
          </w:p>
          <w:p w14:paraId="2424844B">
            <w:pPr>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sym w:font="Wingdings 2" w:char="00A3"/>
            </w:r>
            <w:r>
              <w:rPr>
                <w:rFonts w:hint="default" w:ascii="Times New Roman" w:hAnsi="Times New Roman" w:eastAsia="宋体" w:cs="Times New Roman"/>
                <w:sz w:val="24"/>
                <w:highlight w:val="none"/>
              </w:rPr>
              <w:t xml:space="preserve">超五年重新审核项目     </w:t>
            </w:r>
          </w:p>
          <w:p w14:paraId="27F3EA58">
            <w:pPr>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sym w:font="Wingdings 2" w:char="00A3"/>
            </w:r>
            <w:r>
              <w:rPr>
                <w:rFonts w:hint="default" w:ascii="Times New Roman" w:hAnsi="Times New Roman" w:eastAsia="宋体" w:cs="Times New Roman"/>
                <w:sz w:val="24"/>
                <w:highlight w:val="none"/>
              </w:rPr>
              <w:t>重大变动重新报批项目</w:t>
            </w:r>
          </w:p>
        </w:tc>
      </w:tr>
      <w:tr w14:paraId="176399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73" w:hRule="atLeast"/>
          <w:jc w:val="center"/>
        </w:trPr>
        <w:tc>
          <w:tcPr>
            <w:tcW w:w="2129" w:type="dxa"/>
            <w:tcMar>
              <w:top w:w="16" w:type="dxa"/>
              <w:left w:w="16" w:type="dxa"/>
              <w:right w:w="16" w:type="dxa"/>
            </w:tcMar>
            <w:vAlign w:val="center"/>
          </w:tcPr>
          <w:p w14:paraId="57EA1511">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项目审批（核准/备案）部门（选填）</w:t>
            </w:r>
          </w:p>
        </w:tc>
        <w:tc>
          <w:tcPr>
            <w:tcW w:w="1968" w:type="dxa"/>
            <w:vAlign w:val="center"/>
          </w:tcPr>
          <w:p w14:paraId="4A370B49">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北京经济技术开发区行政审批局</w:t>
            </w:r>
          </w:p>
        </w:tc>
        <w:tc>
          <w:tcPr>
            <w:tcW w:w="2134" w:type="dxa"/>
            <w:vAlign w:val="center"/>
          </w:tcPr>
          <w:p w14:paraId="3CB8CEC1">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项目审批（核准/</w:t>
            </w:r>
          </w:p>
          <w:p w14:paraId="18E096C9">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备案）文号（选填）</w:t>
            </w:r>
          </w:p>
        </w:tc>
        <w:tc>
          <w:tcPr>
            <w:tcW w:w="2639" w:type="dxa"/>
            <w:shd w:val="clear" w:color="auto" w:fill="auto"/>
            <w:vAlign w:val="center"/>
          </w:tcPr>
          <w:p w14:paraId="2B328C14">
            <w:pPr>
              <w:ind w:left="240" w:hanging="240" w:hangingChars="100"/>
              <w:jc w:val="center"/>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w:t>
            </w:r>
          </w:p>
        </w:tc>
      </w:tr>
      <w:tr w14:paraId="0743A8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9" w:type="dxa"/>
            <w:tcMar>
              <w:top w:w="16" w:type="dxa"/>
              <w:left w:w="16" w:type="dxa"/>
              <w:right w:w="16" w:type="dxa"/>
            </w:tcMar>
            <w:vAlign w:val="center"/>
          </w:tcPr>
          <w:p w14:paraId="62F14960">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总投资（万元）</w:t>
            </w:r>
          </w:p>
        </w:tc>
        <w:tc>
          <w:tcPr>
            <w:tcW w:w="1968" w:type="dxa"/>
            <w:vAlign w:val="center"/>
          </w:tcPr>
          <w:p w14:paraId="5D98C070">
            <w:pPr>
              <w:adjustRightInd w:val="0"/>
              <w:snapToGrid w:val="0"/>
              <w:jc w:val="center"/>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8888</w:t>
            </w:r>
          </w:p>
        </w:tc>
        <w:tc>
          <w:tcPr>
            <w:tcW w:w="2134" w:type="dxa"/>
            <w:tcMar>
              <w:top w:w="16" w:type="dxa"/>
              <w:left w:w="16" w:type="dxa"/>
              <w:right w:w="16" w:type="dxa"/>
            </w:tcMar>
            <w:vAlign w:val="center"/>
          </w:tcPr>
          <w:p w14:paraId="481B7D5A">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环保投资（万元）</w:t>
            </w:r>
          </w:p>
        </w:tc>
        <w:tc>
          <w:tcPr>
            <w:tcW w:w="2639" w:type="dxa"/>
            <w:vAlign w:val="center"/>
          </w:tcPr>
          <w:p w14:paraId="61A4B86A">
            <w:pPr>
              <w:adjustRightInd w:val="0"/>
              <w:snapToGrid w:val="0"/>
              <w:jc w:val="center"/>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300</w:t>
            </w:r>
          </w:p>
        </w:tc>
      </w:tr>
      <w:tr w14:paraId="1202BD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9" w:type="dxa"/>
            <w:tcMar>
              <w:top w:w="16" w:type="dxa"/>
              <w:left w:w="16" w:type="dxa"/>
              <w:right w:w="16" w:type="dxa"/>
            </w:tcMar>
            <w:vAlign w:val="center"/>
          </w:tcPr>
          <w:p w14:paraId="49ACC8D4">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环保投资占比（%）</w:t>
            </w:r>
          </w:p>
        </w:tc>
        <w:tc>
          <w:tcPr>
            <w:tcW w:w="1968" w:type="dxa"/>
            <w:vAlign w:val="center"/>
          </w:tcPr>
          <w:p w14:paraId="04A13E04">
            <w:pPr>
              <w:adjustRightInd w:val="0"/>
              <w:snapToGrid w:val="0"/>
              <w:jc w:val="center"/>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3.38</w:t>
            </w:r>
          </w:p>
        </w:tc>
        <w:tc>
          <w:tcPr>
            <w:tcW w:w="2134" w:type="dxa"/>
            <w:tcMar>
              <w:top w:w="16" w:type="dxa"/>
              <w:left w:w="16" w:type="dxa"/>
              <w:right w:w="16" w:type="dxa"/>
            </w:tcMar>
            <w:vAlign w:val="center"/>
          </w:tcPr>
          <w:p w14:paraId="38D4E07E">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施工工期</w:t>
            </w:r>
          </w:p>
        </w:tc>
        <w:tc>
          <w:tcPr>
            <w:tcW w:w="2639" w:type="dxa"/>
            <w:vAlign w:val="center"/>
          </w:tcPr>
          <w:p w14:paraId="59B50EB9">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2</w:t>
            </w:r>
            <w:r>
              <w:rPr>
                <w:rFonts w:hint="default" w:ascii="Times New Roman" w:hAnsi="Times New Roman" w:eastAsia="宋体" w:cs="Times New Roman"/>
                <w:sz w:val="24"/>
                <w:highlight w:val="none"/>
              </w:rPr>
              <w:t>个月</w:t>
            </w:r>
          </w:p>
        </w:tc>
      </w:tr>
      <w:tr w14:paraId="69B485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9" w:type="dxa"/>
            <w:tcMar>
              <w:top w:w="16" w:type="dxa"/>
              <w:left w:w="16" w:type="dxa"/>
              <w:right w:w="16" w:type="dxa"/>
            </w:tcMar>
            <w:vAlign w:val="center"/>
          </w:tcPr>
          <w:p w14:paraId="0E3DFEF4">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是否开工建设</w:t>
            </w:r>
          </w:p>
        </w:tc>
        <w:tc>
          <w:tcPr>
            <w:tcW w:w="1968" w:type="dxa"/>
            <w:vAlign w:val="center"/>
          </w:tcPr>
          <w:p w14:paraId="7B6A8ACA">
            <w:pPr>
              <w:adjustRightInd w:val="0"/>
              <w:snapToGrid w:val="0"/>
              <w:jc w:val="both"/>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☑否</w:t>
            </w:r>
          </w:p>
          <w:p w14:paraId="415B5168">
            <w:pPr>
              <w:adjustRightInd w:val="0"/>
              <w:snapToGrid w:val="0"/>
              <w:jc w:val="both"/>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sym w:font="Wingdings 2" w:char="00A3"/>
            </w:r>
            <w:r>
              <w:rPr>
                <w:rFonts w:hint="default" w:ascii="Times New Roman" w:hAnsi="Times New Roman" w:eastAsia="宋体" w:cs="Times New Roman"/>
                <w:sz w:val="24"/>
                <w:highlight w:val="none"/>
              </w:rPr>
              <w:t xml:space="preserve">是：             </w:t>
            </w:r>
          </w:p>
        </w:tc>
        <w:tc>
          <w:tcPr>
            <w:tcW w:w="2134" w:type="dxa"/>
            <w:tcMar>
              <w:top w:w="16" w:type="dxa"/>
              <w:left w:w="16" w:type="dxa"/>
              <w:right w:w="16" w:type="dxa"/>
            </w:tcMar>
            <w:vAlign w:val="center"/>
          </w:tcPr>
          <w:p w14:paraId="674EDD84">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用地（用海）</w:t>
            </w:r>
          </w:p>
          <w:p w14:paraId="57950FE1">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面积（m</w:t>
            </w:r>
            <w:r>
              <w:rPr>
                <w:rFonts w:hint="default" w:ascii="Times New Roman" w:hAnsi="Times New Roman" w:eastAsia="宋体" w:cs="Times New Roman"/>
                <w:sz w:val="24"/>
                <w:highlight w:val="none"/>
                <w:vertAlign w:val="superscript"/>
              </w:rPr>
              <w:t>2</w:t>
            </w:r>
            <w:r>
              <w:rPr>
                <w:rFonts w:hint="default" w:ascii="Times New Roman" w:hAnsi="Times New Roman" w:eastAsia="宋体" w:cs="Times New Roman"/>
                <w:sz w:val="24"/>
                <w:highlight w:val="none"/>
              </w:rPr>
              <w:t>）</w:t>
            </w:r>
          </w:p>
        </w:tc>
        <w:tc>
          <w:tcPr>
            <w:tcW w:w="2639" w:type="dxa"/>
            <w:vAlign w:val="center"/>
          </w:tcPr>
          <w:p w14:paraId="0C8F1F68">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2713.67</w:t>
            </w:r>
          </w:p>
        </w:tc>
      </w:tr>
      <w:tr w14:paraId="6D5BC5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2129" w:type="dxa"/>
            <w:vAlign w:val="center"/>
          </w:tcPr>
          <w:p w14:paraId="4D647DEF">
            <w:pPr>
              <w:autoSpaceDE w:val="0"/>
              <w:autoSpaceDN w:val="0"/>
              <w:adjustRightInd w:val="0"/>
              <w:snapToGrid w:val="0"/>
              <w:jc w:val="center"/>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专项评价设置情况</w:t>
            </w:r>
          </w:p>
        </w:tc>
        <w:tc>
          <w:tcPr>
            <w:tcW w:w="6741" w:type="dxa"/>
            <w:gridSpan w:val="3"/>
            <w:vAlign w:val="center"/>
          </w:tcPr>
          <w:p w14:paraId="23401B15">
            <w:pPr>
              <w:autoSpaceDE w:val="0"/>
              <w:autoSpaceDN w:val="0"/>
              <w:adjustRightInd w:val="0"/>
              <w:snapToGrid w:val="0"/>
              <w:jc w:val="center"/>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无</w:t>
            </w:r>
          </w:p>
        </w:tc>
      </w:tr>
      <w:tr w14:paraId="05B80E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129" w:type="dxa"/>
            <w:vAlign w:val="center"/>
          </w:tcPr>
          <w:p w14:paraId="74B97286">
            <w:pPr>
              <w:autoSpaceDE w:val="0"/>
              <w:autoSpaceDN w:val="0"/>
              <w:adjustRightInd w:val="0"/>
              <w:snapToGrid w:val="0"/>
              <w:jc w:val="center"/>
              <w:rPr>
                <w:rFonts w:hint="default" w:ascii="Times New Roman" w:hAnsi="Times New Roman" w:eastAsia="宋体" w:cs="Times New Roman"/>
                <w:kern w:val="0"/>
                <w:sz w:val="24"/>
                <w:highlight w:val="none"/>
              </w:rPr>
            </w:pPr>
            <w:r>
              <w:rPr>
                <w:rFonts w:hint="default" w:ascii="Times New Roman" w:hAnsi="Times New Roman" w:eastAsia="宋体" w:cs="Times New Roman"/>
                <w:sz w:val="24"/>
                <w:highlight w:val="none"/>
              </w:rPr>
              <w:t>规划情况</w:t>
            </w:r>
          </w:p>
        </w:tc>
        <w:tc>
          <w:tcPr>
            <w:tcW w:w="6741" w:type="dxa"/>
            <w:gridSpan w:val="3"/>
            <w:vAlign w:val="center"/>
          </w:tcPr>
          <w:p w14:paraId="096B71FF">
            <w:pPr>
              <w:widowControl/>
              <w:numPr>
                <w:ilvl w:val="0"/>
                <w:numId w:val="1"/>
              </w:numPr>
              <w:spacing w:line="360" w:lineRule="auto"/>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规划文件名称：《亦庄新城规划（国土空间规划）（2017年—2035年）》</w:t>
            </w:r>
          </w:p>
          <w:p w14:paraId="21FBF8E8">
            <w:pPr>
              <w:widowControl/>
              <w:numPr>
                <w:ilvl w:val="0"/>
                <w:numId w:val="0"/>
              </w:numPr>
              <w:spacing w:line="360" w:lineRule="auto"/>
              <w:ind w:firstLine="480" w:firstLineChars="200"/>
              <w:jc w:val="left"/>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审批机关</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北京市人民政府</w:t>
            </w:r>
          </w:p>
          <w:p w14:paraId="450FC780">
            <w:pPr>
              <w:widowControl/>
              <w:numPr>
                <w:ilvl w:val="0"/>
                <w:numId w:val="0"/>
              </w:numPr>
              <w:spacing w:line="360" w:lineRule="auto"/>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审批文件名称及文号：北京市人民政府关于对《亦庄新城规划（国土空间规划）（2017年-2035年）》的批复（2019.11.20）</w:t>
            </w:r>
            <w:r>
              <w:rPr>
                <w:rFonts w:hint="default" w:ascii="Times New Roman" w:hAnsi="Times New Roman" w:eastAsia="宋体" w:cs="Times New Roman"/>
                <w:color w:val="auto"/>
                <w:sz w:val="24"/>
                <w:highlight w:val="none"/>
                <w:lang w:eastAsia="zh-CN"/>
              </w:rPr>
              <w:t>。</w:t>
            </w:r>
          </w:p>
          <w:p w14:paraId="63ADCD2D">
            <w:pPr>
              <w:widowControl/>
              <w:numPr>
                <w:ilvl w:val="0"/>
                <w:numId w:val="1"/>
              </w:numPr>
              <w:spacing w:line="360" w:lineRule="auto"/>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规划文件名称：《落实</w:t>
            </w:r>
            <w:r>
              <w:rPr>
                <w:rFonts w:hint="eastAsia"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三区三线</w:t>
            </w:r>
            <w:r>
              <w:rPr>
                <w:rFonts w:hint="eastAsia"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&lt;亦庄新城规划(2017年-2035年）&gt;修改成果》</w:t>
            </w:r>
          </w:p>
          <w:p w14:paraId="1DA52FAF">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审批机关：北京市人民政府</w:t>
            </w:r>
          </w:p>
          <w:p w14:paraId="4B9F1857">
            <w:pPr>
              <w:widowControl/>
              <w:spacing w:line="360" w:lineRule="auto"/>
              <w:ind w:firstLine="480" w:firstLineChars="200"/>
              <w:jc w:val="left"/>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审批文件名称及文号：北京市人民政府关于对《北京市人民政府关于对朝阳等13个区分区规划及亦庄新城规划修改方案》的批复（2023.3.25）</w:t>
            </w:r>
            <w:r>
              <w:rPr>
                <w:rFonts w:hint="default" w:ascii="Times New Roman" w:hAnsi="Times New Roman" w:eastAsia="宋体" w:cs="Times New Roman"/>
                <w:color w:val="auto"/>
                <w:sz w:val="24"/>
                <w:highlight w:val="none"/>
                <w:lang w:eastAsia="zh-CN"/>
              </w:rPr>
              <w:t>。</w:t>
            </w:r>
          </w:p>
          <w:p w14:paraId="0EE1D511">
            <w:pPr>
              <w:widowControl/>
              <w:numPr>
                <w:ilvl w:val="0"/>
                <w:numId w:val="1"/>
              </w:numPr>
              <w:spacing w:line="360" w:lineRule="auto"/>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w:t>
            </w:r>
            <w:r>
              <w:rPr>
                <w:rFonts w:hint="eastAsia"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十四五</w:t>
            </w:r>
            <w:r>
              <w:rPr>
                <w:rFonts w:hint="eastAsia"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时期北京经济技术开发区发展建设和二O三五年远景目标规划》</w:t>
            </w:r>
            <w:bookmarkStart w:id="5" w:name="_GoBack"/>
            <w:bookmarkEnd w:id="5"/>
          </w:p>
          <w:p w14:paraId="08B79411">
            <w:pPr>
              <w:widowControl/>
              <w:spacing w:line="360" w:lineRule="auto"/>
              <w:ind w:firstLine="480" w:firstLineChars="200"/>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发布单位：北京经济技术开发区管理委员会</w:t>
            </w:r>
          </w:p>
        </w:tc>
      </w:tr>
      <w:tr w14:paraId="2B0177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129" w:type="dxa"/>
            <w:tcBorders>
              <w:top w:val="single" w:color="auto" w:sz="4" w:space="0"/>
              <w:left w:val="single" w:color="auto" w:sz="8" w:space="0"/>
              <w:bottom w:val="single" w:color="auto" w:sz="4" w:space="0"/>
              <w:right w:val="single" w:color="auto" w:sz="4" w:space="0"/>
            </w:tcBorders>
            <w:vAlign w:val="center"/>
          </w:tcPr>
          <w:p w14:paraId="01007D5E">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规划环境影响评价情况</w:t>
            </w:r>
          </w:p>
        </w:tc>
        <w:tc>
          <w:tcPr>
            <w:tcW w:w="6741" w:type="dxa"/>
            <w:gridSpan w:val="3"/>
            <w:tcBorders>
              <w:top w:val="single" w:color="auto" w:sz="4" w:space="0"/>
              <w:left w:val="single" w:color="auto" w:sz="4" w:space="0"/>
              <w:bottom w:val="single" w:color="auto" w:sz="4" w:space="0"/>
              <w:right w:val="single" w:color="auto" w:sz="8" w:space="0"/>
            </w:tcBorders>
            <w:vAlign w:val="center"/>
          </w:tcPr>
          <w:p w14:paraId="0AD634CD">
            <w:pPr>
              <w:widowControl/>
              <w:numPr>
                <w:ilvl w:val="0"/>
                <w:numId w:val="2"/>
              </w:numPr>
              <w:spacing w:line="360" w:lineRule="auto"/>
              <w:jc w:val="left"/>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bidi="ar"/>
              </w:rPr>
              <w:t>规划环境影响评价文件名称：《北京经济技术开发区区域环境影响报告书》</w:t>
            </w:r>
          </w:p>
          <w:p w14:paraId="56B4520C">
            <w:pPr>
              <w:widowControl/>
              <w:spacing w:line="360" w:lineRule="auto"/>
              <w:ind w:firstLine="480" w:firstLineChars="200"/>
              <w:jc w:val="left"/>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bidi="ar"/>
              </w:rPr>
              <w:t>审查机关：原国家环境保护总局</w:t>
            </w:r>
          </w:p>
          <w:p w14:paraId="5EBC76D4">
            <w:pPr>
              <w:widowControl/>
              <w:spacing w:line="360" w:lineRule="auto"/>
              <w:ind w:firstLine="480" w:firstLineChars="200"/>
              <w:jc w:val="left"/>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bidi="ar"/>
              </w:rPr>
              <w:t>审查文件名称及文号：《关于北京经济技术开发区区域环境影响报告书审查意见的复函》（环审[2005]535 号）</w:t>
            </w:r>
          </w:p>
          <w:p w14:paraId="7F278AB6">
            <w:pPr>
              <w:widowControl/>
              <w:numPr>
                <w:ilvl w:val="0"/>
                <w:numId w:val="2"/>
              </w:numPr>
              <w:spacing w:line="360" w:lineRule="auto"/>
              <w:jc w:val="left"/>
              <w:rPr>
                <w:rFonts w:hint="default" w:ascii="Times New Roman" w:hAnsi="Times New Roman" w:eastAsia="宋体" w:cs="Times New Roman"/>
                <w:sz w:val="24"/>
                <w:szCs w:val="32"/>
                <w:highlight w:val="none"/>
              </w:rPr>
            </w:pPr>
            <w:r>
              <w:rPr>
                <w:rFonts w:hint="default" w:ascii="Times New Roman" w:hAnsi="Times New Roman" w:eastAsia="宋体" w:cs="Times New Roman"/>
                <w:kern w:val="0"/>
                <w:sz w:val="24"/>
                <w:highlight w:val="none"/>
                <w:lang w:bidi="ar"/>
              </w:rPr>
              <w:t>规划环境影响评价文件名称：《北京经济技术开发区</w:t>
            </w:r>
            <w:r>
              <w:rPr>
                <w:rFonts w:hint="eastAsia" w:ascii="Times New Roman" w:hAnsi="Times New Roman" w:eastAsia="宋体" w:cs="Times New Roman"/>
                <w:kern w:val="0"/>
                <w:sz w:val="24"/>
                <w:highlight w:val="none"/>
                <w:lang w:eastAsia="zh-CN" w:bidi="ar"/>
              </w:rPr>
              <w:t>“</w:t>
            </w:r>
            <w:r>
              <w:rPr>
                <w:rFonts w:hint="default" w:ascii="Times New Roman" w:hAnsi="Times New Roman" w:eastAsia="宋体" w:cs="Times New Roman"/>
                <w:kern w:val="0"/>
                <w:sz w:val="24"/>
                <w:highlight w:val="none"/>
                <w:lang w:bidi="ar"/>
              </w:rPr>
              <w:t>十三五</w:t>
            </w:r>
            <w:r>
              <w:rPr>
                <w:rFonts w:hint="eastAsia" w:ascii="Times New Roman" w:hAnsi="Times New Roman" w:eastAsia="宋体" w:cs="Times New Roman"/>
                <w:kern w:val="0"/>
                <w:sz w:val="24"/>
                <w:highlight w:val="none"/>
                <w:lang w:eastAsia="zh-CN" w:bidi="ar"/>
              </w:rPr>
              <w:t>”</w:t>
            </w:r>
            <w:r>
              <w:rPr>
                <w:rFonts w:hint="default" w:ascii="Times New Roman" w:hAnsi="Times New Roman" w:eastAsia="宋体" w:cs="Times New Roman"/>
                <w:kern w:val="0"/>
                <w:sz w:val="24"/>
                <w:highlight w:val="none"/>
                <w:lang w:bidi="ar"/>
              </w:rPr>
              <w:t>时期创新发展规划环境影响篇章》（北京市环境保护科学研究院2016年11月编制）</w:t>
            </w:r>
          </w:p>
        </w:tc>
      </w:tr>
      <w:tr w14:paraId="5068B6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68" w:hRule="atLeast"/>
          <w:jc w:val="center"/>
        </w:trPr>
        <w:tc>
          <w:tcPr>
            <w:tcW w:w="2129" w:type="dxa"/>
            <w:tcBorders>
              <w:top w:val="single" w:color="auto" w:sz="4" w:space="0"/>
              <w:left w:val="single" w:color="auto" w:sz="8" w:space="0"/>
              <w:bottom w:val="single" w:color="auto" w:sz="4" w:space="0"/>
              <w:right w:val="single" w:color="auto" w:sz="4" w:space="0"/>
            </w:tcBorders>
            <w:vAlign w:val="center"/>
          </w:tcPr>
          <w:p w14:paraId="724AC9AB">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规划及规划环境影响评价符合性分析</w:t>
            </w:r>
          </w:p>
        </w:tc>
        <w:tc>
          <w:tcPr>
            <w:tcW w:w="6741" w:type="dxa"/>
            <w:gridSpan w:val="3"/>
            <w:tcBorders>
              <w:top w:val="single" w:color="auto" w:sz="4" w:space="0"/>
              <w:left w:val="single" w:color="auto" w:sz="4" w:space="0"/>
              <w:bottom w:val="single" w:color="auto" w:sz="4" w:space="0"/>
              <w:right w:val="single" w:color="auto" w:sz="8" w:space="0"/>
            </w:tcBorders>
            <w:vAlign w:val="center"/>
          </w:tcPr>
          <w:p w14:paraId="3A279943">
            <w:pPr>
              <w:widowControl/>
              <w:numPr>
                <w:ilvl w:val="0"/>
                <w:numId w:val="3"/>
              </w:numPr>
              <w:spacing w:line="360" w:lineRule="auto"/>
              <w:ind w:firstLine="482" w:firstLineChars="200"/>
              <w:jc w:val="left"/>
              <w:rPr>
                <w:rFonts w:hint="default" w:ascii="Times New Roman" w:hAnsi="Times New Roman" w:eastAsia="宋体" w:cs="Times New Roman"/>
                <w:b/>
                <w:bCs/>
                <w:kern w:val="0"/>
                <w:sz w:val="24"/>
                <w:highlight w:val="none"/>
                <w:lang w:bidi="ar"/>
              </w:rPr>
            </w:pPr>
            <w:r>
              <w:rPr>
                <w:rFonts w:hint="default" w:ascii="Times New Roman" w:hAnsi="Times New Roman" w:eastAsia="宋体" w:cs="Times New Roman"/>
                <w:b/>
                <w:bCs/>
                <w:kern w:val="0"/>
                <w:sz w:val="24"/>
                <w:highlight w:val="none"/>
                <w:lang w:bidi="ar"/>
              </w:rPr>
              <w:t>与《亦庄新城规划（国土空间规划）》（2017年-2035年）的符合性分析</w:t>
            </w:r>
          </w:p>
          <w:p w14:paraId="1C2F67CC">
            <w:pPr>
              <w:widowControl/>
              <w:spacing w:line="360" w:lineRule="auto"/>
              <w:ind w:firstLine="480" w:firstLineChars="200"/>
              <w:jc w:val="left"/>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bidi="ar"/>
              </w:rPr>
              <w:t>根据《亦庄新城分区规划（2017年-2035年）》，亦庄新城功能定位是建设具有全球影响力的创新型产业集群和科技服务中心；首都东南部区域创新发展协同区；战略性新兴产业基地及制造业转型升级示范区；宜业宜居绿色城区。</w:t>
            </w:r>
          </w:p>
          <w:p w14:paraId="61ADC962">
            <w:pPr>
              <w:widowControl/>
              <w:spacing w:line="360" w:lineRule="auto"/>
              <w:ind w:firstLine="480" w:firstLineChars="200"/>
              <w:jc w:val="left"/>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bidi="ar"/>
              </w:rPr>
              <w:t>其中产业规划中提出聚焦四大产业集群，强化自主创新能力：发挥科技创新引领作用，提高优势产业发展水平，围绕四大主导产业打造前沿技术创新中心，加强应用基础研究，建立以企业为主体的技术创新体系。推动产学研深度融合和创新链协同，努力实现颠覆性技术创新，在更高层次、更大范围发挥科技创新的引领作用。</w:t>
            </w:r>
          </w:p>
          <w:p w14:paraId="52A3CB6C">
            <w:pPr>
              <w:widowControl/>
              <w:spacing w:line="360" w:lineRule="auto"/>
              <w:ind w:firstLine="480" w:firstLineChars="200"/>
              <w:jc w:val="left"/>
              <w:rPr>
                <w:rFonts w:hint="default" w:ascii="Times New Roman" w:hAnsi="Times New Roman" w:eastAsia="宋体" w:cs="Times New Roman"/>
                <w:kern w:val="0"/>
                <w:sz w:val="24"/>
                <w:highlight w:val="none"/>
                <w:lang w:val="en-US" w:eastAsia="zh-CN" w:bidi="ar"/>
              </w:rPr>
            </w:pPr>
            <w:r>
              <w:rPr>
                <w:rFonts w:hint="default" w:ascii="Times New Roman" w:hAnsi="Times New Roman" w:eastAsia="宋体" w:cs="Times New Roman"/>
                <w:kern w:val="0"/>
                <w:sz w:val="24"/>
                <w:highlight w:val="none"/>
                <w:lang w:bidi="ar"/>
              </w:rPr>
              <w:t>本项目位于新城核心地区，建设</w:t>
            </w:r>
            <w:r>
              <w:rPr>
                <w:rFonts w:hint="default" w:ascii="Times New Roman" w:hAnsi="Times New Roman" w:eastAsia="宋体" w:cs="Times New Roman"/>
                <w:sz w:val="24"/>
                <w:highlight w:val="none"/>
                <w:lang w:val="en-US" w:eastAsia="zh-CN"/>
              </w:rPr>
              <w:t>先进材料研究院装修项目</w:t>
            </w:r>
            <w:r>
              <w:rPr>
                <w:rFonts w:hint="default" w:ascii="Times New Roman" w:hAnsi="Times New Roman" w:eastAsia="宋体" w:cs="Times New Roman"/>
                <w:color w:val="auto"/>
                <w:kern w:val="0"/>
                <w:sz w:val="24"/>
                <w:highlight w:val="none"/>
                <w:lang w:val="en-US" w:eastAsia="zh-CN" w:bidi="ar"/>
              </w:rPr>
              <w:t>，</w:t>
            </w:r>
            <w:r>
              <w:rPr>
                <w:rFonts w:hint="default" w:ascii="Times New Roman" w:hAnsi="Times New Roman" w:eastAsia="宋体" w:cs="Times New Roman"/>
                <w:color w:val="auto"/>
                <w:sz w:val="21"/>
                <w:highlight w:val="none"/>
              </w:rPr>
              <mc:AlternateContent>
                <mc:Choice Requires="wpg">
                  <w:drawing>
                    <wp:anchor distT="0" distB="0" distL="114300" distR="114300" simplePos="0" relativeHeight="251669504" behindDoc="0" locked="0" layoutInCell="1" allowOverlap="1">
                      <wp:simplePos x="0" y="0"/>
                      <wp:positionH relativeFrom="column">
                        <wp:posOffset>271780</wp:posOffset>
                      </wp:positionH>
                      <wp:positionV relativeFrom="page">
                        <wp:posOffset>1356360</wp:posOffset>
                      </wp:positionV>
                      <wp:extent cx="3542030" cy="3544570"/>
                      <wp:effectExtent l="0" t="0" r="8890" b="6350"/>
                      <wp:wrapTopAndBottom/>
                      <wp:docPr id="54" name="组合 54"/>
                      <wp:cNvGraphicFramePr/>
                      <a:graphic xmlns:a="http://schemas.openxmlformats.org/drawingml/2006/main">
                        <a:graphicData uri="http://schemas.microsoft.com/office/word/2010/wordprocessingGroup">
                          <wpg:wgp>
                            <wpg:cNvGrpSpPr/>
                            <wpg:grpSpPr>
                              <a:xfrm>
                                <a:off x="0" y="0"/>
                                <a:ext cx="3542030" cy="3544570"/>
                                <a:chOff x="5519" y="147258"/>
                                <a:chExt cx="4337" cy="5082"/>
                              </a:xfrm>
                            </wpg:grpSpPr>
                            <pic:pic xmlns:pic="http://schemas.openxmlformats.org/drawingml/2006/picture">
                              <pic:nvPicPr>
                                <pic:cNvPr id="73" name="图片 4"/>
                                <pic:cNvPicPr>
                                  <a:picLocks noChangeAspect="1"/>
                                </pic:cNvPicPr>
                              </pic:nvPicPr>
                              <pic:blipFill>
                                <a:blip r:embed="rId6"/>
                                <a:srcRect/>
                                <a:stretch>
                                  <a:fillRect/>
                                </a:stretch>
                              </pic:blipFill>
                              <pic:spPr>
                                <a:xfrm>
                                  <a:off x="5519" y="147258"/>
                                  <a:ext cx="4337" cy="5082"/>
                                </a:xfrm>
                                <a:prstGeom prst="rect">
                                  <a:avLst/>
                                </a:prstGeom>
                                <a:noFill/>
                                <a:ln>
                                  <a:noFill/>
                                </a:ln>
                              </pic:spPr>
                            </pic:pic>
                            <wps:wsp>
                              <wps:cNvPr id="76" name="文本框 17"/>
                              <wps:cNvSpPr txBox="1"/>
                              <wps:spPr>
                                <a:xfrm>
                                  <a:off x="7552" y="148005"/>
                                  <a:ext cx="1093" cy="404"/>
                                </a:xfrm>
                                <a:prstGeom prst="wedgeRectCallout">
                                  <a:avLst>
                                    <a:gd name="adj1" fmla="val -52056"/>
                                    <a:gd name="adj2" fmla="val 103885"/>
                                  </a:avLst>
                                </a:prstGeom>
                                <a:solidFill>
                                  <a:schemeClr val="bg1"/>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14:paraId="7D9A025A">
                                    <w:pPr>
                                      <w:ind w:left="0" w:leftChars="0" w:firstLine="0" w:firstLineChars="0"/>
                                      <w:jc w:val="center"/>
                                      <w:rPr>
                                        <w:rFonts w:hint="eastAsia"/>
                                        <w:color w:val="auto"/>
                                        <w:lang w:eastAsia="zh-CN"/>
                                      </w:rPr>
                                    </w:pPr>
                                    <w:r>
                                      <w:rPr>
                                        <w:rFonts w:hint="eastAsia"/>
                                        <w:color w:val="auto"/>
                                        <w:lang w:eastAsia="zh-CN"/>
                                      </w:rPr>
                                      <w:t>本项目</w:t>
                                    </w:r>
                                  </w:p>
                                  <w:p w14:paraId="036D4EE4">
                                    <w:pPr>
                                      <w:pStyle w:val="5"/>
                                      <w:rPr>
                                        <w:rFonts w:hint="eastAsia"/>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2" name="五角星 13"/>
                              <wps:cNvSpPr/>
                              <wps:spPr>
                                <a:xfrm>
                                  <a:off x="7366" y="148580"/>
                                  <a:ext cx="120" cy="120"/>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1.4pt;margin-top:106.8pt;height:279.1pt;width:278.9pt;mso-position-vertical-relative:page;mso-wrap-distance-bottom:0pt;mso-wrap-distance-top:0pt;z-index:251669504;mso-width-relative:page;mso-height-relative:page;" coordorigin="5519,147258" coordsize="4337,5082" o:gfxdata="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">
                      <o:lock v:ext="edit" aspectratio="f"/>
                      <v:shape id="图片 4" o:spid="_x0000_s1026" o:spt="75" type="#_x0000_t75" style="position:absolute;left:5519;top:147258;height:5082;width:4337;" filled="f" o:preferrelative="t" stroked="f" coordsize="21600,21600" o:gfxdata="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dZgkvQAA&#10;ANsAAAAPAAAAAAAAAAEAIAAAACIAAABkcnMvZG93bnJldi54bWxQSwECFAAUAAAACACHTuJAMy8F&#10;njsAAAA5AAAAEAAAAAAAAAABACAAAAAMAQAAZHJzL3NoYXBleG1sLnhtbFBLBQYAAAAABgAGAFsB&#10;AAC2AwAAAAA=&#10;">
                        <v:fill on="f" focussize="0,0"/>
                        <v:stroke on="f"/>
                        <v:imagedata r:id="rId6" o:title=""/>
                        <o:lock v:ext="edit" aspectratio="t"/>
                      </v:shape>
                      <v:shape id="文本框 17" o:spid="_x0000_s1026" o:spt="61" type="#_x0000_t61" style="position:absolute;left:7552;top:148005;height:404;width:1093;" fillcolor="#CCE8CF [3212]" filled="t" stroked="t" coordsize="21600,21600" o:gfxdata="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MvQvQAA&#10;ANsAAAAPAAAAAAAAAAEAIAAAACIAAABkcnMvZG93bnJldi54bWxQSwECFAAUAAAACACHTuJAMy8F&#10;njsAAAA5AAAAEAAAAAAAAAABACAAAAAMAQAAZHJzL3NoYXBleG1sLnhtbFBLBQYAAAAABgAGAFsB&#10;AAC2AwAAAAA=&#10;" adj="-444,33239">
                        <v:fill on="t" focussize="0,0"/>
                        <v:stroke weight="0.5pt" color="#FF0000 [3204]" joinstyle="round"/>
                        <v:imagedata o:title=""/>
                        <o:lock v:ext="edit" aspectratio="f"/>
                        <v:textbox>
                          <w:txbxContent>
                            <w:p w14:paraId="7D9A025A">
                              <w:pPr>
                                <w:ind w:left="0" w:leftChars="0" w:firstLine="0" w:firstLineChars="0"/>
                                <w:jc w:val="center"/>
                                <w:rPr>
                                  <w:rFonts w:hint="eastAsia"/>
                                  <w:color w:val="auto"/>
                                  <w:lang w:eastAsia="zh-CN"/>
                                </w:rPr>
                              </w:pPr>
                              <w:r>
                                <w:rPr>
                                  <w:rFonts w:hint="eastAsia"/>
                                  <w:color w:val="auto"/>
                                  <w:lang w:eastAsia="zh-CN"/>
                                </w:rPr>
                                <w:t>本项目</w:t>
                              </w:r>
                            </w:p>
                            <w:p w14:paraId="036D4EE4">
                              <w:pPr>
                                <w:pStyle w:val="5"/>
                                <w:rPr>
                                  <w:rFonts w:hint="eastAsia"/>
                                  <w:lang w:eastAsia="zh-CN"/>
                                </w:rPr>
                              </w:pPr>
                            </w:p>
                          </w:txbxContent>
                        </v:textbox>
                      </v:shape>
                      <v:shape id="五角星 13" o:spid="_x0000_s1026" style="position:absolute;left:7366;top:148580;height:120;width:120;v-text-anchor:middle;" fillcolor="#FF0000" filled="t" stroked="t" coordsize="120,120" o:gfxdata="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bZX/rsAAADc&#10;AAAADwAAAAAAAAABACAAAAAiAAAAZHJzL2Rvd25yZXYueG1sUEsBAhQAFAAAAAgAh07iQDMvBZ47&#10;AAAAOQAAABAAAAAAAAAAAQAgAAAACgEAAGRycy9zaGFwZXhtbC54bWxQSwUGAAAAAAYABgBbAQAA&#10;tAMAAAAA&#10;" path="m0,45l45,45,60,0,74,45,119,45,82,74,97,119,60,91,22,119,37,74xe">
                        <v:path o:connectlocs="60,0;0,45;22,119;97,119;119,45" o:connectangles="247,164,82,82,0"/>
                        <v:fill on="t" focussize="0,0"/>
                        <v:stroke weight="1pt" color="#FF0000 [3204]" miterlimit="8" joinstyle="miter"/>
                        <v:imagedata o:title=""/>
                        <o:lock v:ext="edit" aspectratio="f"/>
                      </v:shape>
                      <w10:wrap type="topAndBottom"/>
                    </v:group>
                  </w:pict>
                </mc:Fallback>
              </mc:AlternateContent>
            </w:r>
            <w:r>
              <w:rPr>
                <w:rFonts w:hint="default" w:ascii="Times New Roman" w:hAnsi="Times New Roman" w:eastAsia="宋体" w:cs="Times New Roman"/>
                <w:color w:val="auto"/>
                <w:kern w:val="0"/>
                <w:sz w:val="24"/>
                <w:highlight w:val="none"/>
                <w:lang w:val="en-US" w:eastAsia="zh-CN" w:bidi="ar"/>
              </w:rPr>
              <w:t>从事新材料研发，</w:t>
            </w:r>
            <w:r>
              <w:rPr>
                <w:rFonts w:hint="default" w:ascii="Times New Roman" w:hAnsi="Times New Roman" w:eastAsia="宋体" w:cs="Times New Roman"/>
                <w:kern w:val="0"/>
                <w:sz w:val="24"/>
                <w:highlight w:val="none"/>
                <w:lang w:bidi="ar"/>
              </w:rPr>
              <w:t>加强应用基础研究，建立以企业为主体的技术创新体系</w:t>
            </w:r>
            <w:r>
              <w:rPr>
                <w:rFonts w:hint="eastAsia" w:ascii="Times New Roman" w:hAnsi="Times New Roman" w:eastAsia="宋体" w:cs="Times New Roman"/>
                <w:color w:val="auto"/>
                <w:kern w:val="0"/>
                <w:sz w:val="24"/>
                <w:highlight w:val="none"/>
                <w:lang w:val="en-US" w:eastAsia="zh-CN" w:bidi="ar"/>
              </w:rPr>
              <w:t>”</w:t>
            </w:r>
            <w:r>
              <w:rPr>
                <w:rFonts w:hint="default" w:ascii="Times New Roman" w:hAnsi="Times New Roman" w:eastAsia="宋体" w:cs="Times New Roman"/>
                <w:color w:val="auto"/>
                <w:kern w:val="0"/>
                <w:sz w:val="24"/>
                <w:highlight w:val="none"/>
                <w:lang w:val="en-US" w:eastAsia="zh-CN" w:bidi="ar"/>
              </w:rPr>
              <w:t>的要求</w:t>
            </w:r>
            <w:r>
              <w:rPr>
                <w:rFonts w:hint="default" w:ascii="Times New Roman" w:hAnsi="Times New Roman" w:eastAsia="宋体" w:cs="Times New Roman"/>
                <w:color w:val="auto"/>
                <w:kern w:val="0"/>
                <w:sz w:val="24"/>
                <w:highlight w:val="none"/>
                <w:lang w:bidi="ar"/>
              </w:rPr>
              <w:t>，</w:t>
            </w:r>
            <w:r>
              <w:rPr>
                <w:rFonts w:hint="default" w:ascii="Times New Roman" w:hAnsi="Times New Roman" w:eastAsia="宋体" w:cs="Times New Roman"/>
                <w:kern w:val="0"/>
                <w:sz w:val="24"/>
                <w:highlight w:val="none"/>
                <w:lang w:bidi="ar"/>
              </w:rPr>
              <w:t>符合《亦庄新城规划（国土空间规划）（2017 年-2035 年）》</w:t>
            </w:r>
            <w:r>
              <w:rPr>
                <w:rFonts w:hint="default" w:ascii="Times New Roman" w:hAnsi="Times New Roman" w:eastAsia="宋体" w:cs="Times New Roman"/>
                <w:kern w:val="0"/>
                <w:sz w:val="24"/>
                <w:highlight w:val="none"/>
                <w:lang w:eastAsia="zh-CN" w:bidi="ar"/>
              </w:rPr>
              <w:t>，本项目在亦庄新城规划图的位置示意图见</w:t>
            </w:r>
            <w:r>
              <w:rPr>
                <w:rFonts w:hint="default" w:ascii="Times New Roman" w:hAnsi="Times New Roman" w:eastAsia="宋体" w:cs="Times New Roman"/>
                <w:kern w:val="0"/>
                <w:sz w:val="24"/>
                <w:highlight w:val="none"/>
                <w:lang w:val="en-US" w:eastAsia="zh-CN" w:bidi="ar"/>
              </w:rPr>
              <w:t>下</w:t>
            </w:r>
            <w:r>
              <w:rPr>
                <w:rFonts w:hint="default" w:ascii="Times New Roman" w:hAnsi="Times New Roman" w:eastAsia="宋体" w:cs="Times New Roman"/>
                <w:kern w:val="0"/>
                <w:sz w:val="24"/>
                <w:highlight w:val="none"/>
                <w:lang w:eastAsia="zh-CN" w:bidi="ar"/>
              </w:rPr>
              <w:t>图。</w:t>
            </w:r>
          </w:p>
          <w:p w14:paraId="40E44A4C">
            <w:pPr>
              <w:widowControl/>
              <w:numPr>
                <w:ilvl w:val="0"/>
                <w:numId w:val="4"/>
              </w:numPr>
              <w:spacing w:line="360" w:lineRule="auto"/>
              <w:ind w:left="425" w:leftChars="0" w:hanging="425" w:firstLineChars="0"/>
              <w:jc w:val="center"/>
              <w:rPr>
                <w:rFonts w:hint="default" w:ascii="Times New Roman" w:hAnsi="Times New Roman" w:eastAsia="宋体" w:cs="Times New Roman"/>
                <w:b/>
                <w:bCs/>
                <w:kern w:val="0"/>
                <w:sz w:val="24"/>
                <w:highlight w:val="none"/>
                <w:lang w:bidi="ar"/>
              </w:rPr>
            </w:pPr>
            <w:r>
              <w:rPr>
                <w:rFonts w:hint="default" w:ascii="Times New Roman" w:hAnsi="Times New Roman" w:eastAsia="宋体" w:cs="Times New Roman"/>
                <w:b/>
                <w:bCs/>
                <w:kern w:val="0"/>
                <w:sz w:val="24"/>
                <w:highlight w:val="none"/>
                <w:lang w:eastAsia="zh-CN" w:bidi="ar"/>
              </w:rPr>
              <w:t>项目在亦庄新城规划图的位置</w:t>
            </w:r>
          </w:p>
          <w:p w14:paraId="3A07997B">
            <w:pPr>
              <w:widowControl/>
              <w:numPr>
                <w:ilvl w:val="0"/>
                <w:numId w:val="3"/>
              </w:numPr>
              <w:spacing w:line="360" w:lineRule="auto"/>
              <w:ind w:firstLine="482" w:firstLineChars="200"/>
              <w:jc w:val="left"/>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b/>
                <w:bCs/>
                <w:kern w:val="0"/>
                <w:sz w:val="24"/>
                <w:highlight w:val="none"/>
                <w:lang w:val="en-US" w:eastAsia="zh-CN" w:bidi="ar"/>
              </w:rPr>
              <w:t>与《落实</w:t>
            </w:r>
            <w:r>
              <w:rPr>
                <w:rFonts w:hint="eastAsia" w:ascii="Times New Roman" w:hAnsi="Times New Roman" w:eastAsia="宋体" w:cs="Times New Roman"/>
                <w:b/>
                <w:bCs/>
                <w:kern w:val="0"/>
                <w:sz w:val="24"/>
                <w:highlight w:val="none"/>
                <w:lang w:val="en-US" w:eastAsia="zh-CN" w:bidi="ar"/>
              </w:rPr>
              <w:t>“</w:t>
            </w:r>
            <w:r>
              <w:rPr>
                <w:rFonts w:hint="default" w:ascii="Times New Roman" w:hAnsi="Times New Roman" w:eastAsia="宋体" w:cs="Times New Roman"/>
                <w:b/>
                <w:bCs/>
                <w:kern w:val="0"/>
                <w:sz w:val="24"/>
                <w:highlight w:val="none"/>
                <w:lang w:val="en-US" w:eastAsia="zh-CN" w:bidi="ar"/>
              </w:rPr>
              <w:t>三区三线</w:t>
            </w:r>
            <w:r>
              <w:rPr>
                <w:rFonts w:hint="eastAsia" w:ascii="Times New Roman" w:hAnsi="Times New Roman" w:eastAsia="宋体" w:cs="Times New Roman"/>
                <w:b/>
                <w:bCs/>
                <w:kern w:val="0"/>
                <w:sz w:val="24"/>
                <w:highlight w:val="none"/>
                <w:lang w:val="en-US" w:eastAsia="zh-CN" w:bidi="ar"/>
              </w:rPr>
              <w:t>”</w:t>
            </w:r>
            <w:r>
              <w:rPr>
                <w:rFonts w:hint="default" w:ascii="Times New Roman" w:hAnsi="Times New Roman" w:eastAsia="宋体" w:cs="Times New Roman"/>
                <w:b/>
                <w:bCs/>
                <w:kern w:val="0"/>
                <w:sz w:val="24"/>
                <w:highlight w:val="none"/>
                <w:lang w:val="en-US" w:eastAsia="zh-CN" w:bidi="ar"/>
              </w:rPr>
              <w:t xml:space="preserve">&lt;亦庄新城规划（2017 年-2035 年）&gt;修改成果》符合性分析 </w:t>
            </w:r>
          </w:p>
          <w:p w14:paraId="25285B08">
            <w:pPr>
              <w:widowControl/>
              <w:spacing w:line="360" w:lineRule="auto"/>
              <w:ind w:firstLine="480" w:firstLineChars="20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kern w:val="0"/>
                <w:sz w:val="24"/>
                <w:highlight w:val="none"/>
                <w:lang w:val="en-US" w:eastAsia="zh-CN" w:bidi="ar"/>
              </w:rPr>
              <w:t>根据《落实</w:t>
            </w:r>
            <w:r>
              <w:rPr>
                <w:rFonts w:hint="eastAsia" w:ascii="Times New Roman" w:hAnsi="Times New Roman" w:eastAsia="宋体" w:cs="Times New Roman"/>
                <w:kern w:val="0"/>
                <w:sz w:val="24"/>
                <w:highlight w:val="none"/>
                <w:lang w:val="en-US" w:eastAsia="zh-CN" w:bidi="ar"/>
              </w:rPr>
              <w:t>“</w:t>
            </w:r>
            <w:r>
              <w:rPr>
                <w:rFonts w:hint="default" w:ascii="Times New Roman" w:hAnsi="Times New Roman" w:eastAsia="宋体" w:cs="Times New Roman"/>
                <w:kern w:val="0"/>
                <w:sz w:val="24"/>
                <w:highlight w:val="none"/>
                <w:lang w:val="en-US" w:eastAsia="zh-CN" w:bidi="ar"/>
              </w:rPr>
              <w:t>三区三线</w:t>
            </w:r>
            <w:r>
              <w:rPr>
                <w:rFonts w:hint="eastAsia" w:ascii="Times New Roman" w:hAnsi="Times New Roman" w:eastAsia="宋体" w:cs="Times New Roman"/>
                <w:kern w:val="0"/>
                <w:sz w:val="24"/>
                <w:highlight w:val="none"/>
                <w:lang w:val="en-US" w:eastAsia="zh-CN" w:bidi="ar"/>
              </w:rPr>
              <w:t>”</w:t>
            </w:r>
            <w:r>
              <w:rPr>
                <w:rFonts w:hint="default" w:ascii="Times New Roman" w:hAnsi="Times New Roman" w:eastAsia="宋体" w:cs="Times New Roman"/>
                <w:kern w:val="0"/>
                <w:sz w:val="24"/>
                <w:highlight w:val="none"/>
                <w:lang w:val="en-US" w:eastAsia="zh-CN" w:bidi="ar"/>
              </w:rPr>
              <w:t>&lt;北京市人民政府关于朝阳等13个区分区规划及亦庄新城规划修改方案的批复&gt;修改成果》及北京市人民政府《关于朝阳等13个区分区规划及亦庄新城规划修改方案的批复》（2023 年3月25日），亦庄新城规划（2017年-2035年）修改后，亦庄新城不再涉及生态保护红线，</w:t>
            </w:r>
            <w:r>
              <w:rPr>
                <w:rFonts w:hint="default" w:ascii="Times New Roman" w:hAnsi="Times New Roman" w:eastAsia="宋体" w:cs="Times New Roman"/>
                <w:color w:val="000000"/>
                <w:kern w:val="0"/>
                <w:sz w:val="24"/>
                <w:szCs w:val="24"/>
                <w:lang w:val="en-US" w:eastAsia="zh-CN" w:bidi="ar"/>
              </w:rPr>
              <w:t>两线三区规划图、国土空间规划分区图亦进行更新。对照修改成果，本项目位于亦庄新城规划区的集中建设区，用地性质为</w:t>
            </w:r>
            <w:r>
              <w:rPr>
                <w:rFonts w:hint="default" w:ascii="Times New Roman" w:hAnsi="Times New Roman" w:eastAsia="宋体" w:cs="Times New Roman"/>
                <w:color w:val="auto"/>
                <w:kern w:val="0"/>
                <w:sz w:val="24"/>
                <w:szCs w:val="24"/>
                <w:lang w:val="en-US" w:eastAsia="zh-CN" w:bidi="ar"/>
              </w:rPr>
              <w:t>工业用地</w:t>
            </w:r>
            <w:r>
              <w:rPr>
                <w:rFonts w:hint="default" w:ascii="Times New Roman" w:hAnsi="Times New Roman" w:eastAsia="宋体" w:cs="Times New Roman"/>
                <w:color w:val="000000"/>
                <w:kern w:val="0"/>
                <w:sz w:val="24"/>
                <w:szCs w:val="24"/>
                <w:lang w:val="en-US" w:eastAsia="zh-CN" w:bidi="ar"/>
              </w:rPr>
              <w:t>，符合《落实</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三区三线</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&lt;北京市人民政府关于朝阳等13个区分区规划及亦庄新城规划修改方案的批复&gt;修改成果》及其批复的要求。项目在亦庄新城两线三区规划图(修改版)中位置见下图。</w:t>
            </w:r>
          </w:p>
          <w:p w14:paraId="2DC3BEC0">
            <w:pPr>
              <w:widowControl/>
              <w:numPr>
                <w:ilvl w:val="0"/>
                <w:numId w:val="4"/>
              </w:numPr>
              <w:spacing w:line="360" w:lineRule="auto"/>
              <w:ind w:left="425" w:leftChars="0" w:hanging="425" w:firstLineChars="0"/>
              <w:jc w:val="center"/>
              <w:rPr>
                <w:rFonts w:hint="default" w:ascii="Times New Roman" w:hAnsi="Times New Roman" w:eastAsia="宋体" w:cs="Times New Roman"/>
                <w:b/>
                <w:bCs/>
                <w:kern w:val="0"/>
                <w:sz w:val="24"/>
                <w:highlight w:val="none"/>
                <w:lang w:val="en-US" w:eastAsia="zh-CN" w:bidi="ar"/>
              </w:rPr>
            </w:pPr>
            <w:r>
              <w:rPr>
                <w:rFonts w:hint="default" w:ascii="Times New Roman" w:hAnsi="Times New Roman" w:eastAsia="宋体" w:cs="Times New Roman"/>
                <w:b/>
                <w:bCs/>
                <w:color w:val="auto"/>
                <w:sz w:val="21"/>
                <w:highlight w:val="none"/>
              </w:rPr>
              <mc:AlternateContent>
                <mc:Choice Requires="wpg">
                  <w:drawing>
                    <wp:anchor distT="0" distB="0" distL="114300" distR="114300" simplePos="0" relativeHeight="251668480" behindDoc="0" locked="0" layoutInCell="1" allowOverlap="1">
                      <wp:simplePos x="0" y="0"/>
                      <wp:positionH relativeFrom="column">
                        <wp:posOffset>215900</wp:posOffset>
                      </wp:positionH>
                      <wp:positionV relativeFrom="paragraph">
                        <wp:posOffset>200025</wp:posOffset>
                      </wp:positionV>
                      <wp:extent cx="3442970" cy="3615055"/>
                      <wp:effectExtent l="0" t="0" r="1270" b="12065"/>
                      <wp:wrapTopAndBottom/>
                      <wp:docPr id="37" name="组合 37"/>
                      <wp:cNvGraphicFramePr/>
                      <a:graphic xmlns:a="http://schemas.openxmlformats.org/drawingml/2006/main">
                        <a:graphicData uri="http://schemas.microsoft.com/office/word/2010/wordprocessingGroup">
                          <wpg:wgp>
                            <wpg:cNvGrpSpPr/>
                            <wpg:grpSpPr>
                              <a:xfrm>
                                <a:off x="0" y="0"/>
                                <a:ext cx="3442970" cy="3615055"/>
                                <a:chOff x="6021" y="278092"/>
                                <a:chExt cx="5268" cy="6508"/>
                              </a:xfrm>
                            </wpg:grpSpPr>
                            <pic:pic xmlns:pic="http://schemas.openxmlformats.org/drawingml/2006/picture">
                              <pic:nvPicPr>
                                <pic:cNvPr id="40" name="图片 3"/>
                                <pic:cNvPicPr>
                                  <a:picLocks noChangeAspect="1"/>
                                </pic:cNvPicPr>
                              </pic:nvPicPr>
                              <pic:blipFill>
                                <a:blip r:embed="rId7"/>
                                <a:srcRect/>
                                <a:stretch>
                                  <a:fillRect/>
                                </a:stretch>
                              </pic:blipFill>
                              <pic:spPr>
                                <a:xfrm>
                                  <a:off x="6021" y="278092"/>
                                  <a:ext cx="5268" cy="6508"/>
                                </a:xfrm>
                                <a:prstGeom prst="rect">
                                  <a:avLst/>
                                </a:prstGeom>
                                <a:noFill/>
                                <a:ln>
                                  <a:noFill/>
                                </a:ln>
                              </pic:spPr>
                            </pic:pic>
                            <wpg:grpSp>
                              <wpg:cNvPr id="44" name="组合 240"/>
                              <wpg:cNvGrpSpPr/>
                              <wpg:grpSpPr>
                                <a:xfrm>
                                  <a:off x="8250" y="278784"/>
                                  <a:ext cx="1605" cy="1131"/>
                                  <a:chOff x="4114" y="236847"/>
                                  <a:chExt cx="2211" cy="1657"/>
                                </a:xfrm>
                              </wpg:grpSpPr>
                              <wps:wsp>
                                <wps:cNvPr id="46" name="文本框 17"/>
                                <wps:cNvSpPr txBox="1"/>
                                <wps:spPr>
                                  <a:xfrm>
                                    <a:off x="4821" y="236847"/>
                                    <a:ext cx="1504" cy="761"/>
                                  </a:xfrm>
                                  <a:prstGeom prst="wedgeRectCallout">
                                    <a:avLst>
                                      <a:gd name="adj1" fmla="val -77932"/>
                                      <a:gd name="adj2" fmla="val 140604"/>
                                    </a:avLst>
                                  </a:prstGeom>
                                  <a:solidFill>
                                    <a:schemeClr val="bg1"/>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14:paraId="501B8B5A">
                                      <w:pPr>
                                        <w:ind w:left="0" w:leftChars="0" w:firstLine="0" w:firstLineChars="0"/>
                                        <w:jc w:val="center"/>
                                        <w:rPr>
                                          <w:rFonts w:hint="eastAsia"/>
                                          <w:color w:val="auto"/>
                                          <w:lang w:eastAsia="zh-CN"/>
                                        </w:rPr>
                                      </w:pPr>
                                      <w:r>
                                        <w:rPr>
                                          <w:rFonts w:hint="eastAsia"/>
                                          <w:color w:val="auto"/>
                                          <w:lang w:eastAsia="zh-CN"/>
                                        </w:rPr>
                                        <w:t>本项目</w:t>
                                      </w:r>
                                    </w:p>
                                    <w:p w14:paraId="3006CCB5">
                                      <w:pPr>
                                        <w:pStyle w:val="5"/>
                                        <w:rPr>
                                          <w:rFonts w:hint="eastAsia"/>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7" name="五角星 13"/>
                                <wps:cNvSpPr/>
                                <wps:spPr>
                                  <a:xfrm>
                                    <a:off x="4114" y="238328"/>
                                    <a:ext cx="164" cy="176"/>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wgp>
                        </a:graphicData>
                      </a:graphic>
                    </wp:anchor>
                  </w:drawing>
                </mc:Choice>
                <mc:Fallback>
                  <w:pict>
                    <v:group id="_x0000_s1026" o:spid="_x0000_s1026" o:spt="203" style="position:absolute;left:0pt;margin-left:17pt;margin-top:15.75pt;height:284.65pt;width:271.1pt;mso-wrap-distance-bottom:0pt;mso-wrap-distance-top:0pt;z-index:251668480;mso-width-relative:page;mso-height-relative:page;" coordorigin="6021,278092" coordsize="5268,6508" o:gfxdata="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">
                      <o:lock v:ext="edit" aspectratio="f"/>
                      <v:shape id="图片 3" o:spid="_x0000_s1026" o:spt="75" type="#_x0000_t75" style="position:absolute;left:6021;top:278092;height:6508;width:5268;" filled="f" o:preferrelative="t" stroked="f" coordsize="21600,21600" o:gfxdata="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i3Dla5AAAA2wAA&#10;AA8AAAAAAAAAAQAgAAAAIgAAAGRycy9kb3ducmV2LnhtbFBLAQIUABQAAAAIAIdO4kAzLwWeOwAA&#10;ADkAAAAQAAAAAAAAAAEAIAAAAAgBAABkcnMvc2hhcGV4bWwueG1sUEsFBgAAAAAGAAYAWwEAALID&#10;AAAAAA==&#10;">
                        <v:fill on="f" focussize="0,0"/>
                        <v:stroke on="f"/>
                        <v:imagedata r:id="rId7" o:title=""/>
                        <o:lock v:ext="edit" aspectratio="t"/>
                      </v:shape>
                      <v:group id="组合 240" o:spid="_x0000_s1026" o:spt="203" style="position:absolute;left:8250;top:278784;height:1131;width:1605;" coordorigin="4114,236847" coordsize="2211,1657"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shape id="文本框 17" o:spid="_x0000_s1026" o:spt="61" type="#_x0000_t61" style="position:absolute;left:4821;top:236847;height:761;width:1504;" fillcolor="#CCE8CF [3212]" filled="t" stroked="t" coordsize="21600,21600" o:gfxdata="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JsiZb4A&#10;AADbAAAADwAAAAAAAAABACAAAAAiAAAAZHJzL2Rvd25yZXYueG1sUEsBAhQAFAAAAAgAh07iQDMv&#10;BZ47AAAAOQAAABAAAAAAAAAAAQAgAAAADQEAAGRycy9zaGFwZXhtbC54bWxQSwUGAAAAAAYABgBb&#10;AQAAtwMAAAAA&#10;" adj="-6033,41170">
                          <v:fill on="t" focussize="0,0"/>
                          <v:stroke weight="0.5pt" color="#FF0000 [3204]" joinstyle="round"/>
                          <v:imagedata o:title=""/>
                          <o:lock v:ext="edit" aspectratio="f"/>
                          <v:textbox>
                            <w:txbxContent>
                              <w:p w14:paraId="501B8B5A">
                                <w:pPr>
                                  <w:ind w:left="0" w:leftChars="0" w:firstLine="0" w:firstLineChars="0"/>
                                  <w:jc w:val="center"/>
                                  <w:rPr>
                                    <w:rFonts w:hint="eastAsia"/>
                                    <w:color w:val="auto"/>
                                    <w:lang w:eastAsia="zh-CN"/>
                                  </w:rPr>
                                </w:pPr>
                                <w:r>
                                  <w:rPr>
                                    <w:rFonts w:hint="eastAsia"/>
                                    <w:color w:val="auto"/>
                                    <w:lang w:eastAsia="zh-CN"/>
                                  </w:rPr>
                                  <w:t>本项目</w:t>
                                </w:r>
                              </w:p>
                              <w:p w14:paraId="3006CCB5">
                                <w:pPr>
                                  <w:pStyle w:val="5"/>
                                  <w:rPr>
                                    <w:rFonts w:hint="eastAsia"/>
                                    <w:lang w:eastAsia="zh-CN"/>
                                  </w:rPr>
                                </w:pPr>
                              </w:p>
                            </w:txbxContent>
                          </v:textbox>
                        </v:shape>
                        <v:shape id="五角星 13" o:spid="_x0000_s1026" o:spt="3" type="#_x0000_t3" style="position:absolute;left:4114;top:238328;height:176;width:164;v-text-anchor:middle;" fillcolor="#FF0000" filled="t" stroked="t" coordsize="21600,21600" o:gfxdata="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VcKfy8AAAA&#10;2wAAAA8AAAAAAAAAAQAgAAAAIgAAAGRycy9kb3ducmV2LnhtbFBLAQIUABQAAAAIAIdO4kAzLwWe&#10;OwAAADkAAAAQAAAAAAAAAAEAIAAAAAsBAABkcnMvc2hhcGV4bWwueG1sUEsFBgAAAAAGAAYAWwEA&#10;ALUDAAAAAA==&#10;">
                          <v:fill on="t" focussize="0,0"/>
                          <v:stroke weight="1pt" color="#FF0000 [3204]" miterlimit="8" joinstyle="miter"/>
                          <v:imagedata o:title=""/>
                          <o:lock v:ext="edit" aspectratio="f"/>
                        </v:shape>
                      </v:group>
                      <w10:wrap type="topAndBottom"/>
                    </v:group>
                  </w:pict>
                </mc:Fallback>
              </mc:AlternateContent>
            </w:r>
            <w:r>
              <w:rPr>
                <w:rFonts w:hint="default" w:ascii="Times New Roman" w:hAnsi="Times New Roman" w:eastAsia="宋体" w:cs="Times New Roman"/>
                <w:b/>
                <w:bCs/>
                <w:kern w:val="0"/>
                <w:sz w:val="24"/>
                <w:highlight w:val="none"/>
                <w:lang w:val="en-US" w:eastAsia="zh-CN" w:bidi="ar"/>
              </w:rPr>
              <w:t>项目在亦庄新城两线三区规划图(修改版)中位置</w:t>
            </w:r>
          </w:p>
          <w:p w14:paraId="778881D7">
            <w:pPr>
              <w:widowControl/>
              <w:numPr>
                <w:ilvl w:val="0"/>
                <w:numId w:val="3"/>
              </w:numPr>
              <w:spacing w:line="360" w:lineRule="auto"/>
              <w:ind w:firstLine="482" w:firstLineChars="200"/>
              <w:jc w:val="left"/>
              <w:rPr>
                <w:rFonts w:hint="default" w:ascii="Times New Roman" w:hAnsi="Times New Roman" w:eastAsia="宋体" w:cs="Times New Roman"/>
                <w:b/>
                <w:bCs/>
                <w:kern w:val="0"/>
                <w:sz w:val="24"/>
                <w:highlight w:val="none"/>
                <w:lang w:bidi="ar"/>
              </w:rPr>
            </w:pPr>
            <w:r>
              <w:rPr>
                <w:rFonts w:hint="default" w:ascii="Times New Roman" w:hAnsi="Times New Roman" w:eastAsia="宋体" w:cs="Times New Roman"/>
                <w:b/>
                <w:bCs/>
                <w:kern w:val="0"/>
                <w:sz w:val="24"/>
                <w:highlight w:val="none"/>
                <w:lang w:bidi="ar"/>
              </w:rPr>
              <w:t>《</w:t>
            </w:r>
            <w:r>
              <w:rPr>
                <w:rFonts w:hint="eastAsia" w:ascii="Times New Roman" w:hAnsi="Times New Roman" w:eastAsia="宋体" w:cs="Times New Roman"/>
                <w:b/>
                <w:bCs/>
                <w:kern w:val="0"/>
                <w:sz w:val="24"/>
                <w:highlight w:val="none"/>
                <w:lang w:eastAsia="zh-CN" w:bidi="ar"/>
              </w:rPr>
              <w:t>“</w:t>
            </w:r>
            <w:r>
              <w:rPr>
                <w:rFonts w:hint="default" w:ascii="Times New Roman" w:hAnsi="Times New Roman" w:eastAsia="宋体" w:cs="Times New Roman"/>
                <w:b/>
                <w:bCs/>
                <w:kern w:val="0"/>
                <w:sz w:val="24"/>
                <w:highlight w:val="none"/>
                <w:lang w:bidi="ar"/>
              </w:rPr>
              <w:t>十四五</w:t>
            </w:r>
            <w:r>
              <w:rPr>
                <w:rFonts w:hint="eastAsia" w:ascii="Times New Roman" w:hAnsi="Times New Roman" w:eastAsia="宋体" w:cs="Times New Roman"/>
                <w:b/>
                <w:bCs/>
                <w:kern w:val="0"/>
                <w:sz w:val="24"/>
                <w:highlight w:val="none"/>
                <w:lang w:eastAsia="zh-CN" w:bidi="ar"/>
              </w:rPr>
              <w:t>”</w:t>
            </w:r>
            <w:r>
              <w:rPr>
                <w:rFonts w:hint="default" w:ascii="Times New Roman" w:hAnsi="Times New Roman" w:eastAsia="宋体" w:cs="Times New Roman"/>
                <w:b/>
                <w:bCs/>
                <w:kern w:val="0"/>
                <w:sz w:val="24"/>
                <w:highlight w:val="none"/>
                <w:lang w:bidi="ar"/>
              </w:rPr>
              <w:t>时期北京经济技术开发区发展建设和2035年远景目标规划》符合性分析</w:t>
            </w:r>
          </w:p>
          <w:p w14:paraId="2EFF62E9">
            <w:pPr>
              <w:widowControl/>
              <w:spacing w:line="360" w:lineRule="auto"/>
              <w:ind w:firstLine="480" w:firstLineChars="200"/>
              <w:jc w:val="left"/>
              <w:rPr>
                <w:rFonts w:hint="default" w:ascii="Times New Roman" w:hAnsi="Times New Roman" w:eastAsia="宋体" w:cs="Times New Roman"/>
                <w:kern w:val="0"/>
                <w:sz w:val="24"/>
                <w:highlight w:val="none"/>
                <w:lang w:val="en-US" w:eastAsia="zh-CN" w:bidi="ar"/>
              </w:rPr>
            </w:pPr>
            <w:r>
              <w:rPr>
                <w:rFonts w:hint="default" w:ascii="Times New Roman" w:hAnsi="Times New Roman" w:eastAsia="宋体" w:cs="Times New Roman"/>
                <w:kern w:val="0"/>
                <w:sz w:val="24"/>
                <w:highlight w:val="none"/>
                <w:lang w:val="en-US" w:eastAsia="zh-CN" w:bidi="ar"/>
              </w:rPr>
              <w:t>《</w:t>
            </w:r>
            <w:r>
              <w:rPr>
                <w:rFonts w:hint="eastAsia" w:ascii="Times New Roman" w:hAnsi="Times New Roman" w:eastAsia="宋体" w:cs="Times New Roman"/>
                <w:kern w:val="0"/>
                <w:sz w:val="24"/>
                <w:highlight w:val="none"/>
                <w:lang w:val="en-US" w:eastAsia="zh-CN" w:bidi="ar"/>
              </w:rPr>
              <w:t>“</w:t>
            </w:r>
            <w:r>
              <w:rPr>
                <w:rFonts w:hint="default" w:ascii="Times New Roman" w:hAnsi="Times New Roman" w:eastAsia="宋体" w:cs="Times New Roman"/>
                <w:kern w:val="0"/>
                <w:sz w:val="24"/>
                <w:highlight w:val="none"/>
                <w:lang w:val="en-US" w:eastAsia="zh-CN" w:bidi="ar"/>
              </w:rPr>
              <w:t>十四五</w:t>
            </w:r>
            <w:r>
              <w:rPr>
                <w:rFonts w:hint="eastAsia" w:ascii="Times New Roman" w:hAnsi="Times New Roman" w:eastAsia="宋体" w:cs="Times New Roman"/>
                <w:kern w:val="0"/>
                <w:sz w:val="24"/>
                <w:highlight w:val="none"/>
                <w:lang w:val="en-US" w:eastAsia="zh-CN" w:bidi="ar"/>
              </w:rPr>
              <w:t>”</w:t>
            </w:r>
            <w:r>
              <w:rPr>
                <w:rFonts w:hint="default" w:ascii="Times New Roman" w:hAnsi="Times New Roman" w:eastAsia="宋体" w:cs="Times New Roman"/>
                <w:kern w:val="0"/>
                <w:sz w:val="24"/>
                <w:highlight w:val="none"/>
                <w:lang w:val="en-US" w:eastAsia="zh-CN" w:bidi="ar"/>
              </w:rPr>
              <w:t>时期北京经济技术开发区发展建设和二〇三五年远景目标规划》提出：优化提升现代服务业。大力推动信息传输、软件和信息技术服务业发展，积极吸引工业设计、检验检测、工业研发服务外包等专业服务机构落地。</w:t>
            </w:r>
          </w:p>
          <w:p w14:paraId="413553C2">
            <w:pPr>
              <w:widowControl/>
              <w:spacing w:line="360" w:lineRule="auto"/>
              <w:ind w:firstLine="480" w:firstLineChars="200"/>
              <w:jc w:val="left"/>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val="en-US" w:eastAsia="zh-CN" w:bidi="ar"/>
              </w:rPr>
              <w:t>本项目的行业类别为科研研发业，符合《</w:t>
            </w:r>
            <w:r>
              <w:rPr>
                <w:rFonts w:hint="eastAsia" w:ascii="Times New Roman" w:hAnsi="Times New Roman" w:eastAsia="宋体" w:cs="Times New Roman"/>
                <w:kern w:val="0"/>
                <w:sz w:val="24"/>
                <w:highlight w:val="none"/>
                <w:lang w:val="en-US" w:eastAsia="zh-CN" w:bidi="ar"/>
              </w:rPr>
              <w:t>“</w:t>
            </w:r>
            <w:r>
              <w:rPr>
                <w:rFonts w:hint="default" w:ascii="Times New Roman" w:hAnsi="Times New Roman" w:eastAsia="宋体" w:cs="Times New Roman"/>
                <w:kern w:val="0"/>
                <w:sz w:val="24"/>
                <w:highlight w:val="none"/>
                <w:lang w:val="en-US" w:eastAsia="zh-CN" w:bidi="ar"/>
              </w:rPr>
              <w:t>十四五</w:t>
            </w:r>
            <w:r>
              <w:rPr>
                <w:rFonts w:hint="eastAsia" w:ascii="Times New Roman" w:hAnsi="Times New Roman" w:eastAsia="宋体" w:cs="Times New Roman"/>
                <w:kern w:val="0"/>
                <w:sz w:val="24"/>
                <w:highlight w:val="none"/>
                <w:lang w:val="en-US" w:eastAsia="zh-CN" w:bidi="ar"/>
              </w:rPr>
              <w:t>”</w:t>
            </w:r>
            <w:r>
              <w:rPr>
                <w:rFonts w:hint="default" w:ascii="Times New Roman" w:hAnsi="Times New Roman" w:eastAsia="宋体" w:cs="Times New Roman"/>
                <w:kern w:val="0"/>
                <w:sz w:val="24"/>
                <w:highlight w:val="none"/>
                <w:lang w:val="en-US" w:eastAsia="zh-CN" w:bidi="ar"/>
              </w:rPr>
              <w:t>时期北京经济技术开发区发展建设和二〇三五年远景目标规划》的要求。</w:t>
            </w:r>
          </w:p>
          <w:p w14:paraId="4570DEEB">
            <w:pPr>
              <w:widowControl/>
              <w:numPr>
                <w:ilvl w:val="0"/>
                <w:numId w:val="3"/>
              </w:numPr>
              <w:spacing w:line="360" w:lineRule="auto"/>
              <w:ind w:firstLine="482" w:firstLineChars="200"/>
              <w:jc w:val="left"/>
              <w:rPr>
                <w:rFonts w:hint="default" w:ascii="Times New Roman" w:hAnsi="Times New Roman" w:eastAsia="宋体" w:cs="Times New Roman"/>
                <w:b/>
                <w:bCs/>
                <w:kern w:val="0"/>
                <w:sz w:val="24"/>
                <w:highlight w:val="none"/>
                <w:lang w:bidi="ar"/>
              </w:rPr>
            </w:pPr>
            <w:r>
              <w:rPr>
                <w:rFonts w:hint="default" w:ascii="Times New Roman" w:hAnsi="Times New Roman" w:eastAsia="宋体" w:cs="Times New Roman"/>
                <w:b/>
                <w:bCs/>
                <w:kern w:val="0"/>
                <w:sz w:val="24"/>
                <w:highlight w:val="none"/>
                <w:lang w:bidi="ar"/>
              </w:rPr>
              <w:t>与《北京经济技术开发区区域环境影响报告书》及其审查意见的符合性分析</w:t>
            </w:r>
          </w:p>
          <w:p w14:paraId="1624AC6C">
            <w:pPr>
              <w:widowControl/>
              <w:spacing w:line="360" w:lineRule="auto"/>
              <w:ind w:firstLine="480" w:firstLineChars="200"/>
              <w:jc w:val="left"/>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bidi="ar"/>
              </w:rPr>
              <w:t>本项目与《北京经济技术开发区区域环境影响报告书》及其审查意见的符合性分析见下表。</w:t>
            </w:r>
          </w:p>
          <w:p w14:paraId="17F776EA">
            <w:pPr>
              <w:widowControl/>
              <w:numPr>
                <w:ilvl w:val="0"/>
                <w:numId w:val="5"/>
              </w:numPr>
              <w:spacing w:line="360" w:lineRule="auto"/>
              <w:ind w:left="425" w:leftChars="0" w:hanging="425" w:firstLineChars="0"/>
              <w:jc w:val="center"/>
              <w:rPr>
                <w:rFonts w:hint="default" w:ascii="Times New Roman" w:hAnsi="Times New Roman" w:eastAsia="宋体" w:cs="Times New Roman"/>
                <w:b/>
                <w:bCs/>
                <w:kern w:val="0"/>
                <w:sz w:val="24"/>
                <w:highlight w:val="none"/>
                <w:lang w:bidi="ar"/>
              </w:rPr>
            </w:pPr>
            <w:r>
              <w:rPr>
                <w:rFonts w:hint="default" w:ascii="Times New Roman" w:hAnsi="Times New Roman" w:eastAsia="宋体" w:cs="Times New Roman"/>
                <w:b/>
                <w:bCs/>
                <w:kern w:val="0"/>
                <w:sz w:val="24"/>
                <w:highlight w:val="none"/>
                <w:lang w:bidi="ar"/>
              </w:rPr>
              <w:t>与《北京经济技术开发区区域环境影响报告书》及批复的符合性分析</w:t>
            </w:r>
          </w:p>
          <w:tbl>
            <w:tblPr>
              <w:tblStyle w:val="18"/>
              <w:tblW w:w="6658"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5"/>
              <w:gridCol w:w="3312"/>
              <w:gridCol w:w="1638"/>
              <w:gridCol w:w="743"/>
            </w:tblGrid>
            <w:tr w14:paraId="25A6B64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965" w:type="dxa"/>
                  <w:tcBorders>
                    <w:tl2br w:val="nil"/>
                    <w:tr2bl w:val="nil"/>
                  </w:tcBorders>
                  <w:vAlign w:val="center"/>
                </w:tcPr>
                <w:p w14:paraId="0B99B405">
                  <w:pPr>
                    <w:widowControl/>
                    <w:jc w:val="center"/>
                    <w:rPr>
                      <w:rFonts w:hint="default" w:ascii="Times New Roman" w:hAnsi="Times New Roman" w:eastAsia="宋体" w:cs="Times New Roman"/>
                      <w:b/>
                      <w:bCs/>
                      <w:kern w:val="0"/>
                      <w:szCs w:val="21"/>
                      <w:highlight w:val="none"/>
                      <w:lang w:bidi="ar"/>
                    </w:rPr>
                  </w:pPr>
                  <w:r>
                    <w:rPr>
                      <w:rFonts w:hint="default" w:ascii="Times New Roman" w:hAnsi="Times New Roman" w:eastAsia="宋体" w:cs="Times New Roman"/>
                      <w:b/>
                      <w:bCs/>
                      <w:kern w:val="0"/>
                      <w:szCs w:val="21"/>
                      <w:highlight w:val="none"/>
                      <w:lang w:bidi="ar"/>
                    </w:rPr>
                    <w:t>类别</w:t>
                  </w:r>
                </w:p>
              </w:tc>
              <w:tc>
                <w:tcPr>
                  <w:tcW w:w="3312" w:type="dxa"/>
                  <w:tcBorders>
                    <w:tl2br w:val="nil"/>
                    <w:tr2bl w:val="nil"/>
                  </w:tcBorders>
                  <w:vAlign w:val="center"/>
                </w:tcPr>
                <w:p w14:paraId="229BE275">
                  <w:pPr>
                    <w:widowControl/>
                    <w:jc w:val="center"/>
                    <w:rPr>
                      <w:rFonts w:hint="default" w:ascii="Times New Roman" w:hAnsi="Times New Roman" w:eastAsia="宋体" w:cs="Times New Roman"/>
                      <w:b/>
                      <w:bCs/>
                      <w:kern w:val="0"/>
                      <w:szCs w:val="21"/>
                      <w:highlight w:val="none"/>
                      <w:lang w:bidi="ar"/>
                    </w:rPr>
                  </w:pPr>
                  <w:r>
                    <w:rPr>
                      <w:rFonts w:hint="default" w:ascii="Times New Roman" w:hAnsi="Times New Roman" w:eastAsia="宋体" w:cs="Times New Roman"/>
                      <w:b/>
                      <w:bCs/>
                      <w:kern w:val="0"/>
                      <w:szCs w:val="21"/>
                      <w:highlight w:val="none"/>
                      <w:lang w:bidi="ar"/>
                    </w:rPr>
                    <w:t>《北京经济技术开发区区域环境影响报告书》及其审查意见</w:t>
                  </w:r>
                </w:p>
              </w:tc>
              <w:tc>
                <w:tcPr>
                  <w:tcW w:w="1638" w:type="dxa"/>
                  <w:tcBorders>
                    <w:tl2br w:val="nil"/>
                    <w:tr2bl w:val="nil"/>
                  </w:tcBorders>
                  <w:vAlign w:val="center"/>
                </w:tcPr>
                <w:p w14:paraId="514B76A6">
                  <w:pPr>
                    <w:widowControl/>
                    <w:jc w:val="center"/>
                    <w:rPr>
                      <w:rFonts w:hint="default" w:ascii="Times New Roman" w:hAnsi="Times New Roman" w:eastAsia="宋体" w:cs="Times New Roman"/>
                      <w:b/>
                      <w:bCs/>
                      <w:kern w:val="0"/>
                      <w:szCs w:val="21"/>
                      <w:highlight w:val="none"/>
                      <w:lang w:bidi="ar"/>
                    </w:rPr>
                  </w:pPr>
                  <w:r>
                    <w:rPr>
                      <w:rFonts w:hint="default" w:ascii="Times New Roman" w:hAnsi="Times New Roman" w:eastAsia="宋体" w:cs="Times New Roman"/>
                      <w:b/>
                      <w:bCs/>
                      <w:kern w:val="0"/>
                      <w:szCs w:val="21"/>
                      <w:highlight w:val="none"/>
                      <w:lang w:bidi="ar"/>
                    </w:rPr>
                    <w:t>拟建项目基本情况</w:t>
                  </w:r>
                </w:p>
              </w:tc>
              <w:tc>
                <w:tcPr>
                  <w:tcW w:w="743" w:type="dxa"/>
                  <w:tcBorders>
                    <w:tl2br w:val="nil"/>
                    <w:tr2bl w:val="nil"/>
                  </w:tcBorders>
                  <w:vAlign w:val="center"/>
                </w:tcPr>
                <w:p w14:paraId="57139778">
                  <w:pPr>
                    <w:widowControl/>
                    <w:jc w:val="center"/>
                    <w:rPr>
                      <w:rFonts w:hint="default" w:ascii="Times New Roman" w:hAnsi="Times New Roman" w:eastAsia="宋体" w:cs="Times New Roman"/>
                      <w:b/>
                      <w:bCs/>
                      <w:kern w:val="0"/>
                      <w:szCs w:val="21"/>
                      <w:highlight w:val="none"/>
                      <w:lang w:bidi="ar"/>
                    </w:rPr>
                  </w:pPr>
                  <w:r>
                    <w:rPr>
                      <w:rFonts w:hint="default" w:ascii="Times New Roman" w:hAnsi="Times New Roman" w:eastAsia="宋体" w:cs="Times New Roman"/>
                      <w:b/>
                      <w:bCs/>
                      <w:kern w:val="0"/>
                      <w:szCs w:val="21"/>
                      <w:highlight w:val="none"/>
                      <w:lang w:bidi="ar"/>
                    </w:rPr>
                    <w:t>符合性分析</w:t>
                  </w:r>
                </w:p>
              </w:tc>
            </w:tr>
            <w:tr w14:paraId="4BD9328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965" w:type="dxa"/>
                  <w:tcBorders>
                    <w:tl2br w:val="nil"/>
                    <w:tr2bl w:val="nil"/>
                  </w:tcBorders>
                  <w:vAlign w:val="center"/>
                </w:tcPr>
                <w:p w14:paraId="07AB99EA">
                  <w:pPr>
                    <w:widowControl/>
                    <w:jc w:val="center"/>
                    <w:rPr>
                      <w:rFonts w:hint="default" w:ascii="Times New Roman" w:hAnsi="Times New Roman" w:eastAsia="宋体" w:cs="Times New Roman"/>
                      <w:kern w:val="0"/>
                      <w:szCs w:val="21"/>
                      <w:highlight w:val="none"/>
                      <w:lang w:bidi="ar"/>
                    </w:rPr>
                  </w:pPr>
                  <w:r>
                    <w:rPr>
                      <w:rFonts w:hint="default" w:ascii="Times New Roman" w:hAnsi="Times New Roman" w:eastAsia="宋体" w:cs="Times New Roman"/>
                      <w:kern w:val="0"/>
                      <w:szCs w:val="21"/>
                      <w:highlight w:val="none"/>
                      <w:lang w:bidi="ar"/>
                    </w:rPr>
                    <w:t>对入区工业项目类型的环保要求</w:t>
                  </w:r>
                </w:p>
              </w:tc>
              <w:tc>
                <w:tcPr>
                  <w:tcW w:w="3312" w:type="dxa"/>
                  <w:tcBorders>
                    <w:tl2br w:val="nil"/>
                    <w:tr2bl w:val="nil"/>
                  </w:tcBorders>
                  <w:vAlign w:val="center"/>
                </w:tcPr>
                <w:p w14:paraId="5D3C4A7F">
                  <w:pPr>
                    <w:widowControl/>
                    <w:jc w:val="center"/>
                    <w:rPr>
                      <w:rFonts w:hint="default" w:ascii="Times New Roman" w:hAnsi="Times New Roman" w:eastAsia="宋体" w:cs="Times New Roman"/>
                      <w:kern w:val="0"/>
                      <w:szCs w:val="21"/>
                      <w:highlight w:val="none"/>
                      <w:lang w:bidi="ar"/>
                    </w:rPr>
                  </w:pPr>
                  <w:r>
                    <w:rPr>
                      <w:rFonts w:hint="default" w:ascii="Times New Roman" w:hAnsi="Times New Roman" w:eastAsia="宋体" w:cs="Times New Roman"/>
                      <w:kern w:val="0"/>
                      <w:szCs w:val="21"/>
                      <w:highlight w:val="none"/>
                      <w:lang w:bidi="ar"/>
                    </w:rPr>
                    <w:t>开发区重点发展的五大支柱产业，即电子信息产业、生物技术和新医药产业、新材料与新能源产业、现代制造业。从环境保护角度对入区企业提出如下限制原则：不发展北京市明令禁止发展的企业；不发展与其他开发区定位相冲突的行业；不发展与北京市不能形成产业链条和不具备资源优势的产业；不发展劳动密集型企业；不发展其他高耗水企业和水污染严重企业；不发展与饮食食品相关的行业。</w:t>
                  </w:r>
                </w:p>
              </w:tc>
              <w:tc>
                <w:tcPr>
                  <w:tcW w:w="1638" w:type="dxa"/>
                  <w:tcBorders>
                    <w:tl2br w:val="nil"/>
                    <w:tr2bl w:val="nil"/>
                  </w:tcBorders>
                  <w:vAlign w:val="center"/>
                </w:tcPr>
                <w:p w14:paraId="6D02D595">
                  <w:pPr>
                    <w:widowControl/>
                    <w:jc w:val="center"/>
                    <w:rPr>
                      <w:rFonts w:hint="default" w:ascii="Times New Roman" w:hAnsi="Times New Roman" w:eastAsia="宋体" w:cs="Times New Roman"/>
                      <w:kern w:val="0"/>
                      <w:szCs w:val="21"/>
                      <w:highlight w:val="none"/>
                      <w:lang w:bidi="ar"/>
                    </w:rPr>
                  </w:pPr>
                  <w:r>
                    <w:rPr>
                      <w:rFonts w:hint="default" w:ascii="Times New Roman" w:hAnsi="Times New Roman" w:eastAsia="宋体" w:cs="Times New Roman"/>
                      <w:kern w:val="0"/>
                      <w:szCs w:val="21"/>
                      <w:highlight w:val="none"/>
                      <w:lang w:bidi="ar"/>
                    </w:rPr>
                    <w:t>本项目</w:t>
                  </w:r>
                  <w:r>
                    <w:rPr>
                      <w:rFonts w:hint="default" w:ascii="Times New Roman" w:hAnsi="Times New Roman" w:eastAsia="宋体" w:cs="Times New Roman"/>
                      <w:kern w:val="0"/>
                      <w:szCs w:val="21"/>
                      <w:highlight w:val="none"/>
                      <w:lang w:val="en-US" w:eastAsia="zh-CN" w:bidi="ar"/>
                    </w:rPr>
                    <w:t>建成后从事新材料研发</w:t>
                  </w:r>
                  <w:r>
                    <w:rPr>
                      <w:rFonts w:hint="default" w:ascii="Times New Roman" w:hAnsi="Times New Roman" w:eastAsia="宋体" w:cs="Times New Roman"/>
                      <w:kern w:val="0"/>
                      <w:szCs w:val="21"/>
                      <w:highlight w:val="none"/>
                      <w:lang w:bidi="ar"/>
                    </w:rPr>
                    <w:t>，</w:t>
                  </w:r>
                  <w:r>
                    <w:rPr>
                      <w:rFonts w:hint="default" w:ascii="Times New Roman" w:hAnsi="Times New Roman" w:eastAsia="宋体" w:cs="Times New Roman"/>
                      <w:kern w:val="0"/>
                      <w:szCs w:val="21"/>
                      <w:highlight w:val="none"/>
                      <w:lang w:val="en-US" w:eastAsia="zh-CN" w:bidi="ar"/>
                    </w:rPr>
                    <w:t>为</w:t>
                  </w:r>
                  <w:r>
                    <w:rPr>
                      <w:rFonts w:hint="default" w:ascii="Times New Roman" w:hAnsi="Times New Roman" w:eastAsia="宋体" w:cs="Times New Roman"/>
                      <w:kern w:val="0"/>
                      <w:szCs w:val="21"/>
                      <w:highlight w:val="none"/>
                      <w:lang w:bidi="ar"/>
                    </w:rPr>
                    <w:t>开发区重点发展的五大支柱产业</w:t>
                  </w:r>
                  <w:r>
                    <w:rPr>
                      <w:rFonts w:hint="default" w:ascii="Times New Roman" w:hAnsi="Times New Roman" w:eastAsia="宋体" w:cs="Times New Roman"/>
                      <w:kern w:val="0"/>
                      <w:szCs w:val="21"/>
                      <w:highlight w:val="none"/>
                      <w:lang w:val="en-US" w:eastAsia="zh-CN" w:bidi="ar"/>
                    </w:rPr>
                    <w:t>之一，符合产业定位</w:t>
                  </w:r>
                  <w:r>
                    <w:rPr>
                      <w:rFonts w:hint="default" w:ascii="Times New Roman" w:hAnsi="Times New Roman" w:eastAsia="宋体" w:cs="Times New Roman"/>
                      <w:kern w:val="0"/>
                      <w:szCs w:val="21"/>
                      <w:highlight w:val="none"/>
                      <w:lang w:bidi="ar"/>
                    </w:rPr>
                    <w:t>。</w:t>
                  </w:r>
                </w:p>
              </w:tc>
              <w:tc>
                <w:tcPr>
                  <w:tcW w:w="743" w:type="dxa"/>
                  <w:tcBorders>
                    <w:tl2br w:val="nil"/>
                    <w:tr2bl w:val="nil"/>
                  </w:tcBorders>
                  <w:vAlign w:val="center"/>
                </w:tcPr>
                <w:p w14:paraId="20C8A11A">
                  <w:pPr>
                    <w:widowControl/>
                    <w:jc w:val="center"/>
                    <w:rPr>
                      <w:rFonts w:hint="default" w:ascii="Times New Roman" w:hAnsi="Times New Roman" w:eastAsia="宋体" w:cs="Times New Roman"/>
                      <w:kern w:val="0"/>
                      <w:szCs w:val="21"/>
                      <w:highlight w:val="none"/>
                      <w:lang w:bidi="ar"/>
                    </w:rPr>
                  </w:pPr>
                  <w:r>
                    <w:rPr>
                      <w:rFonts w:hint="default" w:ascii="Times New Roman" w:hAnsi="Times New Roman" w:eastAsia="宋体" w:cs="Times New Roman"/>
                      <w:kern w:val="0"/>
                      <w:szCs w:val="21"/>
                      <w:highlight w:val="none"/>
                      <w:lang w:bidi="ar"/>
                    </w:rPr>
                    <w:t>符合</w:t>
                  </w:r>
                </w:p>
              </w:tc>
            </w:tr>
            <w:tr w14:paraId="5C6E66D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81" w:hRule="atLeast"/>
                <w:jc w:val="center"/>
              </w:trPr>
              <w:tc>
                <w:tcPr>
                  <w:tcW w:w="965" w:type="dxa"/>
                  <w:tcBorders>
                    <w:tl2br w:val="nil"/>
                    <w:tr2bl w:val="nil"/>
                  </w:tcBorders>
                  <w:vAlign w:val="center"/>
                </w:tcPr>
                <w:p w14:paraId="6674DF00">
                  <w:pPr>
                    <w:widowControl/>
                    <w:jc w:val="center"/>
                    <w:rPr>
                      <w:rFonts w:hint="default" w:ascii="Times New Roman" w:hAnsi="Times New Roman" w:eastAsia="宋体" w:cs="Times New Roman"/>
                      <w:kern w:val="0"/>
                      <w:szCs w:val="21"/>
                      <w:highlight w:val="none"/>
                      <w:lang w:bidi="ar"/>
                    </w:rPr>
                  </w:pPr>
                  <w:r>
                    <w:rPr>
                      <w:rFonts w:hint="default" w:ascii="Times New Roman" w:hAnsi="Times New Roman" w:eastAsia="宋体" w:cs="Times New Roman"/>
                      <w:kern w:val="0"/>
                      <w:szCs w:val="21"/>
                      <w:highlight w:val="none"/>
                      <w:lang w:bidi="ar"/>
                    </w:rPr>
                    <w:t>对入区项目环境影响评价的要求</w:t>
                  </w:r>
                </w:p>
              </w:tc>
              <w:tc>
                <w:tcPr>
                  <w:tcW w:w="3312" w:type="dxa"/>
                  <w:tcBorders>
                    <w:tl2br w:val="nil"/>
                    <w:tr2bl w:val="nil"/>
                  </w:tcBorders>
                  <w:vAlign w:val="center"/>
                </w:tcPr>
                <w:p w14:paraId="2C9C0168">
                  <w:pPr>
                    <w:widowControl/>
                    <w:jc w:val="center"/>
                    <w:rPr>
                      <w:rFonts w:hint="default" w:ascii="Times New Roman" w:hAnsi="Times New Roman" w:eastAsia="宋体" w:cs="Times New Roman"/>
                      <w:kern w:val="0"/>
                      <w:szCs w:val="21"/>
                      <w:highlight w:val="none"/>
                      <w:lang w:bidi="ar"/>
                    </w:rPr>
                  </w:pPr>
                  <w:r>
                    <w:rPr>
                      <w:rFonts w:hint="default" w:ascii="Times New Roman" w:hAnsi="Times New Roman" w:eastAsia="宋体" w:cs="Times New Roman"/>
                      <w:kern w:val="0"/>
                      <w:szCs w:val="21"/>
                      <w:highlight w:val="none"/>
                      <w:lang w:bidi="ar"/>
                    </w:rPr>
                    <w:t>对符合</w:t>
                  </w:r>
                  <w:r>
                    <w:rPr>
                      <w:rFonts w:hint="eastAsia" w:ascii="Times New Roman" w:hAnsi="Times New Roman" w:eastAsia="宋体" w:cs="Times New Roman"/>
                      <w:kern w:val="0"/>
                      <w:szCs w:val="21"/>
                      <w:highlight w:val="none"/>
                      <w:lang w:eastAsia="zh-CN" w:bidi="ar"/>
                    </w:rPr>
                    <w:t>“</w:t>
                  </w:r>
                  <w:r>
                    <w:rPr>
                      <w:rFonts w:hint="default" w:ascii="Times New Roman" w:hAnsi="Times New Roman" w:eastAsia="宋体" w:cs="Times New Roman"/>
                      <w:kern w:val="0"/>
                      <w:szCs w:val="21"/>
                      <w:highlight w:val="none"/>
                      <w:lang w:bidi="ar"/>
                    </w:rPr>
                    <w:t>五大支柱产业</w:t>
                  </w:r>
                  <w:r>
                    <w:rPr>
                      <w:rFonts w:hint="eastAsia" w:ascii="Times New Roman" w:hAnsi="Times New Roman" w:eastAsia="宋体" w:cs="Times New Roman"/>
                      <w:kern w:val="0"/>
                      <w:szCs w:val="21"/>
                      <w:highlight w:val="none"/>
                      <w:lang w:eastAsia="zh-CN" w:bidi="ar"/>
                    </w:rPr>
                    <w:t>”</w:t>
                  </w:r>
                  <w:r>
                    <w:rPr>
                      <w:rFonts w:hint="default" w:ascii="Times New Roman" w:hAnsi="Times New Roman" w:eastAsia="宋体" w:cs="Times New Roman"/>
                      <w:kern w:val="0"/>
                      <w:szCs w:val="21"/>
                      <w:highlight w:val="none"/>
                      <w:lang w:bidi="ar"/>
                    </w:rPr>
                    <w:t>，但目前尚未预计到的高新技术类型项目，要求严格按照国家环境保护总局颁布的《建设项目环境保护分类管理名录》进行环境影响评价。</w:t>
                  </w:r>
                </w:p>
              </w:tc>
              <w:tc>
                <w:tcPr>
                  <w:tcW w:w="1638" w:type="dxa"/>
                  <w:tcBorders>
                    <w:tl2br w:val="nil"/>
                    <w:tr2bl w:val="nil"/>
                  </w:tcBorders>
                  <w:vAlign w:val="center"/>
                </w:tcPr>
                <w:p w14:paraId="77EEB6AA">
                  <w:pPr>
                    <w:widowControl/>
                    <w:jc w:val="center"/>
                    <w:rPr>
                      <w:rFonts w:hint="default" w:ascii="Times New Roman" w:hAnsi="Times New Roman" w:eastAsia="宋体" w:cs="Times New Roman"/>
                      <w:kern w:val="0"/>
                      <w:szCs w:val="21"/>
                      <w:highlight w:val="none"/>
                      <w:lang w:bidi="ar"/>
                    </w:rPr>
                  </w:pPr>
                  <w:r>
                    <w:rPr>
                      <w:rFonts w:hint="default" w:ascii="Times New Roman" w:hAnsi="Times New Roman" w:eastAsia="宋体" w:cs="Times New Roman"/>
                      <w:kern w:val="0"/>
                      <w:szCs w:val="21"/>
                      <w:highlight w:val="none"/>
                      <w:lang w:bidi="ar"/>
                    </w:rPr>
                    <w:t>项目严格按照相关要求，编制环境影响报告进行评价。</w:t>
                  </w:r>
                </w:p>
              </w:tc>
              <w:tc>
                <w:tcPr>
                  <w:tcW w:w="743" w:type="dxa"/>
                  <w:tcBorders>
                    <w:tl2br w:val="nil"/>
                    <w:tr2bl w:val="nil"/>
                  </w:tcBorders>
                  <w:vAlign w:val="center"/>
                </w:tcPr>
                <w:p w14:paraId="1BE28754">
                  <w:pPr>
                    <w:widowControl/>
                    <w:jc w:val="center"/>
                    <w:rPr>
                      <w:rFonts w:hint="default" w:ascii="Times New Roman" w:hAnsi="Times New Roman" w:eastAsia="宋体" w:cs="Times New Roman"/>
                      <w:kern w:val="0"/>
                      <w:szCs w:val="21"/>
                      <w:highlight w:val="none"/>
                      <w:lang w:bidi="ar"/>
                    </w:rPr>
                  </w:pPr>
                  <w:r>
                    <w:rPr>
                      <w:rFonts w:hint="default" w:ascii="Times New Roman" w:hAnsi="Times New Roman" w:eastAsia="宋体" w:cs="Times New Roman"/>
                      <w:kern w:val="0"/>
                      <w:szCs w:val="21"/>
                      <w:highlight w:val="none"/>
                      <w:lang w:bidi="ar"/>
                    </w:rPr>
                    <w:t>符合</w:t>
                  </w:r>
                </w:p>
              </w:tc>
            </w:tr>
          </w:tbl>
          <w:p w14:paraId="126B872B">
            <w:pPr>
              <w:widowControl/>
              <w:spacing w:line="360" w:lineRule="auto"/>
              <w:ind w:firstLine="480" w:firstLineChars="200"/>
              <w:jc w:val="left"/>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bidi="ar"/>
              </w:rPr>
              <w:t>根据上表分析结果，本项目符合《北京经济技术开发区区域环境影响报告书》及其审查意见的相关要求。</w:t>
            </w:r>
          </w:p>
          <w:p w14:paraId="422D4048">
            <w:pPr>
              <w:widowControl/>
              <w:numPr>
                <w:ilvl w:val="0"/>
                <w:numId w:val="3"/>
              </w:numPr>
              <w:spacing w:line="360" w:lineRule="auto"/>
              <w:ind w:firstLine="482" w:firstLineChars="200"/>
              <w:jc w:val="left"/>
              <w:rPr>
                <w:rFonts w:hint="default" w:ascii="Times New Roman" w:hAnsi="Times New Roman" w:eastAsia="宋体" w:cs="Times New Roman"/>
                <w:b/>
                <w:bCs/>
                <w:kern w:val="0"/>
                <w:sz w:val="24"/>
                <w:highlight w:val="none"/>
                <w:lang w:bidi="ar"/>
              </w:rPr>
            </w:pPr>
            <w:r>
              <w:rPr>
                <w:rFonts w:hint="default" w:ascii="Times New Roman" w:hAnsi="Times New Roman" w:eastAsia="宋体" w:cs="Times New Roman"/>
                <w:b/>
                <w:bCs/>
                <w:kern w:val="0"/>
                <w:sz w:val="24"/>
                <w:highlight w:val="none"/>
                <w:lang w:bidi="ar"/>
              </w:rPr>
              <w:t>与《北京经济技术开发区</w:t>
            </w:r>
            <w:r>
              <w:rPr>
                <w:rFonts w:hint="eastAsia" w:ascii="Times New Roman" w:hAnsi="Times New Roman" w:eastAsia="宋体" w:cs="Times New Roman"/>
                <w:b/>
                <w:bCs/>
                <w:kern w:val="0"/>
                <w:sz w:val="24"/>
                <w:highlight w:val="none"/>
                <w:lang w:eastAsia="zh-CN" w:bidi="ar"/>
              </w:rPr>
              <w:t>“</w:t>
            </w:r>
            <w:r>
              <w:rPr>
                <w:rFonts w:hint="default" w:ascii="Times New Roman" w:hAnsi="Times New Roman" w:eastAsia="宋体" w:cs="Times New Roman"/>
                <w:b/>
                <w:bCs/>
                <w:kern w:val="0"/>
                <w:sz w:val="24"/>
                <w:highlight w:val="none"/>
                <w:lang w:bidi="ar"/>
              </w:rPr>
              <w:t>十三五</w:t>
            </w:r>
            <w:r>
              <w:rPr>
                <w:rFonts w:hint="eastAsia" w:ascii="Times New Roman" w:hAnsi="Times New Roman" w:eastAsia="宋体" w:cs="Times New Roman"/>
                <w:b/>
                <w:bCs/>
                <w:kern w:val="0"/>
                <w:sz w:val="24"/>
                <w:highlight w:val="none"/>
                <w:lang w:eastAsia="zh-CN" w:bidi="ar"/>
              </w:rPr>
              <w:t>”</w:t>
            </w:r>
            <w:r>
              <w:rPr>
                <w:rFonts w:hint="default" w:ascii="Times New Roman" w:hAnsi="Times New Roman" w:eastAsia="宋体" w:cs="Times New Roman"/>
                <w:b/>
                <w:bCs/>
                <w:kern w:val="0"/>
                <w:sz w:val="24"/>
                <w:highlight w:val="none"/>
                <w:lang w:bidi="ar"/>
              </w:rPr>
              <w:t>时期创新发展规划环境影响篇章》（2016）的符合性分析</w:t>
            </w:r>
          </w:p>
          <w:p w14:paraId="5D07E4D1">
            <w:pPr>
              <w:widowControl/>
              <w:spacing w:line="360" w:lineRule="auto"/>
              <w:ind w:firstLine="480" w:firstLineChars="200"/>
              <w:jc w:val="left"/>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bidi="ar"/>
              </w:rPr>
              <w:t>北京经济技术开发区已于2016年11月委托北京市环境保护科学研究院编制了《北京经济技术开发区</w:t>
            </w:r>
            <w:r>
              <w:rPr>
                <w:rFonts w:hint="eastAsia" w:ascii="Times New Roman" w:hAnsi="Times New Roman" w:eastAsia="宋体" w:cs="Times New Roman"/>
                <w:kern w:val="0"/>
                <w:sz w:val="24"/>
                <w:highlight w:val="none"/>
                <w:lang w:eastAsia="zh-CN" w:bidi="ar"/>
              </w:rPr>
              <w:t>“</w:t>
            </w:r>
            <w:r>
              <w:rPr>
                <w:rFonts w:hint="default" w:ascii="Times New Roman" w:hAnsi="Times New Roman" w:eastAsia="宋体" w:cs="Times New Roman"/>
                <w:kern w:val="0"/>
                <w:sz w:val="24"/>
                <w:highlight w:val="none"/>
                <w:lang w:bidi="ar"/>
              </w:rPr>
              <w:t>十三五</w:t>
            </w:r>
            <w:r>
              <w:rPr>
                <w:rFonts w:hint="eastAsia" w:ascii="Times New Roman" w:hAnsi="Times New Roman" w:eastAsia="宋体" w:cs="Times New Roman"/>
                <w:kern w:val="0"/>
                <w:sz w:val="24"/>
                <w:highlight w:val="none"/>
                <w:lang w:eastAsia="zh-CN" w:bidi="ar"/>
              </w:rPr>
              <w:t>”</w:t>
            </w:r>
            <w:r>
              <w:rPr>
                <w:rFonts w:hint="default" w:ascii="Times New Roman" w:hAnsi="Times New Roman" w:eastAsia="宋体" w:cs="Times New Roman"/>
                <w:kern w:val="0"/>
                <w:sz w:val="24"/>
                <w:highlight w:val="none"/>
                <w:lang w:bidi="ar"/>
              </w:rPr>
              <w:t>时期创新发展规划环境影响篇章》，本项目与该篇章的符合性分析见下表。</w:t>
            </w:r>
          </w:p>
          <w:p w14:paraId="12E21DE4">
            <w:pPr>
              <w:widowControl/>
              <w:numPr>
                <w:ilvl w:val="0"/>
                <w:numId w:val="5"/>
              </w:numPr>
              <w:spacing w:line="360" w:lineRule="auto"/>
              <w:ind w:left="425" w:leftChars="0" w:hanging="425" w:firstLineChars="0"/>
              <w:jc w:val="both"/>
              <w:rPr>
                <w:rFonts w:hint="default" w:ascii="Times New Roman" w:hAnsi="Times New Roman" w:eastAsia="宋体" w:cs="Times New Roman"/>
                <w:b/>
                <w:bCs/>
                <w:kern w:val="0"/>
                <w:sz w:val="24"/>
                <w:highlight w:val="none"/>
                <w:lang w:bidi="ar"/>
              </w:rPr>
            </w:pPr>
            <w:r>
              <w:rPr>
                <w:rFonts w:hint="default" w:ascii="Times New Roman" w:hAnsi="Times New Roman" w:eastAsia="宋体" w:cs="Times New Roman"/>
                <w:b/>
                <w:bCs/>
                <w:kern w:val="0"/>
                <w:sz w:val="24"/>
                <w:highlight w:val="none"/>
                <w:lang w:bidi="ar"/>
              </w:rPr>
              <w:t>与《北京经济技术开发区</w:t>
            </w:r>
            <w:r>
              <w:rPr>
                <w:rFonts w:hint="eastAsia" w:ascii="Times New Roman" w:hAnsi="Times New Roman" w:eastAsia="宋体" w:cs="Times New Roman"/>
                <w:b/>
                <w:bCs/>
                <w:kern w:val="0"/>
                <w:sz w:val="24"/>
                <w:highlight w:val="none"/>
                <w:lang w:eastAsia="zh-CN" w:bidi="ar"/>
              </w:rPr>
              <w:t>“</w:t>
            </w:r>
            <w:r>
              <w:rPr>
                <w:rFonts w:hint="default" w:ascii="Times New Roman" w:hAnsi="Times New Roman" w:eastAsia="宋体" w:cs="Times New Roman"/>
                <w:b/>
                <w:bCs/>
                <w:kern w:val="0"/>
                <w:sz w:val="24"/>
                <w:highlight w:val="none"/>
                <w:lang w:bidi="ar"/>
              </w:rPr>
              <w:t>十三五</w:t>
            </w:r>
            <w:r>
              <w:rPr>
                <w:rFonts w:hint="eastAsia" w:ascii="Times New Roman" w:hAnsi="Times New Roman" w:eastAsia="宋体" w:cs="Times New Roman"/>
                <w:b/>
                <w:bCs/>
                <w:kern w:val="0"/>
                <w:sz w:val="24"/>
                <w:highlight w:val="none"/>
                <w:lang w:eastAsia="zh-CN" w:bidi="ar"/>
              </w:rPr>
              <w:t>”</w:t>
            </w:r>
            <w:r>
              <w:rPr>
                <w:rFonts w:hint="default" w:ascii="Times New Roman" w:hAnsi="Times New Roman" w:eastAsia="宋体" w:cs="Times New Roman"/>
                <w:b/>
                <w:bCs/>
                <w:kern w:val="0"/>
                <w:sz w:val="24"/>
                <w:highlight w:val="none"/>
                <w:lang w:bidi="ar"/>
              </w:rPr>
              <w:t>时期创新发展规划环境影响篇章》的符合性分析</w:t>
            </w:r>
          </w:p>
          <w:tbl>
            <w:tblPr>
              <w:tblStyle w:val="44"/>
              <w:tblW w:w="667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
              <w:gridCol w:w="622"/>
              <w:gridCol w:w="2914"/>
              <w:gridCol w:w="2749"/>
            </w:tblGrid>
            <w:tr w14:paraId="1C36BD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jc w:val="center"/>
              </w:trPr>
              <w:tc>
                <w:tcPr>
                  <w:tcW w:w="393" w:type="dxa"/>
                  <w:tcBorders>
                    <w:top w:val="single" w:color="000000" w:sz="10" w:space="0"/>
                    <w:left w:val="nil"/>
                  </w:tcBorders>
                  <w:vAlign w:val="center"/>
                </w:tcPr>
                <w:p w14:paraId="07A15FE4">
                  <w:pPr>
                    <w:autoSpaceDE w:val="0"/>
                    <w:autoSpaceDN w:val="0"/>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序号</w:t>
                  </w:r>
                </w:p>
              </w:tc>
              <w:tc>
                <w:tcPr>
                  <w:tcW w:w="622" w:type="dxa"/>
                  <w:tcBorders>
                    <w:top w:val="single" w:color="000000" w:sz="10" w:space="0"/>
                  </w:tcBorders>
                  <w:vAlign w:val="center"/>
                </w:tcPr>
                <w:p w14:paraId="54E859CF">
                  <w:pPr>
                    <w:autoSpaceDE w:val="0"/>
                    <w:autoSpaceDN w:val="0"/>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类别</w:t>
                  </w:r>
                </w:p>
              </w:tc>
              <w:tc>
                <w:tcPr>
                  <w:tcW w:w="2914" w:type="dxa"/>
                  <w:tcBorders>
                    <w:top w:val="single" w:color="000000" w:sz="10" w:space="0"/>
                  </w:tcBorders>
                  <w:vAlign w:val="center"/>
                </w:tcPr>
                <w:p w14:paraId="70CA4BF0">
                  <w:pPr>
                    <w:autoSpaceDE w:val="0"/>
                    <w:autoSpaceDN w:val="0"/>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与本项目相关的开发区</w:t>
                  </w:r>
                  <w:r>
                    <w:rPr>
                      <w:rFonts w:hint="eastAsia" w:ascii="Times New Roman" w:hAnsi="Times New Roman" w:eastAsia="宋体" w:cs="Times New Roman"/>
                      <w:b/>
                      <w:bCs/>
                      <w:szCs w:val="21"/>
                      <w:highlight w:val="none"/>
                      <w:lang w:eastAsia="zh-CN"/>
                    </w:rPr>
                    <w:t>“</w:t>
                  </w:r>
                  <w:r>
                    <w:rPr>
                      <w:rFonts w:hint="default" w:ascii="Times New Roman" w:hAnsi="Times New Roman" w:eastAsia="宋体" w:cs="Times New Roman"/>
                      <w:b/>
                      <w:bCs/>
                      <w:szCs w:val="21"/>
                      <w:highlight w:val="none"/>
                    </w:rPr>
                    <w:t>十三五</w:t>
                  </w:r>
                  <w:r>
                    <w:rPr>
                      <w:rFonts w:hint="eastAsia" w:ascii="Times New Roman" w:hAnsi="Times New Roman" w:eastAsia="宋体" w:cs="Times New Roman"/>
                      <w:b/>
                      <w:bCs/>
                      <w:szCs w:val="21"/>
                      <w:highlight w:val="none"/>
                      <w:lang w:eastAsia="zh-CN"/>
                    </w:rPr>
                    <w:t>”</w:t>
                  </w:r>
                  <w:r>
                    <w:rPr>
                      <w:rFonts w:hint="default" w:ascii="Times New Roman" w:hAnsi="Times New Roman" w:eastAsia="宋体" w:cs="Times New Roman"/>
                      <w:b/>
                      <w:bCs/>
                      <w:szCs w:val="21"/>
                      <w:highlight w:val="none"/>
                    </w:rPr>
                    <w:t>规划内容</w:t>
                  </w:r>
                </w:p>
              </w:tc>
              <w:tc>
                <w:tcPr>
                  <w:tcW w:w="2749" w:type="dxa"/>
                  <w:tcBorders>
                    <w:top w:val="single" w:color="000000" w:sz="10" w:space="0"/>
                    <w:right w:val="nil"/>
                  </w:tcBorders>
                  <w:vAlign w:val="center"/>
                </w:tcPr>
                <w:p w14:paraId="1BD02C0D">
                  <w:pPr>
                    <w:autoSpaceDE w:val="0"/>
                    <w:autoSpaceDN w:val="0"/>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本项目符合性分析</w:t>
                  </w:r>
                </w:p>
              </w:tc>
            </w:tr>
            <w:tr w14:paraId="5ECAAF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jc w:val="center"/>
              </w:trPr>
              <w:tc>
                <w:tcPr>
                  <w:tcW w:w="393" w:type="dxa"/>
                  <w:tcBorders>
                    <w:left w:val="nil"/>
                  </w:tcBorders>
                  <w:vAlign w:val="center"/>
                </w:tcPr>
                <w:p w14:paraId="7B20E058">
                  <w:pPr>
                    <w:autoSpaceDE w:val="0"/>
                    <w:autoSpaceDN w:val="0"/>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1</w:t>
                  </w:r>
                </w:p>
              </w:tc>
              <w:tc>
                <w:tcPr>
                  <w:tcW w:w="622" w:type="dxa"/>
                  <w:vAlign w:val="center"/>
                </w:tcPr>
                <w:p w14:paraId="374B9977">
                  <w:pPr>
                    <w:autoSpaceDE w:val="0"/>
                    <w:autoSpaceDN w:val="0"/>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规划目标</w:t>
                  </w:r>
                </w:p>
              </w:tc>
              <w:tc>
                <w:tcPr>
                  <w:tcW w:w="2914" w:type="dxa"/>
                  <w:vAlign w:val="center"/>
                </w:tcPr>
                <w:p w14:paraId="6A4B29B1">
                  <w:pPr>
                    <w:autoSpaceDE w:val="0"/>
                    <w:autoSpaceDN w:val="0"/>
                    <w:ind w:firstLine="210" w:firstLineChars="10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产业发展高端化进一步强化，打造千亿级以上产业集群5个，科技创新生态体系初具规模。以产品创新为核心的科技创新生态体系基本形成，创新要素加速聚集，人民生活更加公平和谐。就业保障能力进一步提高。</w:t>
                  </w:r>
                </w:p>
              </w:tc>
              <w:tc>
                <w:tcPr>
                  <w:tcW w:w="2749" w:type="dxa"/>
                  <w:tcBorders>
                    <w:right w:val="nil"/>
                  </w:tcBorders>
                  <w:vAlign w:val="center"/>
                </w:tcPr>
                <w:p w14:paraId="608B65BB">
                  <w:pPr>
                    <w:autoSpaceDE w:val="0"/>
                    <w:autoSpaceDN w:val="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本项目</w:t>
                  </w:r>
                  <w:r>
                    <w:rPr>
                      <w:rFonts w:hint="default" w:ascii="Times New Roman" w:hAnsi="Times New Roman" w:eastAsia="宋体" w:cs="Times New Roman"/>
                      <w:szCs w:val="21"/>
                      <w:highlight w:val="none"/>
                      <w:lang w:val="en-US" w:eastAsia="zh-CN"/>
                    </w:rPr>
                    <w:t>从事新材料研发</w:t>
                  </w:r>
                  <w:r>
                    <w:rPr>
                      <w:rFonts w:hint="default" w:ascii="Times New Roman" w:hAnsi="Times New Roman" w:eastAsia="宋体" w:cs="Times New Roman"/>
                      <w:szCs w:val="21"/>
                      <w:highlight w:val="none"/>
                    </w:rPr>
                    <w:t>，属于科技创新项目。项目建成后能够提供一定就业岗位，有利于促进开发区科技创新生态系统的形成，符合规划目标。</w:t>
                  </w:r>
                </w:p>
              </w:tc>
            </w:tr>
            <w:tr w14:paraId="01908B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7" w:hRule="atLeast"/>
                <w:jc w:val="center"/>
              </w:trPr>
              <w:tc>
                <w:tcPr>
                  <w:tcW w:w="393" w:type="dxa"/>
                  <w:tcBorders>
                    <w:left w:val="nil"/>
                  </w:tcBorders>
                  <w:vAlign w:val="center"/>
                </w:tcPr>
                <w:p w14:paraId="20BB5895">
                  <w:pPr>
                    <w:autoSpaceDE w:val="0"/>
                    <w:autoSpaceDN w:val="0"/>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2</w:t>
                  </w:r>
                </w:p>
              </w:tc>
              <w:tc>
                <w:tcPr>
                  <w:tcW w:w="622" w:type="dxa"/>
                  <w:vAlign w:val="center"/>
                </w:tcPr>
                <w:p w14:paraId="4E41FD82">
                  <w:pPr>
                    <w:autoSpaceDE w:val="0"/>
                    <w:autoSpaceDN w:val="0"/>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产业发展方向</w:t>
                  </w:r>
                </w:p>
              </w:tc>
              <w:tc>
                <w:tcPr>
                  <w:tcW w:w="2914" w:type="dxa"/>
                  <w:vAlign w:val="center"/>
                </w:tcPr>
                <w:p w14:paraId="54A7329A">
                  <w:pPr>
                    <w:autoSpaceDE w:val="0"/>
                    <w:autoSpaceDN w:val="0"/>
                    <w:ind w:firstLine="210" w:firstLineChars="10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立足开发区高端产业的发展基础，持续做强电子信息、生物医药、装备产业、汽车产业的总装集成、系统集成、总部经济等高端业态。</w:t>
                  </w:r>
                </w:p>
              </w:tc>
              <w:tc>
                <w:tcPr>
                  <w:tcW w:w="2749" w:type="dxa"/>
                  <w:tcBorders>
                    <w:right w:val="nil"/>
                  </w:tcBorders>
                  <w:vAlign w:val="center"/>
                </w:tcPr>
                <w:p w14:paraId="2D4D17A3">
                  <w:pPr>
                    <w:keepNext w:val="0"/>
                    <w:keepLines w:val="0"/>
                    <w:widowControl/>
                    <w:suppressLineNumbers w:val="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本项目</w:t>
                  </w:r>
                  <w:r>
                    <w:rPr>
                      <w:rFonts w:hint="default" w:ascii="Times New Roman" w:hAnsi="Times New Roman" w:eastAsia="宋体" w:cs="Times New Roman"/>
                      <w:szCs w:val="21"/>
                      <w:highlight w:val="none"/>
                      <w:lang w:val="en-US" w:eastAsia="zh-CN"/>
                    </w:rPr>
                    <w:t>从事</w:t>
                  </w:r>
                  <w:r>
                    <w:rPr>
                      <w:rFonts w:hint="default" w:ascii="Times New Roman" w:hAnsi="Times New Roman" w:eastAsia="宋体" w:cs="Times New Roman"/>
                      <w:color w:val="auto"/>
                      <w:szCs w:val="21"/>
                      <w:highlight w:val="none"/>
                      <w:lang w:val="en-US" w:eastAsia="zh-CN"/>
                    </w:rPr>
                    <w:t>新材料研发</w:t>
                  </w:r>
                  <w:r>
                    <w:rPr>
                      <w:rFonts w:hint="default" w:ascii="Times New Roman" w:hAnsi="Times New Roman" w:eastAsia="宋体" w:cs="Times New Roman"/>
                      <w:color w:val="auto"/>
                      <w:szCs w:val="21"/>
                      <w:highlight w:val="none"/>
                    </w:rPr>
                    <w:t>，行业类别</w:t>
                  </w:r>
                  <w:r>
                    <w:rPr>
                      <w:rFonts w:hint="default" w:ascii="Times New Roman" w:hAnsi="Times New Roman" w:eastAsia="宋体" w:cs="Times New Roman"/>
                      <w:color w:val="auto"/>
                      <w:szCs w:val="21"/>
                      <w:highlight w:val="none"/>
                      <w:lang w:val="en-US" w:eastAsia="zh-CN"/>
                    </w:rPr>
                    <w:t>属于</w:t>
                  </w: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M7320工程和技术研究和实验发展</w:t>
                  </w: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，符合产业发展方向。</w:t>
                  </w:r>
                </w:p>
              </w:tc>
            </w:tr>
            <w:tr w14:paraId="6C2DF8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393" w:type="dxa"/>
                  <w:tcBorders>
                    <w:left w:val="nil"/>
                  </w:tcBorders>
                  <w:vAlign w:val="center"/>
                </w:tcPr>
                <w:p w14:paraId="2155CAE9">
                  <w:pPr>
                    <w:autoSpaceDE w:val="0"/>
                    <w:autoSpaceDN w:val="0"/>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3</w:t>
                  </w:r>
                </w:p>
              </w:tc>
              <w:tc>
                <w:tcPr>
                  <w:tcW w:w="622" w:type="dxa"/>
                  <w:vAlign w:val="center"/>
                </w:tcPr>
                <w:p w14:paraId="73561A1E">
                  <w:pPr>
                    <w:autoSpaceDE w:val="0"/>
                    <w:autoSpaceDN w:val="0"/>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大气污染防治措施</w:t>
                  </w:r>
                </w:p>
              </w:tc>
              <w:tc>
                <w:tcPr>
                  <w:tcW w:w="2914" w:type="dxa"/>
                  <w:vAlign w:val="center"/>
                </w:tcPr>
                <w:p w14:paraId="4934F58F">
                  <w:pPr>
                    <w:autoSpaceDE w:val="0"/>
                    <w:autoSpaceDN w:val="0"/>
                    <w:ind w:firstLine="210" w:firstLineChars="10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在</w:t>
                  </w:r>
                  <w:r>
                    <w:rPr>
                      <w:rFonts w:hint="eastAsia"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十三五</w:t>
                  </w:r>
                  <w:r>
                    <w:rPr>
                      <w:rFonts w:hint="eastAsia"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期间，要求对产生挥发性有机物的企业根据其行业特点继续采取相应的处理措施并进行处理。</w:t>
                  </w:r>
                </w:p>
              </w:tc>
              <w:tc>
                <w:tcPr>
                  <w:tcW w:w="2749" w:type="dxa"/>
                  <w:tcBorders>
                    <w:right w:val="nil"/>
                  </w:tcBorders>
                  <w:vAlign w:val="center"/>
                </w:tcPr>
                <w:p w14:paraId="0FBD4C8A">
                  <w:pPr>
                    <w:autoSpaceDE w:val="0"/>
                    <w:autoSpaceDN w:val="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本项目产生挥发性有机物很少，且采取有效治理措施，达标排放。</w:t>
                  </w:r>
                </w:p>
              </w:tc>
            </w:tr>
            <w:tr w14:paraId="56BF1B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393" w:type="dxa"/>
                  <w:tcBorders>
                    <w:left w:val="nil"/>
                  </w:tcBorders>
                  <w:vAlign w:val="center"/>
                </w:tcPr>
                <w:p w14:paraId="3AA68402">
                  <w:pPr>
                    <w:autoSpaceDE w:val="0"/>
                    <w:autoSpaceDN w:val="0"/>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4</w:t>
                  </w:r>
                </w:p>
              </w:tc>
              <w:tc>
                <w:tcPr>
                  <w:tcW w:w="622" w:type="dxa"/>
                  <w:vAlign w:val="center"/>
                </w:tcPr>
                <w:p w14:paraId="212321C3">
                  <w:pPr>
                    <w:autoSpaceDE w:val="0"/>
                    <w:autoSpaceDN w:val="0"/>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水污染防治措施</w:t>
                  </w:r>
                </w:p>
              </w:tc>
              <w:tc>
                <w:tcPr>
                  <w:tcW w:w="2914" w:type="dxa"/>
                  <w:vAlign w:val="center"/>
                </w:tcPr>
                <w:p w14:paraId="5BD2F1EE">
                  <w:pPr>
                    <w:autoSpaceDE w:val="0"/>
                    <w:autoSpaceDN w:val="0"/>
                    <w:ind w:firstLine="420" w:firstLineChars="20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预计到2020年开发区全年的污水排放量将达到4977.8万m</w:t>
                  </w:r>
                  <w:r>
                    <w:rPr>
                      <w:rFonts w:hint="default" w:ascii="Times New Roman" w:hAnsi="Times New Roman" w:eastAsia="宋体" w:cs="Times New Roman"/>
                      <w:szCs w:val="21"/>
                      <w:highlight w:val="none"/>
                      <w:vertAlign w:val="superscript"/>
                    </w:rPr>
                    <w:t>3</w:t>
                  </w:r>
                  <w:r>
                    <w:rPr>
                      <w:rFonts w:hint="default" w:ascii="Times New Roman" w:hAnsi="Times New Roman" w:eastAsia="宋体" w:cs="Times New Roman"/>
                      <w:szCs w:val="21"/>
                      <w:highlight w:val="none"/>
                    </w:rPr>
                    <w:t>（约13.6万t/d）。</w:t>
                  </w:r>
                  <w:r>
                    <w:rPr>
                      <w:rFonts w:hint="eastAsia"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十三五</w:t>
                  </w:r>
                  <w:r>
                    <w:rPr>
                      <w:rFonts w:hint="eastAsia"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期间北京经济技术开发区将达到20万t/d的污水处理能力，因此可以实现本规划提出的污水处理率始终为100%并达标排放的目标。</w:t>
                  </w:r>
                </w:p>
              </w:tc>
              <w:tc>
                <w:tcPr>
                  <w:tcW w:w="2749" w:type="dxa"/>
                  <w:tcBorders>
                    <w:right w:val="nil"/>
                  </w:tcBorders>
                  <w:vAlign w:val="center"/>
                </w:tcPr>
                <w:p w14:paraId="46982B3A">
                  <w:pPr>
                    <w:autoSpaceDE w:val="0"/>
                    <w:autoSpaceDN w:val="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本项目位于</w:t>
                  </w:r>
                  <w:r>
                    <w:rPr>
                      <w:rFonts w:hint="default" w:ascii="Times New Roman" w:hAnsi="Times New Roman" w:eastAsia="宋体" w:cs="Times New Roman"/>
                      <w:color w:val="auto"/>
                      <w:szCs w:val="21"/>
                      <w:highlight w:val="none"/>
                      <w:lang w:eastAsia="zh-CN"/>
                    </w:rPr>
                    <w:t>北京亦庄环境科技集团有限公司经开污水处理厂</w:t>
                  </w:r>
                  <w:r>
                    <w:rPr>
                      <w:rFonts w:hint="default" w:ascii="Times New Roman" w:hAnsi="Times New Roman" w:eastAsia="宋体" w:cs="Times New Roman"/>
                      <w:szCs w:val="21"/>
                      <w:highlight w:val="none"/>
                    </w:rPr>
                    <w:t>的收水范围内，项目污水能够经污水处理厂处理后达标排放。项目废水排放符合开发区水污染防治措施要求。</w:t>
                  </w:r>
                </w:p>
              </w:tc>
            </w:tr>
            <w:tr w14:paraId="2E54D2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1" w:hRule="atLeast"/>
                <w:jc w:val="center"/>
              </w:trPr>
              <w:tc>
                <w:tcPr>
                  <w:tcW w:w="393" w:type="dxa"/>
                  <w:tcBorders>
                    <w:left w:val="nil"/>
                    <w:bottom w:val="single" w:color="000000" w:sz="10" w:space="0"/>
                  </w:tcBorders>
                  <w:vAlign w:val="center"/>
                </w:tcPr>
                <w:p w14:paraId="7C9E197F">
                  <w:pPr>
                    <w:autoSpaceDE w:val="0"/>
                    <w:autoSpaceDN w:val="0"/>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5</w:t>
                  </w:r>
                </w:p>
              </w:tc>
              <w:tc>
                <w:tcPr>
                  <w:tcW w:w="622" w:type="dxa"/>
                  <w:tcBorders>
                    <w:bottom w:val="single" w:color="000000" w:sz="10" w:space="0"/>
                  </w:tcBorders>
                  <w:vAlign w:val="center"/>
                </w:tcPr>
                <w:p w14:paraId="58452043">
                  <w:pPr>
                    <w:autoSpaceDE w:val="0"/>
                    <w:autoSpaceDN w:val="0"/>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固体废物治理措施</w:t>
                  </w:r>
                </w:p>
              </w:tc>
              <w:tc>
                <w:tcPr>
                  <w:tcW w:w="2914" w:type="dxa"/>
                  <w:tcBorders>
                    <w:bottom w:val="single" w:color="000000" w:sz="10" w:space="0"/>
                  </w:tcBorders>
                  <w:vAlign w:val="center"/>
                </w:tcPr>
                <w:p w14:paraId="6EF37F62">
                  <w:pPr>
                    <w:autoSpaceDE w:val="0"/>
                    <w:autoSpaceDN w:val="0"/>
                    <w:ind w:firstLine="210" w:firstLineChars="10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加强源头控制，实现固体废物减量化。提升综合利用水平和综合利用率。</w:t>
                  </w:r>
                </w:p>
              </w:tc>
              <w:tc>
                <w:tcPr>
                  <w:tcW w:w="2749" w:type="dxa"/>
                  <w:tcBorders>
                    <w:bottom w:val="single" w:color="000000" w:sz="10" w:space="0"/>
                    <w:right w:val="nil"/>
                  </w:tcBorders>
                  <w:vAlign w:val="center"/>
                </w:tcPr>
                <w:p w14:paraId="0E6AB2AA">
                  <w:pPr>
                    <w:autoSpaceDE w:val="0"/>
                    <w:autoSpaceDN w:val="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项目</w:t>
                  </w:r>
                  <w:r>
                    <w:rPr>
                      <w:rFonts w:hint="default" w:ascii="Times New Roman" w:hAnsi="Times New Roman" w:eastAsia="宋体" w:cs="Times New Roman"/>
                      <w:szCs w:val="21"/>
                      <w:highlight w:val="none"/>
                      <w:lang w:val="en-US" w:eastAsia="zh-CN"/>
                    </w:rPr>
                    <w:t>严格执行固体废物相关法规、标准要求，源头控制，加强过程管理，减少固废产生量，对产生的固体废物分类收集、贮存、</w:t>
                  </w:r>
                  <w:r>
                    <w:rPr>
                      <w:rFonts w:hint="eastAsia" w:cs="Times New Roman"/>
                      <w:szCs w:val="21"/>
                      <w:highlight w:val="none"/>
                      <w:lang w:val="en-US" w:eastAsia="zh-CN"/>
                    </w:rPr>
                    <w:t>由专业资质单位合理</w:t>
                  </w:r>
                  <w:r>
                    <w:rPr>
                      <w:rFonts w:hint="default" w:ascii="Times New Roman" w:hAnsi="Times New Roman" w:eastAsia="宋体" w:cs="Times New Roman"/>
                      <w:szCs w:val="21"/>
                      <w:highlight w:val="none"/>
                      <w:lang w:val="en-US" w:eastAsia="zh-CN"/>
                    </w:rPr>
                    <w:t>处理</w:t>
                  </w:r>
                  <w:r>
                    <w:rPr>
                      <w:rFonts w:hint="default" w:ascii="Times New Roman" w:hAnsi="Times New Roman" w:eastAsia="宋体" w:cs="Times New Roman"/>
                      <w:szCs w:val="21"/>
                      <w:highlight w:val="none"/>
                    </w:rPr>
                    <w:t>。</w:t>
                  </w:r>
                </w:p>
              </w:tc>
            </w:tr>
          </w:tbl>
          <w:p w14:paraId="070E7344">
            <w:pPr>
              <w:widowControl/>
              <w:spacing w:line="360" w:lineRule="auto"/>
              <w:ind w:firstLine="480" w:firstLineChars="200"/>
              <w:jc w:val="left"/>
              <w:rPr>
                <w:rFonts w:hint="default" w:ascii="Times New Roman" w:hAnsi="Times New Roman" w:eastAsia="宋体" w:cs="Times New Roman"/>
                <w:sz w:val="24"/>
                <w:highlight w:val="none"/>
              </w:rPr>
            </w:pPr>
            <w:r>
              <w:rPr>
                <w:rFonts w:hint="default" w:ascii="Times New Roman" w:hAnsi="Times New Roman" w:eastAsia="宋体" w:cs="Times New Roman"/>
                <w:kern w:val="0"/>
                <w:sz w:val="24"/>
                <w:highlight w:val="none"/>
                <w:lang w:bidi="ar"/>
              </w:rPr>
              <w:t>由上述分析可知，本项目符合《北京经济技术开发区</w:t>
            </w:r>
            <w:r>
              <w:rPr>
                <w:rFonts w:hint="eastAsia" w:ascii="Times New Roman" w:hAnsi="Times New Roman" w:eastAsia="宋体" w:cs="Times New Roman"/>
                <w:kern w:val="0"/>
                <w:sz w:val="24"/>
                <w:highlight w:val="none"/>
                <w:lang w:eastAsia="zh-CN" w:bidi="ar"/>
              </w:rPr>
              <w:t>“</w:t>
            </w:r>
            <w:r>
              <w:rPr>
                <w:rFonts w:hint="default" w:ascii="Times New Roman" w:hAnsi="Times New Roman" w:eastAsia="宋体" w:cs="Times New Roman"/>
                <w:kern w:val="0"/>
                <w:sz w:val="24"/>
                <w:highlight w:val="none"/>
                <w:lang w:bidi="ar"/>
              </w:rPr>
              <w:t xml:space="preserve">十三五 </w:t>
            </w:r>
            <w:r>
              <w:rPr>
                <w:rFonts w:hint="eastAsia" w:ascii="Times New Roman" w:hAnsi="Times New Roman" w:eastAsia="宋体" w:cs="Times New Roman"/>
                <w:kern w:val="0"/>
                <w:sz w:val="24"/>
                <w:highlight w:val="none"/>
                <w:lang w:eastAsia="zh-CN" w:bidi="ar"/>
              </w:rPr>
              <w:t>”</w:t>
            </w:r>
            <w:r>
              <w:rPr>
                <w:rFonts w:hint="default" w:ascii="Times New Roman" w:hAnsi="Times New Roman" w:eastAsia="宋体" w:cs="Times New Roman"/>
                <w:kern w:val="0"/>
                <w:sz w:val="24"/>
                <w:highlight w:val="none"/>
                <w:lang w:bidi="ar"/>
              </w:rPr>
              <w:t>时期创新发展规划环境影响篇章》的相关要求。</w:t>
            </w:r>
          </w:p>
        </w:tc>
      </w:tr>
      <w:tr w14:paraId="641DA9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68" w:hRule="atLeast"/>
          <w:jc w:val="center"/>
        </w:trPr>
        <w:tc>
          <w:tcPr>
            <w:tcW w:w="2129" w:type="dxa"/>
            <w:tcBorders>
              <w:top w:val="single" w:color="auto" w:sz="4" w:space="0"/>
              <w:left w:val="single" w:color="auto" w:sz="8" w:space="0"/>
              <w:bottom w:val="single" w:color="auto" w:sz="4" w:space="0"/>
              <w:right w:val="single" w:color="auto" w:sz="4" w:space="0"/>
            </w:tcBorders>
            <w:vAlign w:val="center"/>
          </w:tcPr>
          <w:p w14:paraId="5C2B01FC">
            <w:pPr>
              <w:autoSpaceDE w:val="0"/>
              <w:autoSpaceDN w:val="0"/>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kern w:val="0"/>
                <w:sz w:val="24"/>
                <w:highlight w:val="none"/>
              </w:rPr>
              <w:t>其他符合性分析</w:t>
            </w:r>
          </w:p>
        </w:tc>
        <w:tc>
          <w:tcPr>
            <w:tcW w:w="6741" w:type="dxa"/>
            <w:gridSpan w:val="3"/>
            <w:tcBorders>
              <w:top w:val="single" w:color="auto" w:sz="4" w:space="0"/>
              <w:left w:val="single" w:color="auto" w:sz="4" w:space="0"/>
              <w:bottom w:val="single" w:color="auto" w:sz="4" w:space="0"/>
              <w:right w:val="single" w:color="auto" w:sz="8" w:space="0"/>
            </w:tcBorders>
          </w:tcPr>
          <w:p w14:paraId="78F7F596">
            <w:pPr>
              <w:numPr>
                <w:ilvl w:val="0"/>
                <w:numId w:val="6"/>
              </w:numPr>
              <w:spacing w:line="360" w:lineRule="auto"/>
              <w:ind w:firstLine="482"/>
              <w:rPr>
                <w:rFonts w:hint="default" w:ascii="Times New Roman" w:hAnsi="Times New Roman" w:eastAsia="宋体" w:cs="Times New Roman"/>
                <w:b/>
                <w:bCs/>
                <w:kern w:val="0"/>
                <w:sz w:val="24"/>
                <w:highlight w:val="none"/>
                <w:lang w:bidi="ar"/>
              </w:rPr>
            </w:pPr>
            <w:r>
              <w:rPr>
                <w:rFonts w:hint="default" w:ascii="Times New Roman" w:hAnsi="Times New Roman" w:eastAsia="宋体" w:cs="Times New Roman"/>
                <w:b/>
                <w:bCs/>
                <w:kern w:val="0"/>
                <w:sz w:val="24"/>
                <w:highlight w:val="none"/>
                <w:lang w:bidi="ar"/>
              </w:rPr>
              <w:t>产业政策符合性分析：</w:t>
            </w:r>
          </w:p>
          <w:p w14:paraId="5B9581EA">
            <w:pPr>
              <w:spacing w:line="360" w:lineRule="auto"/>
              <w:ind w:firstLine="480" w:firstLineChars="200"/>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bidi="ar"/>
              </w:rPr>
              <w:t>本项目</w:t>
            </w:r>
            <w:r>
              <w:rPr>
                <w:rFonts w:hint="default" w:ascii="Times New Roman" w:hAnsi="Times New Roman" w:eastAsia="宋体" w:cs="Times New Roman"/>
                <w:kern w:val="0"/>
                <w:sz w:val="24"/>
                <w:highlight w:val="none"/>
                <w:lang w:val="en-US" w:eastAsia="zh-CN" w:bidi="ar"/>
              </w:rPr>
              <w:t>从事新材料研发，不</w:t>
            </w:r>
            <w:r>
              <w:rPr>
                <w:rFonts w:hint="default" w:ascii="Times New Roman" w:hAnsi="Times New Roman" w:eastAsia="宋体" w:cs="Times New Roman"/>
                <w:kern w:val="0"/>
                <w:sz w:val="24"/>
                <w:highlight w:val="none"/>
                <w:lang w:bidi="ar"/>
              </w:rPr>
              <w:t>属于《产业结构调整指导目录（2024年本）》中</w:t>
            </w:r>
            <w:r>
              <w:rPr>
                <w:rFonts w:hint="default" w:ascii="Times New Roman" w:hAnsi="Times New Roman" w:eastAsia="宋体" w:cs="Times New Roman"/>
                <w:kern w:val="0"/>
                <w:sz w:val="24"/>
                <w:highlight w:val="none"/>
                <w:lang w:val="en-US" w:eastAsia="zh-CN" w:bidi="ar"/>
              </w:rPr>
              <w:t>鼓励类、限制类和淘汰类</w:t>
            </w:r>
            <w:r>
              <w:rPr>
                <w:rFonts w:hint="default" w:ascii="Times New Roman" w:hAnsi="Times New Roman" w:eastAsia="宋体" w:cs="Times New Roman"/>
                <w:kern w:val="0"/>
                <w:sz w:val="24"/>
                <w:highlight w:val="none"/>
                <w:lang w:bidi="ar"/>
              </w:rPr>
              <w:t>，属于</w:t>
            </w:r>
            <w:r>
              <w:rPr>
                <w:rFonts w:hint="default" w:ascii="Times New Roman" w:hAnsi="Times New Roman" w:eastAsia="宋体" w:cs="Times New Roman"/>
                <w:kern w:val="0"/>
                <w:sz w:val="24"/>
                <w:highlight w:val="none"/>
                <w:lang w:val="en-US" w:eastAsia="zh-CN" w:bidi="ar"/>
              </w:rPr>
              <w:t>允许</w:t>
            </w:r>
            <w:r>
              <w:rPr>
                <w:rFonts w:hint="default" w:ascii="Times New Roman" w:hAnsi="Times New Roman" w:eastAsia="宋体" w:cs="Times New Roman"/>
                <w:kern w:val="0"/>
                <w:sz w:val="24"/>
                <w:highlight w:val="none"/>
                <w:lang w:bidi="ar"/>
              </w:rPr>
              <w:t>类项目。</w:t>
            </w:r>
          </w:p>
          <w:p w14:paraId="696CABD2">
            <w:pPr>
              <w:spacing w:line="360" w:lineRule="auto"/>
              <w:ind w:firstLine="480" w:firstLineChars="200"/>
              <w:rPr>
                <w:rFonts w:hint="default" w:ascii="Times New Roman" w:hAnsi="Times New Roman" w:eastAsia="宋体" w:cs="Times New Roman"/>
                <w:kern w:val="0"/>
                <w:sz w:val="24"/>
                <w:highlight w:val="none"/>
                <w:lang w:eastAsia="zh-CN" w:bidi="ar"/>
              </w:rPr>
            </w:pPr>
            <w:r>
              <w:rPr>
                <w:rFonts w:hint="default" w:ascii="Times New Roman" w:hAnsi="Times New Roman" w:eastAsia="宋体" w:cs="Times New Roman"/>
                <w:kern w:val="0"/>
                <w:sz w:val="24"/>
                <w:highlight w:val="none"/>
                <w:lang w:bidi="ar"/>
              </w:rPr>
              <w:t>本项目不属于《北京市新增产业的禁止和限制目录（2022年版）》中禁止和限制类中所列的项目</w:t>
            </w:r>
            <w:r>
              <w:rPr>
                <w:rFonts w:hint="default" w:ascii="Times New Roman" w:hAnsi="Times New Roman" w:eastAsia="宋体" w:cs="Times New Roman"/>
                <w:kern w:val="0"/>
                <w:sz w:val="24"/>
                <w:highlight w:val="none"/>
                <w:lang w:eastAsia="zh-CN" w:bidi="ar"/>
              </w:rPr>
              <w:t>。</w:t>
            </w:r>
          </w:p>
          <w:p w14:paraId="0ACE11D9">
            <w:pPr>
              <w:spacing w:line="360" w:lineRule="auto"/>
              <w:ind w:firstLine="480" w:firstLineChars="200"/>
              <w:rPr>
                <w:rFonts w:hint="default" w:ascii="Times New Roman" w:hAnsi="Times New Roman" w:eastAsia="宋体" w:cs="Times New Roman"/>
                <w:kern w:val="0"/>
                <w:sz w:val="24"/>
                <w:highlight w:val="none"/>
                <w:lang w:val="en-US" w:eastAsia="zh-CN" w:bidi="ar"/>
              </w:rPr>
            </w:pPr>
            <w:r>
              <w:rPr>
                <w:rFonts w:hint="default" w:ascii="Times New Roman" w:hAnsi="Times New Roman" w:eastAsia="宋体" w:cs="Times New Roman"/>
                <w:kern w:val="0"/>
                <w:sz w:val="24"/>
                <w:highlight w:val="none"/>
                <w:lang w:val="en-US" w:eastAsia="zh-CN" w:bidi="ar"/>
              </w:rPr>
              <w:t>本项目未列入</w:t>
            </w:r>
            <w:r>
              <w:rPr>
                <w:rFonts w:hint="default" w:ascii="Times New Roman" w:hAnsi="Times New Roman" w:eastAsia="宋体" w:cs="Times New Roman"/>
                <w:kern w:val="0"/>
                <w:sz w:val="24"/>
                <w:highlight w:val="none"/>
                <w:lang w:eastAsia="zh-CN" w:bidi="ar"/>
              </w:rPr>
              <w:t>《外商投资准入特别管理措施（负面清单）（202</w:t>
            </w:r>
            <w:r>
              <w:rPr>
                <w:rFonts w:hint="default" w:ascii="Times New Roman" w:hAnsi="Times New Roman" w:eastAsia="宋体" w:cs="Times New Roman"/>
                <w:kern w:val="0"/>
                <w:sz w:val="24"/>
                <w:highlight w:val="none"/>
                <w:lang w:val="en-US" w:eastAsia="zh-CN" w:bidi="ar"/>
              </w:rPr>
              <w:t>5</w:t>
            </w:r>
            <w:r>
              <w:rPr>
                <w:rFonts w:hint="default" w:ascii="Times New Roman" w:hAnsi="Times New Roman" w:eastAsia="宋体" w:cs="Times New Roman"/>
                <w:kern w:val="0"/>
                <w:sz w:val="24"/>
                <w:highlight w:val="none"/>
                <w:lang w:eastAsia="zh-CN" w:bidi="ar"/>
              </w:rPr>
              <w:t>年版）》</w:t>
            </w:r>
            <w:r>
              <w:rPr>
                <w:rFonts w:hint="default" w:ascii="Times New Roman" w:hAnsi="Times New Roman" w:eastAsia="宋体" w:cs="Times New Roman"/>
                <w:kern w:val="0"/>
                <w:sz w:val="24"/>
                <w:highlight w:val="none"/>
                <w:lang w:val="en-US" w:eastAsia="zh-CN" w:bidi="ar"/>
              </w:rPr>
              <w:t>。</w:t>
            </w:r>
          </w:p>
          <w:p w14:paraId="328B9A70">
            <w:pPr>
              <w:spacing w:line="360" w:lineRule="auto"/>
              <w:ind w:firstLine="480" w:firstLineChars="200"/>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val="en-US" w:eastAsia="zh-CN" w:bidi="ar"/>
              </w:rPr>
              <w:t>综上，</w:t>
            </w:r>
            <w:r>
              <w:rPr>
                <w:rFonts w:hint="default" w:ascii="Times New Roman" w:hAnsi="Times New Roman" w:eastAsia="宋体" w:cs="Times New Roman"/>
                <w:kern w:val="0"/>
                <w:sz w:val="24"/>
                <w:highlight w:val="none"/>
                <w:lang w:bidi="ar"/>
              </w:rPr>
              <w:t>本项目符合产业政策</w:t>
            </w:r>
            <w:r>
              <w:rPr>
                <w:rFonts w:hint="default" w:ascii="Times New Roman" w:hAnsi="Times New Roman" w:eastAsia="宋体" w:cs="Times New Roman"/>
                <w:kern w:val="0"/>
                <w:sz w:val="24"/>
                <w:highlight w:val="none"/>
                <w:lang w:val="en-US" w:eastAsia="zh-CN" w:bidi="ar"/>
              </w:rPr>
              <w:t>的要求</w:t>
            </w:r>
            <w:r>
              <w:rPr>
                <w:rFonts w:hint="default" w:ascii="Times New Roman" w:hAnsi="Times New Roman" w:eastAsia="宋体" w:cs="Times New Roman"/>
                <w:kern w:val="0"/>
                <w:sz w:val="24"/>
                <w:highlight w:val="none"/>
                <w:lang w:bidi="ar"/>
              </w:rPr>
              <w:t>。</w:t>
            </w:r>
          </w:p>
          <w:p w14:paraId="30B081A5">
            <w:pPr>
              <w:numPr>
                <w:ilvl w:val="0"/>
                <w:numId w:val="7"/>
              </w:numPr>
              <w:spacing w:line="360" w:lineRule="auto"/>
              <w:ind w:firstLine="482" w:firstLineChars="200"/>
              <w:rPr>
                <w:rFonts w:hint="default" w:ascii="Times New Roman" w:hAnsi="Times New Roman" w:eastAsia="宋体" w:cs="Times New Roman"/>
                <w:b/>
                <w:bCs/>
                <w:kern w:val="0"/>
                <w:sz w:val="24"/>
                <w:highlight w:val="none"/>
                <w:lang w:bidi="ar"/>
              </w:rPr>
            </w:pPr>
            <w:r>
              <w:rPr>
                <w:rFonts w:hint="default" w:ascii="Times New Roman" w:hAnsi="Times New Roman" w:eastAsia="宋体" w:cs="Times New Roman"/>
                <w:b/>
                <w:bCs/>
                <w:kern w:val="0"/>
                <w:sz w:val="24"/>
                <w:highlight w:val="none"/>
                <w:lang w:bidi="ar"/>
              </w:rPr>
              <w:t>选址合理性分析</w:t>
            </w:r>
          </w:p>
          <w:p w14:paraId="7E6A714D">
            <w:pPr>
              <w:spacing w:line="360" w:lineRule="auto"/>
              <w:ind w:firstLine="480" w:firstLineChars="200"/>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bidi="ar"/>
              </w:rPr>
              <w:t>本项目利用现有房屋现有建筑进行建设，不新建房屋，根据项目所在房屋不动产证，房屋</w:t>
            </w:r>
            <w:r>
              <w:rPr>
                <w:rFonts w:hint="default" w:ascii="Times New Roman" w:hAnsi="Times New Roman" w:eastAsia="宋体" w:cs="Times New Roman"/>
                <w:kern w:val="0"/>
                <w:sz w:val="24"/>
                <w:highlight w:val="none"/>
                <w:lang w:eastAsia="zh-CN" w:bidi="ar"/>
              </w:rPr>
              <w:t>用途</w:t>
            </w:r>
            <w:r>
              <w:rPr>
                <w:rFonts w:hint="default" w:ascii="Times New Roman" w:hAnsi="Times New Roman" w:eastAsia="宋体" w:cs="Times New Roman"/>
                <w:kern w:val="0"/>
                <w:sz w:val="24"/>
                <w:highlight w:val="none"/>
                <w:lang w:bidi="ar"/>
              </w:rPr>
              <w:t>为</w:t>
            </w:r>
            <w:r>
              <w:rPr>
                <w:rFonts w:hint="default" w:ascii="Times New Roman" w:hAnsi="Times New Roman" w:eastAsia="宋体" w:cs="Times New Roman"/>
                <w:color w:val="auto"/>
                <w:kern w:val="0"/>
                <w:sz w:val="24"/>
                <w:highlight w:val="none"/>
                <w:lang w:eastAsia="zh-CN" w:bidi="ar"/>
              </w:rPr>
              <w:t>工业用地</w:t>
            </w:r>
            <w:r>
              <w:rPr>
                <w:rFonts w:hint="default" w:ascii="Times New Roman" w:hAnsi="Times New Roman" w:eastAsia="宋体" w:cs="Times New Roman"/>
                <w:kern w:val="0"/>
                <w:sz w:val="24"/>
                <w:highlight w:val="none"/>
                <w:lang w:bidi="ar"/>
              </w:rPr>
              <w:t>，故本项目选址合理可行。</w:t>
            </w:r>
          </w:p>
          <w:p w14:paraId="5489996C">
            <w:pPr>
              <w:numPr>
                <w:ilvl w:val="0"/>
                <w:numId w:val="7"/>
              </w:numPr>
              <w:spacing w:line="360" w:lineRule="auto"/>
              <w:ind w:firstLine="482" w:firstLineChars="200"/>
              <w:rPr>
                <w:rFonts w:hint="default" w:ascii="Times New Roman" w:hAnsi="Times New Roman" w:eastAsia="宋体" w:cs="Times New Roman"/>
                <w:b/>
                <w:bCs/>
                <w:kern w:val="0"/>
                <w:sz w:val="24"/>
                <w:highlight w:val="none"/>
                <w:lang w:bidi="ar"/>
              </w:rPr>
            </w:pPr>
            <w:r>
              <w:rPr>
                <w:rFonts w:hint="default" w:ascii="Times New Roman" w:hAnsi="Times New Roman" w:eastAsia="宋体" w:cs="Times New Roman"/>
                <w:b/>
                <w:bCs/>
                <w:kern w:val="0"/>
                <w:sz w:val="24"/>
                <w:highlight w:val="none"/>
                <w:lang w:bidi="ar"/>
              </w:rPr>
              <w:t>与</w:t>
            </w:r>
            <w:r>
              <w:rPr>
                <w:rFonts w:hint="eastAsia" w:ascii="Times New Roman" w:hAnsi="Times New Roman" w:eastAsia="宋体" w:cs="Times New Roman"/>
                <w:b/>
                <w:bCs/>
                <w:kern w:val="0"/>
                <w:sz w:val="24"/>
                <w:highlight w:val="none"/>
                <w:lang w:eastAsia="zh-CN" w:bidi="ar"/>
              </w:rPr>
              <w:t>“</w:t>
            </w:r>
            <w:r>
              <w:rPr>
                <w:rFonts w:hint="default" w:ascii="Times New Roman" w:hAnsi="Times New Roman" w:eastAsia="宋体" w:cs="Times New Roman"/>
                <w:b/>
                <w:bCs/>
                <w:kern w:val="0"/>
                <w:sz w:val="24"/>
                <w:highlight w:val="none"/>
                <w:lang w:bidi="ar"/>
              </w:rPr>
              <w:t>三线一单</w:t>
            </w:r>
            <w:r>
              <w:rPr>
                <w:rFonts w:hint="eastAsia" w:ascii="Times New Roman" w:hAnsi="Times New Roman" w:eastAsia="宋体" w:cs="Times New Roman"/>
                <w:b/>
                <w:bCs/>
                <w:kern w:val="0"/>
                <w:sz w:val="24"/>
                <w:highlight w:val="none"/>
                <w:lang w:eastAsia="zh-CN" w:bidi="ar"/>
              </w:rPr>
              <w:t>”</w:t>
            </w:r>
            <w:r>
              <w:rPr>
                <w:rFonts w:hint="default" w:ascii="Times New Roman" w:hAnsi="Times New Roman" w:eastAsia="宋体" w:cs="Times New Roman"/>
                <w:b/>
                <w:bCs/>
                <w:kern w:val="0"/>
                <w:sz w:val="24"/>
                <w:highlight w:val="none"/>
                <w:lang w:bidi="ar"/>
              </w:rPr>
              <w:t>符合性分析</w:t>
            </w:r>
          </w:p>
          <w:p w14:paraId="624EC0CB">
            <w:pPr>
              <w:numPr>
                <w:ilvl w:val="0"/>
                <w:numId w:val="8"/>
              </w:numPr>
              <w:spacing w:line="360" w:lineRule="auto"/>
              <w:ind w:firstLine="482" w:firstLineChars="200"/>
              <w:rPr>
                <w:rFonts w:hint="default" w:ascii="Times New Roman" w:hAnsi="Times New Roman" w:eastAsia="宋体" w:cs="Times New Roman"/>
                <w:b/>
                <w:bCs/>
                <w:kern w:val="0"/>
                <w:sz w:val="24"/>
                <w:highlight w:val="none"/>
                <w:lang w:bidi="ar"/>
              </w:rPr>
            </w:pPr>
            <w:r>
              <w:rPr>
                <w:rFonts w:hint="default" w:ascii="Times New Roman" w:hAnsi="Times New Roman" w:eastAsia="宋体" w:cs="Times New Roman"/>
                <w:b/>
                <w:bCs/>
                <w:kern w:val="0"/>
                <w:sz w:val="24"/>
                <w:highlight w:val="none"/>
                <w:lang w:bidi="ar"/>
              </w:rPr>
              <w:t>生态保护红线符合性分析</w:t>
            </w:r>
          </w:p>
          <w:p w14:paraId="3E9EDE53">
            <w:pPr>
              <w:spacing w:line="360" w:lineRule="auto"/>
              <w:ind w:firstLine="480" w:firstLineChars="200"/>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bidi="ar"/>
              </w:rPr>
              <w:t>根据《北京市人民政府关于发布北京市生态保护红线的通知》(京政发(2018)18号)，全市生态保护红线包括水源涵养、水土保持和生物多样性维护的生态功能重要区、水土流失生态敏感区以及市级以上禁止开发区域和有必要严格保护的其他各类保护地。</w:t>
            </w:r>
          </w:p>
          <w:p w14:paraId="7EC162B5">
            <w:pPr>
              <w:spacing w:line="360" w:lineRule="auto"/>
              <w:ind w:firstLine="480" w:firstLineChars="200"/>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bidi="ar"/>
              </w:rPr>
              <w:t>本项目位于</w:t>
            </w:r>
            <w:r>
              <w:rPr>
                <w:rFonts w:hint="default" w:ascii="Times New Roman" w:hAnsi="Times New Roman" w:eastAsia="宋体" w:cs="Times New Roman"/>
                <w:color w:val="auto"/>
                <w:kern w:val="0"/>
                <w:sz w:val="24"/>
                <w:highlight w:val="none"/>
                <w:lang w:bidi="ar"/>
              </w:rPr>
              <w:t>北京经济技术开发区</w:t>
            </w:r>
            <w:r>
              <w:rPr>
                <w:rFonts w:hint="default" w:ascii="Times New Roman" w:hAnsi="Times New Roman" w:eastAsia="宋体" w:cs="Times New Roman"/>
                <w:color w:val="auto"/>
                <w:kern w:val="0"/>
                <w:sz w:val="24"/>
                <w:highlight w:val="none"/>
                <w:lang w:val="en-US" w:eastAsia="zh-CN" w:bidi="ar"/>
              </w:rPr>
              <w:t>康定街15号，前沿科技创新港金田加速区5号楼1-2层</w:t>
            </w:r>
            <w:r>
              <w:rPr>
                <w:rFonts w:hint="default" w:ascii="Times New Roman" w:hAnsi="Times New Roman" w:eastAsia="宋体" w:cs="Times New Roman"/>
                <w:color w:val="auto"/>
                <w:kern w:val="0"/>
                <w:sz w:val="24"/>
                <w:highlight w:val="none"/>
                <w:lang w:bidi="ar"/>
              </w:rPr>
              <w:t>，本</w:t>
            </w:r>
            <w:r>
              <w:rPr>
                <w:rFonts w:hint="default" w:ascii="Times New Roman" w:hAnsi="Times New Roman" w:eastAsia="宋体" w:cs="Times New Roman"/>
                <w:kern w:val="0"/>
                <w:sz w:val="24"/>
                <w:highlight w:val="none"/>
                <w:lang w:bidi="ar"/>
              </w:rPr>
              <w:t>项目所在地不涉及生态保护红线，符合生态保护红线的要求。本项目与北京市生态红线位置关系见</w:t>
            </w:r>
            <w:r>
              <w:rPr>
                <w:rFonts w:hint="default" w:ascii="Times New Roman" w:hAnsi="Times New Roman" w:eastAsia="宋体" w:cs="Times New Roman"/>
                <w:kern w:val="0"/>
                <w:sz w:val="24"/>
                <w:highlight w:val="none"/>
                <w:lang w:val="en-US" w:eastAsia="zh-CN" w:bidi="ar"/>
              </w:rPr>
              <w:t>下图</w:t>
            </w:r>
            <w:r>
              <w:rPr>
                <w:rFonts w:hint="default" w:ascii="Times New Roman" w:hAnsi="Times New Roman" w:eastAsia="宋体" w:cs="Times New Roman"/>
                <w:kern w:val="0"/>
                <w:sz w:val="24"/>
                <w:highlight w:val="none"/>
                <w:lang w:bidi="ar"/>
              </w:rPr>
              <w:t>。</w:t>
            </w:r>
          </w:p>
          <w:p w14:paraId="5BF4A43A">
            <w:pPr>
              <w:spacing w:line="360" w:lineRule="auto"/>
              <w:ind w:firstLine="420" w:firstLineChars="200"/>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sz w:val="21"/>
              </w:rPr>
              <mc:AlternateContent>
                <mc:Choice Requires="wps">
                  <w:drawing>
                    <wp:anchor distT="0" distB="0" distL="114300" distR="114300" simplePos="0" relativeHeight="251667456" behindDoc="0" locked="0" layoutInCell="1" allowOverlap="1">
                      <wp:simplePos x="0" y="0"/>
                      <wp:positionH relativeFrom="column">
                        <wp:posOffset>2102485</wp:posOffset>
                      </wp:positionH>
                      <wp:positionV relativeFrom="paragraph">
                        <wp:posOffset>2502535</wp:posOffset>
                      </wp:positionV>
                      <wp:extent cx="75565" cy="75565"/>
                      <wp:effectExtent l="6350" t="6350" r="9525" b="9525"/>
                      <wp:wrapNone/>
                      <wp:docPr id="32" name="椭圆 32"/>
                      <wp:cNvGraphicFramePr/>
                      <a:graphic xmlns:a="http://schemas.openxmlformats.org/drawingml/2006/main">
                        <a:graphicData uri="http://schemas.microsoft.com/office/word/2010/wordprocessingShape">
                          <wps:wsp>
                            <wps:cNvSpPr/>
                            <wps:spPr>
                              <a:xfrm>
                                <a:off x="4486910" y="6849745"/>
                                <a:ext cx="75565" cy="75565"/>
                              </a:xfrm>
                              <a:prstGeom prst="ellipse">
                                <a:avLst/>
                              </a:prstGeom>
                              <a:solidFill>
                                <a:srgbClr val="FF00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5.55pt;margin-top:197.05pt;height:5.95pt;width:5.95pt;z-index:251667456;v-text-anchor:middle;mso-width-relative:page;mso-height-relative:page;" fillcolor="#FF0000" filled="t" stroked="t" coordsize="21600,21600" o:gfxdata="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PqY7yHYAAAA&#10;CwEAAA8AAAAAAAAAAQAgAAAAIgAAAGRycy9kb3ducmV2LnhtbFBLAQIUABQAAAAIAIdO4kDDRGml&#10;jwIAACQFAAAOAAAAAAAAAAEAIAAAACcBAABkcnMvZTJvRG9jLnhtbFBLBQYAAAAABgAGAFkBAAAo&#10;BgAAAAA=&#10;">
                      <v:fill on="t" focussize="0,0"/>
                      <v:stroke weight="1pt" color="#2E75B6 [2404]" miterlimit="8" joinstyle="miter"/>
                      <v:imagedata o:title=""/>
                      <o:lock v:ext="edit" aspectratio="f"/>
                    </v:shape>
                  </w:pict>
                </mc:Fallback>
              </mc:AlternateContent>
            </w:r>
            <w:r>
              <w:rPr>
                <w:rFonts w:hint="default" w:ascii="Times New Roman" w:hAnsi="Times New Roman" w:eastAsia="宋体" w:cs="Times New Roman"/>
                <w:highlight w:val="none"/>
              </w:rPr>
              <w:drawing>
                <wp:inline distT="0" distB="0" distL="114300" distR="114300">
                  <wp:extent cx="3469640" cy="3545205"/>
                  <wp:effectExtent l="0" t="0" r="5080" b="571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8"/>
                          <a:stretch>
                            <a:fillRect/>
                          </a:stretch>
                        </pic:blipFill>
                        <pic:spPr>
                          <a:xfrm>
                            <a:off x="0" y="0"/>
                            <a:ext cx="3469640" cy="3545205"/>
                          </a:xfrm>
                          <a:prstGeom prst="rect">
                            <a:avLst/>
                          </a:prstGeom>
                          <a:noFill/>
                          <a:ln>
                            <a:noFill/>
                          </a:ln>
                        </pic:spPr>
                      </pic:pic>
                    </a:graphicData>
                  </a:graphic>
                </wp:inline>
              </w:drawing>
            </w:r>
          </w:p>
          <w:p w14:paraId="534D3A2F">
            <w:pPr>
              <w:widowControl/>
              <w:numPr>
                <w:ilvl w:val="0"/>
                <w:numId w:val="4"/>
              </w:numPr>
              <w:spacing w:line="360" w:lineRule="auto"/>
              <w:ind w:left="425" w:leftChars="0" w:hanging="425" w:firstLineChars="0"/>
              <w:jc w:val="center"/>
              <w:rPr>
                <w:rFonts w:hint="default" w:ascii="Times New Roman" w:hAnsi="Times New Roman" w:eastAsia="宋体" w:cs="Times New Roman"/>
                <w:b/>
                <w:bCs/>
                <w:kern w:val="0"/>
                <w:sz w:val="24"/>
                <w:highlight w:val="none"/>
                <w:lang w:bidi="ar"/>
              </w:rPr>
            </w:pPr>
            <w:r>
              <w:rPr>
                <w:rFonts w:hint="default" w:ascii="Times New Roman" w:hAnsi="Times New Roman" w:eastAsia="宋体" w:cs="Times New Roman"/>
                <w:highlight w:val="none"/>
              </w:rPr>
              <w:t xml:space="preserve"> </w:t>
            </w:r>
            <w:r>
              <w:rPr>
                <w:rFonts w:hint="default" w:ascii="Times New Roman" w:hAnsi="Times New Roman" w:eastAsia="宋体" w:cs="Times New Roman"/>
                <w:b/>
                <w:bCs/>
                <w:kern w:val="0"/>
                <w:sz w:val="24"/>
                <w:highlight w:val="none"/>
                <w:lang w:bidi="ar"/>
              </w:rPr>
              <w:t>本项目与北京市生态保护红线位置关系图</w:t>
            </w:r>
          </w:p>
          <w:p w14:paraId="54BDF33E">
            <w:pPr>
              <w:numPr>
                <w:ilvl w:val="0"/>
                <w:numId w:val="8"/>
              </w:numPr>
              <w:spacing w:line="360" w:lineRule="auto"/>
              <w:ind w:firstLine="482" w:firstLineChars="200"/>
              <w:rPr>
                <w:rFonts w:hint="default" w:ascii="Times New Roman" w:hAnsi="Times New Roman" w:eastAsia="宋体" w:cs="Times New Roman"/>
                <w:b/>
                <w:bCs/>
                <w:kern w:val="0"/>
                <w:sz w:val="24"/>
                <w:highlight w:val="none"/>
                <w:lang w:bidi="ar"/>
              </w:rPr>
            </w:pPr>
            <w:r>
              <w:rPr>
                <w:rFonts w:hint="default" w:ascii="Times New Roman" w:hAnsi="Times New Roman" w:eastAsia="宋体" w:cs="Times New Roman"/>
                <w:b/>
                <w:bCs/>
                <w:kern w:val="0"/>
                <w:sz w:val="24"/>
                <w:highlight w:val="none"/>
                <w:lang w:bidi="ar"/>
              </w:rPr>
              <w:t>环境质量底线符合性分析</w:t>
            </w:r>
          </w:p>
          <w:p w14:paraId="16296705">
            <w:pPr>
              <w:spacing w:line="360" w:lineRule="auto"/>
              <w:ind w:firstLine="480" w:firstLineChars="200"/>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bidi="ar"/>
              </w:rPr>
              <w:t>根据北京市生态环境局发布的《2024年北京市生态环境状况公报》(2025年5月9日发布)，2024年北京经济技术开发区各污染物浓度均达到《环境空气质量标准》(GB3095-2012)限值要求，北京市</w:t>
            </w:r>
            <w:r>
              <w:rPr>
                <w:rFonts w:hint="eastAsia" w:ascii="Times New Roman" w:hAnsi="Times New Roman" w:eastAsia="宋体" w:cs="Times New Roman"/>
                <w:kern w:val="0"/>
                <w:sz w:val="24"/>
                <w:highlight w:val="none"/>
                <w:lang w:val="en-US" w:eastAsia="zh-CN" w:bidi="ar"/>
              </w:rPr>
              <w:t>O</w:t>
            </w:r>
            <w:r>
              <w:rPr>
                <w:rFonts w:hint="default" w:ascii="Times New Roman" w:hAnsi="Times New Roman" w:eastAsia="宋体" w:cs="Times New Roman"/>
                <w:kern w:val="0"/>
                <w:sz w:val="24"/>
                <w:highlight w:val="none"/>
                <w:vertAlign w:val="subscript"/>
                <w:lang w:val="en-US" w:eastAsia="zh-CN" w:bidi="ar"/>
              </w:rPr>
              <w:t>3</w:t>
            </w:r>
            <w:r>
              <w:rPr>
                <w:rFonts w:hint="default" w:ascii="Times New Roman" w:hAnsi="Times New Roman" w:eastAsia="宋体" w:cs="Times New Roman"/>
                <w:kern w:val="0"/>
                <w:sz w:val="24"/>
                <w:highlight w:val="none"/>
                <w:lang w:bidi="ar"/>
              </w:rPr>
              <w:t>日最大8小时平均浓度未能达到《环境空气质量标准》(GB3095-2012)限值要求，其他污染物现状浓度达到上述标准要求，判定项目北京市为环境空气质量不达标区。本项目废气</w:t>
            </w:r>
            <w:r>
              <w:rPr>
                <w:rFonts w:hint="default" w:ascii="Times New Roman" w:hAnsi="Times New Roman" w:eastAsia="宋体" w:cs="Times New Roman"/>
                <w:kern w:val="0"/>
                <w:sz w:val="24"/>
                <w:highlight w:val="none"/>
                <w:lang w:val="en-US" w:eastAsia="zh-CN" w:bidi="ar"/>
              </w:rPr>
              <w:t>采取活性炭、喷淋塔等治理措施，满足排放要求</w:t>
            </w:r>
            <w:r>
              <w:rPr>
                <w:rFonts w:hint="default" w:ascii="Times New Roman" w:hAnsi="Times New Roman" w:eastAsia="宋体" w:cs="Times New Roman"/>
                <w:kern w:val="0"/>
                <w:sz w:val="24"/>
                <w:highlight w:val="none"/>
                <w:lang w:bidi="ar"/>
              </w:rPr>
              <w:t>。随着北京市大气污染治理的措施的逐步实施，环境空气质量持续改善</w:t>
            </w:r>
            <w:r>
              <w:rPr>
                <w:rFonts w:hint="default" w:ascii="Times New Roman" w:hAnsi="Times New Roman" w:eastAsia="宋体" w:cs="Times New Roman"/>
                <w:kern w:val="0"/>
                <w:sz w:val="24"/>
                <w:highlight w:val="none"/>
                <w:lang w:eastAsia="zh-CN" w:bidi="ar"/>
              </w:rPr>
              <w:t>，</w:t>
            </w:r>
            <w:r>
              <w:rPr>
                <w:rFonts w:hint="default" w:ascii="Times New Roman" w:hAnsi="Times New Roman" w:eastAsia="宋体" w:cs="Times New Roman"/>
                <w:kern w:val="0"/>
                <w:sz w:val="24"/>
                <w:highlight w:val="none"/>
                <w:lang w:bidi="ar"/>
              </w:rPr>
              <w:t>本项目的实施不会突破大气环境质量底线。</w:t>
            </w:r>
          </w:p>
          <w:p w14:paraId="4D61E7F5">
            <w:pPr>
              <w:spacing w:line="360" w:lineRule="auto"/>
              <w:ind w:firstLine="480" w:firstLineChars="200"/>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color w:val="auto"/>
                <w:kern w:val="0"/>
                <w:sz w:val="24"/>
                <w:highlight w:val="none"/>
                <w:lang w:bidi="ar"/>
              </w:rPr>
              <w:t>项目所在地附近地表水体为</w:t>
            </w:r>
            <w:r>
              <w:rPr>
                <w:rFonts w:hint="default" w:ascii="Times New Roman" w:hAnsi="Times New Roman" w:eastAsia="宋体" w:cs="Times New Roman"/>
                <w:color w:val="auto"/>
                <w:sz w:val="24"/>
                <w:highlight w:val="none"/>
              </w:rPr>
              <w:t>凉水河中下段，位于项目</w:t>
            </w:r>
            <w:r>
              <w:rPr>
                <w:rFonts w:hint="default" w:ascii="Times New Roman" w:hAnsi="Times New Roman" w:eastAsia="宋体" w:cs="Times New Roman"/>
                <w:color w:val="auto"/>
                <w:sz w:val="24"/>
                <w:szCs w:val="32"/>
                <w:highlight w:val="none"/>
              </w:rPr>
              <w:t>南侧</w:t>
            </w:r>
            <w:r>
              <w:rPr>
                <w:rFonts w:hint="default" w:ascii="Times New Roman" w:hAnsi="Times New Roman" w:eastAsia="宋体" w:cs="Times New Roman"/>
                <w:color w:val="auto"/>
                <w:sz w:val="24"/>
                <w:szCs w:val="32"/>
                <w:highlight w:val="none"/>
                <w:lang w:val="en-US" w:eastAsia="zh-CN"/>
              </w:rPr>
              <w:t>1150</w:t>
            </w:r>
            <w:r>
              <w:rPr>
                <w:rFonts w:hint="default" w:ascii="Times New Roman" w:hAnsi="Times New Roman" w:eastAsia="宋体" w:cs="Times New Roman"/>
                <w:color w:val="auto"/>
                <w:sz w:val="24"/>
                <w:szCs w:val="32"/>
                <w:highlight w:val="none"/>
              </w:rPr>
              <w:t>m</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kern w:val="0"/>
                <w:sz w:val="24"/>
                <w:highlight w:val="none"/>
                <w:lang w:bidi="ar"/>
              </w:rPr>
              <w:t>根据北京市五大水系各河流、水库水体功能划分与水质分类，</w:t>
            </w:r>
            <w:r>
              <w:rPr>
                <w:rFonts w:hint="default" w:ascii="Times New Roman" w:hAnsi="Times New Roman" w:eastAsia="宋体" w:cs="Times New Roman"/>
                <w:color w:val="auto"/>
                <w:sz w:val="24"/>
                <w:highlight w:val="none"/>
              </w:rPr>
              <w:t>凉水河中下段</w:t>
            </w:r>
            <w:r>
              <w:rPr>
                <w:rFonts w:hint="default" w:ascii="Times New Roman" w:hAnsi="Times New Roman" w:eastAsia="宋体" w:cs="Times New Roman"/>
                <w:color w:val="auto"/>
                <w:kern w:val="0"/>
                <w:sz w:val="24"/>
                <w:highlight w:val="none"/>
                <w:lang w:bidi="ar"/>
              </w:rPr>
              <w:t>水体功能为Ⅴ类。根据北京市生态环境局网站公布的</w:t>
            </w:r>
            <w:r>
              <w:rPr>
                <w:rFonts w:hint="default" w:ascii="Times New Roman" w:hAnsi="Times New Roman" w:eastAsia="宋体" w:cs="Times New Roman"/>
                <w:color w:val="auto"/>
                <w:kern w:val="0"/>
                <w:sz w:val="24"/>
                <w:highlight w:val="none"/>
                <w:lang w:val="en-US" w:eastAsia="zh-CN" w:bidi="ar"/>
              </w:rPr>
              <w:t>近一</w:t>
            </w:r>
            <w:r>
              <w:rPr>
                <w:rFonts w:hint="default" w:ascii="Times New Roman" w:hAnsi="Times New Roman" w:eastAsia="宋体" w:cs="Times New Roman"/>
                <w:color w:val="auto"/>
                <w:kern w:val="0"/>
                <w:sz w:val="24"/>
                <w:highlight w:val="none"/>
                <w:lang w:bidi="ar"/>
              </w:rPr>
              <w:t>年河流水质状况，凉水河中下段现状水质均能够达到《地表水环境质量标准》（GB3838-2002）中Ⅴ类标准限值</w:t>
            </w:r>
            <w:r>
              <w:rPr>
                <w:rFonts w:hint="default" w:ascii="Times New Roman" w:hAnsi="Times New Roman" w:eastAsia="宋体" w:cs="Times New Roman"/>
                <w:kern w:val="0"/>
                <w:sz w:val="24"/>
                <w:highlight w:val="none"/>
                <w:lang w:bidi="ar"/>
              </w:rPr>
              <w:t>。</w:t>
            </w:r>
            <w:r>
              <w:rPr>
                <w:rFonts w:hint="default" w:ascii="Times New Roman" w:hAnsi="Times New Roman" w:eastAsia="宋体" w:cs="Times New Roman"/>
                <w:kern w:val="0"/>
                <w:sz w:val="24"/>
                <w:highlight w:val="none"/>
                <w:lang w:eastAsia="zh-CN" w:bidi="ar"/>
              </w:rPr>
              <w:t>项目废水</w:t>
            </w:r>
            <w:r>
              <w:rPr>
                <w:rFonts w:hint="default" w:ascii="Times New Roman" w:hAnsi="Times New Roman" w:eastAsia="宋体" w:cs="Times New Roman"/>
                <w:kern w:val="0"/>
                <w:sz w:val="24"/>
                <w:highlight w:val="none"/>
                <w:lang w:val="en-US" w:eastAsia="zh-CN" w:bidi="ar"/>
              </w:rPr>
              <w:t>包括生活污水、纯水制备废水、少量的设备清洗废水，经</w:t>
            </w:r>
            <w:r>
              <w:rPr>
                <w:rFonts w:hint="default" w:ascii="Times New Roman" w:hAnsi="Times New Roman" w:eastAsia="宋体" w:cs="Times New Roman"/>
                <w:kern w:val="0"/>
                <w:sz w:val="24"/>
                <w:highlight w:val="none"/>
                <w:lang w:bidi="ar"/>
              </w:rPr>
              <w:t>园区化粪池处理后排入市政管网，最终排入</w:t>
            </w:r>
            <w:r>
              <w:rPr>
                <w:rFonts w:hint="default" w:ascii="Times New Roman" w:hAnsi="Times New Roman" w:eastAsia="宋体" w:cs="Times New Roman"/>
                <w:kern w:val="0"/>
                <w:sz w:val="24"/>
                <w:highlight w:val="none"/>
                <w:lang w:eastAsia="zh-CN" w:bidi="ar"/>
              </w:rPr>
              <w:t>北京亦庄环境科技集团有限公司经开污水处理厂</w:t>
            </w:r>
            <w:r>
              <w:rPr>
                <w:rFonts w:hint="default" w:ascii="Times New Roman" w:hAnsi="Times New Roman" w:eastAsia="宋体" w:cs="Times New Roman"/>
                <w:kern w:val="0"/>
                <w:sz w:val="24"/>
                <w:highlight w:val="none"/>
                <w:lang w:bidi="ar"/>
              </w:rPr>
              <w:t>处理，不直接排入地表水体，不会突破水环境质量底线。</w:t>
            </w:r>
          </w:p>
          <w:p w14:paraId="400C843C">
            <w:pPr>
              <w:spacing w:line="360" w:lineRule="auto"/>
              <w:ind w:firstLine="480" w:firstLineChars="200"/>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bidi="ar"/>
              </w:rPr>
              <w:t>本项目</w:t>
            </w:r>
            <w:r>
              <w:rPr>
                <w:rFonts w:hint="default" w:ascii="Times New Roman" w:hAnsi="Times New Roman" w:eastAsia="宋体" w:cs="Times New Roman"/>
                <w:kern w:val="0"/>
                <w:sz w:val="24"/>
                <w:highlight w:val="none"/>
                <w:lang w:eastAsia="zh-CN" w:bidi="ar"/>
              </w:rPr>
              <w:t>实验</w:t>
            </w:r>
            <w:r>
              <w:rPr>
                <w:rFonts w:hint="default" w:ascii="Times New Roman" w:hAnsi="Times New Roman" w:eastAsia="宋体" w:cs="Times New Roman"/>
                <w:kern w:val="0"/>
                <w:sz w:val="24"/>
                <w:highlight w:val="none"/>
                <w:lang w:bidi="ar"/>
              </w:rPr>
              <w:t>设备均为低噪声设备，且采取了隔声减振措施，厂界噪声贡献值达标，不会突破声环境质量底线。</w:t>
            </w:r>
          </w:p>
          <w:p w14:paraId="3B39D0A8">
            <w:pPr>
              <w:spacing w:line="360" w:lineRule="auto"/>
              <w:ind w:firstLine="480" w:firstLineChars="200"/>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bidi="ar"/>
              </w:rPr>
              <w:t>项目产生的</w:t>
            </w:r>
            <w:r>
              <w:rPr>
                <w:rFonts w:hint="default" w:ascii="Times New Roman" w:hAnsi="Times New Roman" w:eastAsia="宋体" w:cs="Times New Roman"/>
                <w:kern w:val="0"/>
                <w:sz w:val="24"/>
                <w:highlight w:val="none"/>
                <w:lang w:val="en-US" w:eastAsia="zh-CN" w:bidi="ar"/>
              </w:rPr>
              <w:t>固体废物分类收集，建设规范的固废暂存间，所有固体废物</w:t>
            </w:r>
            <w:r>
              <w:rPr>
                <w:rFonts w:hint="default" w:ascii="Times New Roman" w:hAnsi="Times New Roman" w:eastAsia="宋体" w:cs="Times New Roman"/>
                <w:kern w:val="0"/>
                <w:sz w:val="24"/>
                <w:highlight w:val="none"/>
                <w:lang w:bidi="ar"/>
              </w:rPr>
              <w:t>定期委托有资质的单位处置。</w:t>
            </w:r>
          </w:p>
          <w:p w14:paraId="0E84F6F5">
            <w:pPr>
              <w:spacing w:line="360" w:lineRule="auto"/>
              <w:ind w:firstLine="480" w:firstLineChars="200"/>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val="en-US" w:eastAsia="zh-CN" w:bidi="ar"/>
              </w:rPr>
              <w:t>项目运营期废气、废水、噪声等达标排放，固废合理处置，不会突破环境质量底线。</w:t>
            </w:r>
          </w:p>
          <w:p w14:paraId="34069539">
            <w:pPr>
              <w:numPr>
                <w:ilvl w:val="0"/>
                <w:numId w:val="8"/>
              </w:numPr>
              <w:spacing w:line="360" w:lineRule="auto"/>
              <w:ind w:firstLine="482" w:firstLineChars="200"/>
              <w:rPr>
                <w:rFonts w:hint="default" w:ascii="Times New Roman" w:hAnsi="Times New Roman" w:eastAsia="宋体" w:cs="Times New Roman"/>
                <w:b/>
                <w:bCs/>
                <w:kern w:val="0"/>
                <w:sz w:val="24"/>
                <w:highlight w:val="none"/>
                <w:lang w:bidi="ar"/>
              </w:rPr>
            </w:pPr>
            <w:r>
              <w:rPr>
                <w:rFonts w:hint="default" w:ascii="Times New Roman" w:hAnsi="Times New Roman" w:eastAsia="宋体" w:cs="Times New Roman"/>
                <w:b/>
                <w:bCs/>
                <w:kern w:val="0"/>
                <w:sz w:val="24"/>
                <w:highlight w:val="none"/>
                <w:lang w:bidi="ar"/>
              </w:rPr>
              <w:t>资源利用上线符合性分析</w:t>
            </w:r>
          </w:p>
          <w:p w14:paraId="7B977D87">
            <w:pPr>
              <w:spacing w:line="360" w:lineRule="auto"/>
              <w:ind w:firstLine="480" w:firstLineChars="200"/>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bidi="ar"/>
              </w:rPr>
              <w:t>本项目用水来自自来水管网，用水量较少，水源充足；项目用电由市政供电电网引入，能够满足本项目用电需求；项目不新增用地，租用现有厂房，用地符合规划要求。因此项目资源利用情况不会突破区域资源利用上线，符合资源利用上线的要求。</w:t>
            </w:r>
          </w:p>
          <w:p w14:paraId="7DB78B5E">
            <w:pPr>
              <w:numPr>
                <w:ilvl w:val="0"/>
                <w:numId w:val="8"/>
              </w:numPr>
              <w:spacing w:line="360" w:lineRule="auto"/>
              <w:ind w:firstLine="482" w:firstLineChars="200"/>
              <w:rPr>
                <w:rFonts w:hint="default" w:ascii="Times New Roman" w:hAnsi="Times New Roman" w:eastAsia="宋体" w:cs="Times New Roman"/>
                <w:b/>
                <w:bCs/>
                <w:kern w:val="0"/>
                <w:sz w:val="24"/>
                <w:highlight w:val="none"/>
                <w:lang w:bidi="ar"/>
              </w:rPr>
            </w:pPr>
            <w:r>
              <w:rPr>
                <w:rFonts w:hint="default" w:ascii="Times New Roman" w:hAnsi="Times New Roman" w:eastAsia="宋体" w:cs="Times New Roman"/>
                <w:b/>
                <w:bCs/>
                <w:kern w:val="0"/>
                <w:sz w:val="24"/>
                <w:highlight w:val="none"/>
                <w:lang w:bidi="ar"/>
              </w:rPr>
              <w:t>环境准入负面清单</w:t>
            </w:r>
          </w:p>
          <w:p w14:paraId="68EA28BF">
            <w:pPr>
              <w:spacing w:line="360" w:lineRule="auto"/>
              <w:ind w:firstLine="480" w:firstLineChars="200"/>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bidi="ar"/>
              </w:rPr>
              <w:t>根据《关于北京市生态环境分区管控(</w:t>
            </w:r>
            <w:r>
              <w:rPr>
                <w:rFonts w:hint="eastAsia" w:ascii="Times New Roman" w:hAnsi="Times New Roman" w:eastAsia="宋体" w:cs="Times New Roman"/>
                <w:kern w:val="0"/>
                <w:sz w:val="24"/>
                <w:highlight w:val="none"/>
                <w:lang w:eastAsia="zh-CN" w:bidi="ar"/>
              </w:rPr>
              <w:t>“</w:t>
            </w:r>
            <w:r>
              <w:rPr>
                <w:rFonts w:hint="default" w:ascii="Times New Roman" w:hAnsi="Times New Roman" w:eastAsia="宋体" w:cs="Times New Roman"/>
                <w:kern w:val="0"/>
                <w:sz w:val="24"/>
                <w:highlight w:val="none"/>
                <w:lang w:bidi="ar"/>
              </w:rPr>
              <w:t>三线一单</w:t>
            </w:r>
            <w:r>
              <w:rPr>
                <w:rFonts w:hint="eastAsia" w:ascii="Times New Roman" w:hAnsi="Times New Roman" w:eastAsia="宋体" w:cs="Times New Roman"/>
                <w:kern w:val="0"/>
                <w:sz w:val="24"/>
                <w:highlight w:val="none"/>
                <w:lang w:eastAsia="zh-CN" w:bidi="ar"/>
              </w:rPr>
              <w:t>”</w:t>
            </w:r>
            <w:r>
              <w:rPr>
                <w:rFonts w:hint="default" w:ascii="Times New Roman" w:hAnsi="Times New Roman" w:eastAsia="宋体" w:cs="Times New Roman"/>
                <w:kern w:val="0"/>
                <w:sz w:val="24"/>
                <w:highlight w:val="none"/>
                <w:lang w:bidi="ar"/>
              </w:rPr>
              <w:t>)的实施意见》，北京市生态环境管控分为优先保护单元、重点管控单元和一般管控单元三类区域。</w:t>
            </w:r>
          </w:p>
          <w:p w14:paraId="61F99195">
            <w:pPr>
              <w:spacing w:line="360" w:lineRule="auto"/>
              <w:ind w:firstLine="480" w:firstLineChars="200"/>
              <w:rPr>
                <w:rFonts w:hint="default" w:ascii="Times New Roman" w:hAnsi="Times New Roman" w:eastAsia="宋体" w:cs="Times New Roman"/>
                <w:kern w:val="0"/>
                <w:sz w:val="24"/>
                <w:highlight w:val="none"/>
                <w:lang w:bidi="ar"/>
              </w:rPr>
            </w:pPr>
            <w:r>
              <w:rPr>
                <w:rFonts w:hint="default" w:ascii="Times New Roman" w:hAnsi="Times New Roman" w:eastAsia="宋体" w:cs="Times New Roman"/>
                <w:kern w:val="0"/>
                <w:sz w:val="24"/>
                <w:highlight w:val="none"/>
                <w:lang w:bidi="ar"/>
              </w:rPr>
              <w:t>2024年12月25日，北京市生态环境局发布了《北京市生态环境局关于生态环境分区管控动态更新成果的通告》(通告(2024)33号)，发布了北京市生态环境分区管控动态更新成果，根据该成果，本项目位于重点管控单元，本项目在《北京市生态环境管控分区图》中的位置示意图见</w:t>
            </w:r>
            <w:r>
              <w:rPr>
                <w:rFonts w:hint="default" w:ascii="Times New Roman" w:hAnsi="Times New Roman" w:eastAsia="宋体" w:cs="Times New Roman"/>
                <w:kern w:val="0"/>
                <w:sz w:val="24"/>
                <w:highlight w:val="none"/>
                <w:lang w:val="en-US" w:eastAsia="zh-CN" w:bidi="ar"/>
              </w:rPr>
              <w:t>下</w:t>
            </w:r>
            <w:r>
              <w:rPr>
                <w:rFonts w:hint="default" w:ascii="Times New Roman" w:hAnsi="Times New Roman" w:eastAsia="宋体" w:cs="Times New Roman"/>
                <w:kern w:val="0"/>
                <w:sz w:val="24"/>
                <w:highlight w:val="none"/>
                <w:lang w:bidi="ar"/>
              </w:rPr>
              <w:t>图。</w:t>
            </w:r>
          </w:p>
          <w:p w14:paraId="6C5ECFA7">
            <w:pPr>
              <w:spacing w:line="360" w:lineRule="auto"/>
              <w:ind w:firstLine="420" w:firstLineChars="200"/>
              <w:rPr>
                <w:rFonts w:hint="default" w:ascii="Times New Roman" w:hAnsi="Times New Roman" w:eastAsia="宋体" w:cs="Times New Roman"/>
              </w:rPr>
            </w:pPr>
            <w:r>
              <w:rPr>
                <w:rFonts w:hint="default" w:ascii="Times New Roman" w:hAnsi="Times New Roman" w:eastAsia="宋体" w:cs="Times New Roman"/>
                <w:sz w:val="21"/>
              </w:rPr>
              <mc:AlternateContent>
                <mc:Choice Requires="wps">
                  <w:drawing>
                    <wp:anchor distT="0" distB="0" distL="114300" distR="114300" simplePos="0" relativeHeight="251719680" behindDoc="0" locked="0" layoutInCell="1" allowOverlap="1">
                      <wp:simplePos x="0" y="0"/>
                      <wp:positionH relativeFrom="column">
                        <wp:posOffset>2040255</wp:posOffset>
                      </wp:positionH>
                      <wp:positionV relativeFrom="paragraph">
                        <wp:posOffset>2473960</wp:posOffset>
                      </wp:positionV>
                      <wp:extent cx="75565" cy="75565"/>
                      <wp:effectExtent l="6350" t="6350" r="9525" b="9525"/>
                      <wp:wrapNone/>
                      <wp:docPr id="15" name="椭圆 15"/>
                      <wp:cNvGraphicFramePr/>
                      <a:graphic xmlns:a="http://schemas.openxmlformats.org/drawingml/2006/main">
                        <a:graphicData uri="http://schemas.microsoft.com/office/word/2010/wordprocessingShape">
                          <wps:wsp>
                            <wps:cNvSpPr/>
                            <wps:spPr>
                              <a:xfrm>
                                <a:off x="4424680" y="5042535"/>
                                <a:ext cx="75565" cy="75565"/>
                              </a:xfrm>
                              <a:prstGeom prst="ellipse">
                                <a:avLst/>
                              </a:prstGeom>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0.65pt;margin-top:194.8pt;height:5.95pt;width:5.95pt;z-index:251719680;v-text-anchor:middle;mso-width-relative:page;mso-height-relative:page;" fillcolor="#5B9BD5 [3204]" filled="t" stroked="t" coordsize="21600,21600" o:gfxdata="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Cc6IK72AAAAAsBAAAPAAAAAAAAAAEA&#10;IAAAACIAAABkcnMvZG93bnJldi54bWxQSwECFAAUAAAACACHTuJAc4JxxYECAAACBQAADgAAAAAA&#10;AAABACAAAAAnAQAAZHJzL2Uyb0RvYy54bWxQSwUGAAAAAAYABgBZAQAAGgYAAAAA&#10;">
                      <v:fill on="t" focussize="0,0"/>
                      <v:stroke weight="1pt" color="#FF0000 [2404]" miterlimit="8" joinstyle="miter"/>
                      <v:imagedata o:title=""/>
                      <o:lock v:ext="edit" aspectratio="f"/>
                    </v:shape>
                  </w:pict>
                </mc:Fallback>
              </mc:AlternateContent>
            </w:r>
            <w:r>
              <w:rPr>
                <w:rFonts w:hint="default" w:ascii="Times New Roman" w:hAnsi="Times New Roman" w:eastAsia="宋体" w:cs="Times New Roman"/>
              </w:rPr>
              <w:drawing>
                <wp:inline distT="0" distB="0" distL="114300" distR="114300">
                  <wp:extent cx="3314700" cy="3246120"/>
                  <wp:effectExtent l="0" t="0" r="7620" b="0"/>
                  <wp:docPr id="1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5"/>
                          <pic:cNvPicPr>
                            <a:picLocks noChangeAspect="1"/>
                          </pic:cNvPicPr>
                        </pic:nvPicPr>
                        <pic:blipFill>
                          <a:blip r:embed="rId9"/>
                          <a:stretch>
                            <a:fillRect/>
                          </a:stretch>
                        </pic:blipFill>
                        <pic:spPr>
                          <a:xfrm>
                            <a:off x="0" y="0"/>
                            <a:ext cx="3314700" cy="3246120"/>
                          </a:xfrm>
                          <a:prstGeom prst="rect">
                            <a:avLst/>
                          </a:prstGeom>
                          <a:noFill/>
                          <a:ln>
                            <a:noFill/>
                          </a:ln>
                        </pic:spPr>
                      </pic:pic>
                    </a:graphicData>
                  </a:graphic>
                </wp:inline>
              </w:drawing>
            </w:r>
          </w:p>
          <w:p w14:paraId="21F3436F">
            <w:pPr>
              <w:widowControl/>
              <w:numPr>
                <w:ilvl w:val="0"/>
                <w:numId w:val="4"/>
              </w:numPr>
              <w:spacing w:line="360" w:lineRule="auto"/>
              <w:ind w:left="425" w:leftChars="0" w:hanging="425" w:firstLineChars="0"/>
              <w:jc w:val="center"/>
              <w:rPr>
                <w:rFonts w:hint="default" w:ascii="Times New Roman" w:hAnsi="Times New Roman" w:eastAsia="宋体" w:cs="Times New Roman"/>
                <w:b/>
                <w:bCs/>
                <w:sz w:val="24"/>
                <w:szCs w:val="32"/>
                <w:highlight w:val="none"/>
              </w:rPr>
            </w:pPr>
            <w:r>
              <w:rPr>
                <w:rFonts w:hint="default" w:ascii="Times New Roman" w:hAnsi="Times New Roman" w:eastAsia="宋体" w:cs="Times New Roman"/>
                <w:b/>
                <w:bCs/>
                <w:sz w:val="24"/>
                <w:szCs w:val="32"/>
                <w:highlight w:val="none"/>
              </w:rPr>
              <w:t>本项目在北京市生态环境管控分区图中的位置示意图</w:t>
            </w:r>
          </w:p>
          <w:p w14:paraId="646EE070">
            <w:pPr>
              <w:spacing w:line="360" w:lineRule="auto"/>
              <w:ind w:firstLine="480" w:firstLineChars="200"/>
              <w:rPr>
                <w:rFonts w:hint="default" w:ascii="Times New Roman" w:hAnsi="Times New Roman" w:eastAsia="宋体" w:cs="Times New Roman"/>
                <w:kern w:val="0"/>
                <w:sz w:val="24"/>
                <w:highlight w:val="none"/>
                <w:lang w:eastAsia="zh-CN" w:bidi="ar"/>
              </w:rPr>
            </w:pPr>
            <w:r>
              <w:rPr>
                <w:rFonts w:hint="default" w:ascii="Times New Roman" w:hAnsi="Times New Roman" w:eastAsia="宋体" w:cs="Times New Roman"/>
                <w:kern w:val="0"/>
                <w:sz w:val="24"/>
                <w:highlight w:val="none"/>
                <w:lang w:bidi="ar"/>
              </w:rPr>
              <w:t>根据北京市生态环境局</w:t>
            </w:r>
            <w:r>
              <w:rPr>
                <w:rFonts w:hint="eastAsia" w:ascii="Times New Roman" w:hAnsi="Times New Roman" w:eastAsia="宋体" w:cs="Times New Roman"/>
                <w:kern w:val="0"/>
                <w:sz w:val="24"/>
                <w:highlight w:val="none"/>
                <w:lang w:eastAsia="zh-CN" w:bidi="ar"/>
              </w:rPr>
              <w:t>“</w:t>
            </w:r>
            <w:r>
              <w:rPr>
                <w:rFonts w:hint="default" w:ascii="Times New Roman" w:hAnsi="Times New Roman" w:eastAsia="宋体" w:cs="Times New Roman"/>
                <w:kern w:val="0"/>
                <w:sz w:val="24"/>
                <w:highlight w:val="none"/>
                <w:lang w:bidi="ar"/>
              </w:rPr>
              <w:t>北京市生态环境局政府网站-政务服务-生态环境分区管控(</w:t>
            </w:r>
            <w:r>
              <w:rPr>
                <w:rFonts w:hint="default" w:ascii="Times New Roman" w:hAnsi="Times New Roman" w:eastAsia="宋体" w:cs="Times New Roman"/>
                <w:kern w:val="0"/>
                <w:sz w:val="24"/>
                <w:highlight w:val="none"/>
                <w:lang w:val="en-US" w:eastAsia="zh-CN" w:bidi="ar"/>
              </w:rPr>
              <w:t>‘</w:t>
            </w:r>
            <w:r>
              <w:rPr>
                <w:rFonts w:hint="default" w:ascii="Times New Roman" w:hAnsi="Times New Roman" w:eastAsia="宋体" w:cs="Times New Roman"/>
                <w:kern w:val="0"/>
                <w:sz w:val="24"/>
                <w:highlight w:val="none"/>
                <w:lang w:bidi="ar"/>
              </w:rPr>
              <w:t>三线一单’)系统</w:t>
            </w:r>
            <w:r>
              <w:rPr>
                <w:rFonts w:hint="eastAsia" w:ascii="Times New Roman" w:hAnsi="Times New Roman" w:eastAsia="宋体" w:cs="Times New Roman"/>
                <w:kern w:val="0"/>
                <w:sz w:val="24"/>
                <w:highlight w:val="none"/>
                <w:lang w:eastAsia="zh-CN" w:bidi="ar"/>
              </w:rPr>
              <w:t>”</w:t>
            </w:r>
            <w:r>
              <w:rPr>
                <w:rFonts w:hint="default" w:ascii="Times New Roman" w:hAnsi="Times New Roman" w:eastAsia="宋体" w:cs="Times New Roman"/>
                <w:kern w:val="0"/>
                <w:sz w:val="24"/>
                <w:highlight w:val="none"/>
                <w:lang w:bidi="ar"/>
              </w:rPr>
              <w:t>，本项目属于北京经济技术开发区(亦庄新城核心区)重点管控单元，环境管控单元编码为</w:t>
            </w:r>
            <w:r>
              <w:rPr>
                <w:rFonts w:hint="default" w:ascii="Times New Roman" w:hAnsi="Times New Roman" w:eastAsia="宋体" w:cs="Times New Roman"/>
                <w:color w:val="auto"/>
                <w:kern w:val="0"/>
                <w:sz w:val="24"/>
                <w:szCs w:val="24"/>
                <w:highlight w:val="none"/>
                <w:lang w:val="en-US" w:eastAsia="zh-CN" w:bidi="ar"/>
              </w:rPr>
              <w:t>ZH11011520004</w:t>
            </w:r>
            <w:r>
              <w:rPr>
                <w:rFonts w:hint="default" w:ascii="Times New Roman" w:hAnsi="Times New Roman" w:eastAsia="宋体" w:cs="Times New Roman"/>
                <w:kern w:val="0"/>
                <w:sz w:val="24"/>
                <w:highlight w:val="none"/>
                <w:lang w:bidi="ar"/>
              </w:rPr>
              <w:t>，本项目在北京经济技术开发区(新城核心区)重点管控单元图中位置示意图见</w:t>
            </w:r>
            <w:r>
              <w:rPr>
                <w:rFonts w:hint="default" w:ascii="Times New Roman" w:hAnsi="Times New Roman" w:eastAsia="宋体" w:cs="Times New Roman"/>
                <w:kern w:val="0"/>
                <w:sz w:val="24"/>
                <w:highlight w:val="none"/>
                <w:lang w:val="en-US" w:eastAsia="zh-CN" w:bidi="ar"/>
              </w:rPr>
              <w:t>下</w:t>
            </w:r>
            <w:r>
              <w:rPr>
                <w:rFonts w:hint="default" w:ascii="Times New Roman" w:hAnsi="Times New Roman" w:eastAsia="宋体" w:cs="Times New Roman"/>
                <w:kern w:val="0"/>
                <w:sz w:val="24"/>
                <w:highlight w:val="none"/>
                <w:lang w:bidi="ar"/>
              </w:rPr>
              <w:t>图</w:t>
            </w:r>
            <w:r>
              <w:rPr>
                <w:rFonts w:hint="default" w:ascii="Times New Roman" w:hAnsi="Times New Roman" w:eastAsia="宋体" w:cs="Times New Roman"/>
                <w:kern w:val="0"/>
                <w:sz w:val="24"/>
                <w:highlight w:val="none"/>
                <w:lang w:eastAsia="zh-CN" w:bidi="ar"/>
              </w:rPr>
              <w:t>。</w:t>
            </w:r>
          </w:p>
          <w:p w14:paraId="0EB22AB9">
            <w:pPr>
              <w:widowControl/>
              <w:numPr>
                <w:ilvl w:val="0"/>
                <w:numId w:val="4"/>
              </w:numPr>
              <w:spacing w:line="360" w:lineRule="auto"/>
              <w:ind w:left="425" w:leftChars="0" w:hanging="425" w:firstLineChars="0"/>
              <w:jc w:val="center"/>
              <w:rPr>
                <w:rFonts w:hint="default" w:ascii="Times New Roman" w:hAnsi="Times New Roman" w:eastAsia="宋体" w:cs="Times New Roman"/>
                <w:sz w:val="24"/>
                <w:szCs w:val="32"/>
                <w:highlight w:val="none"/>
              </w:rPr>
            </w:pPr>
            <w:r>
              <w:rPr>
                <w:rFonts w:hint="default" w:ascii="Times New Roman" w:hAnsi="Times New Roman" w:eastAsia="宋体" w:cs="Times New Roman"/>
                <w:sz w:val="24"/>
              </w:rPr>
              <mc:AlternateContent>
                <mc:Choice Requires="wps">
                  <w:drawing>
                    <wp:anchor distT="0" distB="0" distL="114300" distR="114300" simplePos="0" relativeHeight="251666432" behindDoc="0" locked="0" layoutInCell="1" allowOverlap="1">
                      <wp:simplePos x="0" y="0"/>
                      <wp:positionH relativeFrom="column">
                        <wp:posOffset>2699385</wp:posOffset>
                      </wp:positionH>
                      <wp:positionV relativeFrom="paragraph">
                        <wp:posOffset>873125</wp:posOffset>
                      </wp:positionV>
                      <wp:extent cx="942340" cy="290830"/>
                      <wp:effectExtent l="308610" t="6350" r="13970" b="464820"/>
                      <wp:wrapNone/>
                      <wp:docPr id="25" name="矩形标注 25"/>
                      <wp:cNvGraphicFramePr/>
                      <a:graphic xmlns:a="http://schemas.openxmlformats.org/drawingml/2006/main">
                        <a:graphicData uri="http://schemas.microsoft.com/office/word/2010/wordprocessingShape">
                          <wps:wsp>
                            <wps:cNvSpPr/>
                            <wps:spPr>
                              <a:xfrm>
                                <a:off x="5034280" y="3725545"/>
                                <a:ext cx="942340" cy="290830"/>
                              </a:xfrm>
                              <a:prstGeom prst="wedgeRectCallout">
                                <a:avLst>
                                  <a:gd name="adj1" fmla="val -78504"/>
                                  <a:gd name="adj2" fmla="val 196288"/>
                                </a:avLst>
                              </a:prstGeom>
                              <a:noFill/>
                            </wps:spPr>
                            <wps:style>
                              <a:lnRef idx="2">
                                <a:schemeClr val="accent1">
                                  <a:lumMod val="75000"/>
                                </a:schemeClr>
                              </a:lnRef>
                              <a:fillRef idx="1">
                                <a:schemeClr val="accent1"/>
                              </a:fillRef>
                              <a:effectRef idx="0">
                                <a:srgbClr val="FFFFFF"/>
                              </a:effectRef>
                              <a:fontRef idx="minor">
                                <a:schemeClr val="lt1"/>
                              </a:fontRef>
                            </wps:style>
                            <wps:txbx>
                              <w:txbxContent>
                                <w:p w14:paraId="3F6A4B0C">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本项目位置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12.55pt;margin-top:68.75pt;height:22.9pt;width:74.2pt;z-index:251666432;v-text-anchor:middle;mso-width-relative:page;mso-height-relative:page;" filled="f" stroked="t" coordsize="21600,21600" o:gfxdata="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NeZPZva&#10;AAAACwEAAA8AAAAAAAAAAQAgAAAAIgAAAGRycy9kb3ducmV2LnhtbFBLAQIUABQAAAAIAIdO4kCl&#10;LEREyQIAAGoFAAAOAAAAAAAAAAEAIAAAACkBAABkcnMvZTJvRG9jLnhtbFBLBQYAAAAABgAGAFkB&#10;AABkBgAAAAA=&#10;" adj="-6157,53198">
                      <v:fill on="f" focussize="0,0"/>
                      <v:stroke weight="1pt" color="#2E75B6 [2404]" miterlimit="8" joinstyle="miter"/>
                      <v:imagedata o:title=""/>
                      <o:lock v:ext="edit" aspectratio="f"/>
                      <v:textbox>
                        <w:txbxContent>
                          <w:p w14:paraId="3F6A4B0C">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本项目位置</w:t>
                            </w:r>
                          </w:p>
                        </w:txbxContent>
                      </v:textbox>
                    </v:shape>
                  </w:pict>
                </mc:Fallback>
              </mc:AlternateContent>
            </w:r>
            <w:r>
              <w:rPr>
                <w:rFonts w:hint="default" w:ascii="Times New Roman" w:hAnsi="Times New Roman" w:eastAsia="宋体" w:cs="Times New Roman"/>
                <w:sz w:val="24"/>
              </w:rPr>
              <mc:AlternateContent>
                <mc:Choice Requires="wps">
                  <w:drawing>
                    <wp:anchor distT="0" distB="0" distL="114300" distR="114300" simplePos="0" relativeHeight="251665408" behindDoc="0" locked="0" layoutInCell="1" allowOverlap="1">
                      <wp:simplePos x="0" y="0"/>
                      <wp:positionH relativeFrom="column">
                        <wp:posOffset>2297430</wp:posOffset>
                      </wp:positionH>
                      <wp:positionV relativeFrom="paragraph">
                        <wp:posOffset>1641475</wp:posOffset>
                      </wp:positionV>
                      <wp:extent cx="75565" cy="75565"/>
                      <wp:effectExtent l="6350" t="6350" r="9525" b="9525"/>
                      <wp:wrapNone/>
                      <wp:docPr id="5" name="椭圆 5"/>
                      <wp:cNvGraphicFramePr/>
                      <a:graphic xmlns:a="http://schemas.openxmlformats.org/drawingml/2006/main">
                        <a:graphicData uri="http://schemas.microsoft.com/office/word/2010/wordprocessingShape">
                          <wps:wsp>
                            <wps:cNvSpPr/>
                            <wps:spPr>
                              <a:xfrm>
                                <a:off x="4625340" y="4217670"/>
                                <a:ext cx="75565" cy="75565"/>
                              </a:xfrm>
                              <a:prstGeom prst="ellipse">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80.9pt;margin-top:129.25pt;height:5.95pt;width:5.95pt;z-index:251665408;v-text-anchor:middle;mso-width-relative:page;mso-height-relative:page;" fillcolor="#5B9BD5 [3204]" filled="t" stroked="t" coordsize="21600,21600" o:gfxdata="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C6lR0T2QAA&#10;AAsBAAAPAAAAAAAAAAEAIAAAACIAAABkcnMvZG93bnJldi54bWxQSwECFAAUAAAACACHTuJAc9OG&#10;2o8CAAAiBQAADgAAAAAAAAABACAAAAAoAQAAZHJzL2Uyb0RvYy54bWxQSwUGAAAAAAYABgBZAQAA&#10;KQYAAAAA&#10;">
                      <v:fill on="t" focussize="0,0"/>
                      <v:stroke weight="1pt" color="#2E75B6 [2404]" miterlimit="8" joinstyle="miter"/>
                      <v:imagedata o:title=""/>
                      <o:lock v:ext="edit" aspectratio="f"/>
                    </v:shape>
                  </w:pict>
                </mc:Fallback>
              </mc:AlternateContent>
            </w:r>
            <w:r>
              <w:rPr>
                <w:rFonts w:hint="default" w:ascii="Times New Roman" w:hAnsi="Times New Roman" w:eastAsia="宋体" w:cs="Times New Roman"/>
                <w:color w:val="auto"/>
                <w:sz w:val="24"/>
                <w:szCs w:val="24"/>
                <w:highlight w:val="none"/>
              </w:rPr>
              <w:drawing>
                <wp:anchor distT="0" distB="0" distL="114300" distR="114300" simplePos="0" relativeHeight="251664384" behindDoc="0" locked="0" layoutInCell="1" allowOverlap="1">
                  <wp:simplePos x="0" y="0"/>
                  <wp:positionH relativeFrom="column">
                    <wp:posOffset>396240</wp:posOffset>
                  </wp:positionH>
                  <wp:positionV relativeFrom="paragraph">
                    <wp:posOffset>-12700</wp:posOffset>
                  </wp:positionV>
                  <wp:extent cx="3312795" cy="4704715"/>
                  <wp:effectExtent l="0" t="0" r="9525" b="4445"/>
                  <wp:wrapTopAndBottom/>
                  <wp:docPr id="123"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0" descr="IMG_256"/>
                          <pic:cNvPicPr>
                            <a:picLocks noChangeAspect="1"/>
                          </pic:cNvPicPr>
                        </pic:nvPicPr>
                        <pic:blipFill>
                          <a:blip r:embed="rId10"/>
                          <a:stretch>
                            <a:fillRect/>
                          </a:stretch>
                        </pic:blipFill>
                        <pic:spPr>
                          <a:xfrm>
                            <a:off x="0" y="0"/>
                            <a:ext cx="3312795" cy="4704715"/>
                          </a:xfrm>
                          <a:prstGeom prst="rect">
                            <a:avLst/>
                          </a:prstGeom>
                          <a:noFill/>
                          <a:ln>
                            <a:noFill/>
                          </a:ln>
                        </pic:spPr>
                      </pic:pic>
                    </a:graphicData>
                  </a:graphic>
                </wp:anchor>
              </w:drawing>
            </w:r>
            <w:r>
              <w:rPr>
                <w:rFonts w:hint="default" w:ascii="Times New Roman" w:hAnsi="Times New Roman" w:eastAsia="宋体" w:cs="Times New Roman"/>
                <w:b/>
                <w:bCs/>
                <w:sz w:val="24"/>
                <w:szCs w:val="32"/>
                <w:highlight w:val="none"/>
              </w:rPr>
              <w:t>本项目在北京经济技术开发区(亦庄新城核心区)重点管控单元图中的位置示意图</w:t>
            </w:r>
          </w:p>
          <w:p w14:paraId="101745A2">
            <w:pPr>
              <w:widowControl/>
              <w:numPr>
                <w:ilvl w:val="0"/>
                <w:numId w:val="0"/>
              </w:numPr>
              <w:spacing w:line="360" w:lineRule="auto"/>
              <w:ind w:leftChars="0" w:firstLine="480" w:firstLineChars="200"/>
              <w:jc w:val="both"/>
              <w:rPr>
                <w:rFonts w:hint="default" w:ascii="Times New Roman" w:hAnsi="Times New Roman" w:eastAsia="宋体" w:cs="Times New Roman"/>
                <w:sz w:val="24"/>
                <w:szCs w:val="32"/>
                <w:highlight w:val="none"/>
              </w:rPr>
            </w:pPr>
            <w:r>
              <w:rPr>
                <w:rFonts w:hint="default" w:ascii="Times New Roman" w:hAnsi="Times New Roman" w:eastAsia="宋体" w:cs="Times New Roman"/>
                <w:sz w:val="24"/>
                <w:szCs w:val="32"/>
                <w:highlight w:val="none"/>
              </w:rPr>
              <w:t>现就全市总体环境准入清单、五大功能区环境准入清单及环境管控单元环境准入清单的符合性进行分析。</w:t>
            </w:r>
          </w:p>
        </w:tc>
      </w:tr>
    </w:tbl>
    <w:p w14:paraId="610E2964">
      <w:pPr>
        <w:pStyle w:val="7"/>
        <w:rPr>
          <w:rFonts w:hint="default" w:ascii="Times New Roman" w:hAnsi="Times New Roman" w:eastAsia="宋体" w:cs="Times New Roman"/>
          <w:sz w:val="21"/>
          <w:szCs w:val="22"/>
          <w:highlight w:val="none"/>
        </w:rPr>
        <w:sectPr>
          <w:headerReference r:id="rId3" w:type="default"/>
          <w:footerReference r:id="rId4" w:type="default"/>
          <w:pgSz w:w="11906" w:h="16838"/>
          <w:pgMar w:top="1701" w:right="1531" w:bottom="1701" w:left="1531" w:header="851" w:footer="851" w:gutter="0"/>
          <w:pgBorders>
            <w:top w:val="none" w:sz="0" w:space="0"/>
            <w:left w:val="none" w:sz="0" w:space="0"/>
            <w:bottom w:val="none" w:sz="0" w:space="0"/>
            <w:right w:val="none" w:sz="0" w:space="0"/>
          </w:pgBorders>
          <w:pgNumType w:fmt="decimal" w:start="1"/>
          <w:cols w:space="720" w:num="1"/>
          <w:docGrid w:linePitch="312" w:charSpace="0"/>
        </w:sect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4"/>
        <w:gridCol w:w="13198"/>
      </w:tblGrid>
      <w:tr w14:paraId="0D891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7" w:hRule="atLeast"/>
          <w:jc w:val="center"/>
        </w:trPr>
        <w:tc>
          <w:tcPr>
            <w:tcW w:w="456" w:type="dxa"/>
            <w:vAlign w:val="center"/>
          </w:tcPr>
          <w:p w14:paraId="7756D829">
            <w:pPr>
              <w:autoSpaceDE w:val="0"/>
              <w:autoSpaceDN w:val="0"/>
              <w:adjustRightInd w:val="0"/>
              <w:snapToGrid w:val="0"/>
              <w:jc w:val="center"/>
              <w:rPr>
                <w:rFonts w:hint="default" w:ascii="Times New Roman" w:hAnsi="Times New Roman" w:eastAsia="宋体" w:cs="Times New Roman"/>
                <w:highlight w:val="none"/>
              </w:rPr>
            </w:pPr>
            <w:r>
              <w:rPr>
                <w:rFonts w:hint="default" w:ascii="Times New Roman" w:hAnsi="Times New Roman" w:eastAsia="宋体" w:cs="Times New Roman"/>
                <w:kern w:val="0"/>
                <w:sz w:val="24"/>
                <w:highlight w:val="none"/>
              </w:rPr>
              <w:t>其他符合性分析</w:t>
            </w:r>
          </w:p>
        </w:tc>
        <w:tc>
          <w:tcPr>
            <w:tcW w:w="13196" w:type="dxa"/>
          </w:tcPr>
          <w:p w14:paraId="59AFA03E">
            <w:pPr>
              <w:pStyle w:val="8"/>
              <w:spacing w:line="360" w:lineRule="auto"/>
              <w:rPr>
                <w:rFonts w:hint="default" w:ascii="Times New Roman" w:hAnsi="Times New Roman" w:eastAsia="宋体" w:cs="Times New Roman"/>
                <w:b/>
                <w:bCs/>
                <w:kern w:val="0"/>
                <w:sz w:val="24"/>
                <w:highlight w:val="none"/>
                <w:lang w:bidi="ar"/>
              </w:rPr>
            </w:pPr>
            <w:r>
              <w:rPr>
                <w:rFonts w:hint="default" w:ascii="Times New Roman" w:hAnsi="Times New Roman" w:eastAsia="宋体" w:cs="Times New Roman"/>
                <w:kern w:val="0"/>
                <w:sz w:val="24"/>
                <w:highlight w:val="none"/>
                <w:lang w:bidi="ar"/>
              </w:rPr>
              <w:t xml:space="preserve">    </w:t>
            </w:r>
            <w:r>
              <w:rPr>
                <w:rFonts w:hint="default" w:ascii="Times New Roman" w:hAnsi="Times New Roman" w:eastAsia="宋体" w:cs="Times New Roman"/>
                <w:b/>
                <w:bCs/>
                <w:kern w:val="0"/>
                <w:sz w:val="24"/>
                <w:highlight w:val="none"/>
                <w:lang w:bidi="ar"/>
              </w:rPr>
              <w:t>1）全市总体生态环境准入清单</w:t>
            </w:r>
          </w:p>
          <w:p w14:paraId="41A35466">
            <w:pPr>
              <w:pStyle w:val="8"/>
              <w:spacing w:line="360" w:lineRule="auto"/>
              <w:ind w:firstLine="480" w:firstLineChars="200"/>
              <w:rPr>
                <w:rFonts w:hint="default" w:ascii="Times New Roman" w:hAnsi="Times New Roman" w:eastAsia="宋体" w:cs="Times New Roman"/>
                <w:kern w:val="0"/>
                <w:sz w:val="24"/>
                <w:highlight w:val="none"/>
                <w:lang w:eastAsia="zh-CN" w:bidi="ar"/>
              </w:rPr>
            </w:pPr>
            <w:r>
              <w:rPr>
                <w:rFonts w:hint="default" w:ascii="Times New Roman" w:hAnsi="Times New Roman" w:eastAsia="宋体" w:cs="Times New Roman"/>
                <w:kern w:val="0"/>
                <w:sz w:val="24"/>
                <w:highlight w:val="none"/>
                <w:lang w:bidi="ar"/>
              </w:rPr>
              <w:t>本项目属于重点管控类单元</w:t>
            </w:r>
            <w:r>
              <w:rPr>
                <w:rFonts w:hint="default" w:ascii="Times New Roman" w:hAnsi="Times New Roman" w:eastAsia="宋体" w:cs="Times New Roman"/>
                <w:kern w:val="0"/>
                <w:sz w:val="24"/>
                <w:highlight w:val="none"/>
                <w:lang w:eastAsia="zh-CN" w:bidi="ar"/>
              </w:rPr>
              <w:t>（</w:t>
            </w:r>
            <w:r>
              <w:rPr>
                <w:rFonts w:hint="default" w:ascii="Times New Roman" w:hAnsi="Times New Roman" w:eastAsia="宋体" w:cs="Times New Roman"/>
                <w:kern w:val="0"/>
                <w:sz w:val="24"/>
                <w:highlight w:val="none"/>
                <w:lang w:bidi="ar"/>
              </w:rPr>
              <w:t>重点产业园区</w:t>
            </w:r>
            <w:r>
              <w:rPr>
                <w:rFonts w:hint="default" w:ascii="Times New Roman" w:hAnsi="Times New Roman" w:eastAsia="宋体" w:cs="Times New Roman"/>
                <w:kern w:val="0"/>
                <w:sz w:val="24"/>
                <w:highlight w:val="none"/>
                <w:lang w:eastAsia="zh-CN" w:bidi="ar"/>
              </w:rPr>
              <w:t>）</w:t>
            </w:r>
            <w:r>
              <w:rPr>
                <w:rFonts w:hint="default" w:ascii="Times New Roman" w:hAnsi="Times New Roman" w:eastAsia="宋体" w:cs="Times New Roman"/>
                <w:kern w:val="0"/>
                <w:sz w:val="24"/>
                <w:highlight w:val="none"/>
                <w:lang w:bidi="ar"/>
              </w:rPr>
              <w:t>，</w:t>
            </w:r>
            <w:r>
              <w:rPr>
                <w:rFonts w:hint="default" w:ascii="Times New Roman" w:hAnsi="Times New Roman" w:eastAsia="宋体" w:cs="Times New Roman"/>
                <w:kern w:val="0"/>
                <w:sz w:val="24"/>
                <w:highlight w:val="none"/>
                <w:lang w:val="en-US" w:eastAsia="zh-CN" w:bidi="ar"/>
              </w:rPr>
              <w:t>具体</w:t>
            </w:r>
            <w:r>
              <w:rPr>
                <w:rFonts w:hint="eastAsia" w:ascii="Times New Roman" w:hAnsi="Times New Roman" w:eastAsia="宋体" w:cs="Times New Roman"/>
                <w:kern w:val="0"/>
                <w:sz w:val="24"/>
                <w:highlight w:val="none"/>
                <w:lang w:val="en-US" w:eastAsia="zh-CN" w:bidi="ar"/>
              </w:rPr>
              <w:t>符合</w:t>
            </w:r>
            <w:r>
              <w:rPr>
                <w:rFonts w:hint="default" w:ascii="Times New Roman" w:hAnsi="Times New Roman" w:eastAsia="宋体" w:cs="Times New Roman"/>
                <w:kern w:val="0"/>
                <w:sz w:val="24"/>
                <w:highlight w:val="none"/>
                <w:lang w:val="en-US" w:eastAsia="zh-CN" w:bidi="ar"/>
              </w:rPr>
              <w:t>性分析</w:t>
            </w:r>
            <w:r>
              <w:rPr>
                <w:rFonts w:hint="default" w:ascii="Times New Roman" w:hAnsi="Times New Roman" w:eastAsia="宋体" w:cs="Times New Roman"/>
                <w:kern w:val="0"/>
                <w:sz w:val="24"/>
                <w:highlight w:val="none"/>
                <w:lang w:bidi="ar"/>
              </w:rPr>
              <w:t>见下表</w:t>
            </w:r>
            <w:r>
              <w:rPr>
                <w:rFonts w:hint="default" w:ascii="Times New Roman" w:hAnsi="Times New Roman" w:eastAsia="宋体" w:cs="Times New Roman"/>
                <w:kern w:val="0"/>
                <w:sz w:val="24"/>
                <w:highlight w:val="none"/>
                <w:lang w:eastAsia="zh-CN" w:bidi="ar"/>
              </w:rPr>
              <w:t>。</w:t>
            </w:r>
          </w:p>
          <w:p w14:paraId="31E999C8">
            <w:pPr>
              <w:widowControl/>
              <w:numPr>
                <w:ilvl w:val="0"/>
                <w:numId w:val="5"/>
              </w:numPr>
              <w:spacing w:line="360" w:lineRule="auto"/>
              <w:ind w:left="425" w:leftChars="0" w:hanging="425" w:firstLineChars="0"/>
              <w:jc w:val="center"/>
              <w:rPr>
                <w:rFonts w:hint="default" w:ascii="Times New Roman" w:hAnsi="Times New Roman" w:eastAsia="宋体" w:cs="Times New Roman"/>
                <w:b/>
                <w:bCs/>
                <w:kern w:val="0"/>
                <w:sz w:val="24"/>
                <w:highlight w:val="none"/>
                <w:lang w:bidi="ar"/>
              </w:rPr>
            </w:pPr>
            <w:r>
              <w:rPr>
                <w:rFonts w:hint="default" w:ascii="Times New Roman" w:hAnsi="Times New Roman" w:eastAsia="宋体" w:cs="Times New Roman"/>
                <w:b/>
                <w:bCs/>
                <w:kern w:val="0"/>
                <w:sz w:val="24"/>
                <w:highlight w:val="none"/>
                <w:lang w:bidi="ar"/>
              </w:rPr>
              <w:t>项目与北京市生态环境准入及管理要求对照一览表</w:t>
            </w:r>
          </w:p>
          <w:tbl>
            <w:tblPr>
              <w:tblStyle w:val="18"/>
              <w:tblW w:w="13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8"/>
              <w:gridCol w:w="6495"/>
              <w:gridCol w:w="4980"/>
              <w:gridCol w:w="746"/>
            </w:tblGrid>
            <w:tr w14:paraId="71080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38" w:type="dxa"/>
                  <w:shd w:val="clear" w:color="auto" w:fill="auto"/>
                  <w:vAlign w:val="center"/>
                </w:tcPr>
                <w:p w14:paraId="69BD677E">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管控类别</w:t>
                  </w:r>
                </w:p>
              </w:tc>
              <w:tc>
                <w:tcPr>
                  <w:tcW w:w="6495" w:type="dxa"/>
                  <w:shd w:val="clear" w:color="auto" w:fill="auto"/>
                  <w:vAlign w:val="center"/>
                </w:tcPr>
                <w:p w14:paraId="223844D0">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重点管控要求</w:t>
                  </w:r>
                </w:p>
              </w:tc>
              <w:tc>
                <w:tcPr>
                  <w:tcW w:w="4980" w:type="dxa"/>
                  <w:shd w:val="clear" w:color="auto" w:fill="auto"/>
                  <w:vAlign w:val="center"/>
                </w:tcPr>
                <w:p w14:paraId="63B49296">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本项目符合性</w:t>
                  </w:r>
                </w:p>
              </w:tc>
              <w:tc>
                <w:tcPr>
                  <w:tcW w:w="746" w:type="dxa"/>
                  <w:shd w:val="clear" w:color="auto" w:fill="auto"/>
                  <w:vAlign w:val="center"/>
                </w:tcPr>
                <w:p w14:paraId="21687915">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是否</w:t>
                  </w:r>
                </w:p>
                <w:p w14:paraId="3FF9E662">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符合</w:t>
                  </w:r>
                </w:p>
              </w:tc>
            </w:tr>
            <w:tr w14:paraId="4917F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4" w:hRule="atLeast"/>
                <w:jc w:val="center"/>
              </w:trPr>
              <w:tc>
                <w:tcPr>
                  <w:tcW w:w="838" w:type="dxa"/>
                  <w:shd w:val="clear" w:color="auto" w:fill="auto"/>
                  <w:vAlign w:val="center"/>
                </w:tcPr>
                <w:p w14:paraId="5C6453A6">
                  <w:pPr>
                    <w:pStyle w:val="8"/>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b/>
                      <w:bCs/>
                      <w:sz w:val="21"/>
                      <w:szCs w:val="21"/>
                      <w:highlight w:val="none"/>
                    </w:rPr>
                    <w:t>空间布局约束</w:t>
                  </w:r>
                </w:p>
              </w:tc>
              <w:tc>
                <w:tcPr>
                  <w:tcW w:w="6495" w:type="dxa"/>
                  <w:shd w:val="clear" w:color="auto" w:fill="auto"/>
                  <w:vAlign w:val="center"/>
                </w:tcPr>
                <w:p w14:paraId="0FE9DBE7">
                  <w:pPr>
                    <w:pStyle w:val="8"/>
                    <w:numPr>
                      <w:ilvl w:val="0"/>
                      <w:numId w:val="9"/>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严格执行《北京市新增产业的禁止和限制目录（2022年版）》、北京市《建设项目规划使用性质正面和负面清单》、《外商投资准入特别管理措施(负面清单)（2021年版）》《自由贸易</w:t>
                  </w:r>
                  <w:r>
                    <w:rPr>
                      <w:rFonts w:hint="default" w:ascii="Times New Roman" w:hAnsi="Times New Roman" w:eastAsia="宋体" w:cs="Times New Roman"/>
                      <w:sz w:val="21"/>
                      <w:szCs w:val="21"/>
                      <w:highlight w:val="none"/>
                      <w:lang w:eastAsia="zh-CN"/>
                    </w:rPr>
                    <w:t>实验</w:t>
                  </w:r>
                  <w:r>
                    <w:rPr>
                      <w:rFonts w:hint="default" w:ascii="Times New Roman" w:hAnsi="Times New Roman" w:eastAsia="宋体" w:cs="Times New Roman"/>
                      <w:sz w:val="21"/>
                      <w:szCs w:val="21"/>
                      <w:highlight w:val="none"/>
                    </w:rPr>
                    <w:t>区外商投资准入特别管理措施（负面清单）（202</w:t>
                  </w:r>
                  <w:r>
                    <w:rPr>
                      <w:rFonts w:hint="default" w:ascii="Times New Roman" w:hAnsi="Times New Roman" w:eastAsia="宋体" w:cs="Times New Roman"/>
                      <w:sz w:val="21"/>
                      <w:szCs w:val="21"/>
                      <w:highlight w:val="none"/>
                      <w:lang w:val="en-US" w:eastAsia="zh-CN"/>
                    </w:rPr>
                    <w:t>4</w:t>
                  </w:r>
                  <w:r>
                    <w:rPr>
                      <w:rFonts w:hint="default" w:ascii="Times New Roman" w:hAnsi="Times New Roman" w:eastAsia="宋体" w:cs="Times New Roman"/>
                      <w:sz w:val="21"/>
                      <w:szCs w:val="21"/>
                      <w:highlight w:val="none"/>
                    </w:rPr>
                    <w:t>年版）》《北京市</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十四五</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时期高精尖产业发展规划》《北京市</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十四五</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时期生态环境保护规划》。</w:t>
                  </w:r>
                </w:p>
                <w:p w14:paraId="19A5E32B">
                  <w:pPr>
                    <w:pStyle w:val="8"/>
                    <w:numPr>
                      <w:ilvl w:val="0"/>
                      <w:numId w:val="9"/>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严格执行《北京市工业污染行业生产工艺调整退出及设备淘汰目录（2022年版）》。</w:t>
                  </w:r>
                </w:p>
                <w:p w14:paraId="0C08AF95">
                  <w:pPr>
                    <w:pStyle w:val="8"/>
                    <w:numPr>
                      <w:ilvl w:val="0"/>
                      <w:numId w:val="9"/>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严格执行《北京城市总体规划(2016年-2035年)》《北京市国土空间近期规划(2021年—2025年)》及分区规划中的空间布局约束管控要求。</w:t>
                  </w:r>
                </w:p>
                <w:p w14:paraId="44449B21">
                  <w:pPr>
                    <w:pStyle w:val="8"/>
                    <w:numPr>
                      <w:ilvl w:val="0"/>
                      <w:numId w:val="9"/>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严格执行《北京市高污染燃料禁燃区划定方案（试行）》，高污染燃料禁燃区内任何单位不得新建、扩建高污染燃料燃用设施，不得将其他燃料燃用设施改造为高污染燃料燃用设施。</w:t>
                  </w:r>
                </w:p>
                <w:p w14:paraId="17001D14">
                  <w:pPr>
                    <w:pStyle w:val="8"/>
                    <w:numPr>
                      <w:ilvl w:val="0"/>
                      <w:numId w:val="9"/>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严格执行《北京市水污染防治条例》，通过合理规划工业布局，引导工业企业入驻工业园区；规划禁养区内已有的畜禽养殖场、养殖小区项目，由所在地区人民政府限期拆除。</w:t>
                  </w:r>
                </w:p>
                <w:p w14:paraId="7A6844CE">
                  <w:pPr>
                    <w:pStyle w:val="8"/>
                    <w:numPr>
                      <w:ilvl w:val="0"/>
                      <w:numId w:val="9"/>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严格执行《北京市大气污染防治条例》，禁止销售不符合标准的散煤及制品；在居民住宅楼、未配套设立专用烟道的商住综合楼、商住综合楼内与居住层相邻的商业楼层内，禁止新建、改建、扩建产生油烟、异味、废气的饮食服务、服装干洗和机动车维修等项目。</w:t>
                  </w:r>
                </w:p>
                <w:p w14:paraId="0D248A0D">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7.严格执行《北京历史文化名城保护条例》，严格控制建设规模和建筑高度，保护景观视廊和空间格局；逐步开展环境整治、生态修复，恢复大尺度绿色空间。</w:t>
                  </w:r>
                </w:p>
              </w:tc>
              <w:tc>
                <w:tcPr>
                  <w:tcW w:w="4980" w:type="dxa"/>
                  <w:shd w:val="clear" w:color="auto" w:fill="auto"/>
                  <w:vAlign w:val="center"/>
                </w:tcPr>
                <w:p w14:paraId="4DD0C7E6">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本项目不在《北京市新增产业的禁止和限制目录》（2022年版）禁止和限制范围内；本项目不属于北京市《建设项目规划使用性质正面和负面清单》中负面清单范围内。本项目不涉及《外商投资准入特别管理措施(负面清单)》（202</w:t>
                  </w:r>
                  <w:r>
                    <w:rPr>
                      <w:rFonts w:hint="default" w:ascii="Times New Roman" w:hAnsi="Times New Roman" w:eastAsia="宋体" w:cs="Times New Roman"/>
                      <w:sz w:val="21"/>
                      <w:szCs w:val="21"/>
                      <w:highlight w:val="none"/>
                      <w:lang w:val="en-US" w:eastAsia="zh-CN"/>
                    </w:rPr>
                    <w:t>5</w:t>
                  </w:r>
                  <w:r>
                    <w:rPr>
                      <w:rFonts w:hint="default" w:ascii="Times New Roman" w:hAnsi="Times New Roman" w:eastAsia="宋体" w:cs="Times New Roman"/>
                      <w:sz w:val="21"/>
                      <w:szCs w:val="21"/>
                      <w:highlight w:val="none"/>
                    </w:rPr>
                    <w:t>年版）、《自由贸易</w:t>
                  </w:r>
                  <w:r>
                    <w:rPr>
                      <w:rFonts w:hint="default" w:ascii="Times New Roman" w:hAnsi="Times New Roman" w:eastAsia="宋体" w:cs="Times New Roman"/>
                      <w:sz w:val="21"/>
                      <w:szCs w:val="21"/>
                      <w:highlight w:val="none"/>
                      <w:lang w:eastAsia="zh-CN"/>
                    </w:rPr>
                    <w:t>实验</w:t>
                  </w:r>
                  <w:r>
                    <w:rPr>
                      <w:rFonts w:hint="default" w:ascii="Times New Roman" w:hAnsi="Times New Roman" w:eastAsia="宋体" w:cs="Times New Roman"/>
                      <w:sz w:val="21"/>
                      <w:szCs w:val="21"/>
                      <w:highlight w:val="none"/>
                    </w:rPr>
                    <w:t>区外商投资准入特别管理措施（负面清单）》（2021年版）。</w:t>
                  </w:r>
                </w:p>
                <w:p w14:paraId="5D919EB7">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2.本项目未列入《北京市工业污染行业生产工艺调整退出及设备淘汰目录》（2022年版）。</w:t>
                  </w:r>
                </w:p>
                <w:p w14:paraId="3682BC5B">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3.本项目满足《北京城市总体规划(2016年-2035年)》及分区规划中的空间布局约束管控要求。</w:t>
                  </w:r>
                </w:p>
                <w:p w14:paraId="5080BBC9">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4.本项目不涉及燃料燃用设施使用。</w:t>
                  </w:r>
                </w:p>
                <w:p w14:paraId="75B0E7DB">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5.本项目不属于高污染、高耗水行业，符合《北京市水污染防治条例》（2021年版）相关要求。</w:t>
                  </w:r>
                </w:p>
                <w:p w14:paraId="1EBBB499">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6.项目符合《北京市大气污染防治条例》要求。</w:t>
                  </w:r>
                </w:p>
                <w:p w14:paraId="220C04C3">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7.项目租用现有建筑物，不新建建筑物，符合《北京历史文化名城保护条例》要求。</w:t>
                  </w:r>
                </w:p>
              </w:tc>
              <w:tc>
                <w:tcPr>
                  <w:tcW w:w="746" w:type="dxa"/>
                  <w:shd w:val="clear" w:color="auto" w:fill="auto"/>
                  <w:vAlign w:val="center"/>
                </w:tcPr>
                <w:p w14:paraId="421F62A3">
                  <w:pPr>
                    <w:pStyle w:val="8"/>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4D01E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8" w:hRule="atLeast"/>
                <w:jc w:val="center"/>
              </w:trPr>
              <w:tc>
                <w:tcPr>
                  <w:tcW w:w="838" w:type="dxa"/>
                  <w:shd w:val="clear" w:color="auto" w:fill="auto"/>
                  <w:vAlign w:val="center"/>
                </w:tcPr>
                <w:p w14:paraId="3688CC15">
                  <w:pPr>
                    <w:pStyle w:val="8"/>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b/>
                      <w:bCs/>
                      <w:sz w:val="21"/>
                      <w:szCs w:val="21"/>
                      <w:highlight w:val="none"/>
                    </w:rPr>
                    <w:t>污染物排放管控</w:t>
                  </w:r>
                </w:p>
              </w:tc>
              <w:tc>
                <w:tcPr>
                  <w:tcW w:w="6495" w:type="dxa"/>
                  <w:shd w:val="clear" w:color="auto" w:fill="auto"/>
                </w:tcPr>
                <w:p w14:paraId="390A1B78">
                  <w:pPr>
                    <w:pStyle w:val="8"/>
                    <w:numPr>
                      <w:ilvl w:val="0"/>
                      <w:numId w:val="10"/>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严格执行《中华人民共和国环境保护法》《中华人民共和国大气污染防治法》《中华人民共和国水污染防治法》《中华人民共和国土壤污染防治法》《中华人民共和国固体废物污染环境防治法》《排污许可管理条例》《北京市大气污染防治条例》《北京市水污染防治条例》《北京市土壤污染防治条例》等法律法规以及国家、地方环境质量标准。</w:t>
                  </w:r>
                </w:p>
                <w:p w14:paraId="53CC9C44">
                  <w:pPr>
                    <w:pStyle w:val="8"/>
                    <w:numPr>
                      <w:ilvl w:val="0"/>
                      <w:numId w:val="10"/>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严格执行《中华人民共和国清洁生产促进法》《中华人民共和国循环经济促进法》。</w:t>
                  </w:r>
                </w:p>
                <w:p w14:paraId="6B93B617">
                  <w:pPr>
                    <w:pStyle w:val="8"/>
                    <w:numPr>
                      <w:ilvl w:val="0"/>
                      <w:numId w:val="10"/>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严格执行《建设项目主要污染物排放总量指标审核及管理暂行办法》《原北京市环境保护局关于建设项目主要污染物排放总量指标审核及管理的补充通知》。</w:t>
                  </w:r>
                </w:p>
                <w:p w14:paraId="1CBD84F2">
                  <w:pPr>
                    <w:pStyle w:val="8"/>
                    <w:numPr>
                      <w:ilvl w:val="0"/>
                      <w:numId w:val="10"/>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严格执行废气、废水、噪声、固体废物等国家地方污染物排放标准；严格执行锅炉、餐饮、印刷业、木质家具制造业、汽车维修业等地方大气污染物排放标准，强化重点领域大气污染管控。</w:t>
                  </w:r>
                </w:p>
                <w:p w14:paraId="2DA203AB">
                  <w:pPr>
                    <w:pStyle w:val="8"/>
                    <w:numPr>
                      <w:ilvl w:val="0"/>
                      <w:numId w:val="10"/>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严格执行《北京市烟花爆竹安全管理规定》，五环路以内（含五环路）及各区人民政府划定的禁放区域禁止燃放烟花爆竹。</w:t>
                  </w:r>
                </w:p>
                <w:p w14:paraId="3B738319">
                  <w:pPr>
                    <w:pStyle w:val="8"/>
                    <w:numPr>
                      <w:ilvl w:val="0"/>
                      <w:numId w:val="10"/>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严格执行《中共中央国务院关于深入打好污染防治攻坚战的意见》《中共北京市委北京市人民政府关于深入打好北京市污染防治攻坚战的实施意见》，推动工业园区和产业集群升级、挥发性有机物和氮氧化物协同减排。</w:t>
                  </w:r>
                </w:p>
                <w:p w14:paraId="597936F7">
                  <w:pPr>
                    <w:pStyle w:val="8"/>
                    <w:numPr>
                      <w:ilvl w:val="0"/>
                      <w:numId w:val="10"/>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严格执行《北京市</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十四五</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时期生态环境保护规划》、《北京市</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十四五</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时期土壤污染防治规划》。</w:t>
                  </w:r>
                </w:p>
                <w:p w14:paraId="1A3E7641">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8.严格执行《北京市</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十四五</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时期应对气候变化和节能规划》《北京市</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十四五</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时期能源发展规划》《北京市碳达峰实施方案》《北京市</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十四五</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时期制造业绿色低碳发展行动方案》，坚决控制高耗能、高排放项目新建和改扩建，严格控制新建项目能耗和碳排放水平。</w:t>
                  </w:r>
                </w:p>
              </w:tc>
              <w:tc>
                <w:tcPr>
                  <w:tcW w:w="4980" w:type="dxa"/>
                  <w:shd w:val="clear" w:color="auto" w:fill="auto"/>
                </w:tcPr>
                <w:p w14:paraId="694B4AE4">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本项目严格执行《中华人民共和国环境保护法》《中华人民共和国大气污染防治法》《中华人民共和国水污染防治法》《中华人民共和国土壤污染防治法》《中华人民共和国固体废物污染环境防治法》《排污许可管理条例》《北京市大气污染防治条例》《北京市水污染防治条例》《北京市土壤污染防治条例》等法律法规以及国家、地方环境质量标准要求。</w:t>
                  </w:r>
                </w:p>
                <w:p w14:paraId="0884FE46">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2.本项目不属于高耗能行业，电源和水源由市政供给，符合清洁生产要求。</w:t>
                  </w:r>
                </w:p>
                <w:p w14:paraId="711B770D">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3.本项目</w:t>
                  </w:r>
                  <w:r>
                    <w:rPr>
                      <w:rFonts w:hint="default" w:ascii="Times New Roman" w:hAnsi="Times New Roman" w:eastAsia="宋体" w:cs="Times New Roman"/>
                      <w:color w:val="auto"/>
                      <w:sz w:val="21"/>
                      <w:szCs w:val="21"/>
                      <w:highlight w:val="none"/>
                    </w:rPr>
                    <w:t>总量控制指标为挥发性有机物、</w:t>
                  </w:r>
                  <w:r>
                    <w:rPr>
                      <w:rFonts w:hint="default" w:ascii="Times New Roman" w:hAnsi="Times New Roman" w:eastAsia="宋体" w:cs="Times New Roman"/>
                      <w:color w:val="auto"/>
                      <w:sz w:val="21"/>
                      <w:szCs w:val="21"/>
                      <w:highlight w:val="none"/>
                      <w:lang w:val="en-US" w:eastAsia="zh-CN"/>
                    </w:rPr>
                    <w:t>颗粒物、</w:t>
                  </w:r>
                  <w:r>
                    <w:rPr>
                      <w:rFonts w:hint="default" w:ascii="Times New Roman" w:hAnsi="Times New Roman" w:eastAsia="宋体" w:cs="Times New Roman"/>
                      <w:color w:val="auto"/>
                      <w:sz w:val="21"/>
                      <w:szCs w:val="21"/>
                      <w:highlight w:val="none"/>
                    </w:rPr>
                    <w:t>化学需氧量、氨氮，严格执行《建设项目主要污染物排放总量指标审核及管</w:t>
                  </w:r>
                  <w:r>
                    <w:rPr>
                      <w:rFonts w:hint="default" w:ascii="Times New Roman" w:hAnsi="Times New Roman" w:eastAsia="宋体" w:cs="Times New Roman"/>
                      <w:sz w:val="21"/>
                      <w:szCs w:val="21"/>
                      <w:highlight w:val="none"/>
                    </w:rPr>
                    <w:t>理暂行办法（环发[2014]197号）》、《原北京市环境保护局关于建设项目主要污染物排放总量指标审核及管理的补充通知》。</w:t>
                  </w:r>
                </w:p>
                <w:p w14:paraId="45B333B2">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4.本项目废气、废水、噪声均满足国家地方污染物排放标准，固体废物合理处置，满足国家、地方相关要求。</w:t>
                  </w:r>
                </w:p>
                <w:p w14:paraId="06D304D1">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5.本项目不涉及烟花爆竹的使用。</w:t>
                  </w:r>
                </w:p>
                <w:p w14:paraId="686C6E89">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6.项目严格执行《中共中央国务院关于深入打好污染防治攻坚战的意见》《中共北京市委北京市人民政府关于深入打好北京市污染防治攻坚战的实施意见》。</w:t>
                  </w:r>
                </w:p>
                <w:p w14:paraId="22D968D8">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7.项目严格执行《北京市</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十四五</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时期生态环境保护规划》、《北京市</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十四五</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时期土壤污染防治规划》。</w:t>
                  </w:r>
                </w:p>
                <w:p w14:paraId="0997EF9A">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8.项目不属于高耗能行业，项目能耗和碳排放满足要求。</w:t>
                  </w:r>
                </w:p>
              </w:tc>
              <w:tc>
                <w:tcPr>
                  <w:tcW w:w="746" w:type="dxa"/>
                  <w:shd w:val="clear" w:color="auto" w:fill="auto"/>
                  <w:vAlign w:val="center"/>
                </w:tcPr>
                <w:p w14:paraId="24CFA536">
                  <w:pPr>
                    <w:pStyle w:val="8"/>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7D377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38" w:type="dxa"/>
                  <w:shd w:val="clear" w:color="auto" w:fill="auto"/>
                  <w:vAlign w:val="center"/>
                </w:tcPr>
                <w:p w14:paraId="5C0617ED">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环境风险防控</w:t>
                  </w:r>
                </w:p>
              </w:tc>
              <w:tc>
                <w:tcPr>
                  <w:tcW w:w="6495" w:type="dxa"/>
                  <w:shd w:val="clear" w:color="auto" w:fill="auto"/>
                </w:tcPr>
                <w:p w14:paraId="70D0BCE8">
                  <w:pPr>
                    <w:pStyle w:val="8"/>
                    <w:numPr>
                      <w:ilvl w:val="0"/>
                      <w:numId w:val="11"/>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中华人民共和国水土保持法》《国家突发环境事件应急预案》《企业事业单位突发环境事件应急预案备案管理办法（试行）》《北京市突发环境事件应急预案》《北京市空气重污染应急预案（2023年修订）》等法律法规文件要求，完善环境风险防控体系，提高区域环境风险防范能力。</w:t>
                  </w:r>
                </w:p>
                <w:p w14:paraId="12EBFA02">
                  <w:pPr>
                    <w:pStyle w:val="8"/>
                    <w:numPr>
                      <w:ilvl w:val="0"/>
                      <w:numId w:val="11"/>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严格执行《污染地块土壤环境管理办法（试行）》《工矿用地土壤环境管理办法（试行）》相关要求，重点单位建设涉及有毒有害物质的生产装置、储罐和管道，或者建设污水处理池、应急池等存在土壤污染风险的设施，应当按照国家有关标准和规范的要求，设计、建设和安装有关防腐蚀、防泄漏设施和泄漏监测装置，防止有毒有害物质污染土壤和地下水。有毒有害物质名录以生态环境部公布为准。</w:t>
                  </w:r>
                </w:p>
                <w:p w14:paraId="01E2DD98">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3.工业园区管理机构应当统筹组织园区内产废量较小的工业企业产生的危险废物的收集、贮存、转运。</w:t>
                  </w:r>
                </w:p>
              </w:tc>
              <w:tc>
                <w:tcPr>
                  <w:tcW w:w="4980" w:type="dxa"/>
                  <w:shd w:val="clear" w:color="auto" w:fill="auto"/>
                </w:tcPr>
                <w:p w14:paraId="775BD2E7">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本项目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中华人民共和国水土保持法》《国家突发环境事件应急预案》、《企业事业单位突发环境事件应急预案备案管理办法（试行）》等法律法规文件要求。本项目针对风险物质使用储存等风险环节，提出风险防范措施。</w:t>
                  </w:r>
                </w:p>
                <w:p w14:paraId="18B6DB16">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2.本项目废气、废水能达标排放，固体废物能得到安全贮存和处置，且采取了满足标准要求的防渗措施，对地下水和土壤环境影响可控。</w:t>
                  </w:r>
                </w:p>
                <w:p w14:paraId="39FFAC71">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3.项目</w:t>
                  </w:r>
                  <w:r>
                    <w:rPr>
                      <w:rFonts w:hint="eastAsia" w:ascii="Times New Roman" w:hAnsi="Times New Roman" w:eastAsia="宋体" w:cs="Times New Roman"/>
                      <w:sz w:val="21"/>
                      <w:szCs w:val="21"/>
                      <w:highlight w:val="none"/>
                      <w:lang w:val="en-US" w:eastAsia="zh-CN"/>
                    </w:rPr>
                    <w:t>建设规范的危险废物暂存间，合理合规收集、贮存、处置危险废物</w:t>
                  </w:r>
                  <w:r>
                    <w:rPr>
                      <w:rFonts w:hint="default" w:ascii="Times New Roman" w:hAnsi="Times New Roman" w:eastAsia="宋体" w:cs="Times New Roman"/>
                      <w:sz w:val="21"/>
                      <w:szCs w:val="21"/>
                      <w:highlight w:val="none"/>
                    </w:rPr>
                    <w:t>。</w:t>
                  </w:r>
                </w:p>
              </w:tc>
              <w:tc>
                <w:tcPr>
                  <w:tcW w:w="746" w:type="dxa"/>
                  <w:shd w:val="clear" w:color="auto" w:fill="auto"/>
                  <w:vAlign w:val="center"/>
                </w:tcPr>
                <w:p w14:paraId="20872F8A">
                  <w:pPr>
                    <w:pStyle w:val="8"/>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711E0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9" w:hRule="atLeast"/>
                <w:jc w:val="center"/>
              </w:trPr>
              <w:tc>
                <w:tcPr>
                  <w:tcW w:w="838" w:type="dxa"/>
                  <w:shd w:val="clear" w:color="auto" w:fill="auto"/>
                  <w:vAlign w:val="center"/>
                </w:tcPr>
                <w:p w14:paraId="539E150D">
                  <w:pPr>
                    <w:pStyle w:val="8"/>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b/>
                      <w:bCs/>
                      <w:sz w:val="21"/>
                      <w:szCs w:val="21"/>
                      <w:highlight w:val="none"/>
                    </w:rPr>
                    <w:t>资源利用效率</w:t>
                  </w:r>
                </w:p>
              </w:tc>
              <w:tc>
                <w:tcPr>
                  <w:tcW w:w="6495" w:type="dxa"/>
                  <w:shd w:val="clear" w:color="auto" w:fill="auto"/>
                </w:tcPr>
                <w:p w14:paraId="729A6A43">
                  <w:pPr>
                    <w:pStyle w:val="8"/>
                    <w:numPr>
                      <w:ilvl w:val="0"/>
                      <w:numId w:val="12"/>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严格执行《中华人民共和国水法》《北京市节水条例》《北京市人民政府关于实行最严格水资源管理制度的意见》《北京市</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十四五</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节水型社会建设规划》《关于北京市加强水生态空间管控工作的意见》，加强用水管控，推动再生水多元利用。</w:t>
                  </w:r>
                </w:p>
                <w:p w14:paraId="28EB84AD">
                  <w:pPr>
                    <w:pStyle w:val="8"/>
                    <w:numPr>
                      <w:ilvl w:val="0"/>
                      <w:numId w:val="12"/>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落实《北京城市总体规划(2016年-2035年)》《北京市国土空间近期规划(2021年—2025年)》要求，坚守建设用地规模底线，提高产业用地利用效率。</w:t>
                  </w:r>
                </w:p>
                <w:p w14:paraId="6E4DAFE5">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3.执行《中华人民共和国节约能源法》以及北京市单位产品能源消耗限额系列行业标准《供热锅炉综合能源消耗限额》《北京市</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十四五</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时期能源发展规划》《北京市</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十四五</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时期应对气候变化和节能规划》。</w:t>
                  </w:r>
                </w:p>
              </w:tc>
              <w:tc>
                <w:tcPr>
                  <w:tcW w:w="4980" w:type="dxa"/>
                  <w:shd w:val="clear" w:color="auto" w:fill="auto"/>
                </w:tcPr>
                <w:p w14:paraId="3561D63C">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1.本项目用水由市政给水管网提供，严格执行《中华人民共和国水法》《北京市节水条例》《北京市人民政府关于实行最严格水资源管理制度的意见》《北京市</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十四五</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节水型社会建设规划》《关于北京市加强水生态空间管控工作的意见》，加强用水管控。</w:t>
                  </w:r>
                </w:p>
                <w:p w14:paraId="056480F6">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2.本项目租用现有建筑物，不新增用地，符合《北京城市总体规划(2016年-2035年)》《北京市国土空间近期规划(2021年—2025年)》要求。</w:t>
                  </w:r>
                </w:p>
                <w:p w14:paraId="7BB40394">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3.项目不属于高耗能行业，且项目不涉及锅炉，项目能耗和碳排放满足要求。项目严格执行《中华人民共和国节约能源法》以及《北京市</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十四五</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时期能源发展规划》《北京市</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十四五</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时期应对气候变化和节能规划》。</w:t>
                  </w:r>
                </w:p>
              </w:tc>
              <w:tc>
                <w:tcPr>
                  <w:tcW w:w="746" w:type="dxa"/>
                  <w:shd w:val="clear" w:color="auto" w:fill="auto"/>
                  <w:vAlign w:val="center"/>
                </w:tcPr>
                <w:p w14:paraId="43FA3708">
                  <w:pPr>
                    <w:pStyle w:val="8"/>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bl>
          <w:p w14:paraId="2821BBCD">
            <w:pPr>
              <w:rPr>
                <w:rFonts w:hint="default" w:ascii="Times New Roman" w:hAnsi="Times New Roman" w:eastAsia="宋体" w:cs="Times New Roman"/>
                <w:b/>
                <w:bCs/>
                <w:kern w:val="0"/>
                <w:sz w:val="24"/>
                <w:highlight w:val="none"/>
                <w:lang w:bidi="ar"/>
              </w:rPr>
            </w:pPr>
          </w:p>
          <w:p w14:paraId="312E789F">
            <w:pPr>
              <w:pStyle w:val="8"/>
              <w:numPr>
                <w:ilvl w:val="0"/>
                <w:numId w:val="13"/>
              </w:numPr>
              <w:spacing w:line="360" w:lineRule="auto"/>
              <w:ind w:firstLine="482" w:firstLineChars="200"/>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五大功能区生态环境准入清单</w:t>
            </w:r>
          </w:p>
          <w:p w14:paraId="5ED63ABC">
            <w:pPr>
              <w:pStyle w:val="8"/>
              <w:spacing w:line="360" w:lineRule="auto"/>
              <w:ind w:firstLine="480" w:firstLineChars="200"/>
              <w:rPr>
                <w:rFonts w:hint="default" w:ascii="Times New Roman" w:hAnsi="Times New Roman" w:eastAsia="宋体" w:cs="Times New Roman"/>
                <w:sz w:val="24"/>
                <w:highlight w:val="none"/>
                <w:lang w:eastAsia="zh-CN"/>
              </w:rPr>
            </w:pPr>
            <w:r>
              <w:rPr>
                <w:rFonts w:hint="default" w:ascii="Times New Roman" w:hAnsi="Times New Roman" w:eastAsia="宋体" w:cs="Times New Roman"/>
                <w:sz w:val="24"/>
                <w:highlight w:val="none"/>
              </w:rPr>
              <w:t>本项目属于五大生</w:t>
            </w:r>
            <w:r>
              <w:rPr>
                <w:rFonts w:hint="default" w:ascii="Times New Roman" w:hAnsi="Times New Roman" w:eastAsia="宋体" w:cs="Times New Roman"/>
                <w:color w:val="auto"/>
                <w:sz w:val="24"/>
                <w:highlight w:val="none"/>
              </w:rPr>
              <w:t>态功能区中的平原新城，</w:t>
            </w:r>
            <w:r>
              <w:rPr>
                <w:rFonts w:hint="default" w:ascii="Times New Roman" w:hAnsi="Times New Roman" w:eastAsia="宋体" w:cs="Times New Roman"/>
                <w:sz w:val="24"/>
                <w:highlight w:val="none"/>
              </w:rPr>
              <w:t>本项目与平原新城生态环境准入清单的符合性分析详见</w:t>
            </w:r>
            <w:r>
              <w:rPr>
                <w:rFonts w:hint="default" w:ascii="Times New Roman" w:hAnsi="Times New Roman" w:eastAsia="宋体" w:cs="Times New Roman"/>
                <w:sz w:val="24"/>
                <w:highlight w:val="none"/>
                <w:lang w:val="en-US" w:eastAsia="zh-CN"/>
              </w:rPr>
              <w:t>下</w:t>
            </w:r>
            <w:r>
              <w:rPr>
                <w:rFonts w:hint="default" w:ascii="Times New Roman" w:hAnsi="Times New Roman" w:eastAsia="宋体" w:cs="Times New Roman"/>
                <w:sz w:val="24"/>
                <w:highlight w:val="none"/>
              </w:rPr>
              <w:t>表</w:t>
            </w:r>
            <w:r>
              <w:rPr>
                <w:rFonts w:hint="default" w:ascii="Times New Roman" w:hAnsi="Times New Roman" w:eastAsia="宋体" w:cs="Times New Roman"/>
                <w:sz w:val="24"/>
                <w:highlight w:val="none"/>
                <w:lang w:eastAsia="zh-CN"/>
              </w:rPr>
              <w:t>。</w:t>
            </w:r>
          </w:p>
          <w:p w14:paraId="5B98295E">
            <w:pPr>
              <w:widowControl/>
              <w:numPr>
                <w:ilvl w:val="0"/>
                <w:numId w:val="5"/>
              </w:numPr>
              <w:spacing w:line="360" w:lineRule="auto"/>
              <w:ind w:left="425" w:leftChars="0" w:hanging="425" w:firstLineChars="0"/>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五大功能区生态环境准入清单</w:t>
            </w:r>
          </w:p>
          <w:tbl>
            <w:tblPr>
              <w:tblStyle w:val="18"/>
              <w:tblW w:w="12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2"/>
              <w:gridCol w:w="5875"/>
              <w:gridCol w:w="5225"/>
              <w:gridCol w:w="697"/>
            </w:tblGrid>
            <w:tr w14:paraId="1FD48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2" w:type="dxa"/>
                  <w:shd w:val="clear" w:color="auto" w:fill="auto"/>
                  <w:vAlign w:val="center"/>
                </w:tcPr>
                <w:p w14:paraId="7777EAA4">
                  <w:pPr>
                    <w:pStyle w:val="8"/>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管控类别</w:t>
                  </w:r>
                </w:p>
              </w:tc>
              <w:tc>
                <w:tcPr>
                  <w:tcW w:w="5875" w:type="dxa"/>
                  <w:shd w:val="clear" w:color="auto" w:fill="auto"/>
                  <w:vAlign w:val="center"/>
                </w:tcPr>
                <w:p w14:paraId="4E717A35">
                  <w:pPr>
                    <w:pStyle w:val="8"/>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重点管控要求</w:t>
                  </w:r>
                </w:p>
              </w:tc>
              <w:tc>
                <w:tcPr>
                  <w:tcW w:w="5225" w:type="dxa"/>
                  <w:shd w:val="clear" w:color="auto" w:fill="auto"/>
                  <w:vAlign w:val="center"/>
                </w:tcPr>
                <w:p w14:paraId="726A1AFE">
                  <w:pPr>
                    <w:pStyle w:val="8"/>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本项目符合性</w:t>
                  </w:r>
                </w:p>
              </w:tc>
              <w:tc>
                <w:tcPr>
                  <w:tcW w:w="697" w:type="dxa"/>
                  <w:shd w:val="clear" w:color="auto" w:fill="auto"/>
                  <w:vAlign w:val="center"/>
                </w:tcPr>
                <w:p w14:paraId="6B9A7702">
                  <w:pPr>
                    <w:pStyle w:val="8"/>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是否符合</w:t>
                  </w:r>
                </w:p>
              </w:tc>
            </w:tr>
            <w:tr w14:paraId="417AC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2" w:type="dxa"/>
                  <w:shd w:val="clear" w:color="auto" w:fill="auto"/>
                  <w:vAlign w:val="center"/>
                </w:tcPr>
                <w:p w14:paraId="376F8735">
                  <w:pPr>
                    <w:pStyle w:val="8"/>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空间布局约束</w:t>
                  </w:r>
                </w:p>
              </w:tc>
              <w:tc>
                <w:tcPr>
                  <w:tcW w:w="5875" w:type="dxa"/>
                  <w:shd w:val="clear" w:color="auto" w:fill="auto"/>
                </w:tcPr>
                <w:p w14:paraId="4CA2DC9C">
                  <w:pPr>
                    <w:pStyle w:val="8"/>
                    <w:numPr>
                      <w:ilvl w:val="0"/>
                      <w:numId w:val="14"/>
                    </w:numP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执行《北京市新增产业的禁止和限制目录（2022年版）》适用于北京城市副中心的管控要求。</w:t>
                  </w:r>
                </w:p>
                <w:p w14:paraId="1EF63D24">
                  <w:pPr>
                    <w:pStyle w:val="8"/>
                    <w:numPr>
                      <w:ilvl w:val="0"/>
                      <w:numId w:val="14"/>
                    </w:numP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执行《建设项目规划使用性质正面和负面清单》适用于城市副中心的管控要求。</w:t>
                  </w:r>
                </w:p>
                <w:p w14:paraId="67945A34">
                  <w:pPr>
                    <w:pStyle w:val="8"/>
                    <w:numPr>
                      <w:ilvl w:val="0"/>
                      <w:numId w:val="14"/>
                    </w:numP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执行《北京城市副中心（通州区）</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十四五</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时期产业发展规划》《北京城市副中心（通州区）</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十四五</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时期城市治理规划）》《北京市城市副中心（通州区）</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十四五</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时期交通发展建设规划》的管控要求。</w:t>
                  </w:r>
                </w:p>
                <w:p w14:paraId="41556BB6">
                  <w:pPr>
                    <w:pStyle w:val="8"/>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4.涉及生态保护红线及相关法定保护空间的应执行优先保护类总体准入清单。</w:t>
                  </w:r>
                </w:p>
              </w:tc>
              <w:tc>
                <w:tcPr>
                  <w:tcW w:w="5225" w:type="dxa"/>
                  <w:shd w:val="clear" w:color="auto" w:fill="auto"/>
                  <w:vAlign w:val="center"/>
                </w:tcPr>
                <w:p w14:paraId="0511F166">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1.对照《北京市新增产业的禁止和限制目录（2022年版）》中适用于中心城区、北京城市副中心以外的平原地区的目录(二)，本项目不属于禁止和限制项目。</w:t>
                  </w:r>
                </w:p>
                <w:p w14:paraId="1C668616">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2.本项目不涉及北京市《建设项目规划使用性质正面和负面清单》中负面清单。</w:t>
                  </w:r>
                </w:p>
                <w:p w14:paraId="2432BE07">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3.项目符合《北京城市副中心（通州区）</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十四五</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时期产业发展规划》《北京城市副中心（通州区）</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十四五</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时期城市治理规划）》《北京市城市副中心（通州区）</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十四五</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时期交通发展建设规划》的管控要求。</w:t>
                  </w:r>
                </w:p>
                <w:p w14:paraId="49B0E9AF">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4.项目位于北京经济技术开发区</w:t>
                  </w:r>
                  <w:r>
                    <w:rPr>
                      <w:rFonts w:hint="default" w:ascii="Times New Roman" w:hAnsi="Times New Roman" w:eastAsia="宋体" w:cs="Times New Roman"/>
                      <w:color w:val="auto"/>
                      <w:sz w:val="21"/>
                      <w:szCs w:val="21"/>
                      <w:highlight w:val="none"/>
                      <w:lang w:val="en-US" w:eastAsia="zh-CN"/>
                    </w:rPr>
                    <w:t>康定街15号前沿科技创新港金田加速区5号楼1-2层</w:t>
                  </w:r>
                  <w:r>
                    <w:rPr>
                      <w:rFonts w:hint="default" w:ascii="Times New Roman" w:hAnsi="Times New Roman" w:eastAsia="宋体" w:cs="Times New Roman"/>
                      <w:color w:val="auto"/>
                      <w:sz w:val="21"/>
                      <w:szCs w:val="21"/>
                      <w:highlight w:val="none"/>
                    </w:rPr>
                    <w:t>，项目不涉及生态保护红线及相关法定保护空间。</w:t>
                  </w:r>
                </w:p>
              </w:tc>
              <w:tc>
                <w:tcPr>
                  <w:tcW w:w="697" w:type="dxa"/>
                  <w:shd w:val="clear" w:color="auto" w:fill="auto"/>
                  <w:vAlign w:val="center"/>
                </w:tcPr>
                <w:p w14:paraId="2301C1EE">
                  <w:pPr>
                    <w:pStyle w:val="8"/>
                    <w:jc w:val="center"/>
                    <w:rPr>
                      <w:rFonts w:hint="default" w:ascii="Times New Roman" w:hAnsi="Times New Roman" w:eastAsia="宋体" w:cs="Times New Roman"/>
                      <w:color w:val="auto"/>
                      <w:sz w:val="21"/>
                      <w:szCs w:val="21"/>
                      <w:highlight w:val="none"/>
                    </w:rPr>
                  </w:pPr>
                </w:p>
                <w:p w14:paraId="15799BC2">
                  <w:pPr>
                    <w:pStyle w:val="8"/>
                    <w:jc w:val="center"/>
                    <w:rPr>
                      <w:rFonts w:hint="default" w:ascii="Times New Roman" w:hAnsi="Times New Roman" w:eastAsia="宋体" w:cs="Times New Roman"/>
                      <w:color w:val="auto"/>
                      <w:sz w:val="21"/>
                      <w:szCs w:val="21"/>
                      <w:highlight w:val="none"/>
                    </w:rPr>
                  </w:pPr>
                </w:p>
                <w:p w14:paraId="75592236">
                  <w:pPr>
                    <w:pStyle w:val="8"/>
                    <w:jc w:val="center"/>
                    <w:rPr>
                      <w:rFonts w:hint="default" w:ascii="Times New Roman" w:hAnsi="Times New Roman" w:eastAsia="宋体" w:cs="Times New Roman"/>
                      <w:color w:val="auto"/>
                      <w:sz w:val="21"/>
                      <w:szCs w:val="21"/>
                      <w:highlight w:val="none"/>
                    </w:rPr>
                  </w:pPr>
                </w:p>
                <w:p w14:paraId="77826F6B">
                  <w:pPr>
                    <w:pStyle w:val="8"/>
                    <w:jc w:val="center"/>
                    <w:rPr>
                      <w:rFonts w:hint="default" w:ascii="Times New Roman" w:hAnsi="Times New Roman" w:eastAsia="宋体" w:cs="Times New Roman"/>
                      <w:color w:val="auto"/>
                      <w:sz w:val="21"/>
                      <w:szCs w:val="21"/>
                      <w:highlight w:val="none"/>
                    </w:rPr>
                  </w:pPr>
                </w:p>
                <w:p w14:paraId="61F95B2C">
                  <w:pPr>
                    <w:pStyle w:val="8"/>
                    <w:jc w:val="center"/>
                    <w:rPr>
                      <w:rFonts w:hint="default" w:ascii="Times New Roman" w:hAnsi="Times New Roman" w:eastAsia="宋体" w:cs="Times New Roman"/>
                      <w:color w:val="auto"/>
                      <w:sz w:val="21"/>
                      <w:szCs w:val="21"/>
                      <w:highlight w:val="none"/>
                    </w:rPr>
                  </w:pPr>
                </w:p>
                <w:p w14:paraId="362B9834">
                  <w:pPr>
                    <w:pStyle w:val="8"/>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57E4D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2" w:type="dxa"/>
                  <w:shd w:val="clear" w:color="auto" w:fill="auto"/>
                  <w:vAlign w:val="center"/>
                </w:tcPr>
                <w:p w14:paraId="1E56876E">
                  <w:pPr>
                    <w:pStyle w:val="8"/>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污染物排放管控</w:t>
                  </w:r>
                </w:p>
              </w:tc>
              <w:tc>
                <w:tcPr>
                  <w:tcW w:w="5875" w:type="dxa"/>
                  <w:shd w:val="clear" w:color="auto" w:fill="auto"/>
                </w:tcPr>
                <w:p w14:paraId="789656FB">
                  <w:pPr>
                    <w:pStyle w:val="8"/>
                    <w:numPr>
                      <w:ilvl w:val="0"/>
                      <w:numId w:val="15"/>
                    </w:numP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通州区全域禁止使用高排放非道路移动机械。</w:t>
                  </w:r>
                </w:p>
                <w:p w14:paraId="3A93DB16">
                  <w:pPr>
                    <w:pStyle w:val="8"/>
                    <w:numPr>
                      <w:ilvl w:val="0"/>
                      <w:numId w:val="15"/>
                    </w:numP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副中心开展大气污染精细化治理，组织空气质量排名靠后的街道(乡镇)进行综合整治。</w:t>
                  </w:r>
                </w:p>
                <w:p w14:paraId="5548B73A">
                  <w:pPr>
                    <w:pStyle w:val="8"/>
                    <w:numPr>
                      <w:ilvl w:val="0"/>
                      <w:numId w:val="15"/>
                    </w:numP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必须遵守污染物排放的国家标准和地方标准；在实施重点污染物排放总量控制的区域内，还必须符合重点污染物排放总量控制的要求。</w:t>
                  </w:r>
                </w:p>
                <w:p w14:paraId="61AA1CE9">
                  <w:pPr>
                    <w:pStyle w:val="8"/>
                    <w:numPr>
                      <w:ilvl w:val="0"/>
                      <w:numId w:val="15"/>
                    </w:numP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严格产业准入标准，有序引导高端要素集聚。</w:t>
                  </w:r>
                </w:p>
                <w:p w14:paraId="5624059D">
                  <w:pPr>
                    <w:pStyle w:val="8"/>
                    <w:numPr>
                      <w:ilvl w:val="0"/>
                      <w:numId w:val="15"/>
                    </w:numP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工业园区配套建设废水集中处理设施。</w:t>
                  </w:r>
                </w:p>
                <w:p w14:paraId="3EF83240">
                  <w:pPr>
                    <w:pStyle w:val="8"/>
                    <w:numPr>
                      <w:ilvl w:val="0"/>
                      <w:numId w:val="15"/>
                    </w:numP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依法关闭或搬迁禁养区内的畜禽养殖场（小区）和养殖专业户。新建、改建、扩建规模化畜禽养殖场（小区）要实施雨污分流、粪便污水资源化利用。</w:t>
                  </w:r>
                </w:p>
                <w:p w14:paraId="52AC8F66">
                  <w:pPr>
                    <w:pStyle w:val="8"/>
                    <w:numPr>
                      <w:ilvl w:val="0"/>
                      <w:numId w:val="15"/>
                    </w:numP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禁止在居民住宅楼、未配套设立专用烟道的商住综合楼、商住综合楼内与居住层相邻的商业楼层内，新建、改建、扩建产生油烟、异味、废气、噪声污染的饮食服务、服装干洗、机动车维修。</w:t>
                  </w:r>
                </w:p>
                <w:p w14:paraId="41062734">
                  <w:pPr>
                    <w:pStyle w:val="8"/>
                    <w:numPr>
                      <w:ilvl w:val="0"/>
                      <w:numId w:val="15"/>
                    </w:numP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到2025年，道路(含背街小巷)优于一级清扫保洁质量要求。</w:t>
                  </w:r>
                </w:p>
                <w:p w14:paraId="241AC5FE">
                  <w:pPr>
                    <w:pStyle w:val="8"/>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9.推动副中心核心区划定超低排放区建设，基本实现公交、环卫、出租、邮政、渣土、机场大巴、货运、旅游及公务车辆为新能源动力，逐步禁止柴油车辆驶入。</w:t>
                  </w:r>
                </w:p>
              </w:tc>
              <w:tc>
                <w:tcPr>
                  <w:tcW w:w="5225" w:type="dxa"/>
                  <w:shd w:val="clear" w:color="auto" w:fill="auto"/>
                  <w:vAlign w:val="center"/>
                </w:tcPr>
                <w:p w14:paraId="322A5B6B">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1.项目不涉及高排放非道路移动机械。</w:t>
                  </w:r>
                </w:p>
                <w:p w14:paraId="1E01EFEA">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2.项目所在区域不属于空气质量排名靠后的街道(乡镇)。</w:t>
                  </w:r>
                </w:p>
                <w:p w14:paraId="4B5DA7E4">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本项目废气、废水、噪声均满足国家地方污染物排放标准，固体废物合理处置，满足国家、地方相关要求。本项目总量控制指标为挥发性有机物、化学需氧量、氨氮，严格执行《建设项目主要污染物排放总量指标审核及管理暂行办法（环发[2014]197号）》、《原北京市环境保护局关于建设项目主要污染物排放总量指标审核及管理的补充通知》。</w:t>
                  </w:r>
                </w:p>
                <w:p w14:paraId="62FEC565">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4.项目符合《产业结构调整指导目录》（2024年本）。项目不在《北京市新增产业的禁止和限制目录（2022年版）》禁止和限制范围内。</w:t>
                  </w:r>
                </w:p>
                <w:p w14:paraId="62E79F49">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5.项目所在工业园区已配套建设废水集中处理设施。</w:t>
                  </w:r>
                </w:p>
                <w:p w14:paraId="6AD6AD6D">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6.项目不属于畜禽养殖场（小区）和养殖专业户。</w:t>
                  </w:r>
                </w:p>
                <w:p w14:paraId="48C81CBE">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7.项目不位于居民住宅楼、未配套设立专用烟道的商住综合楼、商住综合楼内与居住层相邻的商业楼层内，且项目不属于饮食服务、服装干洗、机动车维修。</w:t>
                  </w:r>
                </w:p>
                <w:p w14:paraId="40037F76">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8.项目不涉及。</w:t>
                  </w:r>
                </w:p>
                <w:p w14:paraId="613DB4EC">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9.项目不涉及柴油车辆。</w:t>
                  </w:r>
                </w:p>
              </w:tc>
              <w:tc>
                <w:tcPr>
                  <w:tcW w:w="697" w:type="dxa"/>
                  <w:shd w:val="clear" w:color="auto" w:fill="auto"/>
                  <w:vAlign w:val="center"/>
                </w:tcPr>
                <w:p w14:paraId="1752A085">
                  <w:pPr>
                    <w:pStyle w:val="8"/>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958D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2" w:type="dxa"/>
                  <w:shd w:val="clear" w:color="auto" w:fill="auto"/>
                  <w:vAlign w:val="center"/>
                </w:tcPr>
                <w:p w14:paraId="02608714">
                  <w:pPr>
                    <w:pStyle w:val="8"/>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环境风险防控</w:t>
                  </w:r>
                </w:p>
              </w:tc>
              <w:tc>
                <w:tcPr>
                  <w:tcW w:w="5875" w:type="dxa"/>
                  <w:shd w:val="clear" w:color="auto" w:fill="auto"/>
                </w:tcPr>
                <w:p w14:paraId="4C2ACADA">
                  <w:pPr>
                    <w:pStyle w:val="8"/>
                    <w:numPr>
                      <w:ilvl w:val="0"/>
                      <w:numId w:val="16"/>
                    </w:numP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应充分考虑污染地块的环境风险，合理确定土地用途。</w:t>
                  </w:r>
                </w:p>
                <w:p w14:paraId="20B4FD11">
                  <w:pPr>
                    <w:pStyle w:val="8"/>
                    <w:numPr>
                      <w:ilvl w:val="0"/>
                      <w:numId w:val="16"/>
                    </w:numP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严格用地准入，防范人居环境风险。严格实施再开发、安全利用的管理。对原东方化工厂所在区域开展土壤治理修复和风险管控，保障城市绿心用地安全。</w:t>
                  </w:r>
                </w:p>
                <w:p w14:paraId="5A5D46EC">
                  <w:pPr>
                    <w:pStyle w:val="8"/>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3.有效落实空气重污染各项应急减排措施，引导提高施工工地和应急减排清单企业的绩效等级，引导使用纯电动、氢燃料电池的车辆和非道路移动机械。</w:t>
                  </w:r>
                </w:p>
              </w:tc>
              <w:tc>
                <w:tcPr>
                  <w:tcW w:w="5225" w:type="dxa"/>
                  <w:shd w:val="clear" w:color="auto" w:fill="auto"/>
                  <w:vAlign w:val="center"/>
                </w:tcPr>
                <w:p w14:paraId="4776AC18">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1.项目租用现有建筑物进行建设，不涉及新增用地。项目租用建筑物用途为</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工业</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val="en-US" w:eastAsia="zh-CN"/>
                    </w:rPr>
                    <w:t>从事新材料研发</w:t>
                  </w:r>
                  <w:r>
                    <w:rPr>
                      <w:rFonts w:hint="default" w:ascii="Times New Roman" w:hAnsi="Times New Roman" w:eastAsia="宋体" w:cs="Times New Roman"/>
                      <w:color w:val="auto"/>
                      <w:sz w:val="21"/>
                      <w:szCs w:val="21"/>
                      <w:highlight w:val="none"/>
                    </w:rPr>
                    <w:t>，符合建筑的规划用途。</w:t>
                  </w:r>
                </w:p>
                <w:p w14:paraId="2EB4DED3">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2.项目租用现有建筑物进行建设，不涉及新增用地。</w:t>
                  </w:r>
                </w:p>
                <w:p w14:paraId="6BD510C7">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3.项目租用现有建筑物进行建设，不涉及土建施工。施工期仅为简单装修。</w:t>
                  </w:r>
                </w:p>
              </w:tc>
              <w:tc>
                <w:tcPr>
                  <w:tcW w:w="697" w:type="dxa"/>
                  <w:shd w:val="clear" w:color="auto" w:fill="auto"/>
                  <w:vAlign w:val="center"/>
                </w:tcPr>
                <w:p w14:paraId="67F1911C">
                  <w:pPr>
                    <w:pStyle w:val="8"/>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DB8A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2" w:type="dxa"/>
                  <w:shd w:val="clear" w:color="auto" w:fill="auto"/>
                  <w:vAlign w:val="center"/>
                </w:tcPr>
                <w:p w14:paraId="1F78CED4">
                  <w:pPr>
                    <w:pStyle w:val="8"/>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资源利用效率</w:t>
                  </w:r>
                </w:p>
              </w:tc>
              <w:tc>
                <w:tcPr>
                  <w:tcW w:w="5875" w:type="dxa"/>
                  <w:shd w:val="clear" w:color="auto" w:fill="auto"/>
                </w:tcPr>
                <w:p w14:paraId="78A35AED">
                  <w:pPr>
                    <w:pStyle w:val="8"/>
                    <w:numPr>
                      <w:ilvl w:val="0"/>
                      <w:numId w:val="17"/>
                    </w:numP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坚持节水优先，实行最严格水资源管理制度，促进生产和生活全方位节水。</w:t>
                  </w:r>
                </w:p>
                <w:p w14:paraId="2DE433FB">
                  <w:pPr>
                    <w:pStyle w:val="8"/>
                    <w:numPr>
                      <w:ilvl w:val="0"/>
                      <w:numId w:val="17"/>
                    </w:numP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优化区域能源结构，大力推进新能源和可再生能源利用，严控能源消费总量。</w:t>
                  </w:r>
                </w:p>
                <w:p w14:paraId="26AADDA8">
                  <w:pPr>
                    <w:pStyle w:val="8"/>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3.加快锅炉房新能源和可再生能源替代，结合旧城改造、城市更新、园区建设和特色小镇等发展契机，推进建筑和工业等领域新能源和可再生能源供热，显著降低常规发展模式下能源利用污染物排放总量。</w:t>
                  </w:r>
                </w:p>
              </w:tc>
              <w:tc>
                <w:tcPr>
                  <w:tcW w:w="5225" w:type="dxa"/>
                  <w:shd w:val="clear" w:color="auto" w:fill="auto"/>
                  <w:vAlign w:val="center"/>
                </w:tcPr>
                <w:p w14:paraId="040635B9">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1.本项目用水由市政给水管网提供。项目加强生产和生活全方位节水。</w:t>
                  </w:r>
                </w:p>
                <w:p w14:paraId="7D47BCD1">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2.项目所用能源主要为水资源和电能。项目不涉及其他能源消耗。</w:t>
                  </w:r>
                </w:p>
                <w:p w14:paraId="44238A1F">
                  <w:pPr>
                    <w:pStyle w:val="8"/>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3.项目不涉及锅炉使用。</w:t>
                  </w:r>
                </w:p>
              </w:tc>
              <w:tc>
                <w:tcPr>
                  <w:tcW w:w="697" w:type="dxa"/>
                  <w:shd w:val="clear" w:color="auto" w:fill="auto"/>
                  <w:vAlign w:val="center"/>
                </w:tcPr>
                <w:p w14:paraId="2276AC31">
                  <w:pPr>
                    <w:pStyle w:val="8"/>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6F04741A">
            <w:pPr>
              <w:rPr>
                <w:rFonts w:hint="default" w:ascii="Times New Roman" w:hAnsi="Times New Roman" w:eastAsia="宋体" w:cs="Times New Roman"/>
                <w:b/>
                <w:bCs/>
                <w:sz w:val="24"/>
                <w:highlight w:val="none"/>
              </w:rPr>
            </w:pPr>
          </w:p>
          <w:p w14:paraId="18E70F1F">
            <w:pPr>
              <w:pStyle w:val="8"/>
              <w:numPr>
                <w:ilvl w:val="0"/>
                <w:numId w:val="13"/>
              </w:numPr>
              <w:spacing w:line="360" w:lineRule="auto"/>
              <w:ind w:firstLine="482" w:firstLineChars="200"/>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环境管控单元生态环境准入清单</w:t>
            </w:r>
          </w:p>
          <w:p w14:paraId="540ACAD8">
            <w:pPr>
              <w:spacing w:line="360" w:lineRule="auto"/>
              <w:ind w:firstLine="480" w:firstLineChars="200"/>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本项目与重点管控单元准入清单的符合性分析见下表</w:t>
            </w:r>
          </w:p>
          <w:p w14:paraId="733BCD88">
            <w:pPr>
              <w:widowControl/>
              <w:numPr>
                <w:ilvl w:val="0"/>
                <w:numId w:val="5"/>
              </w:numPr>
              <w:spacing w:line="360" w:lineRule="auto"/>
              <w:ind w:left="425" w:leftChars="0" w:hanging="425" w:firstLineChars="0"/>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重点产业园区重点管控单元生态环境准入清单</w:t>
            </w:r>
          </w:p>
          <w:tbl>
            <w:tblPr>
              <w:tblStyle w:val="18"/>
              <w:tblW w:w="129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516"/>
              <w:gridCol w:w="4008"/>
              <w:gridCol w:w="677"/>
            </w:tblGrid>
            <w:tr w14:paraId="6B250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shd w:val="clear" w:color="auto" w:fill="auto"/>
                  <w:vAlign w:val="center"/>
                </w:tcPr>
                <w:p w14:paraId="5848E03A">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管控类别</w:t>
                  </w:r>
                </w:p>
              </w:tc>
              <w:tc>
                <w:tcPr>
                  <w:tcW w:w="7516" w:type="dxa"/>
                  <w:shd w:val="clear" w:color="auto" w:fill="auto"/>
                  <w:vAlign w:val="center"/>
                </w:tcPr>
                <w:p w14:paraId="7ECEFACA">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重点管控要求</w:t>
                  </w:r>
                </w:p>
              </w:tc>
              <w:tc>
                <w:tcPr>
                  <w:tcW w:w="4008" w:type="dxa"/>
                  <w:shd w:val="clear" w:color="auto" w:fill="auto"/>
                  <w:vAlign w:val="center"/>
                </w:tcPr>
                <w:p w14:paraId="657822E6">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本项目符合性</w:t>
                  </w:r>
                </w:p>
              </w:tc>
              <w:tc>
                <w:tcPr>
                  <w:tcW w:w="677" w:type="dxa"/>
                  <w:shd w:val="clear" w:color="auto" w:fill="auto"/>
                  <w:vAlign w:val="center"/>
                </w:tcPr>
                <w:p w14:paraId="4CDFB3C9">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是否</w:t>
                  </w:r>
                </w:p>
                <w:p w14:paraId="3D0104E1">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符合</w:t>
                  </w:r>
                </w:p>
              </w:tc>
            </w:tr>
            <w:tr w14:paraId="1B597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shd w:val="clear" w:color="auto" w:fill="auto"/>
                  <w:vAlign w:val="center"/>
                </w:tcPr>
                <w:p w14:paraId="06149349">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空间布局约束</w:t>
                  </w:r>
                </w:p>
              </w:tc>
              <w:tc>
                <w:tcPr>
                  <w:tcW w:w="7516" w:type="dxa"/>
                  <w:shd w:val="clear" w:color="auto" w:fill="auto"/>
                  <w:vAlign w:val="center"/>
                </w:tcPr>
                <w:p w14:paraId="5E63187B">
                  <w:pPr>
                    <w:pStyle w:val="8"/>
                    <w:numPr>
                      <w:ilvl w:val="0"/>
                      <w:numId w:val="18"/>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执行重点管控类（产业园区）生态环境总体准入清单和平原新城生态环境准入清单的空间布局约束准入要求。</w:t>
                  </w:r>
                </w:p>
                <w:p w14:paraId="1AAF1308">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执行《亦庄新城规划（国土空间规划）（2017年—2035年）》及园区规划，立足开发区高端产业的发展基础，持续做强电子信息、生物医药、装备产业、汽车产业的总装集成、系统集成、总部经济等高端业态，做精自动化程度高、集约度高、附加值高、科技含量高、资金密集型的非制造环节。</w:t>
                  </w:r>
                </w:p>
              </w:tc>
              <w:tc>
                <w:tcPr>
                  <w:tcW w:w="4008" w:type="dxa"/>
                  <w:shd w:val="clear" w:color="auto" w:fill="auto"/>
                  <w:vAlign w:val="center"/>
                </w:tcPr>
                <w:p w14:paraId="4979E668">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1.项目符合重点管控类（产业园区）生态环境总体准入清单和平原新城生态环境准入清单的空间布局约束准入要求。</w:t>
                  </w:r>
                </w:p>
                <w:p w14:paraId="64890F14">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2.本项目为附加值高、科技含量高、资金密集型的非制造</w:t>
                  </w:r>
                  <w:r>
                    <w:rPr>
                      <w:rFonts w:hint="default" w:ascii="Times New Roman" w:hAnsi="Times New Roman" w:eastAsia="宋体" w:cs="Times New Roman"/>
                      <w:sz w:val="21"/>
                      <w:szCs w:val="21"/>
                      <w:highlight w:val="none"/>
                      <w:lang w:val="en-US" w:eastAsia="zh-CN"/>
                    </w:rPr>
                    <w:t>研发项目</w:t>
                  </w:r>
                  <w:r>
                    <w:rPr>
                      <w:rFonts w:hint="default" w:ascii="Times New Roman" w:hAnsi="Times New Roman" w:eastAsia="宋体" w:cs="Times New Roman"/>
                      <w:sz w:val="21"/>
                      <w:szCs w:val="21"/>
                      <w:highlight w:val="none"/>
                    </w:rPr>
                    <w:t>，符合《亦庄新城规划（国土空间规划）（2017~2035年）》及其批复中相关要求。</w:t>
                  </w:r>
                </w:p>
              </w:tc>
              <w:tc>
                <w:tcPr>
                  <w:tcW w:w="677" w:type="dxa"/>
                  <w:shd w:val="clear" w:color="auto" w:fill="auto"/>
                  <w:vAlign w:val="center"/>
                </w:tcPr>
                <w:p w14:paraId="7914504C">
                  <w:pPr>
                    <w:pStyle w:val="8"/>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01438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shd w:val="clear" w:color="auto" w:fill="auto"/>
                  <w:vAlign w:val="center"/>
                </w:tcPr>
                <w:p w14:paraId="51806719">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污染物排放管控</w:t>
                  </w:r>
                </w:p>
              </w:tc>
              <w:tc>
                <w:tcPr>
                  <w:tcW w:w="7516" w:type="dxa"/>
                  <w:shd w:val="clear" w:color="auto" w:fill="auto"/>
                  <w:vAlign w:val="center"/>
                </w:tcPr>
                <w:p w14:paraId="46001B39">
                  <w:pPr>
                    <w:pStyle w:val="8"/>
                    <w:numPr>
                      <w:ilvl w:val="0"/>
                      <w:numId w:val="19"/>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执行重点管控类（产业园区）生态环境总体准入清单和平原新城生态环境准入清单的污染物排放管控准入要求。</w:t>
                  </w:r>
                </w:p>
                <w:p w14:paraId="0D213E30">
                  <w:pPr>
                    <w:pStyle w:val="8"/>
                    <w:numPr>
                      <w:ilvl w:val="0"/>
                      <w:numId w:val="19"/>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重点行业清洁生产水平达到相应行业清洁生产一级标准或国际先进水平。</w:t>
                  </w:r>
                </w:p>
                <w:p w14:paraId="4F5B812B">
                  <w:pPr>
                    <w:pStyle w:val="8"/>
                    <w:numPr>
                      <w:ilvl w:val="0"/>
                      <w:numId w:val="19"/>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新建燃气锅炉采用超低氮燃烧技术，NOx排放浓度控制在30mg/m</w:t>
                  </w:r>
                  <w:r>
                    <w:rPr>
                      <w:rFonts w:hint="default" w:ascii="Times New Roman" w:hAnsi="Times New Roman" w:eastAsia="宋体" w:cs="Times New Roman"/>
                      <w:sz w:val="21"/>
                      <w:szCs w:val="21"/>
                      <w:highlight w:val="none"/>
                      <w:vertAlign w:val="superscript"/>
                    </w:rPr>
                    <w:t>3</w:t>
                  </w:r>
                  <w:r>
                    <w:rPr>
                      <w:rFonts w:hint="default" w:ascii="Times New Roman" w:hAnsi="Times New Roman" w:eastAsia="宋体" w:cs="Times New Roman"/>
                      <w:sz w:val="21"/>
                      <w:szCs w:val="21"/>
                      <w:highlight w:val="none"/>
                    </w:rPr>
                    <w:t>内。在用燃气锅炉实施低氮燃烧技术改造或脱硝治理，NOx排放浓度控制在80mg/m</w:t>
                  </w:r>
                  <w:r>
                    <w:rPr>
                      <w:rFonts w:hint="default" w:ascii="Times New Roman" w:hAnsi="Times New Roman" w:eastAsia="宋体" w:cs="Times New Roman"/>
                      <w:sz w:val="21"/>
                      <w:szCs w:val="21"/>
                      <w:highlight w:val="none"/>
                      <w:vertAlign w:val="superscript"/>
                    </w:rPr>
                    <w:t>3</w:t>
                  </w:r>
                  <w:r>
                    <w:rPr>
                      <w:rFonts w:hint="default" w:ascii="Times New Roman" w:hAnsi="Times New Roman" w:eastAsia="宋体" w:cs="Times New Roman"/>
                      <w:sz w:val="21"/>
                      <w:szCs w:val="21"/>
                      <w:highlight w:val="none"/>
                    </w:rPr>
                    <w:t>以内。电子设备制造、汽车制造、包装印刷等行业推进单一活性炭吸附、光氧化及低温等离子等VOCs治理工艺改造，确保企业VOCs综合去除效率提升至60%以上。</w:t>
                  </w:r>
                </w:p>
                <w:p w14:paraId="04771E46">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4.加强污水治理，污水处理率达到100%。</w:t>
                  </w:r>
                </w:p>
              </w:tc>
              <w:tc>
                <w:tcPr>
                  <w:tcW w:w="4008" w:type="dxa"/>
                  <w:shd w:val="clear" w:color="auto" w:fill="auto"/>
                  <w:vAlign w:val="center"/>
                </w:tcPr>
                <w:p w14:paraId="68D11A20">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1.项目满足重点管控类（产业园区）生态环境总体准入清单和平原新城生态环境准入清单的污染物排放管控准入要求。</w:t>
                  </w:r>
                </w:p>
                <w:p w14:paraId="38E42E65">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2.本项目为</w:t>
                  </w:r>
                  <w:r>
                    <w:rPr>
                      <w:rFonts w:hint="default" w:ascii="Times New Roman" w:hAnsi="Times New Roman" w:eastAsia="宋体" w:cs="Times New Roman"/>
                      <w:sz w:val="21"/>
                      <w:szCs w:val="21"/>
                      <w:highlight w:val="none"/>
                      <w:lang w:val="en-US" w:eastAsia="zh-CN"/>
                    </w:rPr>
                    <w:t>研发</w:t>
                  </w:r>
                  <w:r>
                    <w:rPr>
                      <w:rFonts w:hint="default" w:ascii="Times New Roman" w:hAnsi="Times New Roman" w:eastAsia="宋体" w:cs="Times New Roman"/>
                      <w:sz w:val="21"/>
                      <w:szCs w:val="21"/>
                      <w:highlight w:val="none"/>
                    </w:rPr>
                    <w:t>项目，不属于重点行业。</w:t>
                  </w:r>
                </w:p>
                <w:p w14:paraId="24D49A55">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3.项目不涉及锅炉使用。项目不属于电子设备制造、汽车制造、包装印刷等行业。4.项目废水分类收集后排放，废水均能得到有效处理。</w:t>
                  </w:r>
                </w:p>
              </w:tc>
              <w:tc>
                <w:tcPr>
                  <w:tcW w:w="677" w:type="dxa"/>
                  <w:shd w:val="clear" w:color="auto" w:fill="auto"/>
                  <w:vAlign w:val="center"/>
                </w:tcPr>
                <w:p w14:paraId="0B3166DB">
                  <w:pPr>
                    <w:pStyle w:val="8"/>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10DBC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shd w:val="clear" w:color="auto" w:fill="auto"/>
                  <w:vAlign w:val="center"/>
                </w:tcPr>
                <w:p w14:paraId="169DC6C4">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环境</w:t>
                  </w:r>
                </w:p>
                <w:p w14:paraId="3DDF0B8C">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风险</w:t>
                  </w:r>
                </w:p>
                <w:p w14:paraId="30CABDA2">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防控</w:t>
                  </w:r>
                </w:p>
              </w:tc>
              <w:tc>
                <w:tcPr>
                  <w:tcW w:w="7516" w:type="dxa"/>
                  <w:shd w:val="clear" w:color="auto" w:fill="auto"/>
                  <w:vAlign w:val="center"/>
                </w:tcPr>
                <w:p w14:paraId="6CD9C1D2">
                  <w:pPr>
                    <w:pStyle w:val="8"/>
                    <w:numPr>
                      <w:ilvl w:val="0"/>
                      <w:numId w:val="20"/>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执行重点管控类（产业园区）生态环境总体准入清单和平原新城生态环境准入清单的环境风险防范准入要求。</w:t>
                  </w:r>
                </w:p>
                <w:p w14:paraId="78ED8A8C">
                  <w:pPr>
                    <w:pStyle w:val="8"/>
                    <w:numPr>
                      <w:ilvl w:val="0"/>
                      <w:numId w:val="20"/>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在居民区、学校、医疗和养老机构等敏感用地周边，优先规划土壤污染低风险用地。在土壤污染高风险用地周边，避免规划上述敏感用地，确需规划的，提前做好风险防控。督促土壤重点监管单位落实生产经营期间的排查、监测、报告等义务，严格落实设备设施拆除、用地用途变更等活动有关不动产登记及备案要求。</w:t>
                  </w:r>
                </w:p>
                <w:p w14:paraId="4BE92767">
                  <w:pPr>
                    <w:pStyle w:val="8"/>
                    <w:numPr>
                      <w:ilvl w:val="0"/>
                      <w:numId w:val="20"/>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工业企业新建、改建、扩建产生危险废物的建设项目，年度同一种类危险废物产生量超过5000吨的，应建设符合国家和本市有关标准的自行利用、处置设施，并纳入建设项目环境影响评价，与主体工程同时设计，同时施工，同时投入使用。</w:t>
                  </w:r>
                </w:p>
                <w:p w14:paraId="4A996EB6">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4.</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十四五</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无废规划指标：除半导体和汽车的其他重点行业，单位产值危险废物产生量降至1.1千克/万元以下；半导体行业≤5千克/万元或半导体行业12英寸，掩膜层数35层以上产品的单位产品一般工业固废产生量≤20千克/片；汽车行业单位产值一般工业固废产生量≤5千克/万元；汽车行业生产单台车危险废物产生量≤15千克/台，并持续下降；半导体行业12英寸，掩膜层数35层以上产品的单位产品危险废物产生量≤20千克/片，并持续下降；研究与</w:t>
                  </w:r>
                  <w:r>
                    <w:rPr>
                      <w:rFonts w:hint="default" w:ascii="Times New Roman" w:hAnsi="Times New Roman" w:eastAsia="宋体" w:cs="Times New Roman"/>
                      <w:sz w:val="21"/>
                      <w:szCs w:val="21"/>
                      <w:highlight w:val="none"/>
                      <w:lang w:eastAsia="zh-CN"/>
                    </w:rPr>
                    <w:t>实验</w:t>
                  </w:r>
                  <w:r>
                    <w:rPr>
                      <w:rFonts w:hint="default" w:ascii="Times New Roman" w:hAnsi="Times New Roman" w:eastAsia="宋体" w:cs="Times New Roman"/>
                      <w:sz w:val="21"/>
                      <w:szCs w:val="21"/>
                      <w:highlight w:val="none"/>
                    </w:rPr>
                    <w:t>发展业企业单位产值危险废物产生量降至1.1千克/万元以下，重点产废单位清洁生产审核覆盖率100%；新增企业单位产值一般工业固废产生量＜5千克/万元，单位产值危险废物产生量＜1千克/万元。半导体行业废酸资源化利用率＞50%。</w:t>
                  </w:r>
                </w:p>
              </w:tc>
              <w:tc>
                <w:tcPr>
                  <w:tcW w:w="4008" w:type="dxa"/>
                  <w:shd w:val="clear" w:color="auto" w:fill="auto"/>
                  <w:vAlign w:val="center"/>
                </w:tcPr>
                <w:p w14:paraId="7B392337">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1.项目满足重点管控类（产业园区）生态环境总体准入清单和平原新城生态环境准入清单的环境风险防范准入要求。</w:t>
                  </w:r>
                </w:p>
                <w:p w14:paraId="5A08F2C9">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2.本项目租用现有建筑物进行建设，不涉及新增占地。</w:t>
                  </w:r>
                </w:p>
                <w:p w14:paraId="2456E1F6">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3.本项目危险废物年产生量不到5000t/a，危险废物暂存于危废暂存间，定期委托有资质单位进行处置。</w:t>
                  </w:r>
                </w:p>
                <w:p w14:paraId="34276526">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4.项目符合</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十四五</w:t>
                  </w:r>
                  <w:r>
                    <w:rPr>
                      <w:rFonts w:hint="eastAsia"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无废规划指标中的要求。</w:t>
                  </w:r>
                </w:p>
              </w:tc>
              <w:tc>
                <w:tcPr>
                  <w:tcW w:w="677" w:type="dxa"/>
                  <w:shd w:val="clear" w:color="auto" w:fill="auto"/>
                  <w:vAlign w:val="center"/>
                </w:tcPr>
                <w:p w14:paraId="666020EB">
                  <w:pPr>
                    <w:pStyle w:val="8"/>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72AFD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shd w:val="clear" w:color="auto" w:fill="auto"/>
                  <w:vAlign w:val="center"/>
                </w:tcPr>
                <w:p w14:paraId="5A7FEFE1">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资源</w:t>
                  </w:r>
                </w:p>
                <w:p w14:paraId="792267CC">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利用</w:t>
                  </w:r>
                </w:p>
                <w:p w14:paraId="37F4EDE1">
                  <w:pPr>
                    <w:pStyle w:val="8"/>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效率</w:t>
                  </w:r>
                </w:p>
              </w:tc>
              <w:tc>
                <w:tcPr>
                  <w:tcW w:w="7516" w:type="dxa"/>
                  <w:shd w:val="clear" w:color="auto" w:fill="auto"/>
                  <w:vAlign w:val="center"/>
                </w:tcPr>
                <w:p w14:paraId="4A569273">
                  <w:pPr>
                    <w:pStyle w:val="8"/>
                    <w:numPr>
                      <w:ilvl w:val="0"/>
                      <w:numId w:val="21"/>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执行重点管控类（产业园区）生态环境总体准入清单和平原新城生态环境准入清单的资源利用效率准入要求。</w:t>
                  </w:r>
                </w:p>
                <w:p w14:paraId="763D2B14">
                  <w:pPr>
                    <w:pStyle w:val="8"/>
                    <w:numPr>
                      <w:ilvl w:val="0"/>
                      <w:numId w:val="21"/>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执行园区规划中相关资源利用管控要求，其中到2035年优质能源比重达到99％以上，新能源和可再生能源比重力争达到10％以上。创新能源利用和管理方式。</w:t>
                  </w:r>
                </w:p>
                <w:p w14:paraId="23AA8E49">
                  <w:pPr>
                    <w:pStyle w:val="8"/>
                    <w:numPr>
                      <w:ilvl w:val="0"/>
                      <w:numId w:val="21"/>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鼓励有条件企业建设内部再生水利用设施，满足不同用途和不同品质的再生水需求。加强废水深度处理和回用，年用水量1万m</w:t>
                  </w:r>
                  <w:r>
                    <w:rPr>
                      <w:rFonts w:hint="default" w:ascii="Times New Roman" w:hAnsi="Times New Roman" w:eastAsia="宋体" w:cs="Times New Roman"/>
                      <w:sz w:val="21"/>
                      <w:szCs w:val="21"/>
                      <w:highlight w:val="none"/>
                      <w:vertAlign w:val="superscript"/>
                    </w:rPr>
                    <w:t>3</w:t>
                  </w:r>
                  <w:r>
                    <w:rPr>
                      <w:rFonts w:hint="default" w:ascii="Times New Roman" w:hAnsi="Times New Roman" w:eastAsia="宋体" w:cs="Times New Roman"/>
                      <w:sz w:val="21"/>
                      <w:szCs w:val="21"/>
                      <w:highlight w:val="none"/>
                    </w:rPr>
                    <w:t>以上的工业企业实现用水计划管理全覆盖。</w:t>
                  </w:r>
                </w:p>
                <w:p w14:paraId="61214F46">
                  <w:pPr>
                    <w:pStyle w:val="8"/>
                    <w:numPr>
                      <w:ilvl w:val="0"/>
                      <w:numId w:val="21"/>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鼓励经开区内工业企业购买使用绿电，推动由天然气、外调电为主的清洁能源结构向低碳能源结构转变。</w:t>
                  </w:r>
                </w:p>
                <w:p w14:paraId="55EB1894">
                  <w:pPr>
                    <w:pStyle w:val="8"/>
                    <w:numPr>
                      <w:ilvl w:val="0"/>
                      <w:numId w:val="21"/>
                    </w:num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鼓励企业充分利用闲置厂房屋顶，或者办公楼屋顶，采用自发自用余电上网模式，安装分布式光伏设施；采用光伏建筑一体化技术，达到太阳能利用最大化。</w:t>
                  </w:r>
                </w:p>
                <w:p w14:paraId="371AD20A">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6.推进屋顶分布式光伏发电试点工作，试点区域内党政机关，学校、医院、村委会，工商业厂房及农户建筑屋顶总面积安装光伏发电比例分别不低于50%、40%、30%和20%。</w:t>
                  </w:r>
                </w:p>
              </w:tc>
              <w:tc>
                <w:tcPr>
                  <w:tcW w:w="4008" w:type="dxa"/>
                  <w:shd w:val="clear" w:color="auto" w:fill="auto"/>
                  <w:vAlign w:val="center"/>
                </w:tcPr>
                <w:p w14:paraId="1AF88F2B">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1.项目满足重点管控类（产业园区）生态环境总体准入清单和平原新城生态环境准入清单的资源利用效率准入要求。</w:t>
                  </w:r>
                </w:p>
                <w:p w14:paraId="4C992DAD">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2.本项目所用能源为水资源和电能，不涉及其他能源消耗。</w:t>
                  </w:r>
                </w:p>
                <w:p w14:paraId="2B7A2382">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3.本项目新鲜用水不到1万m</w:t>
                  </w:r>
                  <w:r>
                    <w:rPr>
                      <w:rFonts w:hint="default" w:ascii="Times New Roman" w:hAnsi="Times New Roman" w:eastAsia="宋体" w:cs="Times New Roman"/>
                      <w:sz w:val="21"/>
                      <w:szCs w:val="21"/>
                      <w:highlight w:val="none"/>
                      <w:vertAlign w:val="superscript"/>
                    </w:rPr>
                    <w:t>3</w:t>
                  </w:r>
                  <w:r>
                    <w:rPr>
                      <w:rFonts w:hint="default" w:ascii="Times New Roman" w:hAnsi="Times New Roman" w:eastAsia="宋体" w:cs="Times New Roman"/>
                      <w:sz w:val="21"/>
                      <w:szCs w:val="21"/>
                      <w:highlight w:val="none"/>
                    </w:rPr>
                    <w:t>/a。</w:t>
                  </w:r>
                </w:p>
                <w:p w14:paraId="07B10E04">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4.项目租用现有建筑物进行建设，用电依托市政电网。</w:t>
                  </w:r>
                </w:p>
                <w:p w14:paraId="2E73767D">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5.项目租用现有建筑物进行建设，用电依托市政电网。</w:t>
                  </w:r>
                </w:p>
                <w:p w14:paraId="1E955462">
                  <w:pPr>
                    <w:pStyle w:val="8"/>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6.项目租用现有建筑物进行建设，用电依托市政电网。</w:t>
                  </w:r>
                </w:p>
              </w:tc>
              <w:tc>
                <w:tcPr>
                  <w:tcW w:w="677" w:type="dxa"/>
                  <w:shd w:val="clear" w:color="auto" w:fill="auto"/>
                  <w:vAlign w:val="center"/>
                </w:tcPr>
                <w:p w14:paraId="61D2E534">
                  <w:pPr>
                    <w:pStyle w:val="8"/>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bl>
          <w:p w14:paraId="6011684F">
            <w:pPr>
              <w:rPr>
                <w:rFonts w:hint="default" w:ascii="Times New Roman" w:hAnsi="Times New Roman" w:eastAsia="宋体" w:cs="Times New Roman"/>
                <w:b/>
                <w:bCs/>
                <w:sz w:val="24"/>
                <w:highlight w:val="none"/>
              </w:rPr>
            </w:pPr>
          </w:p>
          <w:p w14:paraId="60EA09DC">
            <w:pPr>
              <w:pStyle w:val="8"/>
              <w:spacing w:line="360" w:lineRule="auto"/>
              <w:ind w:firstLine="480" w:firstLineChars="200"/>
              <w:rPr>
                <w:rFonts w:hint="default" w:ascii="Times New Roman" w:hAnsi="Times New Roman" w:eastAsia="宋体" w:cs="Times New Roman"/>
                <w:highlight w:val="none"/>
              </w:rPr>
            </w:pPr>
            <w:r>
              <w:rPr>
                <w:rFonts w:hint="default" w:ascii="Times New Roman" w:hAnsi="Times New Roman" w:eastAsia="宋体" w:cs="Times New Roman"/>
                <w:sz w:val="24"/>
                <w:highlight w:val="none"/>
              </w:rPr>
              <w:t>综上所述，本项目符合</w:t>
            </w:r>
            <w:r>
              <w:rPr>
                <w:rFonts w:hint="eastAsia"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三线一单</w:t>
            </w:r>
            <w:r>
              <w:rPr>
                <w:rFonts w:hint="eastAsia"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的准入</w:t>
            </w:r>
            <w:r>
              <w:rPr>
                <w:rFonts w:hint="default" w:ascii="Times New Roman" w:hAnsi="Times New Roman" w:eastAsia="宋体" w:cs="Times New Roman"/>
                <w:sz w:val="24"/>
                <w:highlight w:val="none"/>
                <w:lang w:val="en-US" w:eastAsia="zh-CN"/>
              </w:rPr>
              <w:t>要求</w:t>
            </w:r>
            <w:r>
              <w:rPr>
                <w:rFonts w:hint="default" w:ascii="Times New Roman" w:hAnsi="Times New Roman" w:eastAsia="宋体" w:cs="Times New Roman"/>
                <w:sz w:val="24"/>
                <w:highlight w:val="none"/>
              </w:rPr>
              <w:t>。</w:t>
            </w:r>
          </w:p>
        </w:tc>
      </w:tr>
    </w:tbl>
    <w:p w14:paraId="5F074AD7">
      <w:pPr>
        <w:pStyle w:val="8"/>
        <w:rPr>
          <w:rFonts w:hint="default" w:ascii="Times New Roman" w:hAnsi="Times New Roman" w:eastAsia="宋体" w:cs="Times New Roman"/>
          <w:highlight w:val="none"/>
        </w:rPr>
        <w:sectPr>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pPr>
    </w:p>
    <w:p w14:paraId="35CEF0F3">
      <w:pPr>
        <w:pStyle w:val="14"/>
        <w:adjustRightInd w:val="0"/>
        <w:snapToGrid w:val="0"/>
        <w:spacing w:before="0" w:beforeAutospacing="0" w:after="0" w:afterAutospacing="0" w:line="14" w:lineRule="auto"/>
        <w:jc w:val="center"/>
        <w:rPr>
          <w:rFonts w:hint="default" w:ascii="Times New Roman" w:hAnsi="Times New Roman" w:eastAsia="宋体" w:cs="Times New Roman"/>
          <w:snapToGrid w:val="0"/>
          <w:sz w:val="36"/>
          <w:szCs w:val="36"/>
          <w:highlight w:val="none"/>
        </w:rPr>
      </w:pPr>
    </w:p>
    <w:p w14:paraId="5EFE61C2">
      <w:pPr>
        <w:pStyle w:val="14"/>
        <w:jc w:val="center"/>
        <w:outlineLvl w:val="0"/>
        <w:rPr>
          <w:rFonts w:hint="default" w:ascii="Times New Roman" w:hAnsi="Times New Roman" w:eastAsia="宋体" w:cs="Times New Roman"/>
          <w:snapToGrid w:val="0"/>
          <w:sz w:val="36"/>
          <w:szCs w:val="36"/>
          <w:highlight w:val="none"/>
        </w:rPr>
      </w:pPr>
      <w:r>
        <w:rPr>
          <w:rFonts w:hint="default" w:ascii="Times New Roman" w:hAnsi="Times New Roman" w:eastAsia="宋体" w:cs="Times New Roman"/>
          <w:snapToGrid w:val="0"/>
          <w:sz w:val="36"/>
          <w:szCs w:val="36"/>
          <w:highlight w:val="none"/>
        </w:rPr>
        <w:t>二、建设项目工程分析</w:t>
      </w:r>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18"/>
        <w:gridCol w:w="8166"/>
      </w:tblGrid>
      <w:tr w14:paraId="1DBCD0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8" w:type="dxa"/>
            <w:vAlign w:val="center"/>
          </w:tcPr>
          <w:p w14:paraId="5FF93441">
            <w:pPr>
              <w:pStyle w:val="14"/>
              <w:adjustRightInd w:val="0"/>
              <w:snapToGrid w:val="0"/>
              <w:spacing w:before="0" w:beforeAutospacing="0" w:after="0" w:afterAutospacing="0"/>
              <w:jc w:val="center"/>
              <w:rPr>
                <w:rFonts w:hint="default" w:ascii="Times New Roman" w:hAnsi="Times New Roman" w:eastAsia="宋体" w:cs="Times New Roman"/>
                <w:szCs w:val="24"/>
                <w:highlight w:val="none"/>
              </w:rPr>
            </w:pPr>
            <w:r>
              <w:rPr>
                <w:rFonts w:hint="default" w:ascii="Times New Roman" w:hAnsi="Times New Roman" w:eastAsia="宋体" w:cs="Times New Roman"/>
                <w:szCs w:val="24"/>
                <w:highlight w:val="none"/>
              </w:rPr>
              <w:t>建设内容</w:t>
            </w:r>
          </w:p>
        </w:tc>
        <w:tc>
          <w:tcPr>
            <w:tcW w:w="8166" w:type="dxa"/>
          </w:tcPr>
          <w:p w14:paraId="76568737">
            <w:pPr>
              <w:numPr>
                <w:ilvl w:val="0"/>
                <w:numId w:val="22"/>
              </w:numPr>
              <w:tabs>
                <w:tab w:val="left" w:pos="0"/>
              </w:tabs>
              <w:adjustRightInd w:val="0"/>
              <w:snapToGrid w:val="0"/>
              <w:spacing w:line="360" w:lineRule="auto"/>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项目由来</w:t>
            </w:r>
          </w:p>
          <w:p w14:paraId="1E1FD65F">
            <w:pPr>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中信金属股份有限公司（证券代码：601061）是中国中信集团的全资一级子公司，经营范围包括钢铁、有色金属及相关行业的技术开发、技术转让等。公司注册地为北京市朝阳区京城大厦19层，公司新成立的旗下一级部门中信金属先进材料研究院，从事铌微合金化技术应用、先进材料研发、技术合作与技术推广。为增强科技创新能力，紧扣国家</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双碳</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战略、新能源产业升级等重大需求，公司租用北京经济技术开发区康定街15号前沿科技创新空港金田加速区5号楼1-2层，拟投资建设中信金属先进材料研究院装修项目，从事金属材料实验、纳米晶体材料实验、电池材料实验、仿真模拟实验等研发，项目建成后年研发实验约600次。</w:t>
            </w:r>
          </w:p>
          <w:p w14:paraId="37400B16">
            <w:pPr>
              <w:numPr>
                <w:ilvl w:val="0"/>
                <w:numId w:val="22"/>
              </w:numPr>
              <w:tabs>
                <w:tab w:val="left" w:pos="0"/>
              </w:tabs>
              <w:adjustRightInd w:val="0"/>
              <w:snapToGrid w:val="0"/>
              <w:spacing w:line="360" w:lineRule="auto"/>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lang w:val="en-US" w:eastAsia="zh-CN"/>
              </w:rPr>
              <w:t>项目概况</w:t>
            </w:r>
          </w:p>
          <w:p w14:paraId="175CC02F">
            <w:pPr>
              <w:widowControl/>
              <w:spacing w:line="360" w:lineRule="auto"/>
              <w:ind w:firstLine="480" w:firstLineChars="200"/>
              <w:jc w:val="left"/>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1、项目名称</w:t>
            </w: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sz w:val="24"/>
                <w:highlight w:val="none"/>
                <w:lang w:val="en-US" w:eastAsia="zh-CN"/>
              </w:rPr>
              <w:t>中信金属先进材料研究院装修项目</w:t>
            </w:r>
            <w:r>
              <w:rPr>
                <w:rFonts w:hint="default" w:ascii="Times New Roman" w:hAnsi="Times New Roman" w:eastAsia="宋体" w:cs="Times New Roman"/>
                <w:bCs/>
                <w:sz w:val="24"/>
                <w:highlight w:val="none"/>
              </w:rPr>
              <w:t>。</w:t>
            </w:r>
          </w:p>
          <w:p w14:paraId="26AC3150">
            <w:pPr>
              <w:widowControl/>
              <w:spacing w:line="360" w:lineRule="auto"/>
              <w:ind w:firstLine="480" w:firstLineChars="200"/>
              <w:jc w:val="left"/>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2、建设单位</w:t>
            </w: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sz w:val="24"/>
                <w:highlight w:val="none"/>
                <w:lang w:val="en-US" w:eastAsia="zh-CN"/>
              </w:rPr>
              <w:t>中信金属股份有限公司</w:t>
            </w:r>
            <w:r>
              <w:rPr>
                <w:rFonts w:hint="default" w:ascii="Times New Roman" w:hAnsi="Times New Roman" w:eastAsia="宋体" w:cs="Times New Roman"/>
                <w:bCs/>
                <w:sz w:val="24"/>
                <w:highlight w:val="none"/>
              </w:rPr>
              <w:t>。</w:t>
            </w:r>
          </w:p>
          <w:p w14:paraId="36F643E9">
            <w:pPr>
              <w:widowControl/>
              <w:spacing w:line="360" w:lineRule="auto"/>
              <w:ind w:firstLine="480" w:firstLineChars="200"/>
              <w:jc w:val="left"/>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3、建设地点</w:t>
            </w: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sz w:val="24"/>
                <w:highlight w:val="none"/>
                <w:lang w:val="en-US" w:eastAsia="zh-CN"/>
              </w:rPr>
              <w:t>北京经济技术开发区康定街15号，前沿科技创新空港金田加速区5号楼1-2层</w:t>
            </w:r>
            <w:r>
              <w:rPr>
                <w:rFonts w:hint="default" w:ascii="Times New Roman" w:hAnsi="Times New Roman" w:eastAsia="宋体" w:cs="Times New Roman"/>
                <w:bCs/>
                <w:sz w:val="24"/>
                <w:highlight w:val="none"/>
              </w:rPr>
              <w:t>。</w:t>
            </w:r>
          </w:p>
          <w:p w14:paraId="743DF986">
            <w:pPr>
              <w:widowControl/>
              <w:spacing w:line="360" w:lineRule="auto"/>
              <w:ind w:firstLine="480" w:firstLineChars="200"/>
              <w:jc w:val="left"/>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4、建筑面积：2713.67m</w:t>
            </w:r>
            <w:r>
              <w:rPr>
                <w:rFonts w:hint="default" w:ascii="Times New Roman" w:hAnsi="Times New Roman" w:eastAsia="宋体" w:cs="Times New Roman"/>
                <w:sz w:val="24"/>
                <w:highlight w:val="none"/>
                <w:vertAlign w:val="superscript"/>
                <w:lang w:val="en-US" w:eastAsia="zh-CN"/>
              </w:rPr>
              <w:t>2</w:t>
            </w:r>
            <w:r>
              <w:rPr>
                <w:rFonts w:hint="default" w:ascii="Times New Roman" w:hAnsi="Times New Roman" w:eastAsia="宋体" w:cs="Times New Roman"/>
                <w:sz w:val="24"/>
                <w:highlight w:val="none"/>
                <w:lang w:val="en-US" w:eastAsia="zh-CN"/>
              </w:rPr>
              <w:t>。</w:t>
            </w:r>
          </w:p>
          <w:p w14:paraId="6CBC54A5">
            <w:pPr>
              <w:numPr>
                <w:ilvl w:val="0"/>
                <w:numId w:val="22"/>
              </w:numPr>
              <w:tabs>
                <w:tab w:val="left" w:pos="0"/>
              </w:tabs>
              <w:adjustRightInd w:val="0"/>
              <w:snapToGrid w:val="0"/>
              <w:spacing w:line="360" w:lineRule="auto"/>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编制依据</w:t>
            </w:r>
          </w:p>
          <w:p w14:paraId="747B48F6">
            <w:pPr>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据《〈建设项目环境影响评价分类管理名录〉北京市实施细化规定（2022 年本）》，</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四十五、研究和实验发展</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中</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98 专业实验室、研发（实验）基地</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，其中：</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P3、P4 生物安全实验室、转基因实验室</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应编制环境影响报告书，</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其他（不产生实验废气、废水、危险废物的除外）</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应编制环境影响报告表。本项目为研发实验室项目，不涉及中试及以上规模的研发实验，不涉及 P3、P4 生物安全实验室、转基因实验室，但实验过程会产生废气及危险废物，因此属于</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其他（不产生实验废气、废水、危险废物的除外）</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，应编制环境影响报告表。</w:t>
            </w:r>
          </w:p>
          <w:p w14:paraId="583EA99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sz w:val="24"/>
                <w:highlight w:val="none"/>
                <w:lang w:val="en-US" w:eastAsia="zh-CN"/>
              </w:rPr>
            </w:pPr>
            <w:r>
              <w:rPr>
                <w:rFonts w:hint="eastAsia" w:cs="Times New Roman" w:eastAsiaTheme="minorEastAsia"/>
                <w:b w:val="0"/>
                <w:bCs w:val="0"/>
                <w:color w:val="auto"/>
                <w:sz w:val="24"/>
                <w:highlight w:val="none"/>
                <w:lang w:val="en-US" w:eastAsia="zh-CN"/>
              </w:rPr>
              <w:t>项目涉及辐射装置使用的，应另行申报相关审批手续。</w:t>
            </w:r>
          </w:p>
          <w:p w14:paraId="3597A069">
            <w:pPr>
              <w:numPr>
                <w:ilvl w:val="0"/>
                <w:numId w:val="22"/>
              </w:numPr>
              <w:tabs>
                <w:tab w:val="left" w:pos="0"/>
              </w:tabs>
              <w:adjustRightInd w:val="0"/>
              <w:snapToGrid w:val="0"/>
              <w:spacing w:line="360" w:lineRule="auto"/>
              <w:rPr>
                <w:rFonts w:hint="default" w:ascii="Times New Roman" w:hAnsi="Times New Roman" w:eastAsia="宋体" w:cs="Times New Roman"/>
                <w:b/>
                <w:bCs/>
                <w:sz w:val="24"/>
                <w:highlight w:val="none"/>
                <w:lang w:val="en-US" w:eastAsia="zh-CN"/>
              </w:rPr>
            </w:pPr>
            <w:r>
              <w:rPr>
                <w:rFonts w:hint="eastAsia" w:ascii="Times New Roman" w:hAnsi="Times New Roman" w:eastAsia="宋体" w:cs="Times New Roman"/>
                <w:b/>
                <w:bCs/>
                <w:sz w:val="24"/>
                <w:highlight w:val="none"/>
                <w:lang w:val="en-US" w:eastAsia="zh-CN"/>
              </w:rPr>
              <w:t>建设内容</w:t>
            </w:r>
          </w:p>
          <w:p w14:paraId="04F8DA1B">
            <w:pPr>
              <w:adjustRightInd w:val="0"/>
              <w:snapToGrid w:val="0"/>
              <w:spacing w:line="360" w:lineRule="auto"/>
              <w:ind w:firstLine="360" w:firstLineChars="15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本项目建设内容详见下表。</w:t>
            </w:r>
          </w:p>
          <w:p w14:paraId="59D3FEC5">
            <w:pPr>
              <w:numPr>
                <w:ilvl w:val="0"/>
                <w:numId w:val="23"/>
              </w:numPr>
              <w:spacing w:line="360" w:lineRule="auto"/>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项目建设内容一览表</w:t>
            </w:r>
          </w:p>
          <w:tbl>
            <w:tblPr>
              <w:tblStyle w:val="17"/>
              <w:tblW w:w="8041"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2"/>
              <w:gridCol w:w="659"/>
              <w:gridCol w:w="1391"/>
              <w:gridCol w:w="4637"/>
              <w:gridCol w:w="702"/>
            </w:tblGrid>
            <w:tr w14:paraId="3715042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tcBorders>
                    <w:tl2br w:val="nil"/>
                    <w:tr2bl w:val="nil"/>
                  </w:tcBorders>
                  <w:vAlign w:val="center"/>
                </w:tcPr>
                <w:p w14:paraId="34E1B7EA">
                  <w:pPr>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序号</w:t>
                  </w:r>
                </w:p>
              </w:tc>
              <w:tc>
                <w:tcPr>
                  <w:tcW w:w="659" w:type="dxa"/>
                  <w:tcBorders>
                    <w:tl2br w:val="nil"/>
                    <w:tr2bl w:val="nil"/>
                  </w:tcBorders>
                  <w:vAlign w:val="center"/>
                </w:tcPr>
                <w:p w14:paraId="52595882">
                  <w:pPr>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类别</w:t>
                  </w:r>
                </w:p>
              </w:tc>
              <w:tc>
                <w:tcPr>
                  <w:tcW w:w="1391" w:type="dxa"/>
                  <w:tcBorders>
                    <w:tl2br w:val="nil"/>
                    <w:tr2bl w:val="nil"/>
                  </w:tcBorders>
                  <w:vAlign w:val="center"/>
                </w:tcPr>
                <w:p w14:paraId="48A55E86">
                  <w:pPr>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单元</w:t>
                  </w:r>
                </w:p>
              </w:tc>
              <w:tc>
                <w:tcPr>
                  <w:tcW w:w="4637" w:type="dxa"/>
                  <w:tcBorders>
                    <w:tl2br w:val="nil"/>
                    <w:tr2bl w:val="nil"/>
                  </w:tcBorders>
                  <w:vAlign w:val="center"/>
                </w:tcPr>
                <w:p w14:paraId="0B2818B8">
                  <w:pPr>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建设情况</w:t>
                  </w:r>
                </w:p>
              </w:tc>
              <w:tc>
                <w:tcPr>
                  <w:tcW w:w="702" w:type="dxa"/>
                  <w:tcBorders>
                    <w:tl2br w:val="nil"/>
                    <w:tr2bl w:val="nil"/>
                  </w:tcBorders>
                  <w:vAlign w:val="center"/>
                </w:tcPr>
                <w:p w14:paraId="1C48FCC0">
                  <w:pPr>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备注</w:t>
                  </w:r>
                </w:p>
              </w:tc>
            </w:tr>
            <w:tr w14:paraId="551F28B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652" w:type="dxa"/>
                  <w:tcBorders>
                    <w:tl2br w:val="nil"/>
                    <w:tr2bl w:val="nil"/>
                  </w:tcBorders>
                  <w:vAlign w:val="center"/>
                </w:tcPr>
                <w:p w14:paraId="3C4E158E">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restart"/>
                  <w:tcBorders>
                    <w:tl2br w:val="nil"/>
                    <w:tr2bl w:val="nil"/>
                  </w:tcBorders>
                  <w:vAlign w:val="center"/>
                </w:tcPr>
                <w:p w14:paraId="1A9DAEF2">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主体工程</w:t>
                  </w:r>
                </w:p>
              </w:tc>
              <w:tc>
                <w:tcPr>
                  <w:tcW w:w="1391" w:type="dxa"/>
                  <w:tcBorders>
                    <w:tl2br w:val="nil"/>
                    <w:tr2bl w:val="nil"/>
                  </w:tcBorders>
                  <w:vAlign w:val="center"/>
                </w:tcPr>
                <w:p w14:paraId="1E493C01">
                  <w:pPr>
                    <w:adjustRightInd w:val="0"/>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金属材料</w:t>
                  </w:r>
                </w:p>
                <w:p w14:paraId="2E4D42E5">
                  <w:pPr>
                    <w:adjustRightInd w:val="0"/>
                    <w:snapToGrid w:val="0"/>
                    <w:jc w:val="center"/>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lang w:val="en-US" w:eastAsia="zh-CN"/>
                    </w:rPr>
                    <w:t>实验</w:t>
                  </w:r>
                </w:p>
              </w:tc>
              <w:tc>
                <w:tcPr>
                  <w:tcW w:w="4637" w:type="dxa"/>
                  <w:tcBorders>
                    <w:tl2br w:val="nil"/>
                    <w:tr2bl w:val="nil"/>
                  </w:tcBorders>
                  <w:vAlign w:val="center"/>
                </w:tcPr>
                <w:p w14:paraId="6104CC13">
                  <w:pPr>
                    <w:adjustRightInd w:val="0"/>
                    <w:snapToGrid w:val="0"/>
                    <w:rPr>
                      <w:rFonts w:hint="default" w:ascii="Times New Roman" w:hAnsi="Times New Roman" w:eastAsia="宋体" w:cs="Times New Roman"/>
                      <w:lang w:val="en-US" w:eastAsia="zh-CN"/>
                    </w:rPr>
                  </w:pPr>
                  <w:r>
                    <w:rPr>
                      <w:rFonts w:hint="default" w:ascii="Times New Roman" w:hAnsi="Times New Roman" w:eastAsia="宋体" w:cs="Times New Roman"/>
                      <w:szCs w:val="21"/>
                      <w:highlight w:val="none"/>
                      <w:vertAlign w:val="baseline"/>
                      <w:lang w:val="en-US" w:eastAsia="zh-CN"/>
                    </w:rPr>
                    <w:t>分别建设：冶炼和热处理室100.98</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val="en-US" w:eastAsia="zh-CN"/>
                    </w:rPr>
                    <w:t>、</w:t>
                  </w:r>
                  <w:r>
                    <w:rPr>
                      <w:rFonts w:hint="eastAsia" w:cs="Times New Roman"/>
                      <w:szCs w:val="21"/>
                      <w:highlight w:val="none"/>
                      <w:vertAlign w:val="baseline"/>
                      <w:lang w:val="en-US" w:eastAsia="zh-CN"/>
                    </w:rPr>
                    <w:t>模拟实验室53.95</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val="en-US" w:eastAsia="zh-CN"/>
                    </w:rPr>
                    <w:t>、成品检测室24.99</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val="en-US" w:eastAsia="zh-CN"/>
                    </w:rPr>
                    <w:t>、金属样品制备室51.25</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val="en-US" w:eastAsia="zh-CN"/>
                    </w:rPr>
                    <w:t>、力学+试样配件存放室44.63</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val="en-US" w:eastAsia="zh-CN"/>
                    </w:rPr>
                    <w:t>、SEM室37.14</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val="en-US" w:eastAsia="zh-CN"/>
                    </w:rPr>
                    <w:t>、FIB室23.68</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val="en-US" w:eastAsia="zh-CN"/>
                    </w:rPr>
                    <w:t>、XRD室22.28</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lang w:eastAsia="zh-CN"/>
                    </w:rPr>
                    <w:t>。</w:t>
                  </w:r>
                </w:p>
              </w:tc>
              <w:tc>
                <w:tcPr>
                  <w:tcW w:w="702" w:type="dxa"/>
                  <w:vMerge w:val="restart"/>
                  <w:tcBorders>
                    <w:tl2br w:val="nil"/>
                    <w:tr2bl w:val="nil"/>
                  </w:tcBorders>
                  <w:vAlign w:val="center"/>
                </w:tcPr>
                <w:p w14:paraId="1D7CBB03">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新建</w:t>
                  </w:r>
                </w:p>
              </w:tc>
            </w:tr>
            <w:tr w14:paraId="3FE2BD0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tcBorders>
                    <w:tl2br w:val="nil"/>
                    <w:tr2bl w:val="nil"/>
                  </w:tcBorders>
                  <w:vAlign w:val="center"/>
                </w:tcPr>
                <w:p w14:paraId="7C876AA6">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0D700D24">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vAlign w:val="center"/>
                </w:tcPr>
                <w:p w14:paraId="1A9E3EC9">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电池材料</w:t>
                  </w:r>
                </w:p>
                <w:p w14:paraId="068F2CCA">
                  <w:pPr>
                    <w:adjustRightInd w:val="0"/>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rPr>
                    <w:t>研究</w:t>
                  </w:r>
                </w:p>
              </w:tc>
              <w:tc>
                <w:tcPr>
                  <w:tcW w:w="4637" w:type="dxa"/>
                  <w:tcBorders>
                    <w:tl2br w:val="nil"/>
                    <w:tr2bl w:val="nil"/>
                  </w:tcBorders>
                  <w:vAlign w:val="center"/>
                </w:tcPr>
                <w:p w14:paraId="15F1F1A1">
                  <w:pPr>
                    <w:adjustRightInd w:val="0"/>
                    <w:snapToGrid w:val="0"/>
                    <w:rPr>
                      <w:rFonts w:hint="default" w:ascii="Times New Roman" w:hAnsi="Times New Roman" w:eastAsia="宋体" w:cs="Times New Roman"/>
                      <w:lang w:eastAsia="zh-CN"/>
                    </w:rPr>
                  </w:pPr>
                  <w:r>
                    <w:rPr>
                      <w:rFonts w:hint="default" w:ascii="Times New Roman" w:hAnsi="Times New Roman" w:eastAsia="宋体" w:cs="Times New Roman"/>
                      <w:szCs w:val="21"/>
                      <w:highlight w:val="none"/>
                      <w:vertAlign w:val="baseline"/>
                      <w:lang w:val="en-US" w:eastAsia="zh-CN"/>
                    </w:rPr>
                    <w:t>分别建设：</w:t>
                  </w:r>
                  <w:r>
                    <w:rPr>
                      <w:rFonts w:hint="eastAsia" w:cs="Times New Roman"/>
                      <w:szCs w:val="21"/>
                      <w:highlight w:val="none"/>
                      <w:vertAlign w:val="baseline"/>
                      <w:lang w:val="en-US" w:eastAsia="zh-CN"/>
                    </w:rPr>
                    <w:t>铌源</w:t>
                  </w:r>
                  <w:r>
                    <w:rPr>
                      <w:rFonts w:hint="default" w:ascii="Times New Roman" w:hAnsi="Times New Roman" w:eastAsia="宋体" w:cs="Times New Roman"/>
                      <w:szCs w:val="21"/>
                      <w:highlight w:val="none"/>
                      <w:vertAlign w:val="baseline"/>
                      <w:lang w:val="en-US" w:eastAsia="zh-CN"/>
                    </w:rPr>
                    <w:t>前驱体制备室42.11</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val="en-US" w:eastAsia="zh-CN"/>
                    </w:rPr>
                    <w:t>、</w:t>
                  </w:r>
                  <w:r>
                    <w:rPr>
                      <w:rFonts w:hint="eastAsia" w:cs="Times New Roman"/>
                      <w:szCs w:val="21"/>
                      <w:highlight w:val="none"/>
                      <w:vertAlign w:val="baseline"/>
                      <w:lang w:val="en-US" w:eastAsia="zh-CN"/>
                    </w:rPr>
                    <w:t>烧结室19.45</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val="en-US" w:eastAsia="zh-CN"/>
                    </w:rPr>
                    <w:t>、物性分析间40.82</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val="en-US" w:eastAsia="zh-CN"/>
                    </w:rPr>
                    <w:t>、混料间</w:t>
                  </w:r>
                  <w:r>
                    <w:rPr>
                      <w:rFonts w:hint="eastAsia" w:cs="Times New Roman"/>
                      <w:szCs w:val="21"/>
                      <w:highlight w:val="none"/>
                      <w:vertAlign w:val="baseline"/>
                      <w:lang w:val="en-US" w:eastAsia="zh-CN"/>
                    </w:rPr>
                    <w:t>+材料制备间</w:t>
                  </w:r>
                  <w:r>
                    <w:rPr>
                      <w:rFonts w:hint="default" w:ascii="Times New Roman" w:hAnsi="Times New Roman" w:eastAsia="宋体" w:cs="Times New Roman"/>
                      <w:szCs w:val="21"/>
                      <w:highlight w:val="none"/>
                      <w:vertAlign w:val="baseline"/>
                      <w:lang w:val="en-US" w:eastAsia="zh-CN"/>
                    </w:rPr>
                    <w:t>67.62</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val="en-US" w:eastAsia="zh-CN"/>
                    </w:rPr>
                    <w:t>、扣电制备间35.73</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eastAsia" w:cs="Times New Roman"/>
                      <w:szCs w:val="21"/>
                      <w:highlight w:val="none"/>
                      <w:vertAlign w:val="baseline"/>
                      <w:lang w:eastAsia="zh-CN"/>
                    </w:rPr>
                    <w:t>、</w:t>
                  </w:r>
                  <w:r>
                    <w:rPr>
                      <w:rFonts w:hint="eastAsia" w:cs="Times New Roman"/>
                      <w:szCs w:val="21"/>
                      <w:highlight w:val="none"/>
                      <w:vertAlign w:val="baseline"/>
                      <w:lang w:val="en-US" w:eastAsia="zh-CN"/>
                    </w:rPr>
                    <w:t>电芯测试间23</w:t>
                  </w:r>
                  <w:r>
                    <w:rPr>
                      <w:rFonts w:hint="default" w:ascii="Times New Roman" w:hAnsi="Times New Roman" w:eastAsia="宋体" w:cs="Times New Roman"/>
                      <w:szCs w:val="21"/>
                      <w:highlight w:val="none"/>
                      <w:vertAlign w:val="baseline"/>
                      <w:lang w:val="en-US" w:eastAsia="zh-CN"/>
                    </w:rPr>
                    <w:t>.</w:t>
                  </w:r>
                  <w:r>
                    <w:rPr>
                      <w:rFonts w:hint="eastAsia" w:cs="Times New Roman"/>
                      <w:szCs w:val="21"/>
                      <w:highlight w:val="none"/>
                      <w:vertAlign w:val="baseline"/>
                      <w:lang w:val="en-US" w:eastAsia="zh-CN"/>
                    </w:rPr>
                    <w:t>81</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eastAsia" w:cs="Times New Roman"/>
                      <w:lang w:eastAsia="zh-CN"/>
                    </w:rPr>
                    <w:t>、</w:t>
                  </w:r>
                  <w:r>
                    <w:rPr>
                      <w:rFonts w:hint="eastAsia" w:cs="Times New Roman"/>
                      <w:lang w:val="en-US" w:eastAsia="zh-CN"/>
                    </w:rPr>
                    <w:t>干房主体</w:t>
                  </w:r>
                  <w:r>
                    <w:rPr>
                      <w:rFonts w:hint="eastAsia" w:cs="Times New Roman"/>
                      <w:szCs w:val="21"/>
                      <w:highlight w:val="none"/>
                      <w:vertAlign w:val="baseline"/>
                      <w:lang w:val="en-US" w:eastAsia="zh-CN"/>
                    </w:rPr>
                    <w:t>19.37</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lang w:eastAsia="zh-CN"/>
                    </w:rPr>
                    <w:t>。</w:t>
                  </w:r>
                </w:p>
              </w:tc>
              <w:tc>
                <w:tcPr>
                  <w:tcW w:w="702" w:type="dxa"/>
                  <w:vMerge w:val="continue"/>
                  <w:tcBorders>
                    <w:tl2br w:val="nil"/>
                    <w:tr2bl w:val="nil"/>
                  </w:tcBorders>
                  <w:vAlign w:val="center"/>
                </w:tcPr>
                <w:p w14:paraId="201B5C4A">
                  <w:pPr>
                    <w:adjustRightInd w:val="0"/>
                    <w:snapToGrid w:val="0"/>
                    <w:jc w:val="center"/>
                    <w:rPr>
                      <w:rFonts w:hint="default" w:ascii="Times New Roman" w:hAnsi="Times New Roman" w:eastAsia="宋体" w:cs="Times New Roman"/>
                      <w:szCs w:val="21"/>
                      <w:highlight w:val="none"/>
                    </w:rPr>
                  </w:pPr>
                </w:p>
              </w:tc>
            </w:tr>
            <w:tr w14:paraId="36D7714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652" w:type="dxa"/>
                  <w:tcBorders>
                    <w:tl2br w:val="nil"/>
                    <w:tr2bl w:val="nil"/>
                  </w:tcBorders>
                  <w:vAlign w:val="center"/>
                </w:tcPr>
                <w:p w14:paraId="449388E4">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09A2CB85">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vAlign w:val="center"/>
                </w:tcPr>
                <w:p w14:paraId="78B963A4">
                  <w:pPr>
                    <w:adjustRightInd w:val="0"/>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纳米晶体材料实验</w:t>
                  </w:r>
                </w:p>
              </w:tc>
              <w:tc>
                <w:tcPr>
                  <w:tcW w:w="4637" w:type="dxa"/>
                  <w:tcBorders>
                    <w:tl2br w:val="nil"/>
                    <w:tr2bl w:val="nil"/>
                  </w:tcBorders>
                  <w:vAlign w:val="center"/>
                </w:tcPr>
                <w:p w14:paraId="3EE31628">
                  <w:pPr>
                    <w:adjustRightInd w:val="0"/>
                    <w:snapToGrid w:val="0"/>
                    <w:rPr>
                      <w:rFonts w:hint="default" w:ascii="Times New Roman" w:hAnsi="Times New Roman" w:eastAsia="宋体" w:cs="Times New Roman"/>
                      <w:lang w:eastAsia="zh-CN"/>
                    </w:rPr>
                  </w:pPr>
                  <w:r>
                    <w:rPr>
                      <w:rFonts w:hint="default" w:ascii="Times New Roman" w:hAnsi="Times New Roman" w:eastAsia="宋体" w:cs="Times New Roman"/>
                      <w:szCs w:val="21"/>
                      <w:highlight w:val="none"/>
                      <w:vertAlign w:val="baseline"/>
                      <w:lang w:val="en-US" w:eastAsia="zh-CN"/>
                    </w:rPr>
                    <w:t>分别建设：纳米晶磁性能测试室67.04</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val="en-US" w:eastAsia="zh-CN"/>
                    </w:rPr>
                    <w:t>、纳米晶样制备室59.59</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lang w:eastAsia="zh-CN"/>
                    </w:rPr>
                    <w:t>。</w:t>
                  </w:r>
                </w:p>
              </w:tc>
              <w:tc>
                <w:tcPr>
                  <w:tcW w:w="702" w:type="dxa"/>
                  <w:vMerge w:val="continue"/>
                  <w:tcBorders>
                    <w:tl2br w:val="nil"/>
                    <w:tr2bl w:val="nil"/>
                  </w:tcBorders>
                  <w:vAlign w:val="center"/>
                </w:tcPr>
                <w:p w14:paraId="1A230267">
                  <w:pPr>
                    <w:adjustRightInd w:val="0"/>
                    <w:snapToGrid w:val="0"/>
                    <w:jc w:val="center"/>
                    <w:rPr>
                      <w:rFonts w:hint="default" w:ascii="Times New Roman" w:hAnsi="Times New Roman" w:eastAsia="宋体" w:cs="Times New Roman"/>
                      <w:szCs w:val="21"/>
                      <w:highlight w:val="none"/>
                    </w:rPr>
                  </w:pPr>
                </w:p>
              </w:tc>
            </w:tr>
            <w:tr w14:paraId="1CECB85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652" w:type="dxa"/>
                  <w:tcBorders>
                    <w:tl2br w:val="nil"/>
                    <w:tr2bl w:val="nil"/>
                  </w:tcBorders>
                  <w:vAlign w:val="center"/>
                </w:tcPr>
                <w:p w14:paraId="4FCAA9CE">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36B274B5">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vAlign w:val="center"/>
                </w:tcPr>
                <w:p w14:paraId="43FDE993">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仿真模拟</w:t>
                  </w:r>
                </w:p>
                <w:p w14:paraId="75DF5C64">
                  <w:pPr>
                    <w:adjustRightInd w:val="0"/>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lang w:val="en-US" w:eastAsia="zh-CN"/>
                    </w:rPr>
                    <w:t>实验</w:t>
                  </w:r>
                </w:p>
              </w:tc>
              <w:tc>
                <w:tcPr>
                  <w:tcW w:w="4637" w:type="dxa"/>
                  <w:tcBorders>
                    <w:tl2br w:val="nil"/>
                    <w:tr2bl w:val="nil"/>
                  </w:tcBorders>
                  <w:vAlign w:val="center"/>
                </w:tcPr>
                <w:p w14:paraId="0E1A7433">
                  <w:pPr>
                    <w:adjustRightInd w:val="0"/>
                    <w:snapToGrid w:val="0"/>
                    <w:rPr>
                      <w:rFonts w:hint="default" w:ascii="Times New Roman" w:hAnsi="Times New Roman" w:eastAsia="宋体" w:cs="Times New Roman"/>
                    </w:rPr>
                  </w:pPr>
                  <w:r>
                    <w:rPr>
                      <w:rFonts w:hint="default" w:ascii="Times New Roman" w:hAnsi="Times New Roman" w:eastAsia="宋体" w:cs="Times New Roman"/>
                      <w:szCs w:val="21"/>
                      <w:highlight w:val="none"/>
                      <w:vertAlign w:val="baseline"/>
                      <w:lang w:val="en-US" w:eastAsia="zh-CN"/>
                    </w:rPr>
                    <w:t>分别建设：模拟实验室53.95</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val="en-US" w:eastAsia="zh-CN"/>
                    </w:rPr>
                    <w:t>、仿真模拟室42.11</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lang w:eastAsia="zh-CN"/>
                    </w:rPr>
                    <w:t>。</w:t>
                  </w:r>
                </w:p>
              </w:tc>
              <w:tc>
                <w:tcPr>
                  <w:tcW w:w="702" w:type="dxa"/>
                  <w:vMerge w:val="continue"/>
                  <w:tcBorders>
                    <w:tl2br w:val="nil"/>
                    <w:tr2bl w:val="nil"/>
                  </w:tcBorders>
                  <w:vAlign w:val="center"/>
                </w:tcPr>
                <w:p w14:paraId="101EC3AB">
                  <w:pPr>
                    <w:adjustRightInd w:val="0"/>
                    <w:snapToGrid w:val="0"/>
                    <w:jc w:val="center"/>
                    <w:rPr>
                      <w:rFonts w:hint="default" w:ascii="Times New Roman" w:hAnsi="Times New Roman" w:eastAsia="宋体" w:cs="Times New Roman"/>
                      <w:szCs w:val="21"/>
                      <w:highlight w:val="none"/>
                    </w:rPr>
                  </w:pPr>
                </w:p>
              </w:tc>
            </w:tr>
            <w:tr w14:paraId="12771AF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652" w:type="dxa"/>
                  <w:tcBorders>
                    <w:tl2br w:val="nil"/>
                    <w:tr2bl w:val="nil"/>
                  </w:tcBorders>
                  <w:vAlign w:val="center"/>
                </w:tcPr>
                <w:p w14:paraId="111A6AC0">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restart"/>
                  <w:tcBorders>
                    <w:tl2br w:val="nil"/>
                    <w:tr2bl w:val="nil"/>
                  </w:tcBorders>
                  <w:vAlign w:val="center"/>
                </w:tcPr>
                <w:p w14:paraId="50C16CBB">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辅助工程</w:t>
                  </w:r>
                </w:p>
              </w:tc>
              <w:tc>
                <w:tcPr>
                  <w:tcW w:w="1391" w:type="dxa"/>
                  <w:vMerge w:val="restart"/>
                  <w:tcBorders>
                    <w:tl2br w:val="nil"/>
                    <w:tr2bl w:val="nil"/>
                  </w:tcBorders>
                  <w:vAlign w:val="center"/>
                </w:tcPr>
                <w:p w14:paraId="361656B9">
                  <w:pPr>
                    <w:adjustRightInd w:val="0"/>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监控室</w:t>
                  </w:r>
                </w:p>
              </w:tc>
              <w:tc>
                <w:tcPr>
                  <w:tcW w:w="4637" w:type="dxa"/>
                  <w:vMerge w:val="restart"/>
                  <w:tcBorders>
                    <w:tl2br w:val="nil"/>
                    <w:tr2bl w:val="nil"/>
                  </w:tcBorders>
                  <w:vAlign w:val="center"/>
                </w:tcPr>
                <w:p w14:paraId="2C00D68F">
                  <w:pPr>
                    <w:pStyle w:val="38"/>
                    <w:jc w:val="both"/>
                    <w:rPr>
                      <w:rFonts w:hint="default" w:ascii="Times New Roman" w:hAnsi="Times New Roman" w:eastAsia="宋体" w:cs="Times New Roman"/>
                      <w:szCs w:val="21"/>
                      <w:highlight w:val="none"/>
                    </w:rPr>
                  </w:pPr>
                  <w:r>
                    <w:rPr>
                      <w:rFonts w:hint="default" w:ascii="Times New Roman" w:hAnsi="Times New Roman" w:eastAsia="宋体" w:cs="Times New Roman"/>
                    </w:rPr>
                    <w:t>7.</w:t>
                  </w:r>
                  <w:r>
                    <w:rPr>
                      <w:rFonts w:hint="default" w:ascii="Times New Roman" w:hAnsi="Times New Roman" w:eastAsia="宋体" w:cs="Times New Roman"/>
                      <w:lang w:val="en-US" w:eastAsia="zh-CN"/>
                    </w:rPr>
                    <w:t>01</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rPr>
                    <w:t>，</w:t>
                  </w:r>
                  <w:r>
                    <w:rPr>
                      <w:rFonts w:hint="default" w:ascii="Times New Roman" w:hAnsi="Times New Roman" w:eastAsia="宋体" w:cs="Times New Roman"/>
                    </w:rPr>
                    <w:t>集中管理安防摄像头、门禁系统及环境传感器（如VOC报警）。</w:t>
                  </w:r>
                </w:p>
              </w:tc>
              <w:tc>
                <w:tcPr>
                  <w:tcW w:w="702" w:type="dxa"/>
                  <w:vMerge w:val="restart"/>
                  <w:tcBorders>
                    <w:tl2br w:val="nil"/>
                    <w:tr2bl w:val="nil"/>
                  </w:tcBorders>
                  <w:vAlign w:val="center"/>
                </w:tcPr>
                <w:p w14:paraId="5ECA504A">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新建</w:t>
                  </w:r>
                </w:p>
                <w:p w14:paraId="28A90D08">
                  <w:pPr>
                    <w:adjustRightInd w:val="0"/>
                    <w:snapToGrid w:val="0"/>
                    <w:jc w:val="center"/>
                    <w:rPr>
                      <w:rFonts w:hint="default" w:ascii="Times New Roman" w:hAnsi="Times New Roman" w:eastAsia="宋体" w:cs="Times New Roman"/>
                      <w:kern w:val="2"/>
                      <w:sz w:val="21"/>
                      <w:szCs w:val="21"/>
                      <w:highlight w:val="none"/>
                      <w:lang w:val="en-US" w:eastAsia="zh-CN" w:bidi="ar-SA"/>
                    </w:rPr>
                  </w:pPr>
                </w:p>
              </w:tc>
            </w:tr>
            <w:tr w14:paraId="759A3BF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652" w:type="dxa"/>
                  <w:tcBorders>
                    <w:tl2br w:val="nil"/>
                    <w:tr2bl w:val="nil"/>
                  </w:tcBorders>
                  <w:vAlign w:val="center"/>
                </w:tcPr>
                <w:p w14:paraId="78759EDB">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5B834351">
                  <w:pPr>
                    <w:adjustRightInd w:val="0"/>
                    <w:snapToGrid w:val="0"/>
                    <w:jc w:val="center"/>
                    <w:rPr>
                      <w:rFonts w:hint="default" w:ascii="Times New Roman" w:hAnsi="Times New Roman" w:eastAsia="宋体" w:cs="Times New Roman"/>
                      <w:szCs w:val="21"/>
                      <w:highlight w:val="none"/>
                    </w:rPr>
                  </w:pPr>
                </w:p>
              </w:tc>
              <w:tc>
                <w:tcPr>
                  <w:tcW w:w="1391" w:type="dxa"/>
                  <w:vMerge w:val="continue"/>
                  <w:tcBorders>
                    <w:tl2br w:val="nil"/>
                    <w:tr2bl w:val="nil"/>
                  </w:tcBorders>
                  <w:vAlign w:val="center"/>
                </w:tcPr>
                <w:p w14:paraId="7388C0F2">
                  <w:pPr>
                    <w:adjustRightInd w:val="0"/>
                    <w:snapToGrid w:val="0"/>
                    <w:jc w:val="center"/>
                    <w:rPr>
                      <w:rFonts w:hint="default" w:ascii="Times New Roman" w:hAnsi="Times New Roman" w:eastAsia="宋体" w:cs="Times New Roman"/>
                      <w:szCs w:val="21"/>
                      <w:highlight w:val="none"/>
                      <w:lang w:val="en-US" w:eastAsia="zh-CN"/>
                    </w:rPr>
                  </w:pPr>
                </w:p>
              </w:tc>
              <w:tc>
                <w:tcPr>
                  <w:tcW w:w="4637" w:type="dxa"/>
                  <w:vMerge w:val="continue"/>
                  <w:tcBorders>
                    <w:tl2br w:val="nil"/>
                    <w:tr2bl w:val="nil"/>
                  </w:tcBorders>
                  <w:vAlign w:val="center"/>
                </w:tcPr>
                <w:p w14:paraId="006CAB17">
                  <w:pPr>
                    <w:pStyle w:val="38"/>
                    <w:jc w:val="both"/>
                    <w:rPr>
                      <w:rFonts w:hint="default" w:ascii="Times New Roman" w:hAnsi="Times New Roman" w:eastAsia="宋体" w:cs="Times New Roman"/>
                      <w:szCs w:val="21"/>
                      <w:highlight w:val="none"/>
                    </w:rPr>
                  </w:pPr>
                </w:p>
              </w:tc>
              <w:tc>
                <w:tcPr>
                  <w:tcW w:w="702" w:type="dxa"/>
                  <w:vMerge w:val="continue"/>
                  <w:tcBorders>
                    <w:tl2br w:val="nil"/>
                    <w:tr2bl w:val="nil"/>
                  </w:tcBorders>
                  <w:vAlign w:val="center"/>
                </w:tcPr>
                <w:p w14:paraId="4A29FE13">
                  <w:pPr>
                    <w:adjustRightInd w:val="0"/>
                    <w:snapToGrid w:val="0"/>
                    <w:jc w:val="center"/>
                    <w:rPr>
                      <w:rFonts w:hint="default" w:ascii="Times New Roman" w:hAnsi="Times New Roman" w:eastAsia="宋体" w:cs="Times New Roman"/>
                      <w:szCs w:val="21"/>
                      <w:highlight w:val="none"/>
                      <w:lang w:val="en-US" w:eastAsia="zh-CN"/>
                    </w:rPr>
                  </w:pPr>
                </w:p>
              </w:tc>
            </w:tr>
            <w:tr w14:paraId="3AD7A45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652" w:type="dxa"/>
                  <w:tcBorders>
                    <w:tl2br w:val="nil"/>
                    <w:tr2bl w:val="nil"/>
                  </w:tcBorders>
                  <w:vAlign w:val="center"/>
                </w:tcPr>
                <w:p w14:paraId="3F2BAADD">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623B4C94">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vAlign w:val="center"/>
                </w:tcPr>
                <w:p w14:paraId="46615B23">
                  <w:pPr>
                    <w:adjustRightInd w:val="0"/>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rPr>
                    <w:t>IT机房</w:t>
                  </w:r>
                </w:p>
              </w:tc>
              <w:tc>
                <w:tcPr>
                  <w:tcW w:w="4637" w:type="dxa"/>
                  <w:tcBorders>
                    <w:tl2br w:val="nil"/>
                    <w:tr2bl w:val="nil"/>
                  </w:tcBorders>
                  <w:vAlign w:val="center"/>
                </w:tcPr>
                <w:p w14:paraId="2F6CB81C">
                  <w:pPr>
                    <w:adjustRightInd w:val="0"/>
                    <w:snapToGrid w:val="0"/>
                    <w:rPr>
                      <w:rFonts w:hint="default" w:ascii="Times New Roman" w:hAnsi="Times New Roman" w:eastAsia="宋体" w:cs="Times New Roman"/>
                      <w:szCs w:val="21"/>
                      <w:highlight w:val="none"/>
                    </w:rPr>
                  </w:pPr>
                  <w:r>
                    <w:rPr>
                      <w:rFonts w:hint="default" w:ascii="Times New Roman" w:hAnsi="Times New Roman" w:eastAsia="宋体" w:cs="Times New Roman"/>
                      <w:lang w:val="en-US" w:eastAsia="zh-CN"/>
                    </w:rPr>
                    <w:t>9.0</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eastAsia="zh-CN"/>
                    </w:rPr>
                    <w:t>，</w:t>
                  </w:r>
                  <w:r>
                    <w:rPr>
                      <w:rFonts w:hint="default" w:ascii="Times New Roman" w:hAnsi="Times New Roman" w:eastAsia="宋体" w:cs="Times New Roman"/>
                    </w:rPr>
                    <w:t>部署服务器、存储设备，支持数据采集（如LIMS系统）。</w:t>
                  </w:r>
                </w:p>
              </w:tc>
              <w:tc>
                <w:tcPr>
                  <w:tcW w:w="702" w:type="dxa"/>
                  <w:vMerge w:val="continue"/>
                  <w:tcBorders>
                    <w:tl2br w:val="nil"/>
                    <w:tr2bl w:val="nil"/>
                  </w:tcBorders>
                  <w:vAlign w:val="center"/>
                </w:tcPr>
                <w:p w14:paraId="71497C07">
                  <w:pPr>
                    <w:adjustRightInd w:val="0"/>
                    <w:snapToGrid w:val="0"/>
                    <w:jc w:val="center"/>
                    <w:rPr>
                      <w:rFonts w:hint="default" w:ascii="Times New Roman" w:hAnsi="Times New Roman" w:eastAsia="宋体" w:cs="Times New Roman"/>
                      <w:szCs w:val="21"/>
                      <w:highlight w:val="none"/>
                      <w:lang w:val="en-US" w:eastAsia="zh-CN"/>
                    </w:rPr>
                  </w:pPr>
                </w:p>
              </w:tc>
            </w:tr>
            <w:tr w14:paraId="58DD6B4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652" w:type="dxa"/>
                  <w:tcBorders>
                    <w:tl2br w:val="nil"/>
                    <w:tr2bl w:val="nil"/>
                  </w:tcBorders>
                  <w:vAlign w:val="center"/>
                </w:tcPr>
                <w:p w14:paraId="5BF1AAA2">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662F23D7">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vAlign w:val="center"/>
                </w:tcPr>
                <w:p w14:paraId="0039C8AC">
                  <w:pPr>
                    <w:adjustRightInd w:val="0"/>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档案室</w:t>
                  </w:r>
                </w:p>
              </w:tc>
              <w:tc>
                <w:tcPr>
                  <w:tcW w:w="4637" w:type="dxa"/>
                  <w:tcBorders>
                    <w:tl2br w:val="nil"/>
                    <w:tr2bl w:val="nil"/>
                  </w:tcBorders>
                  <w:vAlign w:val="center"/>
                </w:tcPr>
                <w:p w14:paraId="60489BCE">
                  <w:pPr>
                    <w:adjustRightInd w:val="0"/>
                    <w:snapToGrid w:val="0"/>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lang w:val="en-US" w:eastAsia="zh-CN"/>
                    </w:rPr>
                    <w:t>23.99</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eastAsia="zh-CN"/>
                    </w:rPr>
                    <w:t>，</w:t>
                  </w:r>
                  <w:r>
                    <w:rPr>
                      <w:rFonts w:hint="default" w:ascii="Times New Roman" w:hAnsi="Times New Roman" w:eastAsia="宋体" w:cs="Times New Roman"/>
                    </w:rPr>
                    <w:t>存储实验室相关数据档案文件</w:t>
                  </w:r>
                  <w:r>
                    <w:rPr>
                      <w:rFonts w:hint="default" w:ascii="Times New Roman" w:hAnsi="Times New Roman" w:eastAsia="宋体" w:cs="Times New Roman"/>
                      <w:lang w:eastAsia="zh-CN"/>
                    </w:rPr>
                    <w:t>。</w:t>
                  </w:r>
                </w:p>
              </w:tc>
              <w:tc>
                <w:tcPr>
                  <w:tcW w:w="702" w:type="dxa"/>
                  <w:vMerge w:val="continue"/>
                  <w:tcBorders>
                    <w:tl2br w:val="nil"/>
                    <w:tr2bl w:val="nil"/>
                  </w:tcBorders>
                  <w:shd w:val="clear" w:color="auto" w:fill="auto"/>
                  <w:vAlign w:val="center"/>
                </w:tcPr>
                <w:p w14:paraId="02922EF4">
                  <w:pPr>
                    <w:adjustRightInd w:val="0"/>
                    <w:snapToGrid w:val="0"/>
                    <w:jc w:val="center"/>
                    <w:rPr>
                      <w:rFonts w:hint="default" w:ascii="Times New Roman" w:hAnsi="Times New Roman" w:eastAsia="宋体" w:cs="Times New Roman"/>
                      <w:kern w:val="2"/>
                      <w:sz w:val="21"/>
                      <w:szCs w:val="21"/>
                      <w:highlight w:val="none"/>
                      <w:lang w:val="en-US" w:eastAsia="zh-CN" w:bidi="ar-SA"/>
                    </w:rPr>
                  </w:pPr>
                </w:p>
              </w:tc>
            </w:tr>
            <w:tr w14:paraId="0AF7EAB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652" w:type="dxa"/>
                  <w:tcBorders>
                    <w:tl2br w:val="nil"/>
                    <w:tr2bl w:val="nil"/>
                  </w:tcBorders>
                  <w:vAlign w:val="center"/>
                </w:tcPr>
                <w:p w14:paraId="0B06F924">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2F4BE5B1">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shd w:val="clear" w:color="auto" w:fill="auto"/>
                  <w:vAlign w:val="center"/>
                </w:tcPr>
                <w:p w14:paraId="62F3D8AF">
                  <w:pPr>
                    <w:pStyle w:val="6"/>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lang w:val="en-US" w:eastAsia="zh-CN"/>
                    </w:rPr>
                    <w:t>工具间、休息室、检修值班室</w:t>
                  </w:r>
                </w:p>
              </w:tc>
              <w:tc>
                <w:tcPr>
                  <w:tcW w:w="4637" w:type="dxa"/>
                  <w:tcBorders>
                    <w:tl2br w:val="nil"/>
                    <w:tr2bl w:val="nil"/>
                  </w:tcBorders>
                  <w:shd w:val="clear" w:color="auto" w:fill="auto"/>
                  <w:vAlign w:val="center"/>
                </w:tcPr>
                <w:p w14:paraId="4ABA8105">
                  <w:pPr>
                    <w:pStyle w:val="38"/>
                    <w:jc w:val="both"/>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szCs w:val="21"/>
                      <w:highlight w:val="none"/>
                      <w:lang w:val="en-US" w:eastAsia="zh-CN"/>
                    </w:rPr>
                    <w:t>317.18</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eastAsia="zh-CN"/>
                    </w:rPr>
                    <w:t>，</w:t>
                  </w:r>
                  <w:r>
                    <w:rPr>
                      <w:rFonts w:hint="default" w:ascii="Times New Roman" w:hAnsi="Times New Roman" w:eastAsia="宋体" w:cs="Times New Roman"/>
                      <w:kern w:val="2"/>
                      <w:sz w:val="21"/>
                      <w:szCs w:val="24"/>
                      <w:lang w:val="en-US" w:eastAsia="zh-CN" w:bidi="ar-SA"/>
                    </w:rPr>
                    <w:t>工具存放、员工休息、检修工人值班等。</w:t>
                  </w:r>
                </w:p>
              </w:tc>
              <w:tc>
                <w:tcPr>
                  <w:tcW w:w="702" w:type="dxa"/>
                  <w:vMerge w:val="continue"/>
                  <w:tcBorders>
                    <w:tl2br w:val="nil"/>
                    <w:tr2bl w:val="nil"/>
                  </w:tcBorders>
                  <w:shd w:val="clear" w:color="auto" w:fill="auto"/>
                  <w:vAlign w:val="center"/>
                </w:tcPr>
                <w:p w14:paraId="5FD8D6AC">
                  <w:pPr>
                    <w:adjustRightInd w:val="0"/>
                    <w:snapToGrid w:val="0"/>
                    <w:jc w:val="center"/>
                    <w:rPr>
                      <w:rFonts w:hint="default" w:ascii="Times New Roman" w:hAnsi="Times New Roman" w:eastAsia="宋体" w:cs="Times New Roman"/>
                      <w:kern w:val="2"/>
                      <w:sz w:val="21"/>
                      <w:szCs w:val="21"/>
                      <w:highlight w:val="none"/>
                      <w:lang w:val="en-US" w:eastAsia="zh-CN" w:bidi="ar-SA"/>
                    </w:rPr>
                  </w:pPr>
                </w:p>
              </w:tc>
            </w:tr>
            <w:tr w14:paraId="6E391A0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652" w:type="dxa"/>
                  <w:tcBorders>
                    <w:tl2br w:val="nil"/>
                    <w:tr2bl w:val="nil"/>
                  </w:tcBorders>
                  <w:vAlign w:val="center"/>
                </w:tcPr>
                <w:p w14:paraId="020CE175">
                  <w:pPr>
                    <w:numPr>
                      <w:ilvl w:val="0"/>
                      <w:numId w:val="24"/>
                    </w:numPr>
                    <w:adjustRightInd w:val="0"/>
                    <w:snapToGrid w:val="0"/>
                    <w:jc w:val="center"/>
                    <w:rPr>
                      <w:rFonts w:hint="default" w:ascii="Times New Roman" w:hAnsi="Times New Roman" w:eastAsia="宋体" w:cs="Times New Roman"/>
                      <w:szCs w:val="21"/>
                      <w:highlight w:val="none"/>
                      <w:lang w:val="en-US" w:eastAsia="zh-CN"/>
                    </w:rPr>
                  </w:pPr>
                </w:p>
              </w:tc>
              <w:tc>
                <w:tcPr>
                  <w:tcW w:w="659" w:type="dxa"/>
                  <w:vMerge w:val="continue"/>
                  <w:tcBorders>
                    <w:tl2br w:val="nil"/>
                    <w:tr2bl w:val="nil"/>
                  </w:tcBorders>
                  <w:vAlign w:val="center"/>
                </w:tcPr>
                <w:p w14:paraId="4CA7EF3C">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shd w:val="clear" w:color="auto" w:fill="auto"/>
                  <w:vAlign w:val="center"/>
                </w:tcPr>
                <w:p w14:paraId="04912FEA">
                  <w:pPr>
                    <w:pStyle w:val="38"/>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rPr>
                    <w:t>展厅</w:t>
                  </w:r>
                </w:p>
              </w:tc>
              <w:tc>
                <w:tcPr>
                  <w:tcW w:w="4637" w:type="dxa"/>
                  <w:tcBorders>
                    <w:tl2br w:val="nil"/>
                    <w:tr2bl w:val="nil"/>
                  </w:tcBorders>
                  <w:shd w:val="clear" w:color="auto" w:fill="auto"/>
                  <w:vAlign w:val="center"/>
                </w:tcPr>
                <w:p w14:paraId="2154DDD2">
                  <w:pPr>
                    <w:pStyle w:val="38"/>
                    <w:jc w:val="both"/>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szCs w:val="21"/>
                      <w:highlight w:val="none"/>
                      <w:lang w:val="en-US" w:eastAsia="zh-CN"/>
                    </w:rPr>
                    <w:t>112</w:t>
                  </w:r>
                  <w:r>
                    <w:rPr>
                      <w:rFonts w:hint="eastAsia" w:ascii="Times New Roman" w:hAnsi="Times New Roman" w:eastAsia="宋体" w:cs="Times New Roman"/>
                      <w:szCs w:val="21"/>
                      <w:highlight w:val="none"/>
                      <w:lang w:val="en-US" w:eastAsia="zh-CN"/>
                    </w:rPr>
                    <w:t>.36</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eastAsia="zh-CN"/>
                    </w:rPr>
                    <w:t>，</w:t>
                  </w:r>
                  <w:r>
                    <w:rPr>
                      <w:rFonts w:hint="default" w:ascii="Times New Roman" w:hAnsi="Times New Roman" w:eastAsia="宋体" w:cs="Times New Roman"/>
                    </w:rPr>
                    <w:t>实验室先进技术展览及宣贯</w:t>
                  </w:r>
                  <w:r>
                    <w:rPr>
                      <w:rFonts w:hint="default" w:ascii="Times New Roman" w:hAnsi="Times New Roman" w:eastAsia="宋体" w:cs="Times New Roman"/>
                      <w:lang w:eastAsia="zh-CN"/>
                    </w:rPr>
                    <w:t>。</w:t>
                  </w:r>
                </w:p>
              </w:tc>
              <w:tc>
                <w:tcPr>
                  <w:tcW w:w="702" w:type="dxa"/>
                  <w:vMerge w:val="continue"/>
                  <w:tcBorders>
                    <w:tl2br w:val="nil"/>
                    <w:tr2bl w:val="nil"/>
                  </w:tcBorders>
                  <w:shd w:val="clear" w:color="auto" w:fill="auto"/>
                  <w:vAlign w:val="center"/>
                </w:tcPr>
                <w:p w14:paraId="7D9A9ED3">
                  <w:pPr>
                    <w:adjustRightInd w:val="0"/>
                    <w:snapToGrid w:val="0"/>
                    <w:jc w:val="center"/>
                    <w:rPr>
                      <w:rFonts w:hint="default" w:ascii="Times New Roman" w:hAnsi="Times New Roman" w:eastAsia="宋体" w:cs="Times New Roman"/>
                      <w:kern w:val="2"/>
                      <w:sz w:val="21"/>
                      <w:szCs w:val="21"/>
                      <w:highlight w:val="none"/>
                      <w:lang w:val="en-US" w:eastAsia="zh-CN" w:bidi="ar-SA"/>
                    </w:rPr>
                  </w:pPr>
                </w:p>
              </w:tc>
            </w:tr>
            <w:tr w14:paraId="3FD6306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restart"/>
                  <w:tcBorders>
                    <w:tl2br w:val="nil"/>
                    <w:tr2bl w:val="nil"/>
                  </w:tcBorders>
                  <w:vAlign w:val="center"/>
                </w:tcPr>
                <w:p w14:paraId="15ED41DE">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restart"/>
                  <w:tcBorders>
                    <w:tl2br w:val="nil"/>
                    <w:tr2bl w:val="nil"/>
                  </w:tcBorders>
                  <w:vAlign w:val="center"/>
                </w:tcPr>
                <w:p w14:paraId="1C1878DD">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储运工程</w:t>
                  </w:r>
                </w:p>
              </w:tc>
              <w:tc>
                <w:tcPr>
                  <w:tcW w:w="1391" w:type="dxa"/>
                  <w:tcBorders>
                    <w:tl2br w:val="nil"/>
                    <w:tr2bl w:val="nil"/>
                  </w:tcBorders>
                  <w:shd w:val="clear" w:color="auto" w:fill="auto"/>
                  <w:vAlign w:val="center"/>
                </w:tcPr>
                <w:p w14:paraId="71E16E41">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危化品间</w:t>
                  </w:r>
                </w:p>
              </w:tc>
              <w:tc>
                <w:tcPr>
                  <w:tcW w:w="4637" w:type="dxa"/>
                  <w:tcBorders>
                    <w:tl2br w:val="nil"/>
                    <w:tr2bl w:val="nil"/>
                  </w:tcBorders>
                  <w:shd w:val="clear" w:color="auto" w:fill="auto"/>
                  <w:vAlign w:val="center"/>
                </w:tcPr>
                <w:p w14:paraId="704FA7C0">
                  <w:pPr>
                    <w:adjustRightInd w:val="0"/>
                    <w:snapToGrid w:val="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8.32</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eastAsia="zh-CN"/>
                    </w:rPr>
                    <w:t>，</w:t>
                  </w:r>
                  <w:r>
                    <w:rPr>
                      <w:rFonts w:hint="default" w:ascii="Times New Roman" w:hAnsi="Times New Roman" w:eastAsia="宋体" w:cs="Times New Roman"/>
                      <w:szCs w:val="21"/>
                      <w:highlight w:val="none"/>
                      <w:vertAlign w:val="baseline"/>
                      <w:lang w:val="en-US" w:eastAsia="zh-CN"/>
                    </w:rPr>
                    <w:t>存放化学试剂。</w:t>
                  </w:r>
                </w:p>
              </w:tc>
              <w:tc>
                <w:tcPr>
                  <w:tcW w:w="702" w:type="dxa"/>
                  <w:vMerge w:val="restart"/>
                  <w:tcBorders>
                    <w:tl2br w:val="nil"/>
                    <w:tr2bl w:val="nil"/>
                  </w:tcBorders>
                  <w:shd w:val="clear" w:color="auto" w:fill="auto"/>
                  <w:vAlign w:val="center"/>
                </w:tcPr>
                <w:p w14:paraId="502496FB">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新建</w:t>
                  </w:r>
                </w:p>
              </w:tc>
            </w:tr>
            <w:tr w14:paraId="7D6449F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continue"/>
                  <w:tcBorders>
                    <w:tl2br w:val="nil"/>
                    <w:tr2bl w:val="nil"/>
                  </w:tcBorders>
                  <w:vAlign w:val="center"/>
                </w:tcPr>
                <w:p w14:paraId="019FBD0A">
                  <w:p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49DF9FC7">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shd w:val="clear" w:color="auto" w:fill="auto"/>
                  <w:vAlign w:val="center"/>
                </w:tcPr>
                <w:p w14:paraId="01DFD328">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气瓶间</w:t>
                  </w:r>
                </w:p>
              </w:tc>
              <w:tc>
                <w:tcPr>
                  <w:tcW w:w="4637" w:type="dxa"/>
                  <w:tcBorders>
                    <w:tl2br w:val="nil"/>
                    <w:tr2bl w:val="nil"/>
                  </w:tcBorders>
                  <w:shd w:val="clear" w:color="auto" w:fill="auto"/>
                  <w:vAlign w:val="center"/>
                </w:tcPr>
                <w:p w14:paraId="60B7DE16">
                  <w:pPr>
                    <w:adjustRightInd w:val="0"/>
                    <w:snapToGrid w:val="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4.00</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eastAsia="zh-CN"/>
                    </w:rPr>
                    <w:t>，</w:t>
                  </w:r>
                  <w:r>
                    <w:rPr>
                      <w:rFonts w:hint="default" w:ascii="Times New Roman" w:hAnsi="Times New Roman" w:eastAsia="宋体" w:cs="Times New Roman"/>
                      <w:szCs w:val="21"/>
                      <w:highlight w:val="none"/>
                      <w:vertAlign w:val="baseline"/>
                      <w:lang w:val="en-US" w:eastAsia="zh-CN"/>
                    </w:rPr>
                    <w:t>存放氮气、氩气、氧气钢瓶。</w:t>
                  </w:r>
                </w:p>
              </w:tc>
              <w:tc>
                <w:tcPr>
                  <w:tcW w:w="702" w:type="dxa"/>
                  <w:vMerge w:val="continue"/>
                  <w:tcBorders>
                    <w:tl2br w:val="nil"/>
                    <w:tr2bl w:val="nil"/>
                  </w:tcBorders>
                  <w:shd w:val="clear" w:color="auto" w:fill="auto"/>
                  <w:vAlign w:val="center"/>
                </w:tcPr>
                <w:p w14:paraId="4E8BB82E">
                  <w:pPr>
                    <w:adjustRightInd w:val="0"/>
                    <w:snapToGrid w:val="0"/>
                    <w:jc w:val="center"/>
                    <w:rPr>
                      <w:rFonts w:hint="default" w:ascii="Times New Roman" w:hAnsi="Times New Roman" w:eastAsia="宋体" w:cs="Times New Roman"/>
                      <w:kern w:val="2"/>
                      <w:sz w:val="21"/>
                      <w:szCs w:val="21"/>
                      <w:highlight w:val="none"/>
                      <w:lang w:val="en-US" w:eastAsia="zh-CN" w:bidi="ar-SA"/>
                    </w:rPr>
                  </w:pPr>
                </w:p>
              </w:tc>
            </w:tr>
            <w:tr w14:paraId="5C40062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continue"/>
                  <w:tcBorders>
                    <w:tl2br w:val="nil"/>
                    <w:tr2bl w:val="nil"/>
                  </w:tcBorders>
                  <w:vAlign w:val="center"/>
                </w:tcPr>
                <w:p w14:paraId="6DE685CC">
                  <w:p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1F671B0B">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shd w:val="clear" w:color="auto" w:fill="auto"/>
                  <w:vAlign w:val="center"/>
                </w:tcPr>
                <w:p w14:paraId="37C3B632">
                  <w:pPr>
                    <w:adjustRightInd w:val="0"/>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危险废物</w:t>
                  </w:r>
                </w:p>
                <w:p w14:paraId="147DED26">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暂存间</w:t>
                  </w:r>
                </w:p>
              </w:tc>
              <w:tc>
                <w:tcPr>
                  <w:tcW w:w="4637" w:type="dxa"/>
                  <w:tcBorders>
                    <w:tl2br w:val="nil"/>
                    <w:tr2bl w:val="nil"/>
                  </w:tcBorders>
                  <w:shd w:val="clear" w:color="auto" w:fill="auto"/>
                  <w:vAlign w:val="center"/>
                </w:tcPr>
                <w:p w14:paraId="1569C955">
                  <w:pPr>
                    <w:adjustRightInd w:val="0"/>
                    <w:snapToGrid w:val="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2.70</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eastAsia="zh-CN"/>
                    </w:rPr>
                    <w:t>，</w:t>
                  </w:r>
                  <w:r>
                    <w:rPr>
                      <w:rFonts w:hint="default" w:ascii="Times New Roman" w:hAnsi="Times New Roman" w:eastAsia="宋体" w:cs="Times New Roman"/>
                      <w:szCs w:val="21"/>
                      <w:highlight w:val="none"/>
                      <w:vertAlign w:val="baseline"/>
                      <w:lang w:val="en-US" w:eastAsia="zh-CN"/>
                    </w:rPr>
                    <w:t>存放危险废物。</w:t>
                  </w:r>
                </w:p>
              </w:tc>
              <w:tc>
                <w:tcPr>
                  <w:tcW w:w="702" w:type="dxa"/>
                  <w:vMerge w:val="continue"/>
                  <w:tcBorders>
                    <w:tl2br w:val="nil"/>
                    <w:tr2bl w:val="nil"/>
                  </w:tcBorders>
                  <w:shd w:val="clear" w:color="auto" w:fill="auto"/>
                  <w:vAlign w:val="center"/>
                </w:tcPr>
                <w:p w14:paraId="488EB860">
                  <w:pPr>
                    <w:adjustRightInd w:val="0"/>
                    <w:snapToGrid w:val="0"/>
                    <w:jc w:val="center"/>
                    <w:rPr>
                      <w:rFonts w:hint="default" w:ascii="Times New Roman" w:hAnsi="Times New Roman" w:eastAsia="宋体" w:cs="Times New Roman"/>
                      <w:kern w:val="2"/>
                      <w:sz w:val="21"/>
                      <w:szCs w:val="21"/>
                      <w:highlight w:val="none"/>
                      <w:lang w:val="en-US" w:eastAsia="zh-CN" w:bidi="ar-SA"/>
                    </w:rPr>
                  </w:pPr>
                </w:p>
              </w:tc>
            </w:tr>
            <w:tr w14:paraId="414FB88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continue"/>
                  <w:tcBorders>
                    <w:tl2br w:val="nil"/>
                    <w:tr2bl w:val="nil"/>
                  </w:tcBorders>
                  <w:vAlign w:val="center"/>
                </w:tcPr>
                <w:p w14:paraId="1421AD06">
                  <w:p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1A2CA207">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shd w:val="clear" w:color="auto" w:fill="auto"/>
                  <w:vAlign w:val="center"/>
                </w:tcPr>
                <w:p w14:paraId="3F9A7DD3">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一般固废</w:t>
                  </w:r>
                  <w:r>
                    <w:rPr>
                      <w:rFonts w:hint="eastAsia" w:ascii="Times New Roman" w:hAnsi="Times New Roman" w:eastAsia="宋体" w:cs="Times New Roman"/>
                      <w:szCs w:val="21"/>
                      <w:highlight w:val="none"/>
                      <w:lang w:val="en-US" w:eastAsia="zh-CN"/>
                    </w:rPr>
                    <w:t>暂存</w:t>
                  </w:r>
                  <w:r>
                    <w:rPr>
                      <w:rFonts w:hint="default" w:ascii="Times New Roman" w:hAnsi="Times New Roman" w:eastAsia="宋体" w:cs="Times New Roman"/>
                      <w:szCs w:val="21"/>
                      <w:highlight w:val="none"/>
                      <w:lang w:val="en-US" w:eastAsia="zh-CN"/>
                    </w:rPr>
                    <w:t>间</w:t>
                  </w:r>
                </w:p>
              </w:tc>
              <w:tc>
                <w:tcPr>
                  <w:tcW w:w="4637" w:type="dxa"/>
                  <w:tcBorders>
                    <w:tl2br w:val="nil"/>
                    <w:tr2bl w:val="nil"/>
                  </w:tcBorders>
                  <w:shd w:val="clear" w:color="auto" w:fill="auto"/>
                  <w:vAlign w:val="center"/>
                </w:tcPr>
                <w:p w14:paraId="74756D46">
                  <w:pPr>
                    <w:adjustRightInd w:val="0"/>
                    <w:snapToGrid w:val="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10.96</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eastAsia="zh-CN"/>
                    </w:rPr>
                    <w:t>，</w:t>
                  </w:r>
                  <w:r>
                    <w:rPr>
                      <w:rFonts w:hint="default" w:ascii="Times New Roman" w:hAnsi="Times New Roman" w:eastAsia="宋体" w:cs="Times New Roman"/>
                      <w:szCs w:val="21"/>
                      <w:highlight w:val="none"/>
                      <w:vertAlign w:val="baseline"/>
                      <w:lang w:val="en-US" w:eastAsia="zh-CN"/>
                    </w:rPr>
                    <w:t>存放一般固体废物。</w:t>
                  </w:r>
                </w:p>
              </w:tc>
              <w:tc>
                <w:tcPr>
                  <w:tcW w:w="702" w:type="dxa"/>
                  <w:vMerge w:val="continue"/>
                  <w:tcBorders>
                    <w:tl2br w:val="nil"/>
                    <w:tr2bl w:val="nil"/>
                  </w:tcBorders>
                  <w:shd w:val="clear" w:color="auto" w:fill="auto"/>
                  <w:vAlign w:val="center"/>
                </w:tcPr>
                <w:p w14:paraId="2D8C43AB">
                  <w:pPr>
                    <w:adjustRightInd w:val="0"/>
                    <w:snapToGrid w:val="0"/>
                    <w:jc w:val="center"/>
                    <w:rPr>
                      <w:rFonts w:hint="default" w:ascii="Times New Roman" w:hAnsi="Times New Roman" w:eastAsia="宋体" w:cs="Times New Roman"/>
                      <w:kern w:val="2"/>
                      <w:sz w:val="21"/>
                      <w:szCs w:val="21"/>
                      <w:highlight w:val="none"/>
                      <w:lang w:val="en-US" w:eastAsia="zh-CN" w:bidi="ar-SA"/>
                    </w:rPr>
                  </w:pPr>
                </w:p>
              </w:tc>
            </w:tr>
            <w:tr w14:paraId="44D99A7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restart"/>
                  <w:tcBorders>
                    <w:tl2br w:val="nil"/>
                    <w:tr2bl w:val="nil"/>
                  </w:tcBorders>
                  <w:vAlign w:val="center"/>
                </w:tcPr>
                <w:p w14:paraId="5615D5A6">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restart"/>
                  <w:tcBorders>
                    <w:tl2br w:val="nil"/>
                    <w:tr2bl w:val="nil"/>
                  </w:tcBorders>
                  <w:vAlign w:val="center"/>
                </w:tcPr>
                <w:p w14:paraId="4E362031">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公用工程</w:t>
                  </w:r>
                </w:p>
              </w:tc>
              <w:tc>
                <w:tcPr>
                  <w:tcW w:w="1391" w:type="dxa"/>
                  <w:tcBorders>
                    <w:tl2br w:val="nil"/>
                    <w:tr2bl w:val="nil"/>
                  </w:tcBorders>
                  <w:vAlign w:val="center"/>
                </w:tcPr>
                <w:p w14:paraId="0D7DD64A">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给排水</w:t>
                  </w:r>
                </w:p>
              </w:tc>
              <w:tc>
                <w:tcPr>
                  <w:tcW w:w="4637" w:type="dxa"/>
                  <w:tcBorders>
                    <w:tl2br w:val="nil"/>
                    <w:tr2bl w:val="nil"/>
                  </w:tcBorders>
                </w:tcPr>
                <w:p w14:paraId="56D90BAC">
                  <w:pPr>
                    <w:adjustRightInd w:val="0"/>
                    <w:snapToGrid w:val="0"/>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项目用水由市政供水管网提供，纯水由本项目纯水机制备。</w:t>
                  </w:r>
                </w:p>
                <w:p w14:paraId="23CDDFDD">
                  <w:pPr>
                    <w:adjustRightInd w:val="0"/>
                    <w:snapToGrid w:val="0"/>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rPr>
                    <w:t>项目</w:t>
                  </w:r>
                  <w:r>
                    <w:rPr>
                      <w:rFonts w:hint="default" w:ascii="Times New Roman" w:hAnsi="Times New Roman" w:eastAsia="宋体" w:cs="Times New Roman"/>
                      <w:szCs w:val="21"/>
                      <w:highlight w:val="none"/>
                      <w:lang w:val="en-US" w:eastAsia="zh-CN"/>
                    </w:rPr>
                    <w:t>生活污水、纯水制备废水、设备第三遍清洗废水</w:t>
                  </w:r>
                  <w:r>
                    <w:rPr>
                      <w:rFonts w:hint="default" w:ascii="Times New Roman" w:hAnsi="Times New Roman" w:eastAsia="宋体" w:cs="Times New Roman"/>
                      <w:szCs w:val="21"/>
                      <w:highlight w:val="none"/>
                    </w:rPr>
                    <w:t>一同经园区化粪池处理后排入市政管网，最终排入</w:t>
                  </w:r>
                  <w:r>
                    <w:rPr>
                      <w:rFonts w:hint="default" w:ascii="Times New Roman" w:hAnsi="Times New Roman" w:eastAsia="宋体" w:cs="Times New Roman"/>
                      <w:szCs w:val="21"/>
                      <w:highlight w:val="none"/>
                      <w:lang w:eastAsia="zh-CN"/>
                    </w:rPr>
                    <w:t>北京亦庄环境科技集团有限公司经开污水处理厂</w:t>
                  </w:r>
                  <w:r>
                    <w:rPr>
                      <w:rFonts w:hint="default" w:ascii="Times New Roman" w:hAnsi="Times New Roman" w:eastAsia="宋体" w:cs="Times New Roman"/>
                      <w:szCs w:val="21"/>
                      <w:highlight w:val="none"/>
                    </w:rPr>
                    <w:t>处理</w:t>
                  </w:r>
                  <w:r>
                    <w:rPr>
                      <w:rFonts w:hint="default" w:ascii="Times New Roman" w:hAnsi="Times New Roman" w:eastAsia="宋体" w:cs="Times New Roman"/>
                      <w:szCs w:val="21"/>
                      <w:highlight w:val="none"/>
                      <w:lang w:eastAsia="zh-CN"/>
                    </w:rPr>
                    <w:t>。</w:t>
                  </w:r>
                </w:p>
              </w:tc>
              <w:tc>
                <w:tcPr>
                  <w:tcW w:w="702" w:type="dxa"/>
                  <w:tcBorders>
                    <w:tl2br w:val="nil"/>
                    <w:tr2bl w:val="nil"/>
                  </w:tcBorders>
                  <w:vAlign w:val="center"/>
                </w:tcPr>
                <w:p w14:paraId="2C11E060">
                  <w:pPr>
                    <w:adjustRightInd w:val="0"/>
                    <w:snapToGrid w:val="0"/>
                    <w:jc w:val="center"/>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lang w:val="en-US" w:eastAsia="zh-CN"/>
                    </w:rPr>
                    <w:t>依托</w:t>
                  </w:r>
                </w:p>
              </w:tc>
            </w:tr>
            <w:tr w14:paraId="056C4CC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continue"/>
                  <w:tcBorders>
                    <w:tl2br w:val="nil"/>
                    <w:tr2bl w:val="nil"/>
                  </w:tcBorders>
                  <w:vAlign w:val="center"/>
                </w:tcPr>
                <w:p w14:paraId="587DE163">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0F3BC894">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vAlign w:val="center"/>
                </w:tcPr>
                <w:p w14:paraId="58B9E88C">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rPr>
                    <w:t>厕所、更衣室、清洁间、茶</w:t>
                  </w:r>
                  <w:r>
                    <w:rPr>
                      <w:rFonts w:hint="eastAsia" w:cs="Times New Roman"/>
                      <w:lang w:val="en-US" w:eastAsia="zh-CN"/>
                    </w:rPr>
                    <w:t>歇</w:t>
                  </w:r>
                  <w:r>
                    <w:rPr>
                      <w:rFonts w:hint="default" w:ascii="Times New Roman" w:hAnsi="Times New Roman" w:eastAsia="宋体" w:cs="Times New Roman"/>
                    </w:rPr>
                    <w:t>间</w:t>
                  </w:r>
                </w:p>
              </w:tc>
              <w:tc>
                <w:tcPr>
                  <w:tcW w:w="4637" w:type="dxa"/>
                  <w:tcBorders>
                    <w:tl2br w:val="nil"/>
                    <w:tr2bl w:val="nil"/>
                  </w:tcBorders>
                  <w:vAlign w:val="center"/>
                </w:tcPr>
                <w:p w14:paraId="704873F8">
                  <w:pPr>
                    <w:adjustRightInd w:val="0"/>
                    <w:snapToGrid w:val="0"/>
                    <w:jc w:val="both"/>
                    <w:rPr>
                      <w:rFonts w:hint="default" w:ascii="Times New Roman" w:hAnsi="Times New Roman" w:eastAsia="宋体" w:cs="Times New Roman"/>
                      <w:szCs w:val="21"/>
                      <w:highlight w:val="none"/>
                    </w:rPr>
                  </w:pPr>
                  <w:r>
                    <w:rPr>
                      <w:rFonts w:hint="eastAsia" w:cs="Times New Roman"/>
                      <w:szCs w:val="21"/>
                      <w:highlight w:val="none"/>
                      <w:lang w:val="en-US" w:eastAsia="zh-CN"/>
                    </w:rPr>
                    <w:t>工作人员生活配套。</w:t>
                  </w:r>
                </w:p>
              </w:tc>
              <w:tc>
                <w:tcPr>
                  <w:tcW w:w="702" w:type="dxa"/>
                  <w:tcBorders>
                    <w:tl2br w:val="nil"/>
                    <w:tr2bl w:val="nil"/>
                  </w:tcBorders>
                  <w:vAlign w:val="center"/>
                </w:tcPr>
                <w:p w14:paraId="3821CB70">
                  <w:pPr>
                    <w:adjustRightInd w:val="0"/>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新建</w:t>
                  </w:r>
                </w:p>
              </w:tc>
            </w:tr>
            <w:tr w14:paraId="0A58D1B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652" w:type="dxa"/>
                  <w:vMerge w:val="continue"/>
                  <w:tcBorders>
                    <w:tl2br w:val="nil"/>
                    <w:tr2bl w:val="nil"/>
                  </w:tcBorders>
                  <w:vAlign w:val="center"/>
                </w:tcPr>
                <w:p w14:paraId="27CAB991">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20AC4AD7">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vAlign w:val="center"/>
                </w:tcPr>
                <w:p w14:paraId="0CBFDD2B">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供暖制冷</w:t>
                  </w:r>
                </w:p>
              </w:tc>
              <w:tc>
                <w:tcPr>
                  <w:tcW w:w="4637" w:type="dxa"/>
                  <w:tcBorders>
                    <w:tl2br w:val="nil"/>
                    <w:tr2bl w:val="nil"/>
                  </w:tcBorders>
                  <w:vAlign w:val="center"/>
                </w:tcPr>
                <w:p w14:paraId="379483E7">
                  <w:pPr>
                    <w:jc w:val="center"/>
                    <w:rPr>
                      <w:rFonts w:hint="default" w:ascii="Times New Roman" w:hAnsi="Times New Roman" w:eastAsia="宋体" w:cs="Times New Roman"/>
                      <w:sz w:val="32"/>
                      <w:szCs w:val="32"/>
                      <w:highlight w:val="none"/>
                    </w:rPr>
                  </w:pPr>
                  <w:r>
                    <w:rPr>
                      <w:rFonts w:hint="default" w:ascii="Times New Roman" w:hAnsi="Times New Roman" w:eastAsia="宋体" w:cs="Times New Roman"/>
                      <w:szCs w:val="21"/>
                      <w:highlight w:val="none"/>
                    </w:rPr>
                    <w:t>冬季采暖</w:t>
                  </w:r>
                  <w:r>
                    <w:rPr>
                      <w:rFonts w:hint="default" w:ascii="Times New Roman" w:hAnsi="Times New Roman" w:eastAsia="宋体" w:cs="Times New Roman"/>
                      <w:szCs w:val="21"/>
                      <w:highlight w:val="none"/>
                      <w:lang w:val="en-US" w:eastAsia="zh-CN"/>
                    </w:rPr>
                    <w:t>由市政供热管网供给，</w:t>
                  </w:r>
                  <w:r>
                    <w:rPr>
                      <w:rFonts w:hint="default" w:ascii="Times New Roman" w:hAnsi="Times New Roman" w:eastAsia="宋体" w:cs="Times New Roman"/>
                      <w:szCs w:val="21"/>
                      <w:highlight w:val="none"/>
                    </w:rPr>
                    <w:t>夏季制冷由中央空调提供。</w:t>
                  </w:r>
                </w:p>
              </w:tc>
              <w:tc>
                <w:tcPr>
                  <w:tcW w:w="702" w:type="dxa"/>
                  <w:vMerge w:val="restart"/>
                  <w:tcBorders>
                    <w:tl2br w:val="nil"/>
                    <w:tr2bl w:val="nil"/>
                  </w:tcBorders>
                  <w:vAlign w:val="center"/>
                </w:tcPr>
                <w:p w14:paraId="02597268">
                  <w:pPr>
                    <w:adjustRightInd w:val="0"/>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依托</w:t>
                  </w:r>
                  <w:r>
                    <w:rPr>
                      <w:rFonts w:hint="default" w:ascii="Times New Roman" w:hAnsi="Times New Roman" w:eastAsia="宋体" w:cs="Times New Roman"/>
                      <w:szCs w:val="21"/>
                      <w:highlight w:val="none"/>
                      <w:lang w:val="en-US" w:eastAsia="zh-CN"/>
                    </w:rPr>
                    <w:t>/新建</w:t>
                  </w:r>
                </w:p>
              </w:tc>
            </w:tr>
            <w:tr w14:paraId="1E93515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vMerge w:val="continue"/>
                  <w:tcBorders>
                    <w:tl2br w:val="nil"/>
                    <w:tr2bl w:val="nil"/>
                  </w:tcBorders>
                  <w:vAlign w:val="center"/>
                </w:tcPr>
                <w:p w14:paraId="0C711519">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6943107C">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vAlign w:val="center"/>
                </w:tcPr>
                <w:p w14:paraId="4CDC4BEC">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供电</w:t>
                  </w:r>
                </w:p>
              </w:tc>
              <w:tc>
                <w:tcPr>
                  <w:tcW w:w="4637" w:type="dxa"/>
                  <w:tcBorders>
                    <w:tl2br w:val="nil"/>
                    <w:tr2bl w:val="nil"/>
                  </w:tcBorders>
                  <w:vAlign w:val="center"/>
                </w:tcPr>
                <w:p w14:paraId="3A5985A2">
                  <w:pPr>
                    <w:adjustRightInd w:val="0"/>
                    <w:jc w:val="both"/>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项目用电由市政电网提供。</w:t>
                  </w:r>
                </w:p>
              </w:tc>
              <w:tc>
                <w:tcPr>
                  <w:tcW w:w="702" w:type="dxa"/>
                  <w:vMerge w:val="continue"/>
                  <w:tcBorders>
                    <w:tl2br w:val="nil"/>
                    <w:tr2bl w:val="nil"/>
                  </w:tcBorders>
                  <w:vAlign w:val="center"/>
                </w:tcPr>
                <w:p w14:paraId="17687D15">
                  <w:pPr>
                    <w:adjustRightInd w:val="0"/>
                    <w:ind w:firstLine="420" w:firstLineChars="200"/>
                    <w:jc w:val="center"/>
                    <w:rPr>
                      <w:rFonts w:hint="default" w:ascii="Times New Roman" w:hAnsi="Times New Roman" w:eastAsia="宋体" w:cs="Times New Roman"/>
                      <w:szCs w:val="21"/>
                      <w:highlight w:val="none"/>
                    </w:rPr>
                  </w:pPr>
                </w:p>
              </w:tc>
            </w:tr>
            <w:tr w14:paraId="4365CC5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vMerge w:val="continue"/>
                  <w:tcBorders>
                    <w:tl2br w:val="nil"/>
                    <w:tr2bl w:val="nil"/>
                  </w:tcBorders>
                  <w:vAlign w:val="center"/>
                </w:tcPr>
                <w:p w14:paraId="14A35D3B">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5A3C5AE0">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vAlign w:val="center"/>
                </w:tcPr>
                <w:p w14:paraId="5877374A">
                  <w:pPr>
                    <w:adjustRightInd w:val="0"/>
                    <w:snapToGrid w:val="0"/>
                    <w:jc w:val="center"/>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lang w:val="en-US" w:eastAsia="zh-CN"/>
                    </w:rPr>
                    <w:t>新风机房</w:t>
                  </w:r>
                </w:p>
              </w:tc>
              <w:tc>
                <w:tcPr>
                  <w:tcW w:w="4637" w:type="dxa"/>
                  <w:tcBorders>
                    <w:tl2br w:val="nil"/>
                    <w:tr2bl w:val="nil"/>
                  </w:tcBorders>
                </w:tcPr>
                <w:p w14:paraId="7090EBA5">
                  <w:pPr>
                    <w:adjustRightInd w:val="0"/>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42.75</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eastAsia="zh-CN"/>
                    </w:rPr>
                    <w:t>，</w:t>
                  </w:r>
                  <w:r>
                    <w:rPr>
                      <w:rFonts w:hint="default" w:ascii="Times New Roman" w:hAnsi="Times New Roman" w:eastAsia="宋体" w:cs="Times New Roman"/>
                      <w:szCs w:val="21"/>
                      <w:highlight w:val="none"/>
                    </w:rPr>
                    <w:t>安装</w:t>
                  </w:r>
                  <w:r>
                    <w:rPr>
                      <w:rFonts w:hint="default" w:ascii="Times New Roman" w:hAnsi="Times New Roman" w:eastAsia="宋体" w:cs="Times New Roman"/>
                      <w:szCs w:val="21"/>
                      <w:highlight w:val="none"/>
                      <w:lang w:val="en-US" w:eastAsia="zh-CN"/>
                    </w:rPr>
                    <w:t>1</w:t>
                  </w:r>
                  <w:r>
                    <w:rPr>
                      <w:rFonts w:hint="default" w:ascii="Times New Roman" w:hAnsi="Times New Roman" w:eastAsia="宋体" w:cs="Times New Roman"/>
                      <w:szCs w:val="21"/>
                      <w:highlight w:val="none"/>
                    </w:rPr>
                    <w:t>套新风系统</w:t>
                  </w:r>
                  <w:r>
                    <w:rPr>
                      <w:rFonts w:hint="default"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szCs w:val="21"/>
                      <w:highlight w:val="none"/>
                    </w:rPr>
                    <w:t>室外新鲜的空气经过</w:t>
                  </w:r>
                  <w:r>
                    <w:rPr>
                      <w:rFonts w:hint="default" w:ascii="Times New Roman" w:hAnsi="Times New Roman" w:eastAsia="宋体" w:cs="Times New Roman"/>
                      <w:szCs w:val="21"/>
                      <w:highlight w:val="none"/>
                      <w:lang w:val="en-US" w:eastAsia="zh-CN"/>
                    </w:rPr>
                    <w:t>三级</w:t>
                  </w:r>
                  <w:r>
                    <w:rPr>
                      <w:rFonts w:hint="default" w:ascii="Times New Roman" w:hAnsi="Times New Roman" w:eastAsia="宋体" w:cs="Times New Roman"/>
                      <w:szCs w:val="21"/>
                      <w:highlight w:val="none"/>
                    </w:rPr>
                    <w:t>过滤后进入</w:t>
                  </w:r>
                  <w:r>
                    <w:rPr>
                      <w:rFonts w:hint="default" w:ascii="Times New Roman" w:hAnsi="Times New Roman" w:eastAsia="宋体" w:cs="Times New Roman"/>
                      <w:szCs w:val="21"/>
                      <w:highlight w:val="none"/>
                      <w:lang w:val="en-US" w:eastAsia="zh-CN"/>
                    </w:rPr>
                    <w:t>实验室</w:t>
                  </w:r>
                  <w:r>
                    <w:rPr>
                      <w:rFonts w:hint="default" w:ascii="Times New Roman" w:hAnsi="Times New Roman" w:eastAsia="宋体" w:cs="Times New Roman"/>
                      <w:szCs w:val="21"/>
                      <w:highlight w:val="none"/>
                    </w:rPr>
                    <w:t>。</w:t>
                  </w:r>
                </w:p>
              </w:tc>
              <w:tc>
                <w:tcPr>
                  <w:tcW w:w="702" w:type="dxa"/>
                  <w:vMerge w:val="restart"/>
                  <w:tcBorders>
                    <w:tl2br w:val="nil"/>
                    <w:tr2bl w:val="nil"/>
                  </w:tcBorders>
                  <w:vAlign w:val="center"/>
                </w:tcPr>
                <w:p w14:paraId="37477BF6">
                  <w:pPr>
                    <w:adjustRightInd w:val="0"/>
                    <w:jc w:val="both"/>
                    <w:rPr>
                      <w:rFonts w:hint="default" w:ascii="Times New Roman" w:hAnsi="Times New Roman" w:eastAsia="宋体" w:cs="Times New Roman"/>
                      <w:szCs w:val="21"/>
                      <w:highlight w:val="none"/>
                      <w:lang w:val="en-US" w:eastAsia="zh-CN"/>
                    </w:rPr>
                  </w:pPr>
                </w:p>
                <w:p w14:paraId="74199829">
                  <w:pPr>
                    <w:adjustRightInd w:val="0"/>
                    <w:jc w:val="both"/>
                    <w:rPr>
                      <w:rFonts w:hint="default" w:ascii="Times New Roman" w:hAnsi="Times New Roman" w:eastAsia="宋体" w:cs="Times New Roman"/>
                      <w:szCs w:val="21"/>
                      <w:highlight w:val="none"/>
                      <w:lang w:val="en-US" w:eastAsia="zh-CN"/>
                    </w:rPr>
                  </w:pPr>
                </w:p>
                <w:p w14:paraId="0D17E69D">
                  <w:pPr>
                    <w:adjustRightInd w:val="0"/>
                    <w:jc w:val="both"/>
                    <w:rPr>
                      <w:rFonts w:hint="default" w:ascii="Times New Roman" w:hAnsi="Times New Roman" w:eastAsia="宋体" w:cs="Times New Roman"/>
                      <w:szCs w:val="21"/>
                      <w:highlight w:val="none"/>
                      <w:lang w:val="en-US" w:eastAsia="zh-CN"/>
                    </w:rPr>
                  </w:pPr>
                </w:p>
                <w:p w14:paraId="715E2F8A">
                  <w:pPr>
                    <w:adjustRightInd w:val="0"/>
                    <w:jc w:val="both"/>
                    <w:rPr>
                      <w:rFonts w:hint="default" w:ascii="Times New Roman" w:hAnsi="Times New Roman" w:eastAsia="宋体" w:cs="Times New Roman"/>
                      <w:szCs w:val="21"/>
                      <w:highlight w:val="none"/>
                      <w:lang w:val="en-US" w:eastAsia="zh-CN"/>
                    </w:rPr>
                  </w:pPr>
                </w:p>
                <w:p w14:paraId="472BE836">
                  <w:pPr>
                    <w:adjustRightInd w:val="0"/>
                    <w:jc w:val="both"/>
                    <w:rPr>
                      <w:rFonts w:hint="default" w:ascii="Times New Roman" w:hAnsi="Times New Roman" w:eastAsia="宋体" w:cs="Times New Roman"/>
                      <w:szCs w:val="21"/>
                      <w:highlight w:val="none"/>
                      <w:lang w:val="en-US" w:eastAsia="zh-CN"/>
                    </w:rPr>
                  </w:pPr>
                </w:p>
                <w:p w14:paraId="1EB51F45">
                  <w:pPr>
                    <w:adjustRightInd w:val="0"/>
                    <w:jc w:val="both"/>
                    <w:rPr>
                      <w:rFonts w:hint="default" w:ascii="Times New Roman" w:hAnsi="Times New Roman" w:eastAsia="宋体" w:cs="Times New Roman"/>
                      <w:szCs w:val="21"/>
                      <w:highlight w:val="none"/>
                      <w:lang w:val="en-US" w:eastAsia="zh-CN"/>
                    </w:rPr>
                  </w:pPr>
                </w:p>
                <w:p w14:paraId="5935D8E2">
                  <w:pPr>
                    <w:adjustRightInd w:val="0"/>
                    <w:jc w:val="both"/>
                    <w:rPr>
                      <w:rFonts w:hint="default" w:ascii="Times New Roman" w:hAnsi="Times New Roman" w:eastAsia="宋体" w:cs="Times New Roman"/>
                      <w:szCs w:val="21"/>
                      <w:highlight w:val="none"/>
                      <w:lang w:val="en-US" w:eastAsia="zh-CN"/>
                    </w:rPr>
                  </w:pPr>
                </w:p>
                <w:p w14:paraId="02AD0A03">
                  <w:pPr>
                    <w:adjustRightInd w:val="0"/>
                    <w:jc w:val="both"/>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新建</w:t>
                  </w:r>
                </w:p>
              </w:tc>
            </w:tr>
            <w:tr w14:paraId="1C7E70A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vMerge w:val="continue"/>
                  <w:tcBorders>
                    <w:tl2br w:val="nil"/>
                    <w:tr2bl w:val="nil"/>
                  </w:tcBorders>
                  <w:vAlign w:val="center"/>
                </w:tcPr>
                <w:p w14:paraId="31EE2EA4">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1B94AB41">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vAlign w:val="center"/>
                </w:tcPr>
                <w:p w14:paraId="425E3D80">
                  <w:pPr>
                    <w:adjustRightInd w:val="0"/>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空压机房</w:t>
                  </w:r>
                </w:p>
              </w:tc>
              <w:tc>
                <w:tcPr>
                  <w:tcW w:w="4637" w:type="dxa"/>
                  <w:tcBorders>
                    <w:tl2br w:val="nil"/>
                    <w:tr2bl w:val="nil"/>
                  </w:tcBorders>
                </w:tcPr>
                <w:p w14:paraId="1030BCDC">
                  <w:pPr>
                    <w:adjustRightInd w:val="0"/>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10.27</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eastAsia="zh-CN"/>
                    </w:rPr>
                    <w:t>，</w:t>
                  </w:r>
                  <w:r>
                    <w:rPr>
                      <w:rFonts w:hint="default" w:ascii="Times New Roman" w:hAnsi="Times New Roman" w:eastAsia="宋体" w:cs="Times New Roman"/>
                      <w:szCs w:val="21"/>
                      <w:highlight w:val="none"/>
                      <w:vertAlign w:val="baseline"/>
                      <w:lang w:val="en-US" w:eastAsia="zh-CN"/>
                    </w:rPr>
                    <w:t>为设备</w:t>
                  </w:r>
                  <w:r>
                    <w:rPr>
                      <w:rFonts w:hint="default" w:ascii="Times New Roman" w:hAnsi="Times New Roman" w:eastAsia="宋体" w:cs="Times New Roman"/>
                    </w:rPr>
                    <w:t>提供压缩空气（0.7~0.8MPa）。</w:t>
                  </w:r>
                </w:p>
              </w:tc>
              <w:tc>
                <w:tcPr>
                  <w:tcW w:w="702" w:type="dxa"/>
                  <w:vMerge w:val="continue"/>
                  <w:tcBorders>
                    <w:tl2br w:val="nil"/>
                    <w:tr2bl w:val="nil"/>
                  </w:tcBorders>
                  <w:vAlign w:val="center"/>
                </w:tcPr>
                <w:p w14:paraId="5B8D8C6C">
                  <w:pPr>
                    <w:adjustRightInd w:val="0"/>
                    <w:ind w:firstLine="420" w:firstLineChars="200"/>
                    <w:jc w:val="center"/>
                    <w:rPr>
                      <w:rFonts w:hint="default" w:ascii="Times New Roman" w:hAnsi="Times New Roman" w:eastAsia="宋体" w:cs="Times New Roman"/>
                      <w:szCs w:val="21"/>
                      <w:highlight w:val="none"/>
                    </w:rPr>
                  </w:pPr>
                </w:p>
              </w:tc>
            </w:tr>
            <w:tr w14:paraId="0A26C1F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vMerge w:val="continue"/>
                  <w:tcBorders>
                    <w:tl2br w:val="nil"/>
                    <w:tr2bl w:val="nil"/>
                  </w:tcBorders>
                  <w:vAlign w:val="center"/>
                </w:tcPr>
                <w:p w14:paraId="61E11685">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316DC4E2">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shd w:val="clear" w:color="auto" w:fill="auto"/>
                  <w:vAlign w:val="center"/>
                </w:tcPr>
                <w:p w14:paraId="282BA0F8">
                  <w:pPr>
                    <w:pStyle w:val="38"/>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lang w:val="en-US" w:eastAsia="zh-CN"/>
                    </w:rPr>
                    <w:t>储藏间</w:t>
                  </w:r>
                </w:p>
              </w:tc>
              <w:tc>
                <w:tcPr>
                  <w:tcW w:w="4637" w:type="dxa"/>
                  <w:tcBorders>
                    <w:tl2br w:val="nil"/>
                    <w:tr2bl w:val="nil"/>
                  </w:tcBorders>
                  <w:shd w:val="clear" w:color="auto" w:fill="auto"/>
                  <w:vAlign w:val="center"/>
                </w:tcPr>
                <w:p w14:paraId="34967E53">
                  <w:pPr>
                    <w:pStyle w:val="38"/>
                    <w:jc w:val="both"/>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lang w:val="en-US" w:eastAsia="zh-CN"/>
                    </w:rPr>
                    <w:t>17.06</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eastAsia="zh-CN"/>
                    </w:rPr>
                    <w:t>。</w:t>
                  </w:r>
                </w:p>
              </w:tc>
              <w:tc>
                <w:tcPr>
                  <w:tcW w:w="702" w:type="dxa"/>
                  <w:vMerge w:val="continue"/>
                  <w:tcBorders>
                    <w:tl2br w:val="nil"/>
                    <w:tr2bl w:val="nil"/>
                  </w:tcBorders>
                  <w:vAlign w:val="center"/>
                </w:tcPr>
                <w:p w14:paraId="73CAD9D1">
                  <w:pPr>
                    <w:adjustRightInd w:val="0"/>
                    <w:ind w:firstLine="420" w:firstLineChars="200"/>
                    <w:jc w:val="center"/>
                    <w:rPr>
                      <w:rFonts w:hint="default" w:ascii="Times New Roman" w:hAnsi="Times New Roman" w:eastAsia="宋体" w:cs="Times New Roman"/>
                      <w:szCs w:val="21"/>
                      <w:highlight w:val="none"/>
                    </w:rPr>
                  </w:pPr>
                </w:p>
              </w:tc>
            </w:tr>
            <w:tr w14:paraId="6250AA9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vMerge w:val="continue"/>
                  <w:tcBorders>
                    <w:tl2br w:val="nil"/>
                    <w:tr2bl w:val="nil"/>
                  </w:tcBorders>
                  <w:vAlign w:val="center"/>
                </w:tcPr>
                <w:p w14:paraId="567A1781">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0AF5D43B">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shd w:val="clear" w:color="auto" w:fill="auto"/>
                  <w:vAlign w:val="center"/>
                </w:tcPr>
                <w:p w14:paraId="62C5FA9F">
                  <w:pPr>
                    <w:pStyle w:val="38"/>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rPr>
                    <w:t>除湿机房及冷水机房</w:t>
                  </w:r>
                </w:p>
              </w:tc>
              <w:tc>
                <w:tcPr>
                  <w:tcW w:w="4637" w:type="dxa"/>
                  <w:tcBorders>
                    <w:tl2br w:val="nil"/>
                    <w:tr2bl w:val="nil"/>
                  </w:tcBorders>
                  <w:shd w:val="clear" w:color="auto" w:fill="auto"/>
                  <w:vAlign w:val="center"/>
                </w:tcPr>
                <w:p w14:paraId="0E617BD4">
                  <w:pPr>
                    <w:pStyle w:val="38"/>
                    <w:jc w:val="both"/>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rPr>
                    <w:t>35.</w:t>
                  </w:r>
                  <w:r>
                    <w:rPr>
                      <w:rFonts w:hint="default" w:ascii="Times New Roman" w:hAnsi="Times New Roman" w:eastAsia="宋体" w:cs="Times New Roman"/>
                      <w:lang w:val="en-US" w:eastAsia="zh-CN"/>
                    </w:rPr>
                    <w:t>7</w:t>
                  </w:r>
                  <w:r>
                    <w:rPr>
                      <w:rFonts w:hint="default" w:ascii="Times New Roman" w:hAnsi="Times New Roman" w:eastAsia="宋体" w:cs="Times New Roman"/>
                    </w:rPr>
                    <w:t>8</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eastAsia="zh-CN"/>
                    </w:rPr>
                    <w:t>，</w:t>
                  </w:r>
                  <w:r>
                    <w:rPr>
                      <w:rFonts w:hint="default" w:ascii="Times New Roman" w:hAnsi="Times New Roman" w:eastAsia="宋体" w:cs="Times New Roman"/>
                    </w:rPr>
                    <w:t>提供干燥环境，提供工艺冷冻水</w:t>
                  </w:r>
                  <w:r>
                    <w:rPr>
                      <w:rFonts w:hint="default" w:ascii="Times New Roman" w:hAnsi="Times New Roman" w:eastAsia="宋体" w:cs="Times New Roman"/>
                      <w:lang w:eastAsia="zh-CN"/>
                    </w:rPr>
                    <w:t>。</w:t>
                  </w:r>
                </w:p>
              </w:tc>
              <w:tc>
                <w:tcPr>
                  <w:tcW w:w="702" w:type="dxa"/>
                  <w:vMerge w:val="continue"/>
                  <w:tcBorders>
                    <w:tl2br w:val="nil"/>
                    <w:tr2bl w:val="nil"/>
                  </w:tcBorders>
                  <w:vAlign w:val="center"/>
                </w:tcPr>
                <w:p w14:paraId="303518F9">
                  <w:pPr>
                    <w:adjustRightInd w:val="0"/>
                    <w:ind w:firstLine="420" w:firstLineChars="200"/>
                    <w:jc w:val="center"/>
                    <w:rPr>
                      <w:rFonts w:hint="default" w:ascii="Times New Roman" w:hAnsi="Times New Roman" w:eastAsia="宋体" w:cs="Times New Roman"/>
                      <w:szCs w:val="21"/>
                      <w:highlight w:val="none"/>
                    </w:rPr>
                  </w:pPr>
                </w:p>
              </w:tc>
            </w:tr>
            <w:tr w14:paraId="501DCCD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vMerge w:val="continue"/>
                  <w:tcBorders>
                    <w:tl2br w:val="nil"/>
                    <w:tr2bl w:val="nil"/>
                  </w:tcBorders>
                  <w:vAlign w:val="center"/>
                </w:tcPr>
                <w:p w14:paraId="296CC882">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6299F730">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shd w:val="clear" w:color="auto" w:fill="auto"/>
                  <w:vAlign w:val="center"/>
                </w:tcPr>
                <w:p w14:paraId="41397B1C">
                  <w:pPr>
                    <w:pStyle w:val="38"/>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rPr>
                    <w:t>排烟机房</w:t>
                  </w:r>
                </w:p>
              </w:tc>
              <w:tc>
                <w:tcPr>
                  <w:tcW w:w="4637" w:type="dxa"/>
                  <w:tcBorders>
                    <w:tl2br w:val="nil"/>
                    <w:tr2bl w:val="nil"/>
                  </w:tcBorders>
                  <w:shd w:val="clear" w:color="auto" w:fill="auto"/>
                  <w:vAlign w:val="center"/>
                </w:tcPr>
                <w:p w14:paraId="08F100EC">
                  <w:pPr>
                    <w:pStyle w:val="38"/>
                    <w:jc w:val="both"/>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rPr>
                    <w:t>15.</w:t>
                  </w:r>
                  <w:r>
                    <w:rPr>
                      <w:rFonts w:hint="eastAsia" w:ascii="Times New Roman" w:hAnsi="Times New Roman" w:eastAsia="宋体" w:cs="Times New Roman"/>
                      <w:lang w:val="en-US" w:eastAsia="zh-CN"/>
                    </w:rPr>
                    <w:t>44</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eastAsia="zh-CN"/>
                    </w:rPr>
                    <w:t>，</w:t>
                  </w:r>
                  <w:r>
                    <w:rPr>
                      <w:rFonts w:hint="default" w:ascii="Times New Roman" w:hAnsi="Times New Roman" w:eastAsia="宋体" w:cs="Times New Roman"/>
                    </w:rPr>
                    <w:t>紧急</w:t>
                  </w:r>
                  <w:r>
                    <w:rPr>
                      <w:rFonts w:hint="default" w:ascii="Times New Roman" w:hAnsi="Times New Roman" w:eastAsia="宋体" w:cs="Times New Roman"/>
                      <w:lang w:val="en-US" w:eastAsia="zh-CN"/>
                    </w:rPr>
                    <w:t>情况下</w:t>
                  </w:r>
                  <w:r>
                    <w:rPr>
                      <w:rFonts w:hint="default" w:ascii="Times New Roman" w:hAnsi="Times New Roman" w:eastAsia="宋体" w:cs="Times New Roman"/>
                    </w:rPr>
                    <w:t>排出事故产生的有毒烟雾。</w:t>
                  </w:r>
                </w:p>
              </w:tc>
              <w:tc>
                <w:tcPr>
                  <w:tcW w:w="702" w:type="dxa"/>
                  <w:vMerge w:val="continue"/>
                  <w:tcBorders>
                    <w:tl2br w:val="nil"/>
                    <w:tr2bl w:val="nil"/>
                  </w:tcBorders>
                  <w:vAlign w:val="center"/>
                </w:tcPr>
                <w:p w14:paraId="06619CF6">
                  <w:pPr>
                    <w:adjustRightInd w:val="0"/>
                    <w:ind w:firstLine="420" w:firstLineChars="200"/>
                    <w:jc w:val="center"/>
                    <w:rPr>
                      <w:rFonts w:hint="default" w:ascii="Times New Roman" w:hAnsi="Times New Roman" w:eastAsia="宋体" w:cs="Times New Roman"/>
                      <w:szCs w:val="21"/>
                      <w:highlight w:val="none"/>
                    </w:rPr>
                  </w:pPr>
                </w:p>
              </w:tc>
            </w:tr>
            <w:tr w14:paraId="7BAE7BE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vMerge w:val="continue"/>
                  <w:tcBorders>
                    <w:tl2br w:val="nil"/>
                    <w:tr2bl w:val="nil"/>
                  </w:tcBorders>
                  <w:vAlign w:val="center"/>
                </w:tcPr>
                <w:p w14:paraId="70C40661">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2E07E033">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shd w:val="clear" w:color="auto" w:fill="auto"/>
                  <w:vAlign w:val="center"/>
                </w:tcPr>
                <w:p w14:paraId="335A0C91">
                  <w:pPr>
                    <w:pStyle w:val="38"/>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rPr>
                    <w:t>风井、电井、水暖井、空调管道</w:t>
                  </w:r>
                </w:p>
              </w:tc>
              <w:tc>
                <w:tcPr>
                  <w:tcW w:w="4637" w:type="dxa"/>
                  <w:tcBorders>
                    <w:tl2br w:val="nil"/>
                    <w:tr2bl w:val="nil"/>
                  </w:tcBorders>
                  <w:shd w:val="clear" w:color="auto" w:fill="auto"/>
                  <w:vAlign w:val="center"/>
                </w:tcPr>
                <w:p w14:paraId="37E58D59">
                  <w:pPr>
                    <w:pStyle w:val="38"/>
                    <w:jc w:val="both"/>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szCs w:val="21"/>
                      <w:highlight w:val="none"/>
                      <w:lang w:val="en-US" w:eastAsia="zh-CN"/>
                    </w:rPr>
                    <w:t>10.93</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vertAlign w:val="baseline"/>
                      <w:lang w:eastAsia="zh-CN"/>
                    </w:rPr>
                    <w:t>，</w:t>
                  </w:r>
                  <w:r>
                    <w:rPr>
                      <w:rFonts w:hint="default" w:ascii="Times New Roman" w:hAnsi="Times New Roman" w:eastAsia="宋体" w:cs="Times New Roman"/>
                    </w:rPr>
                    <w:t>输送新风/回风，集中布设电缆、给排水管。</w:t>
                  </w:r>
                </w:p>
              </w:tc>
              <w:tc>
                <w:tcPr>
                  <w:tcW w:w="702" w:type="dxa"/>
                  <w:vMerge w:val="continue"/>
                  <w:tcBorders>
                    <w:tl2br w:val="nil"/>
                    <w:tr2bl w:val="nil"/>
                  </w:tcBorders>
                  <w:vAlign w:val="center"/>
                </w:tcPr>
                <w:p w14:paraId="0347B146">
                  <w:pPr>
                    <w:adjustRightInd w:val="0"/>
                    <w:ind w:firstLine="420" w:firstLineChars="200"/>
                    <w:jc w:val="center"/>
                    <w:rPr>
                      <w:rFonts w:hint="default" w:ascii="Times New Roman" w:hAnsi="Times New Roman" w:eastAsia="宋体" w:cs="Times New Roman"/>
                      <w:szCs w:val="21"/>
                      <w:highlight w:val="none"/>
                    </w:rPr>
                  </w:pPr>
                </w:p>
              </w:tc>
            </w:tr>
            <w:tr w14:paraId="2FFE3C6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52" w:type="dxa"/>
                  <w:vMerge w:val="continue"/>
                  <w:tcBorders>
                    <w:tl2br w:val="nil"/>
                    <w:tr2bl w:val="nil"/>
                  </w:tcBorders>
                  <w:vAlign w:val="center"/>
                </w:tcPr>
                <w:p w14:paraId="3A7C4A87">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68C1D941">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vAlign w:val="center"/>
                </w:tcPr>
                <w:p w14:paraId="6FB890DD">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rPr>
                    <w:t>其他</w:t>
                  </w:r>
                </w:p>
              </w:tc>
              <w:tc>
                <w:tcPr>
                  <w:tcW w:w="4637" w:type="dxa"/>
                  <w:tcBorders>
                    <w:tl2br w:val="nil"/>
                    <w:tr2bl w:val="nil"/>
                  </w:tcBorders>
                  <w:vAlign w:val="center"/>
                </w:tcPr>
                <w:p w14:paraId="31F40B34">
                  <w:pPr>
                    <w:adjustRightInd w:val="0"/>
                    <w:snapToGrid w:val="0"/>
                    <w:jc w:val="left"/>
                    <w:rPr>
                      <w:rFonts w:hint="default" w:ascii="Times New Roman" w:hAnsi="Times New Roman" w:eastAsia="宋体" w:cs="Times New Roman"/>
                      <w:lang w:val="en-US" w:eastAsia="zh-CN"/>
                    </w:rPr>
                  </w:pPr>
                  <w:r>
                    <w:rPr>
                      <w:rFonts w:hint="default" w:ascii="Times New Roman" w:hAnsi="Times New Roman" w:eastAsia="宋体" w:cs="Times New Roman"/>
                    </w:rPr>
                    <w:t>电梯、电梯厅、接待区、楼梯、过道、门厅</w:t>
                  </w:r>
                  <w:r>
                    <w:rPr>
                      <w:rFonts w:hint="eastAsia" w:cs="Times New Roman"/>
                      <w:lang w:eastAsia="zh-CN"/>
                    </w:rPr>
                    <w:t>、</w:t>
                  </w:r>
                  <w:r>
                    <w:rPr>
                      <w:rFonts w:hint="eastAsia" w:cs="Times New Roman"/>
                      <w:lang w:val="en-US" w:eastAsia="zh-CN"/>
                    </w:rPr>
                    <w:t>预留区域</w:t>
                  </w:r>
                  <w:r>
                    <w:rPr>
                      <w:rFonts w:hint="default" w:ascii="Times New Roman" w:hAnsi="Times New Roman" w:eastAsia="宋体" w:cs="Times New Roman"/>
                    </w:rPr>
                    <w:t>等</w:t>
                  </w:r>
                  <w:r>
                    <w:rPr>
                      <w:rFonts w:hint="default" w:ascii="Times New Roman" w:hAnsi="Times New Roman" w:eastAsia="宋体" w:cs="Times New Roman"/>
                      <w:lang w:val="en-US" w:eastAsia="zh-CN"/>
                    </w:rPr>
                    <w:t>。</w:t>
                  </w:r>
                </w:p>
              </w:tc>
              <w:tc>
                <w:tcPr>
                  <w:tcW w:w="702" w:type="dxa"/>
                  <w:vMerge w:val="continue"/>
                  <w:tcBorders>
                    <w:tl2br w:val="nil"/>
                    <w:tr2bl w:val="nil"/>
                  </w:tcBorders>
                  <w:vAlign w:val="center"/>
                </w:tcPr>
                <w:p w14:paraId="3DEC5ED1">
                  <w:pPr>
                    <w:adjustRightInd w:val="0"/>
                    <w:snapToGrid w:val="0"/>
                    <w:jc w:val="center"/>
                    <w:rPr>
                      <w:rFonts w:hint="default" w:ascii="Times New Roman" w:hAnsi="Times New Roman" w:eastAsia="宋体" w:cs="Times New Roman"/>
                      <w:szCs w:val="21"/>
                      <w:highlight w:val="none"/>
                    </w:rPr>
                  </w:pPr>
                </w:p>
              </w:tc>
            </w:tr>
            <w:tr w14:paraId="22D2585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vMerge w:val="restart"/>
                  <w:tcBorders>
                    <w:tl2br w:val="nil"/>
                    <w:tr2bl w:val="nil"/>
                  </w:tcBorders>
                  <w:vAlign w:val="center"/>
                </w:tcPr>
                <w:p w14:paraId="476062BC">
                  <w:pPr>
                    <w:numPr>
                      <w:ilvl w:val="0"/>
                      <w:numId w:val="24"/>
                    </w:numPr>
                    <w:adjustRightInd w:val="0"/>
                    <w:snapToGrid w:val="0"/>
                    <w:jc w:val="center"/>
                    <w:rPr>
                      <w:rFonts w:hint="default" w:ascii="Times New Roman" w:hAnsi="Times New Roman" w:eastAsia="宋体" w:cs="Times New Roman"/>
                      <w:szCs w:val="21"/>
                      <w:highlight w:val="none"/>
                    </w:rPr>
                  </w:pPr>
                </w:p>
              </w:tc>
              <w:tc>
                <w:tcPr>
                  <w:tcW w:w="659" w:type="dxa"/>
                  <w:vMerge w:val="restart"/>
                  <w:tcBorders>
                    <w:tl2br w:val="nil"/>
                    <w:tr2bl w:val="nil"/>
                  </w:tcBorders>
                  <w:vAlign w:val="center"/>
                </w:tcPr>
                <w:p w14:paraId="57B890ED">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环保工程</w:t>
                  </w:r>
                </w:p>
              </w:tc>
              <w:tc>
                <w:tcPr>
                  <w:tcW w:w="1391" w:type="dxa"/>
                  <w:tcBorders>
                    <w:tl2br w:val="nil"/>
                    <w:tr2bl w:val="nil"/>
                  </w:tcBorders>
                  <w:vAlign w:val="center"/>
                </w:tcPr>
                <w:p w14:paraId="0A2B2167">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大气污染</w:t>
                  </w:r>
                </w:p>
                <w:p w14:paraId="5E9CAAA3">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防治</w:t>
                  </w:r>
                </w:p>
              </w:tc>
              <w:tc>
                <w:tcPr>
                  <w:tcW w:w="4637" w:type="dxa"/>
                  <w:tcBorders>
                    <w:tl2br w:val="nil"/>
                    <w:tr2bl w:val="nil"/>
                  </w:tcBorders>
                </w:tcPr>
                <w:p w14:paraId="0B4B66D4">
                  <w:pPr>
                    <w:rPr>
                      <w:rFonts w:hint="default"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沉淀反应过程的含氨含氟废气、酸解及检测废气经集气罩收集后进喷淋塔吸收处理后经21.5m高排气筒排放；熔炼、混合粉碎产生的含尘废气经集气罩收集后进袋式除尘器过滤后经21.5m高排气筒排放；其他实验过程及危化品间、危废暂存间废气经干式过滤器过滤后经21.5m高排气筒排放；</w:t>
                  </w:r>
                  <w:r>
                    <w:rPr>
                      <w:rFonts w:hint="default" w:ascii="Times New Roman" w:hAnsi="Times New Roman" w:eastAsia="宋体" w:cs="Times New Roman"/>
                      <w:color w:val="000000"/>
                      <w:kern w:val="0"/>
                      <w:sz w:val="21"/>
                      <w:szCs w:val="21"/>
                      <w:lang w:val="en-US" w:eastAsia="zh-CN" w:bidi="ar"/>
                    </w:rPr>
                    <w:t>喷雾干燥废气经自带的旋风+布袋收集后无组织排放。</w:t>
                  </w:r>
                </w:p>
              </w:tc>
              <w:tc>
                <w:tcPr>
                  <w:tcW w:w="702" w:type="dxa"/>
                  <w:tcBorders>
                    <w:tl2br w:val="nil"/>
                    <w:tr2bl w:val="nil"/>
                  </w:tcBorders>
                  <w:vAlign w:val="center"/>
                </w:tcPr>
                <w:p w14:paraId="4D391B1F">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新建</w:t>
                  </w:r>
                </w:p>
              </w:tc>
            </w:tr>
            <w:tr w14:paraId="22073E6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continue"/>
                  <w:tcBorders>
                    <w:tl2br w:val="nil"/>
                    <w:tr2bl w:val="nil"/>
                  </w:tcBorders>
                  <w:vAlign w:val="center"/>
                </w:tcPr>
                <w:p w14:paraId="7A94DB65">
                  <w:p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3BB1BC4F">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vAlign w:val="center"/>
                </w:tcPr>
                <w:p w14:paraId="2C91FE0A">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水污染防治</w:t>
                  </w:r>
                </w:p>
              </w:tc>
              <w:tc>
                <w:tcPr>
                  <w:tcW w:w="4637" w:type="dxa"/>
                  <w:tcBorders>
                    <w:tl2br w:val="nil"/>
                    <w:tr2bl w:val="nil"/>
                  </w:tcBorders>
                </w:tcPr>
                <w:p w14:paraId="6A976D9B">
                  <w:pPr>
                    <w:rPr>
                      <w:rFonts w:hint="default" w:ascii="Times New Roman" w:hAnsi="Times New Roman" w:eastAsia="宋体" w:cs="Times New Roman"/>
                      <w:szCs w:val="21"/>
                      <w:highlight w:val="none"/>
                      <w:lang w:val="en-US"/>
                    </w:rPr>
                  </w:pPr>
                  <w:r>
                    <w:rPr>
                      <w:rFonts w:hint="default" w:ascii="Times New Roman" w:hAnsi="Times New Roman" w:eastAsia="宋体" w:cs="Times New Roman"/>
                      <w:color w:val="000000"/>
                      <w:kern w:val="0"/>
                      <w:sz w:val="21"/>
                      <w:szCs w:val="21"/>
                      <w:lang w:val="en-US" w:eastAsia="zh-CN" w:bidi="ar"/>
                    </w:rPr>
                    <w:t>生活污水、纯水制备废水、设备第三遍清洗废水经园区内化粪池预处理后，经市政管网进入北京亦庄环境科技集团有限公司经开污水处理厂处理。</w:t>
                  </w:r>
                </w:p>
              </w:tc>
              <w:tc>
                <w:tcPr>
                  <w:tcW w:w="702" w:type="dxa"/>
                  <w:tcBorders>
                    <w:tl2br w:val="nil"/>
                    <w:tr2bl w:val="nil"/>
                  </w:tcBorders>
                  <w:vAlign w:val="center"/>
                </w:tcPr>
                <w:p w14:paraId="565BFD0A">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依托</w:t>
                  </w:r>
                </w:p>
              </w:tc>
            </w:tr>
            <w:tr w14:paraId="630A2D9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vMerge w:val="continue"/>
                  <w:tcBorders>
                    <w:tl2br w:val="nil"/>
                    <w:tr2bl w:val="nil"/>
                  </w:tcBorders>
                  <w:vAlign w:val="center"/>
                </w:tcPr>
                <w:p w14:paraId="0AF2B49E">
                  <w:p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1C07BCC9">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vAlign w:val="center"/>
                </w:tcPr>
                <w:p w14:paraId="4C523E29">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噪声污染</w:t>
                  </w:r>
                </w:p>
                <w:p w14:paraId="6FE22503">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防治</w:t>
                  </w:r>
                </w:p>
              </w:tc>
              <w:tc>
                <w:tcPr>
                  <w:tcW w:w="4637" w:type="dxa"/>
                  <w:tcBorders>
                    <w:tl2br w:val="nil"/>
                    <w:tr2bl w:val="nil"/>
                  </w:tcBorders>
                  <w:vAlign w:val="center"/>
                </w:tcPr>
                <w:p w14:paraId="51B2D48E">
                  <w:pPr>
                    <w:adjustRightInd w:val="0"/>
                    <w:snapToGrid w:val="0"/>
                    <w:rPr>
                      <w:rFonts w:hint="default" w:ascii="Times New Roman" w:hAnsi="Times New Roman" w:eastAsia="宋体" w:cs="Times New Roman"/>
                      <w:szCs w:val="21"/>
                      <w:highlight w:val="none"/>
                    </w:rPr>
                  </w:pPr>
                  <w:r>
                    <w:rPr>
                      <w:rFonts w:hint="default" w:ascii="Times New Roman" w:hAnsi="Times New Roman" w:eastAsia="宋体" w:cs="Times New Roman"/>
                      <w:color w:val="000000"/>
                      <w:kern w:val="0"/>
                      <w:sz w:val="21"/>
                      <w:szCs w:val="21"/>
                      <w:lang w:val="en-US" w:eastAsia="zh-CN" w:bidi="ar"/>
                    </w:rPr>
                    <w:t>选用低噪声设备、厂房隔声、设置隔声罩、减振垫等措施。</w:t>
                  </w:r>
                </w:p>
              </w:tc>
              <w:tc>
                <w:tcPr>
                  <w:tcW w:w="702" w:type="dxa"/>
                  <w:tcBorders>
                    <w:tl2br w:val="nil"/>
                    <w:tr2bl w:val="nil"/>
                  </w:tcBorders>
                  <w:vAlign w:val="center"/>
                </w:tcPr>
                <w:p w14:paraId="54913E26">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新建</w:t>
                  </w:r>
                </w:p>
              </w:tc>
            </w:tr>
            <w:tr w14:paraId="52FAE7C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continue"/>
                  <w:tcBorders>
                    <w:tl2br w:val="nil"/>
                    <w:tr2bl w:val="nil"/>
                  </w:tcBorders>
                  <w:vAlign w:val="center"/>
                </w:tcPr>
                <w:p w14:paraId="1883E861">
                  <w:pPr>
                    <w:adjustRightInd w:val="0"/>
                    <w:snapToGrid w:val="0"/>
                    <w:jc w:val="center"/>
                    <w:rPr>
                      <w:rFonts w:hint="default" w:ascii="Times New Roman" w:hAnsi="Times New Roman" w:eastAsia="宋体" w:cs="Times New Roman"/>
                      <w:szCs w:val="21"/>
                      <w:highlight w:val="none"/>
                    </w:rPr>
                  </w:pPr>
                </w:p>
              </w:tc>
              <w:tc>
                <w:tcPr>
                  <w:tcW w:w="659" w:type="dxa"/>
                  <w:vMerge w:val="continue"/>
                  <w:tcBorders>
                    <w:tl2br w:val="nil"/>
                    <w:tr2bl w:val="nil"/>
                  </w:tcBorders>
                  <w:vAlign w:val="center"/>
                </w:tcPr>
                <w:p w14:paraId="177681A5">
                  <w:pPr>
                    <w:adjustRightInd w:val="0"/>
                    <w:snapToGrid w:val="0"/>
                    <w:jc w:val="center"/>
                    <w:rPr>
                      <w:rFonts w:hint="default" w:ascii="Times New Roman" w:hAnsi="Times New Roman" w:eastAsia="宋体" w:cs="Times New Roman"/>
                      <w:szCs w:val="21"/>
                      <w:highlight w:val="none"/>
                    </w:rPr>
                  </w:pPr>
                </w:p>
              </w:tc>
              <w:tc>
                <w:tcPr>
                  <w:tcW w:w="1391" w:type="dxa"/>
                  <w:tcBorders>
                    <w:tl2br w:val="nil"/>
                    <w:tr2bl w:val="nil"/>
                  </w:tcBorders>
                  <w:vAlign w:val="center"/>
                </w:tcPr>
                <w:p w14:paraId="29CF5D4C">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固体废物</w:t>
                  </w:r>
                </w:p>
                <w:p w14:paraId="38585775">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污染</w:t>
                  </w:r>
                  <w:r>
                    <w:rPr>
                      <w:rFonts w:hint="default" w:ascii="Times New Roman" w:hAnsi="Times New Roman" w:eastAsia="宋体" w:cs="Times New Roman"/>
                      <w:szCs w:val="21"/>
                      <w:highlight w:val="none"/>
                    </w:rPr>
                    <w:t>防治</w:t>
                  </w:r>
                </w:p>
              </w:tc>
              <w:tc>
                <w:tcPr>
                  <w:tcW w:w="4637" w:type="dxa"/>
                  <w:tcBorders>
                    <w:tl2br w:val="nil"/>
                    <w:tr2bl w:val="nil"/>
                  </w:tcBorders>
                  <w:vAlign w:val="center"/>
                </w:tcPr>
                <w:p w14:paraId="28A0B014">
                  <w:pP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建设一般固废间、危险废物暂存间分别收集贮存一般固废和危险废物。</w:t>
                  </w:r>
                </w:p>
                <w:p w14:paraId="341B6815">
                  <w:pP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未沾染化学试剂的</w:t>
                  </w:r>
                  <w:r>
                    <w:rPr>
                      <w:rFonts w:hint="default" w:ascii="Times New Roman" w:hAnsi="Times New Roman" w:eastAsia="宋体" w:cs="Times New Roman"/>
                      <w:szCs w:val="21"/>
                      <w:highlight w:val="none"/>
                    </w:rPr>
                    <w:t>废包装材料</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lang w:val="en-US" w:eastAsia="zh-CN"/>
                    </w:rPr>
                    <w:t>废金属实验件、废金属边角料、废护盒、废铜线、废铁芯由物资回收部门回收；废空气滤芯、纯水制备废滤芯、废分子筛由厂家回收。</w:t>
                  </w:r>
                </w:p>
                <w:p w14:paraId="10A4A814">
                  <w:pP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危险废物由资质单位收集处理。</w:t>
                  </w:r>
                </w:p>
              </w:tc>
              <w:tc>
                <w:tcPr>
                  <w:tcW w:w="702" w:type="dxa"/>
                  <w:tcBorders>
                    <w:tl2br w:val="nil"/>
                    <w:tr2bl w:val="nil"/>
                  </w:tcBorders>
                  <w:vAlign w:val="center"/>
                </w:tcPr>
                <w:p w14:paraId="328C7F42">
                  <w:pPr>
                    <w:adjustRightInd w:val="0"/>
                    <w:snapToGrid w:val="0"/>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新建</w:t>
                  </w:r>
                </w:p>
              </w:tc>
            </w:tr>
          </w:tbl>
          <w:p w14:paraId="65EA79E2">
            <w:pPr>
              <w:adjustRightInd w:val="0"/>
              <w:snapToGrid w:val="0"/>
              <w:rPr>
                <w:rFonts w:hint="default" w:ascii="Times New Roman" w:hAnsi="Times New Roman" w:eastAsia="宋体" w:cs="Times New Roman"/>
                <w:bCs/>
                <w:sz w:val="24"/>
                <w:highlight w:val="none"/>
              </w:rPr>
            </w:pPr>
          </w:p>
          <w:p w14:paraId="18BF4E1A">
            <w:pPr>
              <w:numPr>
                <w:ilvl w:val="0"/>
                <w:numId w:val="22"/>
              </w:numPr>
              <w:tabs>
                <w:tab w:val="left" w:pos="0"/>
              </w:tabs>
              <w:adjustRightInd w:val="0"/>
              <w:snapToGrid w:val="0"/>
              <w:spacing w:line="360" w:lineRule="auto"/>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项目规模</w:t>
            </w:r>
          </w:p>
          <w:p w14:paraId="7E24070B">
            <w:pPr>
              <w:adjustRightInd w:val="0"/>
              <w:snapToGrid w:val="0"/>
              <w:spacing w:line="360" w:lineRule="auto"/>
              <w:ind w:firstLine="360" w:firstLineChars="15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本项目投产后，从事金属材料实验、纳米晶体材料实验、电池材料实验、仿真模拟实验等研发，年进行研发实验600次。</w:t>
            </w:r>
          </w:p>
          <w:p w14:paraId="472F3BC3">
            <w:pPr>
              <w:numPr>
                <w:ilvl w:val="0"/>
                <w:numId w:val="22"/>
              </w:numPr>
              <w:tabs>
                <w:tab w:val="left" w:pos="0"/>
              </w:tabs>
              <w:adjustRightInd w:val="0"/>
              <w:snapToGrid w:val="0"/>
              <w:spacing w:line="360" w:lineRule="auto"/>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主要设施</w:t>
            </w:r>
          </w:p>
          <w:p w14:paraId="7A1490F6">
            <w:pPr>
              <w:spacing w:line="360" w:lineRule="auto"/>
              <w:ind w:firstLine="480" w:firstLineChars="200"/>
              <w:rPr>
                <w:rFonts w:hint="default" w:ascii="Times New Roman" w:hAnsi="Times New Roman" w:eastAsia="宋体" w:cs="Times New Roman"/>
                <w:b/>
                <w:kern w:val="0"/>
                <w:sz w:val="24"/>
                <w:highlight w:val="none"/>
              </w:rPr>
            </w:pPr>
            <w:r>
              <w:rPr>
                <w:rFonts w:hint="default" w:ascii="Times New Roman" w:hAnsi="Times New Roman" w:eastAsia="宋体" w:cs="Times New Roman"/>
                <w:sz w:val="24"/>
                <w:highlight w:val="none"/>
              </w:rPr>
              <w:t>项目主要设施详见下表。</w:t>
            </w:r>
          </w:p>
          <w:p w14:paraId="020A2781">
            <w:pPr>
              <w:numPr>
                <w:ilvl w:val="0"/>
                <w:numId w:val="23"/>
              </w:numPr>
              <w:spacing w:line="360" w:lineRule="auto"/>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kern w:val="0"/>
                <w:sz w:val="24"/>
                <w:highlight w:val="none"/>
              </w:rPr>
              <w:t>项目主要设施一览表</w:t>
            </w:r>
          </w:p>
          <w:tbl>
            <w:tblPr>
              <w:tblStyle w:val="17"/>
              <w:tblW w:w="8135"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57"/>
              <w:gridCol w:w="1575"/>
              <w:gridCol w:w="1866"/>
              <w:gridCol w:w="840"/>
              <w:gridCol w:w="1687"/>
              <w:gridCol w:w="1610"/>
            </w:tblGrid>
            <w:tr w14:paraId="3BC624C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42" w:type="pct"/>
                  <w:tcBorders>
                    <w:tl2br w:val="nil"/>
                    <w:tr2bl w:val="nil"/>
                  </w:tcBorders>
                  <w:shd w:val="clear" w:color="auto" w:fill="auto"/>
                  <w:noWrap/>
                  <w:vAlign w:val="center"/>
                </w:tcPr>
                <w:p w14:paraId="125A8E97">
                  <w:pPr>
                    <w:widowControl/>
                    <w:jc w:val="center"/>
                    <w:rPr>
                      <w:rFonts w:hint="default" w:ascii="Times New Roman" w:hAnsi="Times New Roman" w:eastAsia="宋体" w:cs="Times New Roman"/>
                      <w:b/>
                      <w:bCs/>
                      <w:kern w:val="0"/>
                      <w:sz w:val="18"/>
                      <w:szCs w:val="18"/>
                    </w:rPr>
                  </w:pPr>
                  <w:r>
                    <w:rPr>
                      <w:rFonts w:hint="default" w:ascii="Times New Roman" w:hAnsi="Times New Roman" w:eastAsia="宋体" w:cs="Times New Roman"/>
                      <w:b/>
                      <w:bCs/>
                      <w:kern w:val="0"/>
                      <w:sz w:val="18"/>
                      <w:szCs w:val="18"/>
                    </w:rPr>
                    <w:t>序号</w:t>
                  </w:r>
                </w:p>
              </w:tc>
              <w:tc>
                <w:tcPr>
                  <w:tcW w:w="968" w:type="pct"/>
                  <w:tcBorders>
                    <w:tl2br w:val="nil"/>
                    <w:tr2bl w:val="nil"/>
                  </w:tcBorders>
                  <w:shd w:val="clear" w:color="auto" w:fill="auto"/>
                  <w:vAlign w:val="center"/>
                </w:tcPr>
                <w:p w14:paraId="371CDFC4">
                  <w:pPr>
                    <w:widowControl/>
                    <w:jc w:val="center"/>
                    <w:rPr>
                      <w:rFonts w:hint="default" w:ascii="Times New Roman" w:hAnsi="Times New Roman" w:eastAsia="宋体" w:cs="Times New Roman"/>
                      <w:b/>
                      <w:bCs/>
                      <w:kern w:val="0"/>
                      <w:sz w:val="18"/>
                      <w:szCs w:val="18"/>
                    </w:rPr>
                  </w:pPr>
                  <w:r>
                    <w:rPr>
                      <w:rFonts w:hint="default" w:ascii="Times New Roman" w:hAnsi="Times New Roman" w:eastAsia="宋体" w:cs="Times New Roman"/>
                      <w:b/>
                      <w:bCs/>
                      <w:kern w:val="0"/>
                      <w:sz w:val="18"/>
                      <w:szCs w:val="18"/>
                    </w:rPr>
                    <w:t>设备名称</w:t>
                  </w:r>
                </w:p>
              </w:tc>
              <w:tc>
                <w:tcPr>
                  <w:tcW w:w="1146" w:type="pct"/>
                  <w:tcBorders>
                    <w:tl2br w:val="nil"/>
                    <w:tr2bl w:val="nil"/>
                  </w:tcBorders>
                  <w:shd w:val="clear" w:color="auto" w:fill="auto"/>
                  <w:vAlign w:val="center"/>
                </w:tcPr>
                <w:p w14:paraId="69C142C9">
                  <w:pPr>
                    <w:widowControl/>
                    <w:jc w:val="center"/>
                    <w:rPr>
                      <w:rFonts w:hint="default" w:ascii="Times New Roman" w:hAnsi="Times New Roman" w:eastAsia="宋体" w:cs="Times New Roman"/>
                      <w:b/>
                      <w:bCs/>
                      <w:kern w:val="0"/>
                      <w:sz w:val="18"/>
                      <w:szCs w:val="18"/>
                    </w:rPr>
                  </w:pPr>
                  <w:r>
                    <w:rPr>
                      <w:rFonts w:hint="default" w:ascii="Times New Roman" w:hAnsi="Times New Roman" w:eastAsia="宋体" w:cs="Times New Roman"/>
                      <w:b/>
                      <w:bCs/>
                      <w:kern w:val="0"/>
                      <w:sz w:val="18"/>
                      <w:szCs w:val="18"/>
                    </w:rPr>
                    <w:t>型号</w:t>
                  </w:r>
                </w:p>
              </w:tc>
              <w:tc>
                <w:tcPr>
                  <w:tcW w:w="516" w:type="pct"/>
                  <w:tcBorders>
                    <w:tl2br w:val="nil"/>
                    <w:tr2bl w:val="nil"/>
                  </w:tcBorders>
                  <w:shd w:val="clear" w:color="auto" w:fill="auto"/>
                  <w:noWrap/>
                  <w:vAlign w:val="center"/>
                </w:tcPr>
                <w:p w14:paraId="362BF808">
                  <w:pPr>
                    <w:widowControl/>
                    <w:jc w:val="center"/>
                    <w:rPr>
                      <w:rFonts w:hint="default" w:ascii="Times New Roman" w:hAnsi="Times New Roman" w:eastAsia="宋体" w:cs="Times New Roman"/>
                      <w:b/>
                      <w:bCs/>
                      <w:kern w:val="0"/>
                      <w:sz w:val="18"/>
                      <w:szCs w:val="18"/>
                    </w:rPr>
                  </w:pPr>
                  <w:r>
                    <w:rPr>
                      <w:rFonts w:hint="default" w:ascii="Times New Roman" w:hAnsi="Times New Roman" w:eastAsia="宋体" w:cs="Times New Roman"/>
                      <w:b/>
                      <w:bCs/>
                      <w:kern w:val="0"/>
                      <w:sz w:val="18"/>
                      <w:szCs w:val="18"/>
                    </w:rPr>
                    <w:t>数量</w:t>
                  </w:r>
                </w:p>
                <w:p w14:paraId="4FD70AAB">
                  <w:pPr>
                    <w:widowControl/>
                    <w:jc w:val="center"/>
                    <w:rPr>
                      <w:rFonts w:hint="default" w:ascii="Times New Roman" w:hAnsi="Times New Roman" w:eastAsia="宋体" w:cs="Times New Roman"/>
                      <w:b/>
                      <w:bCs/>
                      <w:kern w:val="0"/>
                      <w:sz w:val="18"/>
                      <w:szCs w:val="18"/>
                    </w:rPr>
                  </w:pPr>
                  <w:r>
                    <w:rPr>
                      <w:rFonts w:hint="default" w:ascii="Times New Roman" w:hAnsi="Times New Roman" w:eastAsia="宋体" w:cs="Times New Roman"/>
                      <w:b/>
                      <w:bCs/>
                      <w:kern w:val="0"/>
                      <w:sz w:val="18"/>
                      <w:szCs w:val="18"/>
                    </w:rPr>
                    <w:t>台/套</w:t>
                  </w:r>
                </w:p>
              </w:tc>
              <w:tc>
                <w:tcPr>
                  <w:tcW w:w="1036" w:type="pct"/>
                  <w:tcBorders>
                    <w:tl2br w:val="nil"/>
                    <w:tr2bl w:val="nil"/>
                  </w:tcBorders>
                  <w:shd w:val="clear" w:color="auto" w:fill="auto"/>
                  <w:vAlign w:val="center"/>
                </w:tcPr>
                <w:p w14:paraId="07C13211">
                  <w:pPr>
                    <w:widowControl/>
                    <w:jc w:val="center"/>
                    <w:rPr>
                      <w:rFonts w:hint="default" w:ascii="Times New Roman" w:hAnsi="Times New Roman" w:eastAsia="宋体" w:cs="Times New Roman"/>
                      <w:b/>
                      <w:bCs/>
                      <w:kern w:val="0"/>
                      <w:sz w:val="18"/>
                      <w:szCs w:val="18"/>
                    </w:rPr>
                  </w:pPr>
                  <w:r>
                    <w:rPr>
                      <w:rFonts w:hint="default" w:ascii="Times New Roman" w:hAnsi="Times New Roman" w:eastAsia="宋体" w:cs="Times New Roman"/>
                      <w:b/>
                      <w:bCs/>
                      <w:kern w:val="0"/>
                      <w:sz w:val="18"/>
                      <w:szCs w:val="18"/>
                    </w:rPr>
                    <w:t>位置</w:t>
                  </w:r>
                </w:p>
              </w:tc>
              <w:tc>
                <w:tcPr>
                  <w:tcW w:w="989" w:type="pct"/>
                  <w:tcBorders>
                    <w:tl2br w:val="nil"/>
                    <w:tr2bl w:val="nil"/>
                  </w:tcBorders>
                  <w:shd w:val="clear" w:color="auto" w:fill="auto"/>
                  <w:vAlign w:val="center"/>
                </w:tcPr>
                <w:p w14:paraId="19AA77E4">
                  <w:pPr>
                    <w:widowControl/>
                    <w:jc w:val="center"/>
                    <w:rPr>
                      <w:rFonts w:hint="default" w:ascii="Times New Roman" w:hAnsi="Times New Roman" w:eastAsia="宋体" w:cs="Times New Roman"/>
                      <w:b/>
                      <w:bCs/>
                      <w:kern w:val="0"/>
                      <w:sz w:val="18"/>
                      <w:szCs w:val="18"/>
                    </w:rPr>
                  </w:pPr>
                  <w:r>
                    <w:rPr>
                      <w:rFonts w:hint="default" w:ascii="Times New Roman" w:hAnsi="Times New Roman" w:eastAsia="宋体" w:cs="Times New Roman"/>
                      <w:b/>
                      <w:bCs/>
                      <w:kern w:val="0"/>
                      <w:sz w:val="18"/>
                      <w:szCs w:val="18"/>
                    </w:rPr>
                    <w:t>用途</w:t>
                  </w:r>
                </w:p>
              </w:tc>
            </w:tr>
            <w:tr w14:paraId="54544A6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5000" w:type="pct"/>
                  <w:gridSpan w:val="6"/>
                  <w:tcBorders>
                    <w:tl2br w:val="nil"/>
                    <w:tr2bl w:val="nil"/>
                  </w:tcBorders>
                  <w:shd w:val="clear" w:color="auto" w:fill="auto"/>
                  <w:noWrap/>
                  <w:vAlign w:val="center"/>
                </w:tcPr>
                <w:p w14:paraId="3B7D633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一、金属材料研究室</w:t>
                  </w:r>
                </w:p>
              </w:tc>
            </w:tr>
            <w:tr w14:paraId="36A3084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40B6992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968" w:type="pct"/>
                  <w:tcBorders>
                    <w:tl2br w:val="nil"/>
                    <w:tr2bl w:val="nil"/>
                  </w:tcBorders>
                  <w:shd w:val="clear" w:color="auto" w:fill="auto"/>
                  <w:vAlign w:val="center"/>
                </w:tcPr>
                <w:p w14:paraId="381E10D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场发射扫描电镜</w:t>
                  </w:r>
                </w:p>
              </w:tc>
              <w:tc>
                <w:tcPr>
                  <w:tcW w:w="1146" w:type="pct"/>
                  <w:tcBorders>
                    <w:tl2br w:val="nil"/>
                    <w:tr2bl w:val="nil"/>
                  </w:tcBorders>
                  <w:shd w:val="clear" w:color="auto" w:fill="auto"/>
                  <w:vAlign w:val="center"/>
                </w:tcPr>
                <w:p w14:paraId="7478A6E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CLARA</w:t>
                  </w:r>
                </w:p>
              </w:tc>
              <w:tc>
                <w:tcPr>
                  <w:tcW w:w="516" w:type="pct"/>
                  <w:tcBorders>
                    <w:tl2br w:val="nil"/>
                    <w:tr2bl w:val="nil"/>
                  </w:tcBorders>
                  <w:shd w:val="clear" w:color="auto" w:fill="auto"/>
                  <w:noWrap/>
                  <w:vAlign w:val="center"/>
                </w:tcPr>
                <w:p w14:paraId="53A7B87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645DAC3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二层SEM室</w:t>
                  </w:r>
                </w:p>
              </w:tc>
              <w:tc>
                <w:tcPr>
                  <w:tcW w:w="989" w:type="pct"/>
                  <w:tcBorders>
                    <w:tl2br w:val="nil"/>
                    <w:tr2bl w:val="nil"/>
                  </w:tcBorders>
                  <w:shd w:val="clear" w:color="auto" w:fill="auto"/>
                  <w:vAlign w:val="center"/>
                </w:tcPr>
                <w:p w14:paraId="78A3954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微观组织表征</w:t>
                  </w:r>
                </w:p>
              </w:tc>
            </w:tr>
            <w:tr w14:paraId="2EA65C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2781884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w:t>
                  </w:r>
                </w:p>
              </w:tc>
              <w:tc>
                <w:tcPr>
                  <w:tcW w:w="968" w:type="pct"/>
                  <w:tcBorders>
                    <w:tl2br w:val="nil"/>
                    <w:tr2bl w:val="nil"/>
                  </w:tcBorders>
                  <w:shd w:val="clear" w:color="auto" w:fill="auto"/>
                  <w:vAlign w:val="center"/>
                </w:tcPr>
                <w:p w14:paraId="2F54CDC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FIB双束电镜</w:t>
                  </w:r>
                </w:p>
              </w:tc>
              <w:tc>
                <w:tcPr>
                  <w:tcW w:w="1146" w:type="pct"/>
                  <w:tcBorders>
                    <w:tl2br w:val="nil"/>
                    <w:tr2bl w:val="nil"/>
                  </w:tcBorders>
                  <w:shd w:val="clear" w:color="auto" w:fill="auto"/>
                  <w:vAlign w:val="center"/>
                </w:tcPr>
                <w:p w14:paraId="63670C8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Helios 5</w:t>
                  </w:r>
                </w:p>
              </w:tc>
              <w:tc>
                <w:tcPr>
                  <w:tcW w:w="516" w:type="pct"/>
                  <w:tcBorders>
                    <w:tl2br w:val="nil"/>
                    <w:tr2bl w:val="nil"/>
                  </w:tcBorders>
                  <w:shd w:val="clear" w:color="auto" w:fill="auto"/>
                  <w:noWrap/>
                  <w:vAlign w:val="center"/>
                </w:tcPr>
                <w:p w14:paraId="0359857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1C61226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二层FIB室</w:t>
                  </w:r>
                </w:p>
              </w:tc>
              <w:tc>
                <w:tcPr>
                  <w:tcW w:w="989" w:type="pct"/>
                  <w:tcBorders>
                    <w:tl2br w:val="nil"/>
                    <w:tr2bl w:val="nil"/>
                  </w:tcBorders>
                  <w:shd w:val="clear" w:color="auto" w:fill="auto"/>
                  <w:vAlign w:val="center"/>
                </w:tcPr>
                <w:p w14:paraId="5572C2C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微观组织表征</w:t>
                  </w:r>
                </w:p>
              </w:tc>
            </w:tr>
            <w:tr w14:paraId="749467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3F34942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3</w:t>
                  </w:r>
                </w:p>
              </w:tc>
              <w:tc>
                <w:tcPr>
                  <w:tcW w:w="968" w:type="pct"/>
                  <w:tcBorders>
                    <w:tl2br w:val="nil"/>
                    <w:tr2bl w:val="nil"/>
                  </w:tcBorders>
                  <w:shd w:val="clear" w:color="auto" w:fill="auto"/>
                  <w:vAlign w:val="center"/>
                </w:tcPr>
                <w:p w14:paraId="5F2515E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热/力模拟</w:t>
                  </w:r>
                  <w:r>
                    <w:rPr>
                      <w:rFonts w:hint="default" w:ascii="Times New Roman" w:hAnsi="Times New Roman" w:eastAsia="宋体" w:cs="Times New Roman"/>
                      <w:kern w:val="0"/>
                      <w:sz w:val="18"/>
                      <w:szCs w:val="18"/>
                      <w:lang w:eastAsia="zh-CN"/>
                    </w:rPr>
                    <w:t>实验</w:t>
                  </w:r>
                  <w:r>
                    <w:rPr>
                      <w:rFonts w:hint="default" w:ascii="Times New Roman" w:hAnsi="Times New Roman" w:eastAsia="宋体" w:cs="Times New Roman"/>
                      <w:kern w:val="0"/>
                      <w:sz w:val="18"/>
                      <w:szCs w:val="18"/>
                    </w:rPr>
                    <w:t>机</w:t>
                  </w:r>
                </w:p>
              </w:tc>
              <w:tc>
                <w:tcPr>
                  <w:tcW w:w="1146" w:type="pct"/>
                  <w:tcBorders>
                    <w:tl2br w:val="nil"/>
                    <w:tr2bl w:val="nil"/>
                  </w:tcBorders>
                  <w:shd w:val="clear" w:color="auto" w:fill="auto"/>
                  <w:vAlign w:val="center"/>
                </w:tcPr>
                <w:p w14:paraId="2CC6286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gleeble 3800</w:t>
                  </w:r>
                </w:p>
              </w:tc>
              <w:tc>
                <w:tcPr>
                  <w:tcW w:w="516" w:type="pct"/>
                  <w:tcBorders>
                    <w:tl2br w:val="nil"/>
                    <w:tr2bl w:val="nil"/>
                  </w:tcBorders>
                  <w:shd w:val="clear" w:color="auto" w:fill="auto"/>
                  <w:noWrap/>
                  <w:vAlign w:val="center"/>
                </w:tcPr>
                <w:p w14:paraId="4909611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07DFAA5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一层模拟实验室</w:t>
                  </w:r>
                </w:p>
              </w:tc>
              <w:tc>
                <w:tcPr>
                  <w:tcW w:w="989" w:type="pct"/>
                  <w:tcBorders>
                    <w:tl2br w:val="nil"/>
                    <w:tr2bl w:val="nil"/>
                  </w:tcBorders>
                  <w:shd w:val="clear" w:color="auto" w:fill="auto"/>
                  <w:vAlign w:val="center"/>
                </w:tcPr>
                <w:p w14:paraId="2A96C1C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热机械模拟实验</w:t>
                  </w:r>
                </w:p>
              </w:tc>
            </w:tr>
            <w:tr w14:paraId="7081BB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7C47F80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4</w:t>
                  </w:r>
                </w:p>
              </w:tc>
              <w:tc>
                <w:tcPr>
                  <w:tcW w:w="968" w:type="pct"/>
                  <w:tcBorders>
                    <w:tl2br w:val="nil"/>
                    <w:tr2bl w:val="nil"/>
                  </w:tcBorders>
                  <w:shd w:val="clear" w:color="auto" w:fill="auto"/>
                  <w:vAlign w:val="center"/>
                </w:tcPr>
                <w:p w14:paraId="7003F38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ICP-OES光谱仪</w:t>
                  </w:r>
                </w:p>
              </w:tc>
              <w:tc>
                <w:tcPr>
                  <w:tcW w:w="1146" w:type="pct"/>
                  <w:tcBorders>
                    <w:tl2br w:val="nil"/>
                    <w:tr2bl w:val="nil"/>
                  </w:tcBorders>
                  <w:shd w:val="clear" w:color="auto" w:fill="auto"/>
                  <w:vAlign w:val="center"/>
                </w:tcPr>
                <w:p w14:paraId="62A3203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Agilent 5800</w:t>
                  </w:r>
                </w:p>
              </w:tc>
              <w:tc>
                <w:tcPr>
                  <w:tcW w:w="516" w:type="pct"/>
                  <w:tcBorders>
                    <w:tl2br w:val="nil"/>
                    <w:tr2bl w:val="nil"/>
                  </w:tcBorders>
                  <w:shd w:val="clear" w:color="auto" w:fill="auto"/>
                  <w:noWrap/>
                  <w:vAlign w:val="center"/>
                </w:tcPr>
                <w:p w14:paraId="2716EC0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356924B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一层成分测试室</w:t>
                  </w:r>
                </w:p>
              </w:tc>
              <w:tc>
                <w:tcPr>
                  <w:tcW w:w="989" w:type="pct"/>
                  <w:tcBorders>
                    <w:tl2br w:val="nil"/>
                    <w:tr2bl w:val="nil"/>
                  </w:tcBorders>
                  <w:shd w:val="clear" w:color="auto" w:fill="auto"/>
                  <w:vAlign w:val="center"/>
                </w:tcPr>
                <w:p w14:paraId="1DB2D42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元素高精度分析</w:t>
                  </w:r>
                </w:p>
              </w:tc>
            </w:tr>
            <w:tr w14:paraId="78F738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3BF6937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5</w:t>
                  </w:r>
                </w:p>
              </w:tc>
              <w:tc>
                <w:tcPr>
                  <w:tcW w:w="968" w:type="pct"/>
                  <w:tcBorders>
                    <w:tl2br w:val="nil"/>
                    <w:tr2bl w:val="nil"/>
                  </w:tcBorders>
                  <w:shd w:val="clear" w:color="auto" w:fill="auto"/>
                  <w:vAlign w:val="center"/>
                </w:tcPr>
                <w:p w14:paraId="7D8478F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OES直读光谱仪</w:t>
                  </w:r>
                </w:p>
              </w:tc>
              <w:tc>
                <w:tcPr>
                  <w:tcW w:w="1146" w:type="pct"/>
                  <w:tcBorders>
                    <w:tl2br w:val="nil"/>
                    <w:tr2bl w:val="nil"/>
                  </w:tcBorders>
                  <w:shd w:val="clear" w:color="auto" w:fill="auto"/>
                  <w:vAlign w:val="center"/>
                </w:tcPr>
                <w:p w14:paraId="5E21D78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Spark 6000pro</w:t>
                  </w:r>
                </w:p>
              </w:tc>
              <w:tc>
                <w:tcPr>
                  <w:tcW w:w="516" w:type="pct"/>
                  <w:tcBorders>
                    <w:tl2br w:val="nil"/>
                    <w:tr2bl w:val="nil"/>
                  </w:tcBorders>
                  <w:shd w:val="clear" w:color="auto" w:fill="auto"/>
                  <w:noWrap/>
                  <w:vAlign w:val="center"/>
                </w:tcPr>
                <w:p w14:paraId="53552AD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0559055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一层成分测试室</w:t>
                  </w:r>
                </w:p>
              </w:tc>
              <w:tc>
                <w:tcPr>
                  <w:tcW w:w="989" w:type="pct"/>
                  <w:tcBorders>
                    <w:tl2br w:val="nil"/>
                    <w:tr2bl w:val="nil"/>
                  </w:tcBorders>
                  <w:shd w:val="clear" w:color="auto" w:fill="auto"/>
                  <w:vAlign w:val="center"/>
                </w:tcPr>
                <w:p w14:paraId="432EE44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快速高效的金属和非金属元素的含量检测</w:t>
                  </w:r>
                </w:p>
              </w:tc>
            </w:tr>
            <w:tr w14:paraId="26D006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3F424AA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6</w:t>
                  </w:r>
                </w:p>
              </w:tc>
              <w:tc>
                <w:tcPr>
                  <w:tcW w:w="968" w:type="pct"/>
                  <w:tcBorders>
                    <w:tl2br w:val="nil"/>
                    <w:tr2bl w:val="nil"/>
                  </w:tcBorders>
                  <w:shd w:val="clear" w:color="auto" w:fill="auto"/>
                  <w:vAlign w:val="center"/>
                </w:tcPr>
                <w:p w14:paraId="6D35B34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红外碳硫分析仪</w:t>
                  </w:r>
                </w:p>
              </w:tc>
              <w:tc>
                <w:tcPr>
                  <w:tcW w:w="1146" w:type="pct"/>
                  <w:tcBorders>
                    <w:tl2br w:val="nil"/>
                    <w:tr2bl w:val="nil"/>
                  </w:tcBorders>
                  <w:shd w:val="clear" w:color="auto" w:fill="auto"/>
                  <w:vAlign w:val="center"/>
                </w:tcPr>
                <w:p w14:paraId="402B1B0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高灵敏度热释电红外探测器（CO2：4.26μm，SO2：7.4μm）；</w:t>
                  </w:r>
                </w:p>
              </w:tc>
              <w:tc>
                <w:tcPr>
                  <w:tcW w:w="516" w:type="pct"/>
                  <w:tcBorders>
                    <w:tl2br w:val="nil"/>
                    <w:tr2bl w:val="nil"/>
                  </w:tcBorders>
                  <w:shd w:val="clear" w:color="auto" w:fill="auto"/>
                  <w:noWrap/>
                  <w:vAlign w:val="center"/>
                </w:tcPr>
                <w:p w14:paraId="50B9E2E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064239D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一层成分测试室</w:t>
                  </w:r>
                </w:p>
              </w:tc>
              <w:tc>
                <w:tcPr>
                  <w:tcW w:w="989" w:type="pct"/>
                  <w:tcBorders>
                    <w:tl2br w:val="nil"/>
                    <w:tr2bl w:val="nil"/>
                  </w:tcBorders>
                  <w:shd w:val="clear" w:color="auto" w:fill="auto"/>
                  <w:vAlign w:val="center"/>
                </w:tcPr>
                <w:p w14:paraId="35B2C8D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金属和非金属材料中碳（C）和硫（S）元素含量</w:t>
                  </w:r>
                </w:p>
              </w:tc>
            </w:tr>
            <w:tr w14:paraId="3F2D170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1594268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7</w:t>
                  </w:r>
                </w:p>
              </w:tc>
              <w:tc>
                <w:tcPr>
                  <w:tcW w:w="968" w:type="pct"/>
                  <w:tcBorders>
                    <w:tl2br w:val="nil"/>
                    <w:tr2bl w:val="nil"/>
                  </w:tcBorders>
                  <w:shd w:val="clear" w:color="auto" w:fill="auto"/>
                  <w:vAlign w:val="center"/>
                </w:tcPr>
                <w:p w14:paraId="6F97883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氮氢氧分析仪</w:t>
                  </w:r>
                </w:p>
              </w:tc>
              <w:tc>
                <w:tcPr>
                  <w:tcW w:w="1146" w:type="pct"/>
                  <w:tcBorders>
                    <w:tl2br w:val="nil"/>
                    <w:tr2bl w:val="nil"/>
                  </w:tcBorders>
                  <w:shd w:val="clear" w:color="auto" w:fill="auto"/>
                  <w:vAlign w:val="center"/>
                </w:tcPr>
                <w:p w14:paraId="2352CC5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OH-900</w:t>
                  </w:r>
                </w:p>
              </w:tc>
              <w:tc>
                <w:tcPr>
                  <w:tcW w:w="516" w:type="pct"/>
                  <w:tcBorders>
                    <w:tl2br w:val="nil"/>
                    <w:tr2bl w:val="nil"/>
                  </w:tcBorders>
                  <w:shd w:val="clear" w:color="auto" w:fill="auto"/>
                  <w:noWrap/>
                  <w:vAlign w:val="center"/>
                </w:tcPr>
                <w:p w14:paraId="3A766F1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6C90896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一层成分测试室</w:t>
                  </w:r>
                </w:p>
              </w:tc>
              <w:tc>
                <w:tcPr>
                  <w:tcW w:w="989" w:type="pct"/>
                  <w:tcBorders>
                    <w:tl2br w:val="nil"/>
                    <w:tr2bl w:val="nil"/>
                  </w:tcBorders>
                  <w:shd w:val="clear" w:color="auto" w:fill="auto"/>
                  <w:vAlign w:val="center"/>
                </w:tcPr>
                <w:p w14:paraId="7FF39877">
                  <w:pPr>
                    <w:widowControl/>
                    <w:jc w:val="center"/>
                    <w:rPr>
                      <w:rFonts w:hint="default" w:ascii="Times New Roman" w:hAnsi="Times New Roman" w:eastAsia="宋体" w:cs="Times New Roman"/>
                      <w:kern w:val="0"/>
                      <w:sz w:val="18"/>
                      <w:szCs w:val="18"/>
                      <w:lang w:eastAsia="zh-CN"/>
                    </w:rPr>
                  </w:pPr>
                  <w:r>
                    <w:rPr>
                      <w:rFonts w:hint="default" w:ascii="Times New Roman" w:hAnsi="Times New Roman" w:eastAsia="宋体" w:cs="Times New Roman"/>
                      <w:kern w:val="0"/>
                      <w:sz w:val="18"/>
                      <w:szCs w:val="18"/>
                    </w:rPr>
                    <w:t>金属和非金属材料中氮氢氧元素</w:t>
                  </w:r>
                  <w:r>
                    <w:rPr>
                      <w:rFonts w:hint="default" w:ascii="Times New Roman" w:hAnsi="Times New Roman" w:eastAsia="宋体" w:cs="Times New Roman"/>
                      <w:kern w:val="0"/>
                      <w:sz w:val="18"/>
                      <w:szCs w:val="18"/>
                      <w:lang w:val="en-US" w:eastAsia="zh-CN"/>
                    </w:rPr>
                    <w:t>分析</w:t>
                  </w:r>
                </w:p>
              </w:tc>
            </w:tr>
            <w:tr w14:paraId="71359E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3FD91C8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8</w:t>
                  </w:r>
                </w:p>
              </w:tc>
              <w:tc>
                <w:tcPr>
                  <w:tcW w:w="968" w:type="pct"/>
                  <w:tcBorders>
                    <w:tl2br w:val="nil"/>
                    <w:tr2bl w:val="nil"/>
                  </w:tcBorders>
                  <w:shd w:val="clear" w:color="auto" w:fill="auto"/>
                  <w:vAlign w:val="center"/>
                </w:tcPr>
                <w:p w14:paraId="0727DDE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光学显微镜</w:t>
                  </w:r>
                </w:p>
              </w:tc>
              <w:tc>
                <w:tcPr>
                  <w:tcW w:w="1146" w:type="pct"/>
                  <w:tcBorders>
                    <w:tl2br w:val="nil"/>
                    <w:tr2bl w:val="nil"/>
                  </w:tcBorders>
                  <w:shd w:val="clear" w:color="auto" w:fill="auto"/>
                  <w:vAlign w:val="center"/>
                </w:tcPr>
                <w:p w14:paraId="1F78BA9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NCM-MET800</w:t>
                  </w:r>
                </w:p>
              </w:tc>
              <w:tc>
                <w:tcPr>
                  <w:tcW w:w="516" w:type="pct"/>
                  <w:tcBorders>
                    <w:tl2br w:val="nil"/>
                    <w:tr2bl w:val="nil"/>
                  </w:tcBorders>
                  <w:shd w:val="clear" w:color="auto" w:fill="auto"/>
                  <w:noWrap/>
                  <w:vAlign w:val="center"/>
                </w:tcPr>
                <w:p w14:paraId="759BEEC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7A23342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二层显微镜室</w:t>
                  </w:r>
                </w:p>
              </w:tc>
              <w:tc>
                <w:tcPr>
                  <w:tcW w:w="989" w:type="pct"/>
                  <w:tcBorders>
                    <w:tl2br w:val="nil"/>
                    <w:tr2bl w:val="nil"/>
                  </w:tcBorders>
                  <w:shd w:val="clear" w:color="auto" w:fill="auto"/>
                  <w:vAlign w:val="center"/>
                </w:tcPr>
                <w:p w14:paraId="3394DED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光学显微组织和缺陷观察分析</w:t>
                  </w:r>
                </w:p>
              </w:tc>
            </w:tr>
            <w:tr w14:paraId="7E5581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3118BC0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9</w:t>
                  </w:r>
                </w:p>
              </w:tc>
              <w:tc>
                <w:tcPr>
                  <w:tcW w:w="968" w:type="pct"/>
                  <w:tcBorders>
                    <w:tl2br w:val="nil"/>
                    <w:tr2bl w:val="nil"/>
                  </w:tcBorders>
                  <w:shd w:val="clear" w:color="auto" w:fill="auto"/>
                  <w:vAlign w:val="center"/>
                </w:tcPr>
                <w:p w14:paraId="1CF2A8C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显微硬度仪</w:t>
                  </w:r>
                </w:p>
              </w:tc>
              <w:tc>
                <w:tcPr>
                  <w:tcW w:w="1146" w:type="pct"/>
                  <w:tcBorders>
                    <w:tl2br w:val="nil"/>
                    <w:tr2bl w:val="nil"/>
                  </w:tcBorders>
                  <w:shd w:val="clear" w:color="auto" w:fill="auto"/>
                  <w:vAlign w:val="center"/>
                </w:tcPr>
                <w:p w14:paraId="24415EF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测量范围：1HV~3000HV，分辨率0.1HV。</w:t>
                  </w:r>
                </w:p>
              </w:tc>
              <w:tc>
                <w:tcPr>
                  <w:tcW w:w="516" w:type="pct"/>
                  <w:tcBorders>
                    <w:tl2br w:val="nil"/>
                    <w:tr2bl w:val="nil"/>
                  </w:tcBorders>
                  <w:shd w:val="clear" w:color="auto" w:fill="auto"/>
                  <w:noWrap/>
                  <w:vAlign w:val="center"/>
                </w:tcPr>
                <w:p w14:paraId="7AE4011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1809C7E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一层力学室</w:t>
                  </w:r>
                </w:p>
              </w:tc>
              <w:tc>
                <w:tcPr>
                  <w:tcW w:w="989" w:type="pct"/>
                  <w:tcBorders>
                    <w:tl2br w:val="nil"/>
                    <w:tr2bl w:val="nil"/>
                  </w:tcBorders>
                  <w:shd w:val="clear" w:color="auto" w:fill="auto"/>
                  <w:vAlign w:val="center"/>
                </w:tcPr>
                <w:p w14:paraId="4A4619B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测定金属材料的显微硬度</w:t>
                  </w:r>
                </w:p>
              </w:tc>
            </w:tr>
            <w:tr w14:paraId="220E1B7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316587D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10</w:t>
                  </w:r>
                </w:p>
              </w:tc>
              <w:tc>
                <w:tcPr>
                  <w:tcW w:w="968" w:type="pct"/>
                  <w:tcBorders>
                    <w:tl2br w:val="nil"/>
                    <w:tr2bl w:val="nil"/>
                  </w:tcBorders>
                  <w:shd w:val="clear" w:color="auto" w:fill="auto"/>
                  <w:vAlign w:val="center"/>
                </w:tcPr>
                <w:p w14:paraId="1F19D00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万能</w:t>
                  </w:r>
                  <w:r>
                    <w:rPr>
                      <w:rFonts w:hint="default" w:ascii="Times New Roman" w:hAnsi="Times New Roman" w:eastAsia="宋体" w:cs="Times New Roman"/>
                      <w:kern w:val="0"/>
                      <w:sz w:val="18"/>
                      <w:szCs w:val="18"/>
                      <w:lang w:eastAsia="zh-CN"/>
                    </w:rPr>
                    <w:t>实验</w:t>
                  </w:r>
                  <w:r>
                    <w:rPr>
                      <w:rFonts w:hint="default" w:ascii="Times New Roman" w:hAnsi="Times New Roman" w:eastAsia="宋体" w:cs="Times New Roman"/>
                      <w:kern w:val="0"/>
                      <w:sz w:val="18"/>
                      <w:szCs w:val="18"/>
                    </w:rPr>
                    <w:t>机</w:t>
                  </w:r>
                </w:p>
              </w:tc>
              <w:tc>
                <w:tcPr>
                  <w:tcW w:w="1146" w:type="pct"/>
                  <w:tcBorders>
                    <w:tl2br w:val="nil"/>
                    <w:tr2bl w:val="nil"/>
                  </w:tcBorders>
                  <w:shd w:val="clear" w:color="auto" w:fill="auto"/>
                  <w:vAlign w:val="center"/>
                </w:tcPr>
                <w:p w14:paraId="3C4E4C7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参考型号：新三思WDW-100M</w:t>
                  </w:r>
                </w:p>
              </w:tc>
              <w:tc>
                <w:tcPr>
                  <w:tcW w:w="516" w:type="pct"/>
                  <w:tcBorders>
                    <w:tl2br w:val="nil"/>
                    <w:tr2bl w:val="nil"/>
                  </w:tcBorders>
                  <w:shd w:val="clear" w:color="auto" w:fill="auto"/>
                  <w:noWrap/>
                  <w:vAlign w:val="center"/>
                </w:tcPr>
                <w:p w14:paraId="22D9879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0E32A0F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一层力学室</w:t>
                  </w:r>
                </w:p>
              </w:tc>
              <w:tc>
                <w:tcPr>
                  <w:tcW w:w="989" w:type="pct"/>
                  <w:tcBorders>
                    <w:tl2br w:val="nil"/>
                    <w:tr2bl w:val="nil"/>
                  </w:tcBorders>
                  <w:shd w:val="clear" w:color="auto" w:fill="auto"/>
                  <w:vAlign w:val="center"/>
                </w:tcPr>
                <w:p w14:paraId="4754FA2B">
                  <w:pPr>
                    <w:widowControl/>
                    <w:jc w:val="center"/>
                    <w:rPr>
                      <w:rFonts w:hint="default" w:ascii="Times New Roman" w:hAnsi="Times New Roman" w:eastAsia="宋体" w:cs="Times New Roman"/>
                      <w:kern w:val="0"/>
                      <w:sz w:val="18"/>
                      <w:szCs w:val="18"/>
                      <w:lang w:eastAsia="zh-CN"/>
                    </w:rPr>
                  </w:pPr>
                  <w:r>
                    <w:rPr>
                      <w:rFonts w:hint="default" w:ascii="Times New Roman" w:hAnsi="Times New Roman" w:eastAsia="宋体" w:cs="Times New Roman"/>
                      <w:kern w:val="0"/>
                      <w:sz w:val="18"/>
                      <w:szCs w:val="18"/>
                    </w:rPr>
                    <w:t>用于材料拉伸、压缩、弯曲</w:t>
                  </w:r>
                  <w:r>
                    <w:rPr>
                      <w:rFonts w:hint="default" w:ascii="Times New Roman" w:hAnsi="Times New Roman" w:eastAsia="宋体" w:cs="Times New Roman"/>
                      <w:kern w:val="0"/>
                      <w:sz w:val="18"/>
                      <w:szCs w:val="18"/>
                      <w:lang w:eastAsia="zh-CN"/>
                    </w:rPr>
                    <w:t>实验</w:t>
                  </w:r>
                </w:p>
              </w:tc>
            </w:tr>
            <w:tr w14:paraId="3688C52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123F6D0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11</w:t>
                  </w:r>
                </w:p>
              </w:tc>
              <w:tc>
                <w:tcPr>
                  <w:tcW w:w="968" w:type="pct"/>
                  <w:tcBorders>
                    <w:tl2br w:val="nil"/>
                    <w:tr2bl w:val="nil"/>
                  </w:tcBorders>
                  <w:shd w:val="clear" w:color="auto" w:fill="auto"/>
                  <w:vAlign w:val="center"/>
                </w:tcPr>
                <w:p w14:paraId="2646A17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冲击</w:t>
                  </w:r>
                  <w:r>
                    <w:rPr>
                      <w:rFonts w:hint="default" w:ascii="Times New Roman" w:hAnsi="Times New Roman" w:eastAsia="宋体" w:cs="Times New Roman"/>
                      <w:kern w:val="0"/>
                      <w:sz w:val="18"/>
                      <w:szCs w:val="18"/>
                      <w:lang w:eastAsia="zh-CN"/>
                    </w:rPr>
                    <w:t>实验</w:t>
                  </w:r>
                  <w:r>
                    <w:rPr>
                      <w:rFonts w:hint="default" w:ascii="Times New Roman" w:hAnsi="Times New Roman" w:eastAsia="宋体" w:cs="Times New Roman"/>
                      <w:kern w:val="0"/>
                      <w:sz w:val="18"/>
                      <w:szCs w:val="18"/>
                    </w:rPr>
                    <w:t>机</w:t>
                  </w:r>
                </w:p>
              </w:tc>
              <w:tc>
                <w:tcPr>
                  <w:tcW w:w="1146" w:type="pct"/>
                  <w:tcBorders>
                    <w:tl2br w:val="nil"/>
                    <w:tr2bl w:val="nil"/>
                  </w:tcBorders>
                  <w:shd w:val="clear" w:color="auto" w:fill="auto"/>
                  <w:vAlign w:val="center"/>
                </w:tcPr>
                <w:p w14:paraId="7EAD896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Wance WJP-300</w:t>
                  </w:r>
                </w:p>
              </w:tc>
              <w:tc>
                <w:tcPr>
                  <w:tcW w:w="516" w:type="pct"/>
                  <w:tcBorders>
                    <w:tl2br w:val="nil"/>
                    <w:tr2bl w:val="nil"/>
                  </w:tcBorders>
                  <w:shd w:val="clear" w:color="auto" w:fill="auto"/>
                  <w:noWrap/>
                  <w:vAlign w:val="center"/>
                </w:tcPr>
                <w:p w14:paraId="627E1F1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1B7AD4C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一层力学室</w:t>
                  </w:r>
                </w:p>
              </w:tc>
              <w:tc>
                <w:tcPr>
                  <w:tcW w:w="989" w:type="pct"/>
                  <w:tcBorders>
                    <w:tl2br w:val="nil"/>
                    <w:tr2bl w:val="nil"/>
                  </w:tcBorders>
                  <w:shd w:val="clear" w:color="auto" w:fill="auto"/>
                  <w:vAlign w:val="center"/>
                </w:tcPr>
                <w:p w14:paraId="5241849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用于材料缺口冲击韧性检测</w:t>
                  </w:r>
                </w:p>
              </w:tc>
            </w:tr>
            <w:tr w14:paraId="133A1B2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38009F1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12</w:t>
                  </w:r>
                </w:p>
              </w:tc>
              <w:tc>
                <w:tcPr>
                  <w:tcW w:w="968" w:type="pct"/>
                  <w:tcBorders>
                    <w:tl2br w:val="nil"/>
                    <w:tr2bl w:val="nil"/>
                  </w:tcBorders>
                  <w:shd w:val="clear" w:color="auto" w:fill="auto"/>
                  <w:vAlign w:val="center"/>
                </w:tcPr>
                <w:p w14:paraId="0AE4367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扭转</w:t>
                  </w:r>
                  <w:r>
                    <w:rPr>
                      <w:rFonts w:hint="default" w:ascii="Times New Roman" w:hAnsi="Times New Roman" w:eastAsia="宋体" w:cs="Times New Roman"/>
                      <w:kern w:val="0"/>
                      <w:sz w:val="18"/>
                      <w:szCs w:val="18"/>
                      <w:lang w:eastAsia="zh-CN"/>
                    </w:rPr>
                    <w:t>实验</w:t>
                  </w:r>
                  <w:r>
                    <w:rPr>
                      <w:rFonts w:hint="default" w:ascii="Times New Roman" w:hAnsi="Times New Roman" w:eastAsia="宋体" w:cs="Times New Roman"/>
                      <w:kern w:val="0"/>
                      <w:sz w:val="18"/>
                      <w:szCs w:val="18"/>
                    </w:rPr>
                    <w:t>机</w:t>
                  </w:r>
                </w:p>
              </w:tc>
              <w:tc>
                <w:tcPr>
                  <w:tcW w:w="1146" w:type="pct"/>
                  <w:tcBorders>
                    <w:tl2br w:val="nil"/>
                    <w:tr2bl w:val="nil"/>
                  </w:tcBorders>
                  <w:shd w:val="clear" w:color="auto" w:fill="auto"/>
                  <w:vAlign w:val="center"/>
                </w:tcPr>
                <w:p w14:paraId="7009FF1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扭矩范围：Nm~5000Nm</w:t>
                  </w:r>
                  <w:r>
                    <w:rPr>
                      <w:rFonts w:hint="default" w:ascii="Times New Roman" w:hAnsi="Times New Roman" w:eastAsia="宋体" w:cs="Times New Roman"/>
                      <w:kern w:val="0"/>
                      <w:sz w:val="18"/>
                      <w:szCs w:val="18"/>
                    </w:rPr>
                    <w:br w:type="textWrapping"/>
                  </w:r>
                  <w:r>
                    <w:rPr>
                      <w:rFonts w:hint="default" w:ascii="Times New Roman" w:hAnsi="Times New Roman" w:eastAsia="宋体" w:cs="Times New Roman"/>
                      <w:kern w:val="0"/>
                      <w:sz w:val="18"/>
                      <w:szCs w:val="18"/>
                    </w:rPr>
                    <w:t>扭矩精度：±1% FS（满量程）</w:t>
                  </w:r>
                </w:p>
              </w:tc>
              <w:tc>
                <w:tcPr>
                  <w:tcW w:w="516" w:type="pct"/>
                  <w:tcBorders>
                    <w:tl2br w:val="nil"/>
                    <w:tr2bl w:val="nil"/>
                  </w:tcBorders>
                  <w:shd w:val="clear" w:color="auto" w:fill="auto"/>
                  <w:noWrap/>
                  <w:vAlign w:val="center"/>
                </w:tcPr>
                <w:p w14:paraId="4A8B23D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56EAC1E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一层力学室</w:t>
                  </w:r>
                </w:p>
              </w:tc>
              <w:tc>
                <w:tcPr>
                  <w:tcW w:w="989" w:type="pct"/>
                  <w:tcBorders>
                    <w:tl2br w:val="nil"/>
                    <w:tr2bl w:val="nil"/>
                  </w:tcBorders>
                  <w:shd w:val="clear" w:color="auto" w:fill="auto"/>
                  <w:vAlign w:val="center"/>
                </w:tcPr>
                <w:p w14:paraId="071D89BF">
                  <w:pPr>
                    <w:widowControl/>
                    <w:jc w:val="center"/>
                    <w:rPr>
                      <w:rFonts w:hint="default" w:ascii="Times New Roman" w:hAnsi="Times New Roman" w:eastAsia="宋体" w:cs="Times New Roman"/>
                      <w:kern w:val="0"/>
                      <w:sz w:val="18"/>
                      <w:szCs w:val="18"/>
                      <w:lang w:eastAsia="zh-CN"/>
                    </w:rPr>
                  </w:pPr>
                  <w:r>
                    <w:rPr>
                      <w:rFonts w:hint="default" w:ascii="Times New Roman" w:hAnsi="Times New Roman" w:eastAsia="宋体" w:cs="Times New Roman"/>
                      <w:kern w:val="0"/>
                      <w:sz w:val="18"/>
                      <w:szCs w:val="18"/>
                    </w:rPr>
                    <w:t>用于材料扭转</w:t>
                  </w:r>
                  <w:r>
                    <w:rPr>
                      <w:rFonts w:hint="default" w:ascii="Times New Roman" w:hAnsi="Times New Roman" w:eastAsia="宋体" w:cs="Times New Roman"/>
                      <w:kern w:val="0"/>
                      <w:sz w:val="18"/>
                      <w:szCs w:val="18"/>
                      <w:lang w:eastAsia="zh-CN"/>
                    </w:rPr>
                    <w:t>实验</w:t>
                  </w:r>
                </w:p>
              </w:tc>
            </w:tr>
            <w:tr w14:paraId="1548CD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3730C54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13</w:t>
                  </w:r>
                </w:p>
              </w:tc>
              <w:tc>
                <w:tcPr>
                  <w:tcW w:w="968" w:type="pct"/>
                  <w:tcBorders>
                    <w:tl2br w:val="nil"/>
                    <w:tr2bl w:val="nil"/>
                  </w:tcBorders>
                  <w:shd w:val="clear" w:color="auto" w:fill="auto"/>
                  <w:vAlign w:val="center"/>
                </w:tcPr>
                <w:p w14:paraId="650CA59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真空感应炉</w:t>
                  </w:r>
                </w:p>
              </w:tc>
              <w:tc>
                <w:tcPr>
                  <w:tcW w:w="1146" w:type="pct"/>
                  <w:tcBorders>
                    <w:tl2br w:val="nil"/>
                    <w:tr2bl w:val="nil"/>
                  </w:tcBorders>
                  <w:shd w:val="clear" w:color="auto" w:fill="auto"/>
                  <w:vAlign w:val="center"/>
                </w:tcPr>
                <w:p w14:paraId="313923D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加热速率：≥10℃/min（室温至600℃）</w:t>
                  </w:r>
                </w:p>
              </w:tc>
              <w:tc>
                <w:tcPr>
                  <w:tcW w:w="516" w:type="pct"/>
                  <w:tcBorders>
                    <w:tl2br w:val="nil"/>
                    <w:tr2bl w:val="nil"/>
                  </w:tcBorders>
                  <w:shd w:val="clear" w:color="auto" w:fill="auto"/>
                  <w:noWrap/>
                  <w:vAlign w:val="center"/>
                </w:tcPr>
                <w:p w14:paraId="7820B95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1A73D87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一层冶炼与热处理室</w:t>
                  </w:r>
                </w:p>
              </w:tc>
              <w:tc>
                <w:tcPr>
                  <w:tcW w:w="989" w:type="pct"/>
                  <w:tcBorders>
                    <w:tl2br w:val="nil"/>
                    <w:tr2bl w:val="nil"/>
                  </w:tcBorders>
                  <w:shd w:val="clear" w:color="auto" w:fill="auto"/>
                  <w:vAlign w:val="center"/>
                </w:tcPr>
                <w:p w14:paraId="6944F3C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制备200-2000g金属样品</w:t>
                  </w:r>
                </w:p>
              </w:tc>
            </w:tr>
            <w:tr w14:paraId="6584E66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250F914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14</w:t>
                  </w:r>
                </w:p>
              </w:tc>
              <w:tc>
                <w:tcPr>
                  <w:tcW w:w="968" w:type="pct"/>
                  <w:tcBorders>
                    <w:tl2br w:val="nil"/>
                    <w:tr2bl w:val="nil"/>
                  </w:tcBorders>
                  <w:shd w:val="clear" w:color="auto" w:fill="auto"/>
                  <w:vAlign w:val="center"/>
                </w:tcPr>
                <w:p w14:paraId="6145F8E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纽扣炉</w:t>
                  </w:r>
                </w:p>
              </w:tc>
              <w:tc>
                <w:tcPr>
                  <w:tcW w:w="1146" w:type="pct"/>
                  <w:tcBorders>
                    <w:tl2br w:val="nil"/>
                    <w:tr2bl w:val="nil"/>
                  </w:tcBorders>
                  <w:shd w:val="clear" w:color="auto" w:fill="auto"/>
                  <w:vAlign w:val="center"/>
                </w:tcPr>
                <w:p w14:paraId="546AD67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最高温度：≥3000℃</w:t>
                  </w:r>
                  <w:r>
                    <w:rPr>
                      <w:rFonts w:hint="default" w:ascii="Times New Roman" w:hAnsi="Times New Roman" w:eastAsia="宋体" w:cs="Times New Roman"/>
                      <w:kern w:val="0"/>
                      <w:sz w:val="18"/>
                      <w:szCs w:val="18"/>
                    </w:rPr>
                    <w:br w:type="textWrapping"/>
                  </w:r>
                  <w:r>
                    <w:rPr>
                      <w:rFonts w:hint="default" w:ascii="Times New Roman" w:hAnsi="Times New Roman" w:eastAsia="宋体" w:cs="Times New Roman"/>
                      <w:kern w:val="0"/>
                      <w:sz w:val="18"/>
                      <w:szCs w:val="18"/>
                    </w:rPr>
                    <w:t>熔炼容量：5~50g/次</w:t>
                  </w:r>
                </w:p>
              </w:tc>
              <w:tc>
                <w:tcPr>
                  <w:tcW w:w="516" w:type="pct"/>
                  <w:tcBorders>
                    <w:tl2br w:val="nil"/>
                    <w:tr2bl w:val="nil"/>
                  </w:tcBorders>
                  <w:shd w:val="clear" w:color="auto" w:fill="auto"/>
                  <w:noWrap/>
                  <w:vAlign w:val="center"/>
                </w:tcPr>
                <w:p w14:paraId="21B35D1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79061EF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一层冶炼与热处理室</w:t>
                  </w:r>
                </w:p>
              </w:tc>
              <w:tc>
                <w:tcPr>
                  <w:tcW w:w="989" w:type="pct"/>
                  <w:tcBorders>
                    <w:tl2br w:val="nil"/>
                    <w:tr2bl w:val="nil"/>
                  </w:tcBorders>
                  <w:shd w:val="clear" w:color="auto" w:fill="auto"/>
                  <w:vAlign w:val="center"/>
                </w:tcPr>
                <w:p w14:paraId="7ADF59C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用于制备200g以下金属样品</w:t>
                  </w:r>
                </w:p>
              </w:tc>
            </w:tr>
            <w:tr w14:paraId="1F917C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36883B5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15</w:t>
                  </w:r>
                </w:p>
              </w:tc>
              <w:tc>
                <w:tcPr>
                  <w:tcW w:w="968" w:type="pct"/>
                  <w:tcBorders>
                    <w:tl2br w:val="nil"/>
                    <w:tr2bl w:val="nil"/>
                  </w:tcBorders>
                  <w:shd w:val="clear" w:color="auto" w:fill="auto"/>
                  <w:vAlign w:val="center"/>
                </w:tcPr>
                <w:p w14:paraId="235A23D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小型热处理炉（1000℃）</w:t>
                  </w:r>
                </w:p>
              </w:tc>
              <w:tc>
                <w:tcPr>
                  <w:tcW w:w="1146" w:type="pct"/>
                  <w:tcBorders>
                    <w:tl2br w:val="nil"/>
                    <w:tr2bl w:val="nil"/>
                  </w:tcBorders>
                  <w:shd w:val="clear" w:color="auto" w:fill="auto"/>
                  <w:vAlign w:val="center"/>
                </w:tcPr>
                <w:p w14:paraId="541EE79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最高温度：≥1200℃（可长期稳定工作在1000℃）</w:t>
                  </w:r>
                </w:p>
              </w:tc>
              <w:tc>
                <w:tcPr>
                  <w:tcW w:w="516" w:type="pct"/>
                  <w:tcBorders>
                    <w:tl2br w:val="nil"/>
                    <w:tr2bl w:val="nil"/>
                  </w:tcBorders>
                  <w:shd w:val="clear" w:color="auto" w:fill="auto"/>
                  <w:noWrap/>
                  <w:vAlign w:val="center"/>
                </w:tcPr>
                <w:p w14:paraId="40A88EC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1D7A8E9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一层冶炼与热处理室</w:t>
                  </w:r>
                </w:p>
              </w:tc>
              <w:tc>
                <w:tcPr>
                  <w:tcW w:w="989" w:type="pct"/>
                  <w:tcBorders>
                    <w:tl2br w:val="nil"/>
                    <w:tr2bl w:val="nil"/>
                  </w:tcBorders>
                  <w:shd w:val="clear" w:color="auto" w:fill="auto"/>
                  <w:vAlign w:val="center"/>
                </w:tcPr>
                <w:p w14:paraId="01BBE01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用于试样较低温热处理</w:t>
                  </w:r>
                </w:p>
              </w:tc>
            </w:tr>
            <w:tr w14:paraId="619A878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2B50A51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16</w:t>
                  </w:r>
                </w:p>
              </w:tc>
              <w:tc>
                <w:tcPr>
                  <w:tcW w:w="968" w:type="pct"/>
                  <w:tcBorders>
                    <w:tl2br w:val="nil"/>
                    <w:tr2bl w:val="nil"/>
                  </w:tcBorders>
                  <w:shd w:val="clear" w:color="auto" w:fill="auto"/>
                  <w:vAlign w:val="center"/>
                </w:tcPr>
                <w:p w14:paraId="4FDA2DD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小型热处理炉（1650℃）</w:t>
                  </w:r>
                </w:p>
              </w:tc>
              <w:tc>
                <w:tcPr>
                  <w:tcW w:w="1146" w:type="pct"/>
                  <w:tcBorders>
                    <w:tl2br w:val="nil"/>
                    <w:tr2bl w:val="nil"/>
                  </w:tcBorders>
                  <w:shd w:val="clear" w:color="auto" w:fill="auto"/>
                  <w:vAlign w:val="center"/>
                </w:tcPr>
                <w:p w14:paraId="001D335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最高温度：大于1650℃（可长期稳定工作于1600℃）</w:t>
                  </w:r>
                </w:p>
              </w:tc>
              <w:tc>
                <w:tcPr>
                  <w:tcW w:w="516" w:type="pct"/>
                  <w:tcBorders>
                    <w:tl2br w:val="nil"/>
                    <w:tr2bl w:val="nil"/>
                  </w:tcBorders>
                  <w:shd w:val="clear" w:color="auto" w:fill="auto"/>
                  <w:noWrap/>
                  <w:vAlign w:val="center"/>
                </w:tcPr>
                <w:p w14:paraId="7B47B78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0959440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一层冶炼与热处理室</w:t>
                  </w:r>
                </w:p>
              </w:tc>
              <w:tc>
                <w:tcPr>
                  <w:tcW w:w="989" w:type="pct"/>
                  <w:tcBorders>
                    <w:tl2br w:val="nil"/>
                    <w:tr2bl w:val="nil"/>
                  </w:tcBorders>
                  <w:shd w:val="clear" w:color="auto" w:fill="auto"/>
                  <w:vAlign w:val="center"/>
                </w:tcPr>
                <w:p w14:paraId="4092FA5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w:t>
                  </w:r>
                  <w:r>
                    <w:rPr>
                      <w:rFonts w:hint="default" w:ascii="Times New Roman" w:hAnsi="Times New Roman" w:eastAsia="宋体" w:cs="Times New Roman"/>
                      <w:kern w:val="0"/>
                      <w:sz w:val="18"/>
                      <w:szCs w:val="18"/>
                      <w:lang w:eastAsia="zh-CN"/>
                    </w:rPr>
                    <w:t>实验</w:t>
                  </w:r>
                  <w:r>
                    <w:rPr>
                      <w:rFonts w:hint="default" w:ascii="Times New Roman" w:hAnsi="Times New Roman" w:eastAsia="宋体" w:cs="Times New Roman"/>
                      <w:kern w:val="0"/>
                      <w:sz w:val="18"/>
                      <w:szCs w:val="18"/>
                    </w:rPr>
                    <w:t>高温加热模拟和高温热处理</w:t>
                  </w:r>
                </w:p>
              </w:tc>
            </w:tr>
            <w:tr w14:paraId="515252D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004D975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17</w:t>
                  </w:r>
                </w:p>
              </w:tc>
              <w:tc>
                <w:tcPr>
                  <w:tcW w:w="968" w:type="pct"/>
                  <w:tcBorders>
                    <w:tl2br w:val="nil"/>
                    <w:tr2bl w:val="nil"/>
                  </w:tcBorders>
                  <w:shd w:val="clear" w:color="auto" w:fill="auto"/>
                  <w:vAlign w:val="center"/>
                </w:tcPr>
                <w:p w14:paraId="3BB49E68">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带锯锯床</w:t>
                  </w:r>
                </w:p>
              </w:tc>
              <w:tc>
                <w:tcPr>
                  <w:tcW w:w="1146" w:type="pct"/>
                  <w:tcBorders>
                    <w:tl2br w:val="nil"/>
                    <w:tr2bl w:val="nil"/>
                  </w:tcBorders>
                  <w:shd w:val="clear" w:color="auto" w:fill="auto"/>
                  <w:vAlign w:val="center"/>
                </w:tcPr>
                <w:p w14:paraId="1B2DCA8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圆材：Φ小于500mm</w:t>
                  </w:r>
                  <w:r>
                    <w:rPr>
                      <w:rFonts w:hint="default" w:ascii="Times New Roman" w:hAnsi="Times New Roman" w:eastAsia="宋体" w:cs="Times New Roman"/>
                      <w:kern w:val="0"/>
                      <w:sz w:val="18"/>
                      <w:szCs w:val="18"/>
                    </w:rPr>
                    <w:br w:type="textWrapping"/>
                  </w:r>
                  <w:r>
                    <w:rPr>
                      <w:rFonts w:hint="default" w:ascii="Times New Roman" w:hAnsi="Times New Roman" w:eastAsia="宋体" w:cs="Times New Roman"/>
                      <w:kern w:val="0"/>
                      <w:sz w:val="18"/>
                      <w:szCs w:val="18"/>
                    </w:rPr>
                    <w:t>方材：小于500×500mm</w:t>
                  </w:r>
                </w:p>
              </w:tc>
              <w:tc>
                <w:tcPr>
                  <w:tcW w:w="516" w:type="pct"/>
                  <w:tcBorders>
                    <w:tl2br w:val="nil"/>
                    <w:tr2bl w:val="nil"/>
                  </w:tcBorders>
                  <w:shd w:val="clear" w:color="auto" w:fill="auto"/>
                  <w:noWrap/>
                  <w:vAlign w:val="center"/>
                </w:tcPr>
                <w:p w14:paraId="46BFA7F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419B591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一层金属样品制备室</w:t>
                  </w:r>
                </w:p>
              </w:tc>
              <w:tc>
                <w:tcPr>
                  <w:tcW w:w="989" w:type="pct"/>
                  <w:tcBorders>
                    <w:tl2br w:val="nil"/>
                    <w:tr2bl w:val="nil"/>
                  </w:tcBorders>
                  <w:shd w:val="clear" w:color="auto" w:fill="auto"/>
                  <w:vAlign w:val="center"/>
                </w:tcPr>
                <w:p w14:paraId="7FB4ACB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用于原始大样的分切</w:t>
                  </w:r>
                </w:p>
              </w:tc>
            </w:tr>
            <w:tr w14:paraId="0AABEE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5E4055F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18</w:t>
                  </w:r>
                </w:p>
              </w:tc>
              <w:tc>
                <w:tcPr>
                  <w:tcW w:w="968" w:type="pct"/>
                  <w:tcBorders>
                    <w:tl2br w:val="nil"/>
                    <w:tr2bl w:val="nil"/>
                  </w:tcBorders>
                  <w:shd w:val="clear" w:color="auto" w:fill="auto"/>
                  <w:vAlign w:val="center"/>
                </w:tcPr>
                <w:p w14:paraId="652F0BD2">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钼丝切割机</w:t>
                  </w:r>
                </w:p>
              </w:tc>
              <w:tc>
                <w:tcPr>
                  <w:tcW w:w="1146" w:type="pct"/>
                  <w:tcBorders>
                    <w:tl2br w:val="nil"/>
                    <w:tr2bl w:val="nil"/>
                  </w:tcBorders>
                  <w:shd w:val="clear" w:color="auto" w:fill="auto"/>
                  <w:vAlign w:val="center"/>
                </w:tcPr>
                <w:p w14:paraId="58E5536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加工精度：小于±0.005mm</w:t>
                  </w:r>
                </w:p>
              </w:tc>
              <w:tc>
                <w:tcPr>
                  <w:tcW w:w="516" w:type="pct"/>
                  <w:tcBorders>
                    <w:tl2br w:val="nil"/>
                    <w:tr2bl w:val="nil"/>
                  </w:tcBorders>
                  <w:shd w:val="clear" w:color="auto" w:fill="auto"/>
                  <w:noWrap/>
                  <w:vAlign w:val="center"/>
                </w:tcPr>
                <w:p w14:paraId="70BC6CC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07A6058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一层金属样品制备室</w:t>
                  </w:r>
                </w:p>
              </w:tc>
              <w:tc>
                <w:tcPr>
                  <w:tcW w:w="989" w:type="pct"/>
                  <w:tcBorders>
                    <w:tl2br w:val="nil"/>
                    <w:tr2bl w:val="nil"/>
                  </w:tcBorders>
                  <w:shd w:val="clear" w:color="auto" w:fill="auto"/>
                  <w:vAlign w:val="center"/>
                </w:tcPr>
                <w:p w14:paraId="072DFF6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用于热模拟试样和金相试样的切割加工</w:t>
                  </w:r>
                </w:p>
              </w:tc>
            </w:tr>
            <w:tr w14:paraId="4C1AF4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00EC8DA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19</w:t>
                  </w:r>
                </w:p>
              </w:tc>
              <w:tc>
                <w:tcPr>
                  <w:tcW w:w="968" w:type="pct"/>
                  <w:tcBorders>
                    <w:tl2br w:val="nil"/>
                    <w:tr2bl w:val="nil"/>
                  </w:tcBorders>
                  <w:shd w:val="clear" w:color="auto" w:fill="auto"/>
                  <w:vAlign w:val="center"/>
                </w:tcPr>
                <w:p w14:paraId="0E02994F">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小型外圆磨床</w:t>
                  </w:r>
                </w:p>
              </w:tc>
              <w:tc>
                <w:tcPr>
                  <w:tcW w:w="1146" w:type="pct"/>
                  <w:tcBorders>
                    <w:tl2br w:val="nil"/>
                    <w:tr2bl w:val="nil"/>
                  </w:tcBorders>
                  <w:shd w:val="clear" w:color="auto" w:fill="auto"/>
                  <w:vAlign w:val="center"/>
                </w:tcPr>
                <w:p w14:paraId="14C01F2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磨削直径：小于4~100mm最大磨削长度：大于300mm</w:t>
                  </w:r>
                </w:p>
              </w:tc>
              <w:tc>
                <w:tcPr>
                  <w:tcW w:w="516" w:type="pct"/>
                  <w:tcBorders>
                    <w:tl2br w:val="nil"/>
                    <w:tr2bl w:val="nil"/>
                  </w:tcBorders>
                  <w:shd w:val="clear" w:color="auto" w:fill="auto"/>
                  <w:noWrap/>
                  <w:vAlign w:val="center"/>
                </w:tcPr>
                <w:p w14:paraId="2978DE8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1CFD7C5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一层金属样品制备室</w:t>
                  </w:r>
                </w:p>
              </w:tc>
              <w:tc>
                <w:tcPr>
                  <w:tcW w:w="989" w:type="pct"/>
                  <w:tcBorders>
                    <w:tl2br w:val="nil"/>
                    <w:tr2bl w:val="nil"/>
                  </w:tcBorders>
                  <w:shd w:val="clear" w:color="auto" w:fill="auto"/>
                  <w:vAlign w:val="center"/>
                </w:tcPr>
                <w:p w14:paraId="43987DB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用于热模拟试样的表面精磨</w:t>
                  </w:r>
                </w:p>
              </w:tc>
            </w:tr>
            <w:tr w14:paraId="19BB1A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412500D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20</w:t>
                  </w:r>
                </w:p>
              </w:tc>
              <w:tc>
                <w:tcPr>
                  <w:tcW w:w="968" w:type="pct"/>
                  <w:tcBorders>
                    <w:tl2br w:val="nil"/>
                    <w:tr2bl w:val="nil"/>
                  </w:tcBorders>
                  <w:shd w:val="clear" w:color="auto" w:fill="auto"/>
                  <w:vAlign w:val="center"/>
                </w:tcPr>
                <w:p w14:paraId="439E31B7">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自动磨抛样机</w:t>
                  </w:r>
                </w:p>
              </w:tc>
              <w:tc>
                <w:tcPr>
                  <w:tcW w:w="1146" w:type="pct"/>
                  <w:tcBorders>
                    <w:tl2br w:val="nil"/>
                    <w:tr2bl w:val="nil"/>
                  </w:tcBorders>
                  <w:shd w:val="clear" w:color="auto" w:fill="auto"/>
                  <w:vAlign w:val="center"/>
                </w:tcPr>
                <w:p w14:paraId="26E60BC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磨抛盘直径：大于250mm转速范围：50-1000 rpm</w:t>
                  </w:r>
                </w:p>
              </w:tc>
              <w:tc>
                <w:tcPr>
                  <w:tcW w:w="516" w:type="pct"/>
                  <w:tcBorders>
                    <w:tl2br w:val="nil"/>
                    <w:tr2bl w:val="nil"/>
                  </w:tcBorders>
                  <w:shd w:val="clear" w:color="auto" w:fill="auto"/>
                  <w:noWrap/>
                  <w:vAlign w:val="center"/>
                </w:tcPr>
                <w:p w14:paraId="625DAF8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3F237B4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一层金属样品制备室</w:t>
                  </w:r>
                </w:p>
              </w:tc>
              <w:tc>
                <w:tcPr>
                  <w:tcW w:w="989" w:type="pct"/>
                  <w:tcBorders>
                    <w:tl2br w:val="nil"/>
                    <w:tr2bl w:val="nil"/>
                  </w:tcBorders>
                  <w:shd w:val="clear" w:color="auto" w:fill="auto"/>
                  <w:vAlign w:val="center"/>
                </w:tcPr>
                <w:p w14:paraId="4F3E07B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用于金相试样的研磨抛光</w:t>
                  </w:r>
                </w:p>
              </w:tc>
            </w:tr>
            <w:tr w14:paraId="488F3F2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39EFAA5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21</w:t>
                  </w:r>
                </w:p>
              </w:tc>
              <w:tc>
                <w:tcPr>
                  <w:tcW w:w="968" w:type="pct"/>
                  <w:tcBorders>
                    <w:tl2br w:val="nil"/>
                    <w:tr2bl w:val="nil"/>
                  </w:tcBorders>
                  <w:shd w:val="clear" w:color="auto" w:fill="auto"/>
                  <w:vAlign w:val="center"/>
                </w:tcPr>
                <w:p w14:paraId="3A67BBA7">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手动磨样机</w:t>
                  </w:r>
                </w:p>
              </w:tc>
              <w:tc>
                <w:tcPr>
                  <w:tcW w:w="1146" w:type="pct"/>
                  <w:tcBorders>
                    <w:tl2br w:val="nil"/>
                    <w:tr2bl w:val="nil"/>
                  </w:tcBorders>
                  <w:shd w:val="clear" w:color="auto" w:fill="auto"/>
                  <w:vAlign w:val="center"/>
                </w:tcPr>
                <w:p w14:paraId="3896D7E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磨抛盘直径：大于250mm转速范围：50-1000 rpm</w:t>
                  </w:r>
                </w:p>
              </w:tc>
              <w:tc>
                <w:tcPr>
                  <w:tcW w:w="516" w:type="pct"/>
                  <w:tcBorders>
                    <w:tl2br w:val="nil"/>
                    <w:tr2bl w:val="nil"/>
                  </w:tcBorders>
                  <w:shd w:val="clear" w:color="auto" w:fill="auto"/>
                  <w:noWrap/>
                  <w:vAlign w:val="center"/>
                </w:tcPr>
                <w:p w14:paraId="0DE5716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363CC7B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一层金属样品制备室</w:t>
                  </w:r>
                </w:p>
              </w:tc>
              <w:tc>
                <w:tcPr>
                  <w:tcW w:w="989" w:type="pct"/>
                  <w:tcBorders>
                    <w:tl2br w:val="nil"/>
                    <w:tr2bl w:val="nil"/>
                  </w:tcBorders>
                  <w:shd w:val="clear" w:color="auto" w:fill="auto"/>
                  <w:vAlign w:val="center"/>
                </w:tcPr>
                <w:p w14:paraId="54C5EFD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用于金相试样的研磨</w:t>
                  </w:r>
                </w:p>
              </w:tc>
            </w:tr>
            <w:tr w14:paraId="154F54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3A76CDE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22</w:t>
                  </w:r>
                </w:p>
              </w:tc>
              <w:tc>
                <w:tcPr>
                  <w:tcW w:w="968" w:type="pct"/>
                  <w:tcBorders>
                    <w:tl2br w:val="nil"/>
                    <w:tr2bl w:val="nil"/>
                  </w:tcBorders>
                  <w:shd w:val="clear" w:color="auto" w:fill="auto"/>
                  <w:vAlign w:val="center"/>
                </w:tcPr>
                <w:p w14:paraId="7AC4FD3D">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手动抛光机</w:t>
                  </w:r>
                </w:p>
              </w:tc>
              <w:tc>
                <w:tcPr>
                  <w:tcW w:w="1146" w:type="pct"/>
                  <w:tcBorders>
                    <w:tl2br w:val="nil"/>
                    <w:tr2bl w:val="nil"/>
                  </w:tcBorders>
                  <w:shd w:val="clear" w:color="auto" w:fill="auto"/>
                  <w:vAlign w:val="center"/>
                </w:tcPr>
                <w:p w14:paraId="7233F87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磨抛盘直径：大于250mm转速范围：50-1000 rpm</w:t>
                  </w:r>
                </w:p>
              </w:tc>
              <w:tc>
                <w:tcPr>
                  <w:tcW w:w="516" w:type="pct"/>
                  <w:tcBorders>
                    <w:tl2br w:val="nil"/>
                    <w:tr2bl w:val="nil"/>
                  </w:tcBorders>
                  <w:shd w:val="clear" w:color="auto" w:fill="auto"/>
                  <w:noWrap/>
                  <w:vAlign w:val="center"/>
                </w:tcPr>
                <w:p w14:paraId="4ECF7E8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09364C7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一层金属样品制备室</w:t>
                  </w:r>
                </w:p>
              </w:tc>
              <w:tc>
                <w:tcPr>
                  <w:tcW w:w="989" w:type="pct"/>
                  <w:tcBorders>
                    <w:tl2br w:val="nil"/>
                    <w:tr2bl w:val="nil"/>
                  </w:tcBorders>
                  <w:shd w:val="clear" w:color="auto" w:fill="auto"/>
                  <w:vAlign w:val="center"/>
                </w:tcPr>
                <w:p w14:paraId="03209DB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用于金相试样的抛光</w:t>
                  </w:r>
                </w:p>
              </w:tc>
            </w:tr>
            <w:tr w14:paraId="36D7820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1F6C056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23</w:t>
                  </w:r>
                </w:p>
              </w:tc>
              <w:tc>
                <w:tcPr>
                  <w:tcW w:w="968" w:type="pct"/>
                  <w:tcBorders>
                    <w:tl2br w:val="nil"/>
                    <w:tr2bl w:val="nil"/>
                  </w:tcBorders>
                  <w:shd w:val="clear" w:color="auto" w:fill="auto"/>
                  <w:vAlign w:val="center"/>
                </w:tcPr>
                <w:p w14:paraId="0E18699C">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镶样机</w:t>
                  </w:r>
                </w:p>
              </w:tc>
              <w:tc>
                <w:tcPr>
                  <w:tcW w:w="1146" w:type="pct"/>
                  <w:tcBorders>
                    <w:tl2br w:val="nil"/>
                    <w:tr2bl w:val="nil"/>
                  </w:tcBorders>
                  <w:shd w:val="clear" w:color="auto" w:fill="auto"/>
                  <w:vAlign w:val="center"/>
                </w:tcPr>
                <w:p w14:paraId="59983EB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支持Φ15-50mm，厚度≤30mm0-30MPa可调，精度±0.5MPa</w:t>
                  </w:r>
                </w:p>
              </w:tc>
              <w:tc>
                <w:tcPr>
                  <w:tcW w:w="516" w:type="pct"/>
                  <w:tcBorders>
                    <w:tl2br w:val="nil"/>
                    <w:tr2bl w:val="nil"/>
                  </w:tcBorders>
                  <w:shd w:val="clear" w:color="auto" w:fill="auto"/>
                  <w:noWrap/>
                  <w:vAlign w:val="center"/>
                </w:tcPr>
                <w:p w14:paraId="40A9EEE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523F159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一层金属样品制备室</w:t>
                  </w:r>
                </w:p>
              </w:tc>
              <w:tc>
                <w:tcPr>
                  <w:tcW w:w="989" w:type="pct"/>
                  <w:tcBorders>
                    <w:tl2br w:val="nil"/>
                    <w:tr2bl w:val="nil"/>
                  </w:tcBorders>
                  <w:shd w:val="clear" w:color="auto" w:fill="auto"/>
                  <w:vAlign w:val="center"/>
                </w:tcPr>
                <w:p w14:paraId="592D385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用于金相试样的标准化镶样</w:t>
                  </w:r>
                </w:p>
              </w:tc>
            </w:tr>
            <w:tr w14:paraId="739E89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342" w:type="pct"/>
                  <w:tcBorders>
                    <w:tl2br w:val="nil"/>
                    <w:tr2bl w:val="nil"/>
                  </w:tcBorders>
                  <w:shd w:val="clear" w:color="auto" w:fill="auto"/>
                  <w:noWrap/>
                  <w:vAlign w:val="center"/>
                </w:tcPr>
                <w:p w14:paraId="04A41C4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24</w:t>
                  </w:r>
                </w:p>
              </w:tc>
              <w:tc>
                <w:tcPr>
                  <w:tcW w:w="968" w:type="pct"/>
                  <w:tcBorders>
                    <w:tl2br w:val="nil"/>
                    <w:tr2bl w:val="nil"/>
                  </w:tcBorders>
                  <w:shd w:val="clear" w:color="auto" w:fill="auto"/>
                  <w:noWrap/>
                  <w:vAlign w:val="center"/>
                </w:tcPr>
                <w:p w14:paraId="26DD0863">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试样切割机</w:t>
                  </w:r>
                </w:p>
              </w:tc>
              <w:tc>
                <w:tcPr>
                  <w:tcW w:w="1146" w:type="pct"/>
                  <w:tcBorders>
                    <w:tl2br w:val="nil"/>
                    <w:tr2bl w:val="nil"/>
                  </w:tcBorders>
                  <w:shd w:val="clear" w:color="auto" w:fill="auto"/>
                  <w:vAlign w:val="center"/>
                </w:tcPr>
                <w:p w14:paraId="089793D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切割直径：大于80mm切割速度：0.01-5mm/s</w:t>
                  </w:r>
                  <w:r>
                    <w:rPr>
                      <w:rFonts w:hint="default" w:ascii="Times New Roman" w:hAnsi="Times New Roman" w:eastAsia="宋体" w:cs="Times New Roman"/>
                      <w:kern w:val="0"/>
                      <w:sz w:val="18"/>
                      <w:szCs w:val="18"/>
                    </w:rPr>
                    <w:br w:type="textWrapping"/>
                  </w:r>
                  <w:r>
                    <w:rPr>
                      <w:rFonts w:hint="default" w:ascii="Times New Roman" w:hAnsi="Times New Roman" w:eastAsia="宋体" w:cs="Times New Roman"/>
                      <w:kern w:val="0"/>
                      <w:sz w:val="18"/>
                      <w:szCs w:val="18"/>
                    </w:rPr>
                    <w:t>精度：±0.05mm</w:t>
                  </w:r>
                </w:p>
              </w:tc>
              <w:tc>
                <w:tcPr>
                  <w:tcW w:w="516" w:type="pct"/>
                  <w:tcBorders>
                    <w:tl2br w:val="nil"/>
                    <w:tr2bl w:val="nil"/>
                  </w:tcBorders>
                  <w:shd w:val="clear" w:color="auto" w:fill="auto"/>
                  <w:noWrap/>
                  <w:vAlign w:val="center"/>
                </w:tcPr>
                <w:p w14:paraId="3A0F325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740BE76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一层金属样品制备室</w:t>
                  </w:r>
                </w:p>
              </w:tc>
              <w:tc>
                <w:tcPr>
                  <w:tcW w:w="989" w:type="pct"/>
                  <w:tcBorders>
                    <w:tl2br w:val="nil"/>
                    <w:tr2bl w:val="nil"/>
                  </w:tcBorders>
                  <w:shd w:val="clear" w:color="auto" w:fill="auto"/>
                  <w:vAlign w:val="center"/>
                </w:tcPr>
                <w:p w14:paraId="07B987E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用于金相试样的粗切</w:t>
                  </w:r>
                </w:p>
              </w:tc>
            </w:tr>
            <w:tr w14:paraId="47644B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2409CC8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25</w:t>
                  </w:r>
                </w:p>
              </w:tc>
              <w:tc>
                <w:tcPr>
                  <w:tcW w:w="968" w:type="pct"/>
                  <w:tcBorders>
                    <w:tl2br w:val="nil"/>
                    <w:tr2bl w:val="nil"/>
                  </w:tcBorders>
                  <w:shd w:val="clear" w:color="auto" w:fill="auto"/>
                  <w:vAlign w:val="center"/>
                </w:tcPr>
                <w:p w14:paraId="26F8DD3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超声清洗</w:t>
                  </w:r>
                </w:p>
              </w:tc>
              <w:tc>
                <w:tcPr>
                  <w:tcW w:w="1146" w:type="pct"/>
                  <w:tcBorders>
                    <w:tl2br w:val="nil"/>
                    <w:tr2bl w:val="nil"/>
                  </w:tcBorders>
                  <w:shd w:val="clear" w:color="auto" w:fill="auto"/>
                  <w:vAlign w:val="center"/>
                </w:tcPr>
                <w:p w14:paraId="344B765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频率范围：20-80kHz可调</w:t>
                  </w:r>
                </w:p>
              </w:tc>
              <w:tc>
                <w:tcPr>
                  <w:tcW w:w="516" w:type="pct"/>
                  <w:tcBorders>
                    <w:tl2br w:val="nil"/>
                    <w:tr2bl w:val="nil"/>
                  </w:tcBorders>
                  <w:shd w:val="clear" w:color="auto" w:fill="auto"/>
                  <w:noWrap/>
                  <w:vAlign w:val="center"/>
                </w:tcPr>
                <w:p w14:paraId="4E0724D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031D526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一层金属样品制备室</w:t>
                  </w:r>
                </w:p>
              </w:tc>
              <w:tc>
                <w:tcPr>
                  <w:tcW w:w="989" w:type="pct"/>
                  <w:tcBorders>
                    <w:tl2br w:val="nil"/>
                    <w:tr2bl w:val="nil"/>
                  </w:tcBorders>
                  <w:shd w:val="clear" w:color="auto" w:fill="auto"/>
                  <w:vAlign w:val="center"/>
                </w:tcPr>
                <w:p w14:paraId="16EE19E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用于试样的断口和截面清洁</w:t>
                  </w:r>
                </w:p>
              </w:tc>
            </w:tr>
            <w:tr w14:paraId="2AAA01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5000" w:type="pct"/>
                  <w:gridSpan w:val="6"/>
                  <w:tcBorders>
                    <w:tl2br w:val="nil"/>
                    <w:tr2bl w:val="nil"/>
                  </w:tcBorders>
                  <w:shd w:val="clear" w:color="auto" w:fill="auto"/>
                  <w:noWrap/>
                  <w:vAlign w:val="center"/>
                </w:tcPr>
                <w:p w14:paraId="6D9FE89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二、电池材料研究室</w:t>
                  </w:r>
                </w:p>
              </w:tc>
            </w:tr>
            <w:tr w14:paraId="6821168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5703C61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968" w:type="pct"/>
                  <w:tcBorders>
                    <w:tl2br w:val="nil"/>
                    <w:tr2bl w:val="nil"/>
                  </w:tcBorders>
                  <w:shd w:val="clear" w:color="auto" w:fill="auto"/>
                  <w:vAlign w:val="center"/>
                </w:tcPr>
                <w:p w14:paraId="46D2869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共沉淀反应釜</w:t>
                  </w:r>
                </w:p>
              </w:tc>
              <w:tc>
                <w:tcPr>
                  <w:tcW w:w="1146" w:type="pct"/>
                  <w:tcBorders>
                    <w:tl2br w:val="nil"/>
                    <w:tr2bl w:val="nil"/>
                  </w:tcBorders>
                  <w:shd w:val="clear" w:color="auto" w:fill="auto"/>
                  <w:vAlign w:val="center"/>
                </w:tcPr>
                <w:p w14:paraId="158237D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10 L</w:t>
                  </w:r>
                </w:p>
              </w:tc>
              <w:tc>
                <w:tcPr>
                  <w:tcW w:w="516" w:type="pct"/>
                  <w:tcBorders>
                    <w:tl2br w:val="nil"/>
                    <w:tr2bl w:val="nil"/>
                  </w:tcBorders>
                  <w:shd w:val="clear" w:color="auto" w:fill="auto"/>
                  <w:noWrap/>
                  <w:vAlign w:val="center"/>
                </w:tcPr>
                <w:p w14:paraId="3FA4AC3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w:t>
                  </w:r>
                </w:p>
              </w:tc>
              <w:tc>
                <w:tcPr>
                  <w:tcW w:w="1036" w:type="pct"/>
                  <w:tcBorders>
                    <w:tl2br w:val="nil"/>
                    <w:tr2bl w:val="nil"/>
                  </w:tcBorders>
                  <w:shd w:val="clear" w:color="auto" w:fill="auto"/>
                  <w:noWrap/>
                  <w:vAlign w:val="center"/>
                </w:tcPr>
                <w:p w14:paraId="2B6F788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sz w:val="18"/>
                      <w:szCs w:val="18"/>
                    </w:rPr>
                    <w:t>一层铌源前驱体制备室</w:t>
                  </w:r>
                </w:p>
              </w:tc>
              <w:tc>
                <w:tcPr>
                  <w:tcW w:w="989" w:type="pct"/>
                  <w:tcBorders>
                    <w:tl2br w:val="nil"/>
                    <w:tr2bl w:val="nil"/>
                  </w:tcBorders>
                  <w:shd w:val="clear" w:color="auto" w:fill="auto"/>
                  <w:noWrap/>
                  <w:vAlign w:val="center"/>
                </w:tcPr>
                <w:p w14:paraId="6E70600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前驱体制备</w:t>
                  </w:r>
                </w:p>
              </w:tc>
            </w:tr>
            <w:tr w14:paraId="1B72355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586B24F8">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w:t>
                  </w:r>
                </w:p>
              </w:tc>
              <w:tc>
                <w:tcPr>
                  <w:tcW w:w="968" w:type="pct"/>
                  <w:tcBorders>
                    <w:tl2br w:val="nil"/>
                    <w:tr2bl w:val="nil"/>
                  </w:tcBorders>
                  <w:shd w:val="clear" w:color="auto" w:fill="auto"/>
                  <w:vAlign w:val="center"/>
                </w:tcPr>
                <w:p w14:paraId="217620B4">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喷雾干燥机</w:t>
                  </w:r>
                </w:p>
              </w:tc>
              <w:tc>
                <w:tcPr>
                  <w:tcW w:w="1146" w:type="pct"/>
                  <w:tcBorders>
                    <w:tl2br w:val="nil"/>
                    <w:tr2bl w:val="nil"/>
                  </w:tcBorders>
                  <w:shd w:val="clear" w:color="auto" w:fill="auto"/>
                  <w:vAlign w:val="center"/>
                </w:tcPr>
                <w:p w14:paraId="4BD14E5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OM-1500A</w:t>
                  </w:r>
                </w:p>
              </w:tc>
              <w:tc>
                <w:tcPr>
                  <w:tcW w:w="516" w:type="pct"/>
                  <w:tcBorders>
                    <w:tl2br w:val="nil"/>
                    <w:tr2bl w:val="nil"/>
                  </w:tcBorders>
                  <w:shd w:val="clear" w:color="auto" w:fill="auto"/>
                  <w:noWrap/>
                  <w:vAlign w:val="center"/>
                </w:tcPr>
                <w:p w14:paraId="37B82FB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300C12F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sz w:val="18"/>
                      <w:szCs w:val="18"/>
                    </w:rPr>
                    <w:t>一层铌源前驱体制备室</w:t>
                  </w:r>
                </w:p>
              </w:tc>
              <w:tc>
                <w:tcPr>
                  <w:tcW w:w="989" w:type="pct"/>
                  <w:tcBorders>
                    <w:tl2br w:val="nil"/>
                    <w:tr2bl w:val="nil"/>
                  </w:tcBorders>
                  <w:shd w:val="clear" w:color="auto" w:fill="auto"/>
                  <w:noWrap/>
                  <w:vAlign w:val="center"/>
                </w:tcPr>
                <w:p w14:paraId="5A416FF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材料干燥、造粒</w:t>
                  </w:r>
                </w:p>
              </w:tc>
            </w:tr>
            <w:tr w14:paraId="13BF5C1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077460A9">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w:t>
                  </w:r>
                </w:p>
              </w:tc>
              <w:tc>
                <w:tcPr>
                  <w:tcW w:w="968" w:type="pct"/>
                  <w:tcBorders>
                    <w:tl2br w:val="nil"/>
                    <w:tr2bl w:val="nil"/>
                  </w:tcBorders>
                  <w:shd w:val="clear" w:color="auto" w:fill="auto"/>
                  <w:vAlign w:val="center"/>
                </w:tcPr>
                <w:p w14:paraId="16ACED04">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正压过滤器（10L）</w:t>
                  </w:r>
                </w:p>
              </w:tc>
              <w:tc>
                <w:tcPr>
                  <w:tcW w:w="1146" w:type="pct"/>
                  <w:tcBorders>
                    <w:tl2br w:val="nil"/>
                    <w:tr2bl w:val="nil"/>
                  </w:tcBorders>
                  <w:shd w:val="clear" w:color="auto" w:fill="auto"/>
                  <w:vAlign w:val="center"/>
                </w:tcPr>
                <w:p w14:paraId="030D801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10 L</w:t>
                  </w:r>
                </w:p>
              </w:tc>
              <w:tc>
                <w:tcPr>
                  <w:tcW w:w="516" w:type="pct"/>
                  <w:tcBorders>
                    <w:tl2br w:val="nil"/>
                    <w:tr2bl w:val="nil"/>
                  </w:tcBorders>
                  <w:shd w:val="clear" w:color="auto" w:fill="auto"/>
                  <w:noWrap/>
                  <w:vAlign w:val="center"/>
                </w:tcPr>
                <w:p w14:paraId="37F7600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w:t>
                  </w:r>
                </w:p>
              </w:tc>
              <w:tc>
                <w:tcPr>
                  <w:tcW w:w="1036" w:type="pct"/>
                  <w:tcBorders>
                    <w:tl2br w:val="nil"/>
                    <w:tr2bl w:val="nil"/>
                  </w:tcBorders>
                  <w:shd w:val="clear" w:color="auto" w:fill="auto"/>
                  <w:noWrap/>
                  <w:vAlign w:val="center"/>
                </w:tcPr>
                <w:p w14:paraId="282AA69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sz w:val="18"/>
                      <w:szCs w:val="18"/>
                    </w:rPr>
                    <w:t>一层铌源前驱体制备室</w:t>
                  </w:r>
                </w:p>
              </w:tc>
              <w:tc>
                <w:tcPr>
                  <w:tcW w:w="989" w:type="pct"/>
                  <w:tcBorders>
                    <w:tl2br w:val="nil"/>
                    <w:tr2bl w:val="nil"/>
                  </w:tcBorders>
                  <w:shd w:val="clear" w:color="auto" w:fill="auto"/>
                  <w:noWrap/>
                  <w:vAlign w:val="center"/>
                </w:tcPr>
                <w:p w14:paraId="0745970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物料除水</w:t>
                  </w:r>
                </w:p>
              </w:tc>
            </w:tr>
            <w:tr w14:paraId="1D94C83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2F3C4D20">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4</w:t>
                  </w:r>
                </w:p>
              </w:tc>
              <w:tc>
                <w:tcPr>
                  <w:tcW w:w="968" w:type="pct"/>
                  <w:tcBorders>
                    <w:tl2br w:val="nil"/>
                    <w:tr2bl w:val="nil"/>
                  </w:tcBorders>
                  <w:shd w:val="clear" w:color="auto" w:fill="auto"/>
                  <w:vAlign w:val="center"/>
                </w:tcPr>
                <w:p w14:paraId="376780A5">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正压过滤器（5L）</w:t>
                  </w:r>
                </w:p>
              </w:tc>
              <w:tc>
                <w:tcPr>
                  <w:tcW w:w="1146" w:type="pct"/>
                  <w:tcBorders>
                    <w:tl2br w:val="nil"/>
                    <w:tr2bl w:val="nil"/>
                  </w:tcBorders>
                  <w:shd w:val="clear" w:color="auto" w:fill="auto"/>
                  <w:vAlign w:val="center"/>
                </w:tcPr>
                <w:p w14:paraId="18BF006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5L</w:t>
                  </w:r>
                </w:p>
              </w:tc>
              <w:tc>
                <w:tcPr>
                  <w:tcW w:w="516" w:type="pct"/>
                  <w:tcBorders>
                    <w:tl2br w:val="nil"/>
                    <w:tr2bl w:val="nil"/>
                  </w:tcBorders>
                  <w:shd w:val="clear" w:color="auto" w:fill="auto"/>
                  <w:noWrap/>
                  <w:vAlign w:val="center"/>
                </w:tcPr>
                <w:p w14:paraId="727E32D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w:t>
                  </w:r>
                </w:p>
              </w:tc>
              <w:tc>
                <w:tcPr>
                  <w:tcW w:w="1036" w:type="pct"/>
                  <w:tcBorders>
                    <w:tl2br w:val="nil"/>
                    <w:tr2bl w:val="nil"/>
                  </w:tcBorders>
                  <w:shd w:val="clear" w:color="auto" w:fill="auto"/>
                  <w:noWrap/>
                  <w:vAlign w:val="center"/>
                </w:tcPr>
                <w:p w14:paraId="6E709B3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sz w:val="18"/>
                      <w:szCs w:val="18"/>
                    </w:rPr>
                    <w:t>一层铌源前驱体制备室</w:t>
                  </w:r>
                </w:p>
              </w:tc>
              <w:tc>
                <w:tcPr>
                  <w:tcW w:w="989" w:type="pct"/>
                  <w:tcBorders>
                    <w:tl2br w:val="nil"/>
                    <w:tr2bl w:val="nil"/>
                  </w:tcBorders>
                  <w:shd w:val="clear" w:color="auto" w:fill="auto"/>
                  <w:noWrap/>
                  <w:vAlign w:val="center"/>
                </w:tcPr>
                <w:p w14:paraId="70FFBA2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物料除水</w:t>
                  </w:r>
                </w:p>
              </w:tc>
            </w:tr>
            <w:tr w14:paraId="54A639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6FD2281E">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w:t>
                  </w:r>
                </w:p>
              </w:tc>
              <w:tc>
                <w:tcPr>
                  <w:tcW w:w="968" w:type="pct"/>
                  <w:tcBorders>
                    <w:tl2br w:val="nil"/>
                    <w:tr2bl w:val="nil"/>
                  </w:tcBorders>
                  <w:shd w:val="clear" w:color="auto" w:fill="auto"/>
                  <w:vAlign w:val="center"/>
                </w:tcPr>
                <w:p w14:paraId="6C59F8F0">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烘箱</w:t>
                  </w:r>
                </w:p>
              </w:tc>
              <w:tc>
                <w:tcPr>
                  <w:tcW w:w="1146" w:type="pct"/>
                  <w:tcBorders>
                    <w:tl2br w:val="nil"/>
                    <w:tr2bl w:val="nil"/>
                  </w:tcBorders>
                  <w:shd w:val="clear" w:color="auto" w:fill="auto"/>
                  <w:vAlign w:val="center"/>
                </w:tcPr>
                <w:p w14:paraId="52AFFAB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DHG-9055A</w:t>
                  </w:r>
                </w:p>
              </w:tc>
              <w:tc>
                <w:tcPr>
                  <w:tcW w:w="516" w:type="pct"/>
                  <w:tcBorders>
                    <w:tl2br w:val="nil"/>
                    <w:tr2bl w:val="nil"/>
                  </w:tcBorders>
                  <w:shd w:val="clear" w:color="auto" w:fill="auto"/>
                  <w:noWrap/>
                  <w:vAlign w:val="center"/>
                </w:tcPr>
                <w:p w14:paraId="4431E4C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49222C7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sz w:val="18"/>
                      <w:szCs w:val="18"/>
                    </w:rPr>
                    <w:t>一层铌源前驱体制备室</w:t>
                  </w:r>
                </w:p>
              </w:tc>
              <w:tc>
                <w:tcPr>
                  <w:tcW w:w="989" w:type="pct"/>
                  <w:tcBorders>
                    <w:tl2br w:val="nil"/>
                    <w:tr2bl w:val="nil"/>
                  </w:tcBorders>
                  <w:shd w:val="clear" w:color="auto" w:fill="auto"/>
                  <w:noWrap/>
                  <w:vAlign w:val="center"/>
                </w:tcPr>
                <w:p w14:paraId="3F0F9A7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物料干燥</w:t>
                  </w:r>
                </w:p>
              </w:tc>
            </w:tr>
            <w:tr w14:paraId="16F8C63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080059C7">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6</w:t>
                  </w:r>
                </w:p>
              </w:tc>
              <w:tc>
                <w:tcPr>
                  <w:tcW w:w="968" w:type="pct"/>
                  <w:tcBorders>
                    <w:tl2br w:val="nil"/>
                    <w:tr2bl w:val="nil"/>
                  </w:tcBorders>
                  <w:shd w:val="clear" w:color="auto" w:fill="auto"/>
                  <w:vAlign w:val="center"/>
                </w:tcPr>
                <w:p w14:paraId="1080E14A">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电子称</w:t>
                  </w:r>
                </w:p>
              </w:tc>
              <w:tc>
                <w:tcPr>
                  <w:tcW w:w="1146" w:type="pct"/>
                  <w:tcBorders>
                    <w:tl2br w:val="nil"/>
                    <w:tr2bl w:val="nil"/>
                  </w:tcBorders>
                  <w:shd w:val="clear" w:color="auto" w:fill="auto"/>
                  <w:vAlign w:val="center"/>
                </w:tcPr>
                <w:p w14:paraId="3B4F9DF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Quintix5102-1CN</w:t>
                  </w:r>
                </w:p>
              </w:tc>
              <w:tc>
                <w:tcPr>
                  <w:tcW w:w="516" w:type="pct"/>
                  <w:tcBorders>
                    <w:tl2br w:val="nil"/>
                    <w:tr2bl w:val="nil"/>
                  </w:tcBorders>
                  <w:shd w:val="clear" w:color="auto" w:fill="auto"/>
                  <w:noWrap/>
                  <w:vAlign w:val="center"/>
                </w:tcPr>
                <w:p w14:paraId="786CBF0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w:t>
                  </w:r>
                </w:p>
              </w:tc>
              <w:tc>
                <w:tcPr>
                  <w:tcW w:w="1036" w:type="pct"/>
                  <w:tcBorders>
                    <w:tl2br w:val="nil"/>
                    <w:tr2bl w:val="nil"/>
                  </w:tcBorders>
                  <w:shd w:val="clear" w:color="auto" w:fill="auto"/>
                  <w:noWrap/>
                  <w:vAlign w:val="center"/>
                </w:tcPr>
                <w:p w14:paraId="7EE9AB1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sz w:val="18"/>
                      <w:szCs w:val="18"/>
                    </w:rPr>
                    <w:t>一层铌源前驱体制备室</w:t>
                  </w:r>
                </w:p>
              </w:tc>
              <w:tc>
                <w:tcPr>
                  <w:tcW w:w="989" w:type="pct"/>
                  <w:tcBorders>
                    <w:tl2br w:val="nil"/>
                    <w:tr2bl w:val="nil"/>
                  </w:tcBorders>
                  <w:shd w:val="clear" w:color="auto" w:fill="auto"/>
                  <w:noWrap/>
                  <w:vAlign w:val="center"/>
                </w:tcPr>
                <w:p w14:paraId="65555DB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物料称量</w:t>
                  </w:r>
                </w:p>
              </w:tc>
            </w:tr>
            <w:tr w14:paraId="3755782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60D80CAE">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7</w:t>
                  </w:r>
                </w:p>
              </w:tc>
              <w:tc>
                <w:tcPr>
                  <w:tcW w:w="968" w:type="pct"/>
                  <w:tcBorders>
                    <w:tl2br w:val="nil"/>
                    <w:tr2bl w:val="nil"/>
                  </w:tcBorders>
                  <w:shd w:val="clear" w:color="auto" w:fill="auto"/>
                  <w:vAlign w:val="center"/>
                </w:tcPr>
                <w:p w14:paraId="5B6B68F8">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超声清洗机</w:t>
                  </w:r>
                </w:p>
              </w:tc>
              <w:tc>
                <w:tcPr>
                  <w:tcW w:w="1146" w:type="pct"/>
                  <w:tcBorders>
                    <w:tl2br w:val="nil"/>
                    <w:tr2bl w:val="nil"/>
                  </w:tcBorders>
                  <w:shd w:val="clear" w:color="auto" w:fill="auto"/>
                  <w:vAlign w:val="center"/>
                </w:tcPr>
                <w:p w14:paraId="42A6D24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VGT-2013QTD</w:t>
                  </w:r>
                </w:p>
              </w:tc>
              <w:tc>
                <w:tcPr>
                  <w:tcW w:w="516" w:type="pct"/>
                  <w:tcBorders>
                    <w:tl2br w:val="nil"/>
                    <w:tr2bl w:val="nil"/>
                  </w:tcBorders>
                  <w:shd w:val="clear" w:color="auto" w:fill="auto"/>
                  <w:noWrap/>
                  <w:vAlign w:val="center"/>
                </w:tcPr>
                <w:p w14:paraId="14DEB68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3F0C473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sz w:val="18"/>
                      <w:szCs w:val="18"/>
                    </w:rPr>
                    <w:t>一层铌源前驱体制备室</w:t>
                  </w:r>
                </w:p>
              </w:tc>
              <w:tc>
                <w:tcPr>
                  <w:tcW w:w="989" w:type="pct"/>
                  <w:tcBorders>
                    <w:tl2br w:val="nil"/>
                    <w:tr2bl w:val="nil"/>
                  </w:tcBorders>
                  <w:shd w:val="clear" w:color="auto" w:fill="auto"/>
                  <w:noWrap/>
                  <w:vAlign w:val="center"/>
                </w:tcPr>
                <w:p w14:paraId="5515908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电池组装壳体材料等清洗</w:t>
                  </w:r>
                </w:p>
              </w:tc>
            </w:tr>
            <w:tr w14:paraId="634C2AF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64F07C50">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8</w:t>
                  </w:r>
                </w:p>
              </w:tc>
              <w:tc>
                <w:tcPr>
                  <w:tcW w:w="968" w:type="pct"/>
                  <w:tcBorders>
                    <w:tl2br w:val="nil"/>
                    <w:tr2bl w:val="nil"/>
                  </w:tcBorders>
                  <w:shd w:val="clear" w:color="auto" w:fill="auto"/>
                  <w:vAlign w:val="center"/>
                </w:tcPr>
                <w:p w14:paraId="78DDEFB6">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纯水机</w:t>
                  </w:r>
                </w:p>
              </w:tc>
              <w:tc>
                <w:tcPr>
                  <w:tcW w:w="1146" w:type="pct"/>
                  <w:tcBorders>
                    <w:tl2br w:val="nil"/>
                    <w:tr2bl w:val="nil"/>
                  </w:tcBorders>
                  <w:shd w:val="clear" w:color="auto" w:fill="auto"/>
                  <w:vAlign w:val="center"/>
                </w:tcPr>
                <w:p w14:paraId="7542137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100 L/h</w:t>
                  </w:r>
                </w:p>
              </w:tc>
              <w:tc>
                <w:tcPr>
                  <w:tcW w:w="516" w:type="pct"/>
                  <w:tcBorders>
                    <w:tl2br w:val="nil"/>
                    <w:tr2bl w:val="nil"/>
                  </w:tcBorders>
                  <w:shd w:val="clear" w:color="auto" w:fill="auto"/>
                  <w:noWrap/>
                  <w:vAlign w:val="center"/>
                </w:tcPr>
                <w:p w14:paraId="02F1FAA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182894B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sz w:val="18"/>
                      <w:szCs w:val="18"/>
                    </w:rPr>
                    <w:t>一层铌源前驱体制备室</w:t>
                  </w:r>
                </w:p>
              </w:tc>
              <w:tc>
                <w:tcPr>
                  <w:tcW w:w="989" w:type="pct"/>
                  <w:tcBorders>
                    <w:tl2br w:val="nil"/>
                    <w:tr2bl w:val="nil"/>
                  </w:tcBorders>
                  <w:shd w:val="clear" w:color="auto" w:fill="auto"/>
                  <w:noWrap/>
                  <w:vAlign w:val="center"/>
                </w:tcPr>
                <w:p w14:paraId="67DEA42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制备去离子水</w:t>
                  </w:r>
                </w:p>
              </w:tc>
            </w:tr>
            <w:tr w14:paraId="062428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2" w:type="pct"/>
                  <w:tcBorders>
                    <w:tl2br w:val="nil"/>
                    <w:tr2bl w:val="nil"/>
                  </w:tcBorders>
                  <w:shd w:val="clear" w:color="auto" w:fill="auto"/>
                  <w:noWrap/>
                  <w:vAlign w:val="center"/>
                </w:tcPr>
                <w:p w14:paraId="7C18DB15">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9</w:t>
                  </w:r>
                </w:p>
              </w:tc>
              <w:tc>
                <w:tcPr>
                  <w:tcW w:w="968" w:type="pct"/>
                  <w:tcBorders>
                    <w:tl2br w:val="nil"/>
                    <w:tr2bl w:val="nil"/>
                  </w:tcBorders>
                  <w:shd w:val="clear" w:color="auto" w:fill="auto"/>
                  <w:vAlign w:val="center"/>
                </w:tcPr>
                <w:p w14:paraId="6099ABEA">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立式搅拌磨</w:t>
                  </w:r>
                </w:p>
              </w:tc>
              <w:tc>
                <w:tcPr>
                  <w:tcW w:w="1146" w:type="pct"/>
                  <w:tcBorders>
                    <w:tl2br w:val="nil"/>
                    <w:tr2bl w:val="nil"/>
                  </w:tcBorders>
                  <w:shd w:val="clear" w:color="auto" w:fill="auto"/>
                  <w:vAlign w:val="center"/>
                </w:tcPr>
                <w:p w14:paraId="0265107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XJM-5</w:t>
                  </w:r>
                </w:p>
              </w:tc>
              <w:tc>
                <w:tcPr>
                  <w:tcW w:w="516" w:type="pct"/>
                  <w:tcBorders>
                    <w:tl2br w:val="nil"/>
                    <w:tr2bl w:val="nil"/>
                  </w:tcBorders>
                  <w:shd w:val="clear" w:color="auto" w:fill="auto"/>
                  <w:noWrap/>
                  <w:vAlign w:val="center"/>
                </w:tcPr>
                <w:p w14:paraId="7A34901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4D89E3A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sz w:val="18"/>
                      <w:szCs w:val="18"/>
                    </w:rPr>
                    <w:t>一层铌源前驱体制备室</w:t>
                  </w:r>
                </w:p>
              </w:tc>
              <w:tc>
                <w:tcPr>
                  <w:tcW w:w="989" w:type="pct"/>
                  <w:tcBorders>
                    <w:tl2br w:val="nil"/>
                    <w:tr2bl w:val="nil"/>
                  </w:tcBorders>
                  <w:shd w:val="clear" w:color="auto" w:fill="auto"/>
                  <w:noWrap/>
                  <w:vAlign w:val="center"/>
                </w:tcPr>
                <w:p w14:paraId="3DEE9DA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前驱体粗磨和微米级氧化铌粗磨</w:t>
                  </w:r>
                </w:p>
              </w:tc>
            </w:tr>
            <w:tr w14:paraId="79A6529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34376B1A">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w:t>
                  </w:r>
                </w:p>
              </w:tc>
              <w:tc>
                <w:tcPr>
                  <w:tcW w:w="968" w:type="pct"/>
                  <w:tcBorders>
                    <w:tl2br w:val="nil"/>
                    <w:tr2bl w:val="nil"/>
                  </w:tcBorders>
                  <w:shd w:val="clear" w:color="auto" w:fill="auto"/>
                  <w:vAlign w:val="center"/>
                </w:tcPr>
                <w:p w14:paraId="4D148A47">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纳米砂磨机</w:t>
                  </w:r>
                </w:p>
              </w:tc>
              <w:tc>
                <w:tcPr>
                  <w:tcW w:w="1146" w:type="pct"/>
                  <w:tcBorders>
                    <w:tl2br w:val="nil"/>
                    <w:tr2bl w:val="nil"/>
                  </w:tcBorders>
                  <w:shd w:val="clear" w:color="auto" w:fill="auto"/>
                  <w:vAlign w:val="center"/>
                </w:tcPr>
                <w:p w14:paraId="2809AAB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NT-V1L</w:t>
                  </w:r>
                </w:p>
              </w:tc>
              <w:tc>
                <w:tcPr>
                  <w:tcW w:w="516" w:type="pct"/>
                  <w:tcBorders>
                    <w:tl2br w:val="nil"/>
                    <w:tr2bl w:val="nil"/>
                  </w:tcBorders>
                  <w:shd w:val="clear" w:color="auto" w:fill="auto"/>
                  <w:noWrap/>
                  <w:vAlign w:val="center"/>
                </w:tcPr>
                <w:p w14:paraId="15E7486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64D0B4E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sz w:val="18"/>
                      <w:szCs w:val="18"/>
                    </w:rPr>
                    <w:t>一层铌源前驱体制备室</w:t>
                  </w:r>
                </w:p>
              </w:tc>
              <w:tc>
                <w:tcPr>
                  <w:tcW w:w="989" w:type="pct"/>
                  <w:tcBorders>
                    <w:tl2br w:val="nil"/>
                    <w:tr2bl w:val="nil"/>
                  </w:tcBorders>
                  <w:shd w:val="clear" w:color="auto" w:fill="auto"/>
                  <w:noWrap/>
                  <w:vAlign w:val="center"/>
                </w:tcPr>
                <w:p w14:paraId="35B847C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纳米研磨</w:t>
                  </w:r>
                </w:p>
              </w:tc>
            </w:tr>
            <w:tr w14:paraId="37E72B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7CBA6422">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11</w:t>
                  </w:r>
                </w:p>
              </w:tc>
              <w:tc>
                <w:tcPr>
                  <w:tcW w:w="968" w:type="pct"/>
                  <w:tcBorders>
                    <w:tl2br w:val="nil"/>
                    <w:tr2bl w:val="nil"/>
                  </w:tcBorders>
                  <w:shd w:val="clear" w:color="auto" w:fill="auto"/>
                  <w:vAlign w:val="center"/>
                </w:tcPr>
                <w:p w14:paraId="15A05614">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箱式气氛炉（三元用）</w:t>
                  </w:r>
                </w:p>
              </w:tc>
              <w:tc>
                <w:tcPr>
                  <w:tcW w:w="1146" w:type="pct"/>
                  <w:tcBorders>
                    <w:tl2br w:val="nil"/>
                    <w:tr2bl w:val="nil"/>
                  </w:tcBorders>
                  <w:shd w:val="clear" w:color="auto" w:fill="auto"/>
                  <w:vAlign w:val="center"/>
                </w:tcPr>
                <w:p w14:paraId="4312FC2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YFXZ12/12Q-GC</w:t>
                  </w:r>
                </w:p>
              </w:tc>
              <w:tc>
                <w:tcPr>
                  <w:tcW w:w="516" w:type="pct"/>
                  <w:tcBorders>
                    <w:tl2br w:val="nil"/>
                    <w:tr2bl w:val="nil"/>
                  </w:tcBorders>
                  <w:shd w:val="clear" w:color="auto" w:fill="auto"/>
                  <w:noWrap/>
                  <w:vAlign w:val="center"/>
                </w:tcPr>
                <w:p w14:paraId="4A5F670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w:t>
                  </w:r>
                </w:p>
              </w:tc>
              <w:tc>
                <w:tcPr>
                  <w:tcW w:w="1036" w:type="pct"/>
                  <w:tcBorders>
                    <w:tl2br w:val="nil"/>
                    <w:tr2bl w:val="nil"/>
                  </w:tcBorders>
                  <w:shd w:val="clear" w:color="auto" w:fill="auto"/>
                  <w:noWrap/>
                  <w:vAlign w:val="center"/>
                </w:tcPr>
                <w:p w14:paraId="4900B76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一层烧结间</w:t>
                  </w:r>
                </w:p>
              </w:tc>
              <w:tc>
                <w:tcPr>
                  <w:tcW w:w="989" w:type="pct"/>
                  <w:tcBorders>
                    <w:tl2br w:val="nil"/>
                    <w:tr2bl w:val="nil"/>
                  </w:tcBorders>
                  <w:shd w:val="clear" w:color="auto" w:fill="auto"/>
                  <w:noWrap/>
                  <w:vAlign w:val="center"/>
                </w:tcPr>
                <w:p w14:paraId="3B89FE2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三元正极材料烧结</w:t>
                  </w:r>
                </w:p>
              </w:tc>
            </w:tr>
            <w:tr w14:paraId="25B4210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3A8C16AF">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12</w:t>
                  </w:r>
                </w:p>
              </w:tc>
              <w:tc>
                <w:tcPr>
                  <w:tcW w:w="968" w:type="pct"/>
                  <w:tcBorders>
                    <w:tl2br w:val="nil"/>
                    <w:tr2bl w:val="nil"/>
                  </w:tcBorders>
                  <w:shd w:val="clear" w:color="auto" w:fill="auto"/>
                  <w:vAlign w:val="center"/>
                </w:tcPr>
                <w:p w14:paraId="2B4F0248">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箱式气氛炉（铁锂用）</w:t>
                  </w:r>
                </w:p>
              </w:tc>
              <w:tc>
                <w:tcPr>
                  <w:tcW w:w="1146" w:type="pct"/>
                  <w:tcBorders>
                    <w:tl2br w:val="nil"/>
                    <w:tr2bl w:val="nil"/>
                  </w:tcBorders>
                  <w:shd w:val="clear" w:color="auto" w:fill="auto"/>
                  <w:vAlign w:val="center"/>
                </w:tcPr>
                <w:p w14:paraId="11173B4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SG-XQL1100</w:t>
                  </w:r>
                </w:p>
              </w:tc>
              <w:tc>
                <w:tcPr>
                  <w:tcW w:w="516" w:type="pct"/>
                  <w:tcBorders>
                    <w:tl2br w:val="nil"/>
                    <w:tr2bl w:val="nil"/>
                  </w:tcBorders>
                  <w:shd w:val="clear" w:color="auto" w:fill="auto"/>
                  <w:noWrap/>
                  <w:vAlign w:val="center"/>
                </w:tcPr>
                <w:p w14:paraId="434AED3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2C7A19B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一层烧结间</w:t>
                  </w:r>
                </w:p>
              </w:tc>
              <w:tc>
                <w:tcPr>
                  <w:tcW w:w="989" w:type="pct"/>
                  <w:tcBorders>
                    <w:tl2br w:val="nil"/>
                    <w:tr2bl w:val="nil"/>
                  </w:tcBorders>
                  <w:shd w:val="clear" w:color="auto" w:fill="auto"/>
                  <w:noWrap/>
                  <w:vAlign w:val="center"/>
                </w:tcPr>
                <w:p w14:paraId="5D70AC0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磷酸铁锂正极</w:t>
                  </w:r>
                </w:p>
                <w:p w14:paraId="63393BB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烧结</w:t>
                  </w:r>
                </w:p>
              </w:tc>
            </w:tr>
            <w:tr w14:paraId="3E89945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0A643C66">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13</w:t>
                  </w:r>
                </w:p>
              </w:tc>
              <w:tc>
                <w:tcPr>
                  <w:tcW w:w="968" w:type="pct"/>
                  <w:tcBorders>
                    <w:tl2br w:val="nil"/>
                    <w:tr2bl w:val="nil"/>
                  </w:tcBorders>
                  <w:shd w:val="clear" w:color="auto" w:fill="auto"/>
                  <w:vAlign w:val="center"/>
                </w:tcPr>
                <w:p w14:paraId="426DDEA2">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马弗炉</w:t>
                  </w:r>
                </w:p>
              </w:tc>
              <w:tc>
                <w:tcPr>
                  <w:tcW w:w="1146" w:type="pct"/>
                  <w:tcBorders>
                    <w:tl2br w:val="nil"/>
                    <w:tr2bl w:val="nil"/>
                  </w:tcBorders>
                  <w:shd w:val="clear" w:color="auto" w:fill="auto"/>
                  <w:vAlign w:val="center"/>
                </w:tcPr>
                <w:p w14:paraId="0C02D4E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SX2-4-10</w:t>
                  </w:r>
                </w:p>
              </w:tc>
              <w:tc>
                <w:tcPr>
                  <w:tcW w:w="516" w:type="pct"/>
                  <w:tcBorders>
                    <w:tl2br w:val="nil"/>
                    <w:tr2bl w:val="nil"/>
                  </w:tcBorders>
                  <w:shd w:val="clear" w:color="auto" w:fill="auto"/>
                  <w:noWrap/>
                  <w:vAlign w:val="center"/>
                </w:tcPr>
                <w:p w14:paraId="63AF6D6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5C04D21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一层烧结间</w:t>
                  </w:r>
                </w:p>
              </w:tc>
              <w:tc>
                <w:tcPr>
                  <w:tcW w:w="989" w:type="pct"/>
                  <w:tcBorders>
                    <w:tl2br w:val="nil"/>
                    <w:tr2bl w:val="nil"/>
                  </w:tcBorders>
                  <w:shd w:val="clear" w:color="auto" w:fill="auto"/>
                  <w:noWrap/>
                  <w:vAlign w:val="center"/>
                </w:tcPr>
                <w:p w14:paraId="3FFBEB9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氧化铌烧结</w:t>
                  </w:r>
                </w:p>
              </w:tc>
            </w:tr>
            <w:tr w14:paraId="5DB978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3F0B8B18">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14</w:t>
                  </w:r>
                </w:p>
              </w:tc>
              <w:tc>
                <w:tcPr>
                  <w:tcW w:w="968" w:type="pct"/>
                  <w:tcBorders>
                    <w:tl2br w:val="nil"/>
                    <w:tr2bl w:val="nil"/>
                  </w:tcBorders>
                  <w:shd w:val="clear" w:color="auto" w:fill="auto"/>
                  <w:vAlign w:val="center"/>
                </w:tcPr>
                <w:p w14:paraId="38E3DCE1">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防爆气瓶柜</w:t>
                  </w:r>
                </w:p>
              </w:tc>
              <w:tc>
                <w:tcPr>
                  <w:tcW w:w="1146" w:type="pct"/>
                  <w:tcBorders>
                    <w:tl2br w:val="nil"/>
                    <w:tr2bl w:val="nil"/>
                  </w:tcBorders>
                  <w:shd w:val="clear" w:color="auto" w:fill="auto"/>
                  <w:vAlign w:val="center"/>
                </w:tcPr>
                <w:p w14:paraId="189D705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带防爆柜，考虑O2、N2、Ar等</w:t>
                  </w:r>
                </w:p>
              </w:tc>
              <w:tc>
                <w:tcPr>
                  <w:tcW w:w="516" w:type="pct"/>
                  <w:tcBorders>
                    <w:tl2br w:val="nil"/>
                    <w:tr2bl w:val="nil"/>
                  </w:tcBorders>
                  <w:shd w:val="clear" w:color="auto" w:fill="auto"/>
                  <w:noWrap/>
                  <w:vAlign w:val="center"/>
                </w:tcPr>
                <w:p w14:paraId="6AEA9F5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45EF336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一层烧结间</w:t>
                  </w:r>
                </w:p>
              </w:tc>
              <w:tc>
                <w:tcPr>
                  <w:tcW w:w="989" w:type="pct"/>
                  <w:tcBorders>
                    <w:tl2br w:val="nil"/>
                    <w:tr2bl w:val="nil"/>
                  </w:tcBorders>
                  <w:shd w:val="clear" w:color="auto" w:fill="auto"/>
                  <w:noWrap/>
                  <w:vAlign w:val="center"/>
                </w:tcPr>
                <w:p w14:paraId="0494DB9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提供气源</w:t>
                  </w:r>
                </w:p>
              </w:tc>
            </w:tr>
            <w:tr w14:paraId="7A6D3C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2F45A495">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15</w:t>
                  </w:r>
                </w:p>
              </w:tc>
              <w:tc>
                <w:tcPr>
                  <w:tcW w:w="968" w:type="pct"/>
                  <w:tcBorders>
                    <w:tl2br w:val="nil"/>
                    <w:tr2bl w:val="nil"/>
                  </w:tcBorders>
                  <w:shd w:val="clear" w:color="auto" w:fill="auto"/>
                  <w:vAlign w:val="center"/>
                </w:tcPr>
                <w:p w14:paraId="1DC7B05D">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颚破机</w:t>
                  </w:r>
                </w:p>
              </w:tc>
              <w:tc>
                <w:tcPr>
                  <w:tcW w:w="1146" w:type="pct"/>
                  <w:tcBorders>
                    <w:tl2br w:val="nil"/>
                    <w:tr2bl w:val="nil"/>
                  </w:tcBorders>
                  <w:shd w:val="clear" w:color="auto" w:fill="auto"/>
                  <w:vAlign w:val="center"/>
                </w:tcPr>
                <w:p w14:paraId="10C5972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MSK-SFM-ALO</w:t>
                  </w:r>
                </w:p>
              </w:tc>
              <w:tc>
                <w:tcPr>
                  <w:tcW w:w="516" w:type="pct"/>
                  <w:tcBorders>
                    <w:tl2br w:val="nil"/>
                    <w:tr2bl w:val="nil"/>
                  </w:tcBorders>
                  <w:shd w:val="clear" w:color="auto" w:fill="auto"/>
                  <w:noWrap/>
                  <w:vAlign w:val="center"/>
                </w:tcPr>
                <w:p w14:paraId="0744BC4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72F825C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一层烧结间</w:t>
                  </w:r>
                </w:p>
              </w:tc>
              <w:tc>
                <w:tcPr>
                  <w:tcW w:w="989" w:type="pct"/>
                  <w:tcBorders>
                    <w:tl2br w:val="nil"/>
                    <w:tr2bl w:val="nil"/>
                  </w:tcBorders>
                  <w:shd w:val="clear" w:color="auto" w:fill="auto"/>
                  <w:noWrap/>
                  <w:vAlign w:val="center"/>
                </w:tcPr>
                <w:p w14:paraId="34CEBE7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粗破，大块→小块</w:t>
                  </w:r>
                </w:p>
              </w:tc>
            </w:tr>
            <w:tr w14:paraId="4126EF5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4BBA152B">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16</w:t>
                  </w:r>
                </w:p>
              </w:tc>
              <w:tc>
                <w:tcPr>
                  <w:tcW w:w="968" w:type="pct"/>
                  <w:tcBorders>
                    <w:tl2br w:val="nil"/>
                    <w:tr2bl w:val="nil"/>
                  </w:tcBorders>
                  <w:shd w:val="clear" w:color="auto" w:fill="auto"/>
                  <w:vAlign w:val="center"/>
                </w:tcPr>
                <w:p w14:paraId="3CCAE1F8">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对辊机</w:t>
                  </w:r>
                </w:p>
              </w:tc>
              <w:tc>
                <w:tcPr>
                  <w:tcW w:w="1146" w:type="pct"/>
                  <w:tcBorders>
                    <w:tl2br w:val="nil"/>
                    <w:tr2bl w:val="nil"/>
                  </w:tcBorders>
                  <w:shd w:val="clear" w:color="auto" w:fill="auto"/>
                  <w:vAlign w:val="center"/>
                </w:tcPr>
                <w:p w14:paraId="4E4BCEA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XRC235</w:t>
                  </w:r>
                </w:p>
              </w:tc>
              <w:tc>
                <w:tcPr>
                  <w:tcW w:w="516" w:type="pct"/>
                  <w:tcBorders>
                    <w:tl2br w:val="nil"/>
                    <w:tr2bl w:val="nil"/>
                  </w:tcBorders>
                  <w:shd w:val="clear" w:color="auto" w:fill="auto"/>
                  <w:noWrap/>
                  <w:vAlign w:val="center"/>
                </w:tcPr>
                <w:p w14:paraId="4D436AD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2E662D8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一层烧结间</w:t>
                  </w:r>
                </w:p>
              </w:tc>
              <w:tc>
                <w:tcPr>
                  <w:tcW w:w="989" w:type="pct"/>
                  <w:tcBorders>
                    <w:tl2br w:val="nil"/>
                    <w:tr2bl w:val="nil"/>
                  </w:tcBorders>
                  <w:shd w:val="clear" w:color="auto" w:fill="auto"/>
                  <w:noWrap/>
                  <w:vAlign w:val="center"/>
                </w:tcPr>
                <w:p w14:paraId="20ED0D6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细破，小块→粉末</w:t>
                  </w:r>
                </w:p>
              </w:tc>
            </w:tr>
            <w:tr w14:paraId="764163F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0DB8EA26">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17</w:t>
                  </w:r>
                </w:p>
              </w:tc>
              <w:tc>
                <w:tcPr>
                  <w:tcW w:w="968" w:type="pct"/>
                  <w:tcBorders>
                    <w:tl2br w:val="nil"/>
                    <w:tr2bl w:val="nil"/>
                  </w:tcBorders>
                  <w:shd w:val="clear" w:color="auto" w:fill="auto"/>
                  <w:vAlign w:val="center"/>
                </w:tcPr>
                <w:p w14:paraId="09FB6BDB">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球磨仪</w:t>
                  </w:r>
                </w:p>
              </w:tc>
              <w:tc>
                <w:tcPr>
                  <w:tcW w:w="1146" w:type="pct"/>
                  <w:tcBorders>
                    <w:tl2br w:val="nil"/>
                    <w:tr2bl w:val="nil"/>
                  </w:tcBorders>
                  <w:shd w:val="clear" w:color="auto" w:fill="auto"/>
                  <w:vAlign w:val="center"/>
                </w:tcPr>
                <w:p w14:paraId="0D655EF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QM-3SP04</w:t>
                  </w:r>
                </w:p>
              </w:tc>
              <w:tc>
                <w:tcPr>
                  <w:tcW w:w="516" w:type="pct"/>
                  <w:tcBorders>
                    <w:tl2br w:val="nil"/>
                    <w:tr2bl w:val="nil"/>
                  </w:tcBorders>
                  <w:shd w:val="clear" w:color="auto" w:fill="auto"/>
                  <w:noWrap/>
                  <w:vAlign w:val="center"/>
                </w:tcPr>
                <w:p w14:paraId="04F807B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3A4D9C6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一层烧结间</w:t>
                  </w:r>
                </w:p>
              </w:tc>
              <w:tc>
                <w:tcPr>
                  <w:tcW w:w="989" w:type="pct"/>
                  <w:tcBorders>
                    <w:tl2br w:val="nil"/>
                    <w:tr2bl w:val="nil"/>
                  </w:tcBorders>
                  <w:shd w:val="clear" w:color="auto" w:fill="auto"/>
                  <w:noWrap/>
                  <w:vAlign w:val="center"/>
                </w:tcPr>
                <w:p w14:paraId="4E74E9F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球磨、混料</w:t>
                  </w:r>
                </w:p>
              </w:tc>
            </w:tr>
            <w:tr w14:paraId="29824FE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45A467B3">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18</w:t>
                  </w:r>
                </w:p>
              </w:tc>
              <w:tc>
                <w:tcPr>
                  <w:tcW w:w="968" w:type="pct"/>
                  <w:tcBorders>
                    <w:tl2br w:val="nil"/>
                    <w:tr2bl w:val="nil"/>
                  </w:tcBorders>
                  <w:shd w:val="clear" w:color="auto" w:fill="auto"/>
                  <w:vAlign w:val="center"/>
                </w:tcPr>
                <w:p w14:paraId="4F2B12C5">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气流磨</w:t>
                  </w:r>
                </w:p>
              </w:tc>
              <w:tc>
                <w:tcPr>
                  <w:tcW w:w="1146" w:type="pct"/>
                  <w:tcBorders>
                    <w:tl2br w:val="nil"/>
                    <w:tr2bl w:val="nil"/>
                  </w:tcBorders>
                  <w:shd w:val="clear" w:color="auto" w:fill="auto"/>
                  <w:vAlign w:val="center"/>
                </w:tcPr>
                <w:p w14:paraId="427BFA1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QLM-I/B</w:t>
                  </w:r>
                </w:p>
              </w:tc>
              <w:tc>
                <w:tcPr>
                  <w:tcW w:w="516" w:type="pct"/>
                  <w:tcBorders>
                    <w:tl2br w:val="nil"/>
                    <w:tr2bl w:val="nil"/>
                  </w:tcBorders>
                  <w:shd w:val="clear" w:color="auto" w:fill="auto"/>
                  <w:noWrap/>
                  <w:vAlign w:val="center"/>
                </w:tcPr>
                <w:p w14:paraId="29370F9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405ED52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一层烧结间</w:t>
                  </w:r>
                </w:p>
              </w:tc>
              <w:tc>
                <w:tcPr>
                  <w:tcW w:w="989" w:type="pct"/>
                  <w:tcBorders>
                    <w:tl2br w:val="nil"/>
                    <w:tr2bl w:val="nil"/>
                  </w:tcBorders>
                  <w:shd w:val="clear" w:color="auto" w:fill="auto"/>
                  <w:noWrap/>
                  <w:vAlign w:val="center"/>
                </w:tcPr>
                <w:p w14:paraId="1123E7D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单晶破碎，纳米氧化铌制备</w:t>
                  </w:r>
                </w:p>
              </w:tc>
            </w:tr>
            <w:tr w14:paraId="2E715D2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073FB26D">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19</w:t>
                  </w:r>
                </w:p>
              </w:tc>
              <w:tc>
                <w:tcPr>
                  <w:tcW w:w="968" w:type="pct"/>
                  <w:tcBorders>
                    <w:tl2br w:val="nil"/>
                    <w:tr2bl w:val="nil"/>
                  </w:tcBorders>
                  <w:shd w:val="clear" w:color="auto" w:fill="auto"/>
                  <w:vAlign w:val="center"/>
                </w:tcPr>
                <w:p w14:paraId="31ACB5D9">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螺杆空压机</w:t>
                  </w:r>
                </w:p>
              </w:tc>
              <w:tc>
                <w:tcPr>
                  <w:tcW w:w="1146" w:type="pct"/>
                  <w:tcBorders>
                    <w:tl2br w:val="nil"/>
                    <w:tr2bl w:val="nil"/>
                  </w:tcBorders>
                  <w:shd w:val="clear" w:color="auto" w:fill="auto"/>
                  <w:vAlign w:val="center"/>
                </w:tcPr>
                <w:p w14:paraId="49C90CC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KHV-15SAT-L40</w:t>
                  </w:r>
                </w:p>
              </w:tc>
              <w:tc>
                <w:tcPr>
                  <w:tcW w:w="516" w:type="pct"/>
                  <w:tcBorders>
                    <w:tl2br w:val="nil"/>
                    <w:tr2bl w:val="nil"/>
                  </w:tcBorders>
                  <w:shd w:val="clear" w:color="auto" w:fill="auto"/>
                  <w:noWrap/>
                  <w:vAlign w:val="center"/>
                </w:tcPr>
                <w:p w14:paraId="40FC7BB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w:t>
                  </w:r>
                </w:p>
              </w:tc>
              <w:tc>
                <w:tcPr>
                  <w:tcW w:w="1036" w:type="pct"/>
                  <w:tcBorders>
                    <w:tl2br w:val="nil"/>
                    <w:tr2bl w:val="nil"/>
                  </w:tcBorders>
                  <w:shd w:val="clear" w:color="auto" w:fill="auto"/>
                  <w:noWrap/>
                  <w:vAlign w:val="center"/>
                </w:tcPr>
                <w:p w14:paraId="31242A7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一层烧结间</w:t>
                  </w:r>
                </w:p>
              </w:tc>
              <w:tc>
                <w:tcPr>
                  <w:tcW w:w="989" w:type="pct"/>
                  <w:tcBorders>
                    <w:tl2br w:val="nil"/>
                    <w:tr2bl w:val="nil"/>
                  </w:tcBorders>
                  <w:shd w:val="clear" w:color="auto" w:fill="auto"/>
                  <w:noWrap/>
                  <w:vAlign w:val="center"/>
                </w:tcPr>
                <w:p w14:paraId="537E46D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压缩空气供气</w:t>
                  </w:r>
                </w:p>
              </w:tc>
            </w:tr>
            <w:tr w14:paraId="16AEC92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4E0EBAD1">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w:t>
                  </w:r>
                </w:p>
              </w:tc>
              <w:tc>
                <w:tcPr>
                  <w:tcW w:w="968" w:type="pct"/>
                  <w:tcBorders>
                    <w:tl2br w:val="nil"/>
                    <w:tr2bl w:val="nil"/>
                  </w:tcBorders>
                  <w:shd w:val="clear" w:color="auto" w:fill="auto"/>
                  <w:vAlign w:val="center"/>
                </w:tcPr>
                <w:p w14:paraId="2621B91F">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小型V型混料机</w:t>
                  </w:r>
                </w:p>
              </w:tc>
              <w:tc>
                <w:tcPr>
                  <w:tcW w:w="1146" w:type="pct"/>
                  <w:tcBorders>
                    <w:tl2br w:val="nil"/>
                    <w:tr2bl w:val="nil"/>
                  </w:tcBorders>
                  <w:shd w:val="clear" w:color="auto" w:fill="auto"/>
                  <w:vAlign w:val="center"/>
                </w:tcPr>
                <w:p w14:paraId="76C7A1E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MSK-SFM-11/含250mL混料筒</w:t>
                  </w:r>
                </w:p>
              </w:tc>
              <w:tc>
                <w:tcPr>
                  <w:tcW w:w="516" w:type="pct"/>
                  <w:tcBorders>
                    <w:tl2br w:val="nil"/>
                    <w:tr2bl w:val="nil"/>
                  </w:tcBorders>
                  <w:shd w:val="clear" w:color="auto" w:fill="auto"/>
                  <w:noWrap/>
                  <w:vAlign w:val="center"/>
                </w:tcPr>
                <w:p w14:paraId="639A9A8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3D27A3E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一层烧结间</w:t>
                  </w:r>
                </w:p>
              </w:tc>
              <w:tc>
                <w:tcPr>
                  <w:tcW w:w="989" w:type="pct"/>
                  <w:tcBorders>
                    <w:tl2br w:val="nil"/>
                    <w:tr2bl w:val="nil"/>
                  </w:tcBorders>
                  <w:shd w:val="clear" w:color="auto" w:fill="auto"/>
                  <w:noWrap/>
                  <w:vAlign w:val="center"/>
                </w:tcPr>
                <w:p w14:paraId="34C8CEB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混锂</w:t>
                  </w:r>
                </w:p>
              </w:tc>
            </w:tr>
            <w:tr w14:paraId="538401E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4A679703">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21</w:t>
                  </w:r>
                </w:p>
              </w:tc>
              <w:tc>
                <w:tcPr>
                  <w:tcW w:w="968" w:type="pct"/>
                  <w:tcBorders>
                    <w:tl2br w:val="nil"/>
                    <w:tr2bl w:val="nil"/>
                  </w:tcBorders>
                  <w:shd w:val="clear" w:color="auto" w:fill="auto"/>
                  <w:vAlign w:val="center"/>
                </w:tcPr>
                <w:p w14:paraId="031930A0">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小型超声筛分系统</w:t>
                  </w:r>
                </w:p>
              </w:tc>
              <w:tc>
                <w:tcPr>
                  <w:tcW w:w="1146" w:type="pct"/>
                  <w:tcBorders>
                    <w:tl2br w:val="nil"/>
                    <w:tr2bl w:val="nil"/>
                  </w:tcBorders>
                  <w:shd w:val="clear" w:color="auto" w:fill="auto"/>
                  <w:vAlign w:val="center"/>
                </w:tcPr>
                <w:p w14:paraId="786B182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MSK-SYU-3</w:t>
                  </w:r>
                </w:p>
              </w:tc>
              <w:tc>
                <w:tcPr>
                  <w:tcW w:w="516" w:type="pct"/>
                  <w:tcBorders>
                    <w:tl2br w:val="nil"/>
                    <w:tr2bl w:val="nil"/>
                  </w:tcBorders>
                  <w:shd w:val="clear" w:color="auto" w:fill="auto"/>
                  <w:noWrap/>
                  <w:vAlign w:val="center"/>
                </w:tcPr>
                <w:p w14:paraId="3F89981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1C9B61C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一层烧结间</w:t>
                  </w:r>
                </w:p>
              </w:tc>
              <w:tc>
                <w:tcPr>
                  <w:tcW w:w="989" w:type="pct"/>
                  <w:tcBorders>
                    <w:tl2br w:val="nil"/>
                    <w:tr2bl w:val="nil"/>
                  </w:tcBorders>
                  <w:shd w:val="clear" w:color="auto" w:fill="auto"/>
                  <w:noWrap/>
                  <w:vAlign w:val="center"/>
                </w:tcPr>
                <w:p w14:paraId="1002B91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筛分</w:t>
                  </w:r>
                </w:p>
              </w:tc>
            </w:tr>
            <w:tr w14:paraId="1ECAAE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0A4A8EA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22</w:t>
                  </w:r>
                </w:p>
              </w:tc>
              <w:tc>
                <w:tcPr>
                  <w:tcW w:w="968" w:type="pct"/>
                  <w:tcBorders>
                    <w:tl2br w:val="nil"/>
                    <w:tr2bl w:val="nil"/>
                  </w:tcBorders>
                  <w:shd w:val="clear" w:color="auto" w:fill="auto"/>
                  <w:vAlign w:val="center"/>
                </w:tcPr>
                <w:p w14:paraId="694F874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真空干燥箱</w:t>
                  </w:r>
                </w:p>
              </w:tc>
              <w:tc>
                <w:tcPr>
                  <w:tcW w:w="1146" w:type="pct"/>
                  <w:tcBorders>
                    <w:tl2br w:val="nil"/>
                    <w:tr2bl w:val="nil"/>
                  </w:tcBorders>
                  <w:shd w:val="clear" w:color="auto" w:fill="auto"/>
                  <w:vAlign w:val="center"/>
                </w:tcPr>
                <w:p w14:paraId="2B060DE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DZF-6050</w:t>
                  </w:r>
                </w:p>
              </w:tc>
              <w:tc>
                <w:tcPr>
                  <w:tcW w:w="516" w:type="pct"/>
                  <w:tcBorders>
                    <w:tl2br w:val="nil"/>
                    <w:tr2bl w:val="nil"/>
                  </w:tcBorders>
                  <w:shd w:val="clear" w:color="auto" w:fill="auto"/>
                  <w:noWrap/>
                  <w:vAlign w:val="center"/>
                </w:tcPr>
                <w:p w14:paraId="22513A7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213C499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一层烧结间</w:t>
                  </w:r>
                </w:p>
              </w:tc>
              <w:tc>
                <w:tcPr>
                  <w:tcW w:w="989" w:type="pct"/>
                  <w:tcBorders>
                    <w:tl2br w:val="nil"/>
                    <w:tr2bl w:val="nil"/>
                  </w:tcBorders>
                  <w:shd w:val="clear" w:color="auto" w:fill="auto"/>
                  <w:noWrap/>
                  <w:vAlign w:val="center"/>
                </w:tcPr>
                <w:p w14:paraId="20DECF7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物料干燥</w:t>
                  </w:r>
                </w:p>
              </w:tc>
            </w:tr>
            <w:tr w14:paraId="08CB23F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60915D8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23</w:t>
                  </w:r>
                </w:p>
              </w:tc>
              <w:tc>
                <w:tcPr>
                  <w:tcW w:w="968" w:type="pct"/>
                  <w:tcBorders>
                    <w:tl2br w:val="nil"/>
                    <w:tr2bl w:val="nil"/>
                  </w:tcBorders>
                  <w:shd w:val="clear" w:color="auto" w:fill="auto"/>
                  <w:vAlign w:val="center"/>
                </w:tcPr>
                <w:p w14:paraId="43BE52D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鼓风干燥箱</w:t>
                  </w:r>
                </w:p>
              </w:tc>
              <w:tc>
                <w:tcPr>
                  <w:tcW w:w="1146" w:type="pct"/>
                  <w:tcBorders>
                    <w:tl2br w:val="nil"/>
                    <w:tr2bl w:val="nil"/>
                  </w:tcBorders>
                  <w:shd w:val="clear" w:color="auto" w:fill="auto"/>
                  <w:vAlign w:val="center"/>
                </w:tcPr>
                <w:p w14:paraId="777D0EE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DHG-9070A</w:t>
                  </w:r>
                </w:p>
              </w:tc>
              <w:tc>
                <w:tcPr>
                  <w:tcW w:w="516" w:type="pct"/>
                  <w:tcBorders>
                    <w:tl2br w:val="nil"/>
                    <w:tr2bl w:val="nil"/>
                  </w:tcBorders>
                  <w:shd w:val="clear" w:color="auto" w:fill="auto"/>
                  <w:noWrap/>
                  <w:vAlign w:val="center"/>
                </w:tcPr>
                <w:p w14:paraId="13B14CA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13D62DA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一层烧结间</w:t>
                  </w:r>
                </w:p>
              </w:tc>
              <w:tc>
                <w:tcPr>
                  <w:tcW w:w="989" w:type="pct"/>
                  <w:tcBorders>
                    <w:tl2br w:val="nil"/>
                    <w:tr2bl w:val="nil"/>
                  </w:tcBorders>
                  <w:shd w:val="clear" w:color="auto" w:fill="auto"/>
                  <w:noWrap/>
                  <w:vAlign w:val="center"/>
                </w:tcPr>
                <w:p w14:paraId="1AA360F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物料干燥</w:t>
                  </w:r>
                </w:p>
              </w:tc>
            </w:tr>
            <w:tr w14:paraId="1040E3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742FA4D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24</w:t>
                  </w:r>
                </w:p>
              </w:tc>
              <w:tc>
                <w:tcPr>
                  <w:tcW w:w="968" w:type="pct"/>
                  <w:tcBorders>
                    <w:tl2br w:val="nil"/>
                    <w:tr2bl w:val="nil"/>
                  </w:tcBorders>
                  <w:shd w:val="clear" w:color="auto" w:fill="auto"/>
                  <w:vAlign w:val="center"/>
                </w:tcPr>
                <w:p w14:paraId="62D33AA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压实密度仪</w:t>
                  </w:r>
                </w:p>
              </w:tc>
              <w:tc>
                <w:tcPr>
                  <w:tcW w:w="1146" w:type="pct"/>
                  <w:tcBorders>
                    <w:tl2br w:val="nil"/>
                    <w:tr2bl w:val="nil"/>
                  </w:tcBorders>
                  <w:shd w:val="clear" w:color="auto" w:fill="auto"/>
                  <w:vAlign w:val="center"/>
                </w:tcPr>
                <w:p w14:paraId="5C7DBFD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UTM7305/7105</w:t>
                  </w:r>
                </w:p>
              </w:tc>
              <w:tc>
                <w:tcPr>
                  <w:tcW w:w="516" w:type="pct"/>
                  <w:tcBorders>
                    <w:tl2br w:val="nil"/>
                    <w:tr2bl w:val="nil"/>
                  </w:tcBorders>
                  <w:shd w:val="clear" w:color="auto" w:fill="auto"/>
                  <w:noWrap/>
                  <w:vAlign w:val="center"/>
                </w:tcPr>
                <w:p w14:paraId="5F360E5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37D050D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一层物性分析间</w:t>
                  </w:r>
                </w:p>
              </w:tc>
              <w:tc>
                <w:tcPr>
                  <w:tcW w:w="989" w:type="pct"/>
                  <w:tcBorders>
                    <w:tl2br w:val="nil"/>
                    <w:tr2bl w:val="nil"/>
                  </w:tcBorders>
                  <w:shd w:val="clear" w:color="auto" w:fill="auto"/>
                  <w:noWrap/>
                  <w:vAlign w:val="center"/>
                </w:tcPr>
                <w:p w14:paraId="4DBABF1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材料压实密度测试</w:t>
                  </w:r>
                </w:p>
              </w:tc>
            </w:tr>
            <w:tr w14:paraId="08D6AB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2460429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25</w:t>
                  </w:r>
                </w:p>
              </w:tc>
              <w:tc>
                <w:tcPr>
                  <w:tcW w:w="968" w:type="pct"/>
                  <w:tcBorders>
                    <w:tl2br w:val="nil"/>
                    <w:tr2bl w:val="nil"/>
                  </w:tcBorders>
                  <w:shd w:val="clear" w:color="auto" w:fill="auto"/>
                  <w:vAlign w:val="center"/>
                </w:tcPr>
                <w:p w14:paraId="1BE7EE8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比表面仪</w:t>
                  </w:r>
                </w:p>
              </w:tc>
              <w:tc>
                <w:tcPr>
                  <w:tcW w:w="1146" w:type="pct"/>
                  <w:tcBorders>
                    <w:tl2br w:val="nil"/>
                    <w:tr2bl w:val="nil"/>
                  </w:tcBorders>
                  <w:shd w:val="clear" w:color="auto" w:fill="auto"/>
                  <w:vAlign w:val="center"/>
                </w:tcPr>
                <w:p w14:paraId="2BB6900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Tristar3020</w:t>
                  </w:r>
                </w:p>
              </w:tc>
              <w:tc>
                <w:tcPr>
                  <w:tcW w:w="516" w:type="pct"/>
                  <w:tcBorders>
                    <w:tl2br w:val="nil"/>
                    <w:tr2bl w:val="nil"/>
                  </w:tcBorders>
                  <w:shd w:val="clear" w:color="auto" w:fill="auto"/>
                  <w:noWrap/>
                  <w:vAlign w:val="center"/>
                </w:tcPr>
                <w:p w14:paraId="15C128D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2E48FCC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一层物性分析间</w:t>
                  </w:r>
                </w:p>
              </w:tc>
              <w:tc>
                <w:tcPr>
                  <w:tcW w:w="989" w:type="pct"/>
                  <w:tcBorders>
                    <w:tl2br w:val="nil"/>
                    <w:tr2bl w:val="nil"/>
                  </w:tcBorders>
                  <w:shd w:val="clear" w:color="auto" w:fill="auto"/>
                  <w:noWrap/>
                  <w:vAlign w:val="center"/>
                </w:tcPr>
                <w:p w14:paraId="4116200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表面积、孔隙分析</w:t>
                  </w:r>
                </w:p>
              </w:tc>
            </w:tr>
            <w:tr w14:paraId="1959B6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2E8488C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26</w:t>
                  </w:r>
                </w:p>
              </w:tc>
              <w:tc>
                <w:tcPr>
                  <w:tcW w:w="968" w:type="pct"/>
                  <w:tcBorders>
                    <w:tl2br w:val="nil"/>
                    <w:tr2bl w:val="nil"/>
                  </w:tcBorders>
                  <w:shd w:val="clear" w:color="auto" w:fill="auto"/>
                  <w:vAlign w:val="center"/>
                </w:tcPr>
                <w:p w14:paraId="2D8002F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微量水分仪</w:t>
                  </w:r>
                </w:p>
              </w:tc>
              <w:tc>
                <w:tcPr>
                  <w:tcW w:w="1146" w:type="pct"/>
                  <w:tcBorders>
                    <w:tl2br w:val="nil"/>
                    <w:tr2bl w:val="nil"/>
                  </w:tcBorders>
                  <w:shd w:val="clear" w:color="auto" w:fill="auto"/>
                  <w:vAlign w:val="center"/>
                </w:tcPr>
                <w:p w14:paraId="22FEEBA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CA-310+VA-236S</w:t>
                  </w:r>
                </w:p>
              </w:tc>
              <w:tc>
                <w:tcPr>
                  <w:tcW w:w="516" w:type="pct"/>
                  <w:tcBorders>
                    <w:tl2br w:val="nil"/>
                    <w:tr2bl w:val="nil"/>
                  </w:tcBorders>
                  <w:shd w:val="clear" w:color="auto" w:fill="auto"/>
                  <w:noWrap/>
                  <w:vAlign w:val="center"/>
                </w:tcPr>
                <w:p w14:paraId="28A2BC9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062A71D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一层物性分析间</w:t>
                  </w:r>
                </w:p>
              </w:tc>
              <w:tc>
                <w:tcPr>
                  <w:tcW w:w="989" w:type="pct"/>
                  <w:tcBorders>
                    <w:tl2br w:val="nil"/>
                    <w:tr2bl w:val="nil"/>
                  </w:tcBorders>
                  <w:shd w:val="clear" w:color="auto" w:fill="auto"/>
                  <w:noWrap/>
                  <w:vAlign w:val="center"/>
                </w:tcPr>
                <w:p w14:paraId="255DC4F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水分含量分析</w:t>
                  </w:r>
                </w:p>
              </w:tc>
            </w:tr>
            <w:tr w14:paraId="118761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21CABC3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27</w:t>
                  </w:r>
                </w:p>
              </w:tc>
              <w:tc>
                <w:tcPr>
                  <w:tcW w:w="968" w:type="pct"/>
                  <w:tcBorders>
                    <w:tl2br w:val="nil"/>
                    <w:tr2bl w:val="nil"/>
                  </w:tcBorders>
                  <w:shd w:val="clear" w:color="auto" w:fill="auto"/>
                  <w:vAlign w:val="center"/>
                </w:tcPr>
                <w:p w14:paraId="79A2A2C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电位滴定仪</w:t>
                  </w:r>
                </w:p>
              </w:tc>
              <w:tc>
                <w:tcPr>
                  <w:tcW w:w="1146" w:type="pct"/>
                  <w:tcBorders>
                    <w:tl2br w:val="nil"/>
                    <w:tr2bl w:val="nil"/>
                  </w:tcBorders>
                  <w:shd w:val="clear" w:color="auto" w:fill="auto"/>
                  <w:vAlign w:val="center"/>
                </w:tcPr>
                <w:p w14:paraId="6F4C8E1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905</w:t>
                  </w:r>
                </w:p>
              </w:tc>
              <w:tc>
                <w:tcPr>
                  <w:tcW w:w="516" w:type="pct"/>
                  <w:tcBorders>
                    <w:tl2br w:val="nil"/>
                    <w:tr2bl w:val="nil"/>
                  </w:tcBorders>
                  <w:shd w:val="clear" w:color="auto" w:fill="auto"/>
                  <w:noWrap/>
                  <w:vAlign w:val="center"/>
                </w:tcPr>
                <w:p w14:paraId="66F4708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4A8EF43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一层物性分析间</w:t>
                  </w:r>
                </w:p>
              </w:tc>
              <w:tc>
                <w:tcPr>
                  <w:tcW w:w="989" w:type="pct"/>
                  <w:tcBorders>
                    <w:tl2br w:val="nil"/>
                    <w:tr2bl w:val="nil"/>
                  </w:tcBorders>
                  <w:shd w:val="clear" w:color="auto" w:fill="auto"/>
                  <w:noWrap/>
                  <w:vAlign w:val="center"/>
                </w:tcPr>
                <w:p w14:paraId="693AD84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残碱含量测试</w:t>
                  </w:r>
                </w:p>
              </w:tc>
            </w:tr>
            <w:tr w14:paraId="3704EB7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11BCD8D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28</w:t>
                  </w:r>
                </w:p>
              </w:tc>
              <w:tc>
                <w:tcPr>
                  <w:tcW w:w="968" w:type="pct"/>
                  <w:tcBorders>
                    <w:tl2br w:val="nil"/>
                    <w:tr2bl w:val="nil"/>
                  </w:tcBorders>
                  <w:shd w:val="clear" w:color="auto" w:fill="auto"/>
                  <w:vAlign w:val="center"/>
                </w:tcPr>
                <w:p w14:paraId="14D67EE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松装密度仪</w:t>
                  </w:r>
                </w:p>
              </w:tc>
              <w:tc>
                <w:tcPr>
                  <w:tcW w:w="1146" w:type="pct"/>
                  <w:tcBorders>
                    <w:tl2br w:val="nil"/>
                    <w:tr2bl w:val="nil"/>
                  </w:tcBorders>
                  <w:shd w:val="clear" w:color="auto" w:fill="auto"/>
                  <w:vAlign w:val="center"/>
                </w:tcPr>
                <w:p w14:paraId="03CF278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：FS4-2M</w:t>
                  </w:r>
                </w:p>
              </w:tc>
              <w:tc>
                <w:tcPr>
                  <w:tcW w:w="516" w:type="pct"/>
                  <w:tcBorders>
                    <w:tl2br w:val="nil"/>
                    <w:tr2bl w:val="nil"/>
                  </w:tcBorders>
                  <w:shd w:val="clear" w:color="auto" w:fill="auto"/>
                  <w:noWrap/>
                  <w:vAlign w:val="center"/>
                </w:tcPr>
                <w:p w14:paraId="3D2B538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42316AA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一层物性分析间</w:t>
                  </w:r>
                </w:p>
              </w:tc>
              <w:tc>
                <w:tcPr>
                  <w:tcW w:w="989" w:type="pct"/>
                  <w:tcBorders>
                    <w:tl2br w:val="nil"/>
                    <w:tr2bl w:val="nil"/>
                  </w:tcBorders>
                  <w:shd w:val="clear" w:color="auto" w:fill="auto"/>
                  <w:noWrap/>
                  <w:vAlign w:val="center"/>
                </w:tcPr>
                <w:p w14:paraId="7CD5F42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松装密度测试</w:t>
                  </w:r>
                </w:p>
              </w:tc>
            </w:tr>
            <w:tr w14:paraId="7027EF7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52CAFA8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29</w:t>
                  </w:r>
                </w:p>
              </w:tc>
              <w:tc>
                <w:tcPr>
                  <w:tcW w:w="968" w:type="pct"/>
                  <w:tcBorders>
                    <w:tl2br w:val="nil"/>
                    <w:tr2bl w:val="nil"/>
                  </w:tcBorders>
                  <w:shd w:val="clear" w:color="auto" w:fill="auto"/>
                  <w:vAlign w:val="center"/>
                </w:tcPr>
                <w:p w14:paraId="4FFA820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振实密度仪</w:t>
                  </w:r>
                </w:p>
              </w:tc>
              <w:tc>
                <w:tcPr>
                  <w:tcW w:w="1146" w:type="pct"/>
                  <w:tcBorders>
                    <w:tl2br w:val="nil"/>
                    <w:tr2bl w:val="nil"/>
                  </w:tcBorders>
                  <w:shd w:val="clear" w:color="auto" w:fill="auto"/>
                  <w:vAlign w:val="center"/>
                </w:tcPr>
                <w:p w14:paraId="585C51F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BT-313</w:t>
                  </w:r>
                  <w:r>
                    <w:rPr>
                      <w:rFonts w:hint="default" w:ascii="Times New Roman" w:hAnsi="Times New Roman" w:eastAsia="宋体" w:cs="Times New Roman"/>
                      <w:color w:val="000000"/>
                      <w:kern w:val="0"/>
                      <w:sz w:val="18"/>
                      <w:szCs w:val="18"/>
                    </w:rPr>
                    <w:t>，配25ml量筒，</w:t>
                  </w:r>
                </w:p>
              </w:tc>
              <w:tc>
                <w:tcPr>
                  <w:tcW w:w="516" w:type="pct"/>
                  <w:tcBorders>
                    <w:tl2br w:val="nil"/>
                    <w:tr2bl w:val="nil"/>
                  </w:tcBorders>
                  <w:shd w:val="clear" w:color="auto" w:fill="auto"/>
                  <w:noWrap/>
                  <w:vAlign w:val="center"/>
                </w:tcPr>
                <w:p w14:paraId="68C051E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351221F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一层物性分析间</w:t>
                  </w:r>
                </w:p>
              </w:tc>
              <w:tc>
                <w:tcPr>
                  <w:tcW w:w="989" w:type="pct"/>
                  <w:tcBorders>
                    <w:tl2br w:val="nil"/>
                    <w:tr2bl w:val="nil"/>
                  </w:tcBorders>
                  <w:shd w:val="clear" w:color="auto" w:fill="auto"/>
                  <w:noWrap/>
                  <w:vAlign w:val="center"/>
                </w:tcPr>
                <w:p w14:paraId="13AD086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振实密度测试</w:t>
                  </w:r>
                </w:p>
              </w:tc>
            </w:tr>
            <w:tr w14:paraId="37AC835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471AB43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30</w:t>
                  </w:r>
                </w:p>
              </w:tc>
              <w:tc>
                <w:tcPr>
                  <w:tcW w:w="968" w:type="pct"/>
                  <w:tcBorders>
                    <w:tl2br w:val="nil"/>
                    <w:tr2bl w:val="nil"/>
                  </w:tcBorders>
                  <w:shd w:val="clear" w:color="auto" w:fill="auto"/>
                  <w:vAlign w:val="center"/>
                </w:tcPr>
                <w:p w14:paraId="667FC7B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激光粒度仪</w:t>
                  </w:r>
                </w:p>
              </w:tc>
              <w:tc>
                <w:tcPr>
                  <w:tcW w:w="1146" w:type="pct"/>
                  <w:tcBorders>
                    <w:tl2br w:val="nil"/>
                    <w:tr2bl w:val="nil"/>
                  </w:tcBorders>
                  <w:shd w:val="clear" w:color="auto" w:fill="auto"/>
                  <w:vAlign w:val="center"/>
                </w:tcPr>
                <w:p w14:paraId="4F1CAFD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Mastersizer 3000</w:t>
                  </w:r>
                  <w:r>
                    <w:rPr>
                      <w:rFonts w:hint="default" w:ascii="Times New Roman" w:hAnsi="Times New Roman" w:eastAsia="宋体" w:cs="Times New Roman"/>
                      <w:color w:val="000000"/>
                      <w:kern w:val="0"/>
                      <w:sz w:val="18"/>
                      <w:szCs w:val="18"/>
                    </w:rPr>
                    <w:t>（干法）</w:t>
                  </w:r>
                </w:p>
              </w:tc>
              <w:tc>
                <w:tcPr>
                  <w:tcW w:w="516" w:type="pct"/>
                  <w:tcBorders>
                    <w:tl2br w:val="nil"/>
                    <w:tr2bl w:val="nil"/>
                  </w:tcBorders>
                  <w:shd w:val="clear" w:color="auto" w:fill="auto"/>
                  <w:noWrap/>
                  <w:vAlign w:val="center"/>
                </w:tcPr>
                <w:p w14:paraId="1A936D9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24E08F4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一层物性分析间</w:t>
                  </w:r>
                </w:p>
              </w:tc>
              <w:tc>
                <w:tcPr>
                  <w:tcW w:w="989" w:type="pct"/>
                  <w:tcBorders>
                    <w:tl2br w:val="nil"/>
                    <w:tr2bl w:val="nil"/>
                  </w:tcBorders>
                  <w:shd w:val="clear" w:color="auto" w:fill="auto"/>
                  <w:noWrap/>
                  <w:vAlign w:val="center"/>
                </w:tcPr>
                <w:p w14:paraId="55E4701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粒度测试</w:t>
                  </w:r>
                </w:p>
              </w:tc>
            </w:tr>
            <w:tr w14:paraId="52BC925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70374C7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31</w:t>
                  </w:r>
                </w:p>
              </w:tc>
              <w:tc>
                <w:tcPr>
                  <w:tcW w:w="968" w:type="pct"/>
                  <w:tcBorders>
                    <w:tl2br w:val="nil"/>
                    <w:tr2bl w:val="nil"/>
                  </w:tcBorders>
                  <w:shd w:val="clear" w:color="auto" w:fill="auto"/>
                  <w:vAlign w:val="center"/>
                </w:tcPr>
                <w:p w14:paraId="147C487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差示量热仪</w:t>
                  </w:r>
                </w:p>
              </w:tc>
              <w:tc>
                <w:tcPr>
                  <w:tcW w:w="1146" w:type="pct"/>
                  <w:tcBorders>
                    <w:tl2br w:val="nil"/>
                    <w:tr2bl w:val="nil"/>
                  </w:tcBorders>
                  <w:shd w:val="clear" w:color="auto" w:fill="auto"/>
                  <w:vAlign w:val="center"/>
                </w:tcPr>
                <w:p w14:paraId="7EF5E18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TGA/DSC 3+ / 1100 LF</w:t>
                  </w:r>
                </w:p>
              </w:tc>
              <w:tc>
                <w:tcPr>
                  <w:tcW w:w="516" w:type="pct"/>
                  <w:tcBorders>
                    <w:tl2br w:val="nil"/>
                    <w:tr2bl w:val="nil"/>
                  </w:tcBorders>
                  <w:shd w:val="clear" w:color="auto" w:fill="auto"/>
                  <w:noWrap/>
                  <w:vAlign w:val="center"/>
                </w:tcPr>
                <w:p w14:paraId="39D9535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615E975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一层物性分析间</w:t>
                  </w:r>
                </w:p>
              </w:tc>
              <w:tc>
                <w:tcPr>
                  <w:tcW w:w="989" w:type="pct"/>
                  <w:tcBorders>
                    <w:tl2br w:val="nil"/>
                    <w:tr2bl w:val="nil"/>
                  </w:tcBorders>
                  <w:shd w:val="clear" w:color="auto" w:fill="auto"/>
                  <w:noWrap/>
                  <w:vAlign w:val="center"/>
                </w:tcPr>
                <w:p w14:paraId="04E14FB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材料热分析</w:t>
                  </w:r>
                </w:p>
              </w:tc>
            </w:tr>
            <w:tr w14:paraId="199BAE0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2746486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32</w:t>
                  </w:r>
                </w:p>
              </w:tc>
              <w:tc>
                <w:tcPr>
                  <w:tcW w:w="968" w:type="pct"/>
                  <w:tcBorders>
                    <w:tl2br w:val="nil"/>
                    <w:tr2bl w:val="nil"/>
                  </w:tcBorders>
                  <w:shd w:val="clear" w:color="auto" w:fill="auto"/>
                  <w:vAlign w:val="center"/>
                </w:tcPr>
                <w:p w14:paraId="4E537CF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XRD</w:t>
                  </w:r>
                </w:p>
              </w:tc>
              <w:tc>
                <w:tcPr>
                  <w:tcW w:w="1146" w:type="pct"/>
                  <w:tcBorders>
                    <w:tl2br w:val="nil"/>
                    <w:tr2bl w:val="nil"/>
                  </w:tcBorders>
                  <w:shd w:val="clear" w:color="auto" w:fill="auto"/>
                  <w:vAlign w:val="center"/>
                </w:tcPr>
                <w:p w14:paraId="73EEE83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Smartlab(9KW)</w:t>
                  </w:r>
                </w:p>
              </w:tc>
              <w:tc>
                <w:tcPr>
                  <w:tcW w:w="516" w:type="pct"/>
                  <w:tcBorders>
                    <w:tl2br w:val="nil"/>
                    <w:tr2bl w:val="nil"/>
                  </w:tcBorders>
                  <w:shd w:val="clear" w:color="auto" w:fill="auto"/>
                  <w:noWrap/>
                  <w:vAlign w:val="center"/>
                </w:tcPr>
                <w:p w14:paraId="2F50C02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47E7ACF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一层物性分析间</w:t>
                  </w:r>
                </w:p>
              </w:tc>
              <w:tc>
                <w:tcPr>
                  <w:tcW w:w="989" w:type="pct"/>
                  <w:tcBorders>
                    <w:tl2br w:val="nil"/>
                    <w:tr2bl w:val="nil"/>
                  </w:tcBorders>
                  <w:shd w:val="clear" w:color="auto" w:fill="auto"/>
                  <w:noWrap/>
                  <w:vAlign w:val="center"/>
                </w:tcPr>
                <w:p w14:paraId="1DE29C8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结构表征</w:t>
                  </w:r>
                </w:p>
              </w:tc>
            </w:tr>
            <w:tr w14:paraId="43CE855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046F105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33</w:t>
                  </w:r>
                </w:p>
              </w:tc>
              <w:tc>
                <w:tcPr>
                  <w:tcW w:w="968" w:type="pct"/>
                  <w:tcBorders>
                    <w:tl2br w:val="nil"/>
                    <w:tr2bl w:val="nil"/>
                  </w:tcBorders>
                  <w:shd w:val="clear" w:color="auto" w:fill="auto"/>
                  <w:vAlign w:val="center"/>
                </w:tcPr>
                <w:p w14:paraId="33D39BE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真空干燥箱（配真空泵一台）</w:t>
                  </w:r>
                </w:p>
              </w:tc>
              <w:tc>
                <w:tcPr>
                  <w:tcW w:w="1146" w:type="pct"/>
                  <w:tcBorders>
                    <w:tl2br w:val="nil"/>
                    <w:tr2bl w:val="nil"/>
                  </w:tcBorders>
                  <w:shd w:val="clear" w:color="auto" w:fill="auto"/>
                  <w:vAlign w:val="center"/>
                </w:tcPr>
                <w:p w14:paraId="580F9CE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DZF-6050</w:t>
                  </w:r>
                </w:p>
              </w:tc>
              <w:tc>
                <w:tcPr>
                  <w:tcW w:w="516" w:type="pct"/>
                  <w:tcBorders>
                    <w:tl2br w:val="nil"/>
                    <w:tr2bl w:val="nil"/>
                  </w:tcBorders>
                  <w:shd w:val="clear" w:color="auto" w:fill="auto"/>
                  <w:noWrap/>
                  <w:vAlign w:val="center"/>
                </w:tcPr>
                <w:p w14:paraId="6A03B43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w:t>
                  </w:r>
                </w:p>
              </w:tc>
              <w:tc>
                <w:tcPr>
                  <w:tcW w:w="1036" w:type="pct"/>
                  <w:tcBorders>
                    <w:tl2br w:val="nil"/>
                    <w:tr2bl w:val="nil"/>
                  </w:tcBorders>
                  <w:shd w:val="clear" w:color="auto" w:fill="auto"/>
                  <w:noWrap/>
                  <w:vAlign w:val="center"/>
                </w:tcPr>
                <w:p w14:paraId="2B25A1C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一层扣电制备间</w:t>
                  </w:r>
                </w:p>
              </w:tc>
              <w:tc>
                <w:tcPr>
                  <w:tcW w:w="989" w:type="pct"/>
                  <w:tcBorders>
                    <w:tl2br w:val="nil"/>
                    <w:tr2bl w:val="nil"/>
                  </w:tcBorders>
                  <w:shd w:val="clear" w:color="auto" w:fill="auto"/>
                  <w:noWrap/>
                  <w:vAlign w:val="center"/>
                </w:tcPr>
                <w:p w14:paraId="5DBD576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粉体材料干燥、存储，正负极各一台</w:t>
                  </w:r>
                </w:p>
              </w:tc>
            </w:tr>
            <w:tr w14:paraId="76C46F3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64DD8D8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34</w:t>
                  </w:r>
                </w:p>
              </w:tc>
              <w:tc>
                <w:tcPr>
                  <w:tcW w:w="968" w:type="pct"/>
                  <w:tcBorders>
                    <w:tl2br w:val="nil"/>
                    <w:tr2bl w:val="nil"/>
                  </w:tcBorders>
                  <w:shd w:val="clear" w:color="auto" w:fill="auto"/>
                  <w:vAlign w:val="center"/>
                </w:tcPr>
                <w:p w14:paraId="228A6B3A">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250℃鼓风干燥箱</w:t>
                  </w:r>
                </w:p>
              </w:tc>
              <w:tc>
                <w:tcPr>
                  <w:tcW w:w="1146" w:type="pct"/>
                  <w:tcBorders>
                    <w:tl2br w:val="nil"/>
                    <w:tr2bl w:val="nil"/>
                  </w:tcBorders>
                  <w:shd w:val="clear" w:color="auto" w:fill="auto"/>
                  <w:vAlign w:val="center"/>
                </w:tcPr>
                <w:p w14:paraId="33404FF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DHG-9030A</w:t>
                  </w:r>
                </w:p>
              </w:tc>
              <w:tc>
                <w:tcPr>
                  <w:tcW w:w="516" w:type="pct"/>
                  <w:tcBorders>
                    <w:tl2br w:val="nil"/>
                    <w:tr2bl w:val="nil"/>
                  </w:tcBorders>
                  <w:shd w:val="clear" w:color="auto" w:fill="auto"/>
                  <w:noWrap/>
                  <w:vAlign w:val="center"/>
                </w:tcPr>
                <w:p w14:paraId="45494E1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28449BA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一层扣电制备间</w:t>
                  </w:r>
                </w:p>
              </w:tc>
              <w:tc>
                <w:tcPr>
                  <w:tcW w:w="989" w:type="pct"/>
                  <w:tcBorders>
                    <w:tl2br w:val="nil"/>
                    <w:tr2bl w:val="nil"/>
                  </w:tcBorders>
                  <w:shd w:val="clear" w:color="auto" w:fill="auto"/>
                  <w:noWrap/>
                  <w:vAlign w:val="center"/>
                </w:tcPr>
                <w:p w14:paraId="6B13EEF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电极材料干燥</w:t>
                  </w:r>
                </w:p>
              </w:tc>
            </w:tr>
            <w:tr w14:paraId="630E785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68ECB02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35</w:t>
                  </w:r>
                </w:p>
              </w:tc>
              <w:tc>
                <w:tcPr>
                  <w:tcW w:w="968" w:type="pct"/>
                  <w:tcBorders>
                    <w:tl2br w:val="nil"/>
                    <w:tr2bl w:val="nil"/>
                  </w:tcBorders>
                  <w:shd w:val="clear" w:color="auto" w:fill="auto"/>
                  <w:vAlign w:val="center"/>
                </w:tcPr>
                <w:p w14:paraId="5B2EDA80">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200℃鼓风干燥箱</w:t>
                  </w:r>
                </w:p>
              </w:tc>
              <w:tc>
                <w:tcPr>
                  <w:tcW w:w="1146" w:type="pct"/>
                  <w:tcBorders>
                    <w:tl2br w:val="nil"/>
                    <w:tr2bl w:val="nil"/>
                  </w:tcBorders>
                  <w:shd w:val="clear" w:color="auto" w:fill="auto"/>
                  <w:vAlign w:val="center"/>
                </w:tcPr>
                <w:p w14:paraId="2F8156E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DHG-9070A</w:t>
                  </w:r>
                </w:p>
              </w:tc>
              <w:tc>
                <w:tcPr>
                  <w:tcW w:w="516" w:type="pct"/>
                  <w:tcBorders>
                    <w:tl2br w:val="nil"/>
                    <w:tr2bl w:val="nil"/>
                  </w:tcBorders>
                  <w:shd w:val="clear" w:color="auto" w:fill="auto"/>
                  <w:noWrap/>
                  <w:vAlign w:val="center"/>
                </w:tcPr>
                <w:p w14:paraId="0FEF1C0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63122E8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一层扣电制备间</w:t>
                  </w:r>
                </w:p>
              </w:tc>
              <w:tc>
                <w:tcPr>
                  <w:tcW w:w="989" w:type="pct"/>
                  <w:tcBorders>
                    <w:tl2br w:val="nil"/>
                    <w:tr2bl w:val="nil"/>
                  </w:tcBorders>
                  <w:shd w:val="clear" w:color="auto" w:fill="auto"/>
                  <w:noWrap/>
                  <w:vAlign w:val="center"/>
                </w:tcPr>
                <w:p w14:paraId="4B8FB48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极片干燥、存储</w:t>
                  </w:r>
                </w:p>
              </w:tc>
            </w:tr>
            <w:tr w14:paraId="51196C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3D2A6EE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36</w:t>
                  </w:r>
                </w:p>
              </w:tc>
              <w:tc>
                <w:tcPr>
                  <w:tcW w:w="968" w:type="pct"/>
                  <w:tcBorders>
                    <w:tl2br w:val="nil"/>
                    <w:tr2bl w:val="nil"/>
                  </w:tcBorders>
                  <w:shd w:val="clear" w:color="auto" w:fill="auto"/>
                  <w:vAlign w:val="center"/>
                </w:tcPr>
                <w:p w14:paraId="1FED6598">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微量移液器</w:t>
                  </w:r>
                </w:p>
              </w:tc>
              <w:tc>
                <w:tcPr>
                  <w:tcW w:w="1146" w:type="pct"/>
                  <w:tcBorders>
                    <w:tl2br w:val="nil"/>
                    <w:tr2bl w:val="nil"/>
                  </w:tcBorders>
                  <w:shd w:val="clear" w:color="auto" w:fill="auto"/>
                  <w:vAlign w:val="center"/>
                </w:tcPr>
                <w:p w14:paraId="715F2B3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20-200μl/BD-200μL</w:t>
                  </w:r>
                  <w:r>
                    <w:rPr>
                      <w:rFonts w:hint="default" w:ascii="Times New Roman" w:hAnsi="Times New Roman" w:eastAsia="宋体" w:cs="Times New Roman"/>
                      <w:kern w:val="0"/>
                      <w:sz w:val="18"/>
                      <w:szCs w:val="18"/>
                    </w:rPr>
                    <w:br w:type="textWrapping"/>
                  </w:r>
                  <w:r>
                    <w:rPr>
                      <w:rFonts w:hint="default" w:ascii="Times New Roman" w:hAnsi="Times New Roman" w:eastAsia="宋体" w:cs="Times New Roman"/>
                      <w:color w:val="000000"/>
                      <w:kern w:val="0"/>
                      <w:sz w:val="18"/>
                      <w:szCs w:val="18"/>
                    </w:rPr>
                    <w:t>（BRAND/705303）</w:t>
                  </w:r>
                </w:p>
              </w:tc>
              <w:tc>
                <w:tcPr>
                  <w:tcW w:w="516" w:type="pct"/>
                  <w:tcBorders>
                    <w:tl2br w:val="nil"/>
                    <w:tr2bl w:val="nil"/>
                  </w:tcBorders>
                  <w:shd w:val="clear" w:color="auto" w:fill="auto"/>
                  <w:noWrap/>
                  <w:vAlign w:val="center"/>
                </w:tcPr>
                <w:p w14:paraId="6B0ADE1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1AF7CA4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一层扣电制备间</w:t>
                  </w:r>
                </w:p>
              </w:tc>
              <w:tc>
                <w:tcPr>
                  <w:tcW w:w="989" w:type="pct"/>
                  <w:tcBorders>
                    <w:tl2br w:val="nil"/>
                    <w:tr2bl w:val="nil"/>
                  </w:tcBorders>
                  <w:shd w:val="clear" w:color="auto" w:fill="auto"/>
                  <w:noWrap/>
                  <w:vAlign w:val="center"/>
                </w:tcPr>
                <w:p w14:paraId="2F1844F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注液计量</w:t>
                  </w:r>
                </w:p>
              </w:tc>
            </w:tr>
            <w:tr w14:paraId="38B197E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576AF93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37</w:t>
                  </w:r>
                </w:p>
              </w:tc>
              <w:tc>
                <w:tcPr>
                  <w:tcW w:w="968" w:type="pct"/>
                  <w:tcBorders>
                    <w:tl2br w:val="nil"/>
                    <w:tr2bl w:val="nil"/>
                  </w:tcBorders>
                  <w:shd w:val="clear" w:color="auto" w:fill="auto"/>
                  <w:vAlign w:val="center"/>
                </w:tcPr>
                <w:p w14:paraId="3DE8BBE8">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扣式电池手动封口机</w:t>
                  </w:r>
                </w:p>
              </w:tc>
              <w:tc>
                <w:tcPr>
                  <w:tcW w:w="1146" w:type="pct"/>
                  <w:tcBorders>
                    <w:tl2br w:val="nil"/>
                    <w:tr2bl w:val="nil"/>
                  </w:tcBorders>
                  <w:shd w:val="clear" w:color="auto" w:fill="auto"/>
                  <w:vAlign w:val="center"/>
                </w:tcPr>
                <w:p w14:paraId="247D7AD7">
                  <w:pPr>
                    <w:widowControl/>
                    <w:jc w:val="center"/>
                    <w:rPr>
                      <w:rFonts w:hint="default" w:ascii="Times New Roman" w:hAnsi="Times New Roman" w:eastAsia="宋体" w:cs="Times New Roman"/>
                      <w:color w:val="000000"/>
                      <w:kern w:val="0"/>
                      <w:sz w:val="18"/>
                      <w:szCs w:val="18"/>
                    </w:rPr>
                  </w:pPr>
                  <w:r>
                    <w:rPr>
                      <w:rFonts w:hint="default" w:ascii="Times New Roman" w:hAnsi="Times New Roman" w:eastAsia="宋体" w:cs="Times New Roman"/>
                      <w:color w:val="000000"/>
                      <w:kern w:val="0"/>
                      <w:sz w:val="18"/>
                      <w:szCs w:val="18"/>
                    </w:rPr>
                    <w:t>含Φ20封口/拆卸模具</w:t>
                  </w:r>
                </w:p>
              </w:tc>
              <w:tc>
                <w:tcPr>
                  <w:tcW w:w="516" w:type="pct"/>
                  <w:tcBorders>
                    <w:tl2br w:val="nil"/>
                    <w:tr2bl w:val="nil"/>
                  </w:tcBorders>
                  <w:shd w:val="clear" w:color="auto" w:fill="auto"/>
                  <w:noWrap/>
                  <w:vAlign w:val="center"/>
                </w:tcPr>
                <w:p w14:paraId="7CDE4F7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779C4FE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一层扣电制备间</w:t>
                  </w:r>
                </w:p>
              </w:tc>
              <w:tc>
                <w:tcPr>
                  <w:tcW w:w="989" w:type="pct"/>
                  <w:tcBorders>
                    <w:tl2br w:val="nil"/>
                    <w:tr2bl w:val="nil"/>
                  </w:tcBorders>
                  <w:shd w:val="clear" w:color="auto" w:fill="auto"/>
                  <w:noWrap/>
                  <w:vAlign w:val="center"/>
                </w:tcPr>
                <w:p w14:paraId="42B1C3C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电池封口</w:t>
                  </w:r>
                </w:p>
              </w:tc>
            </w:tr>
            <w:tr w14:paraId="1813A7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42" w:type="pct"/>
                  <w:tcBorders>
                    <w:tl2br w:val="nil"/>
                    <w:tr2bl w:val="nil"/>
                  </w:tcBorders>
                  <w:shd w:val="clear" w:color="auto" w:fill="auto"/>
                  <w:noWrap/>
                  <w:vAlign w:val="center"/>
                </w:tcPr>
                <w:p w14:paraId="101DE34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38</w:t>
                  </w:r>
                </w:p>
              </w:tc>
              <w:tc>
                <w:tcPr>
                  <w:tcW w:w="968" w:type="pct"/>
                  <w:tcBorders>
                    <w:tl2br w:val="nil"/>
                    <w:tr2bl w:val="nil"/>
                  </w:tcBorders>
                  <w:shd w:val="clear" w:color="auto" w:fill="auto"/>
                  <w:vAlign w:val="center"/>
                </w:tcPr>
                <w:p w14:paraId="65A594AD">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单工位手套箱</w:t>
                  </w:r>
                </w:p>
              </w:tc>
              <w:tc>
                <w:tcPr>
                  <w:tcW w:w="1146" w:type="pct"/>
                  <w:tcBorders>
                    <w:tl2br w:val="nil"/>
                    <w:tr2bl w:val="nil"/>
                  </w:tcBorders>
                  <w:shd w:val="clear" w:color="auto" w:fill="auto"/>
                  <w:vAlign w:val="center"/>
                </w:tcPr>
                <w:p w14:paraId="1C45A84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Super（1220/750/900）</w:t>
                  </w:r>
                </w:p>
              </w:tc>
              <w:tc>
                <w:tcPr>
                  <w:tcW w:w="516" w:type="pct"/>
                  <w:tcBorders>
                    <w:tl2br w:val="nil"/>
                    <w:tr2bl w:val="nil"/>
                  </w:tcBorders>
                  <w:shd w:val="clear" w:color="auto" w:fill="auto"/>
                  <w:noWrap/>
                  <w:vAlign w:val="center"/>
                </w:tcPr>
                <w:p w14:paraId="3755C08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w:t>
                  </w:r>
                </w:p>
              </w:tc>
              <w:tc>
                <w:tcPr>
                  <w:tcW w:w="1036" w:type="pct"/>
                  <w:tcBorders>
                    <w:tl2br w:val="nil"/>
                    <w:tr2bl w:val="nil"/>
                  </w:tcBorders>
                  <w:shd w:val="clear" w:color="auto" w:fill="auto"/>
                  <w:noWrap/>
                  <w:vAlign w:val="center"/>
                </w:tcPr>
                <w:p w14:paraId="6FC7C3D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一层扣电制备间</w:t>
                  </w:r>
                </w:p>
              </w:tc>
              <w:tc>
                <w:tcPr>
                  <w:tcW w:w="989" w:type="pct"/>
                  <w:tcBorders>
                    <w:tl2br w:val="nil"/>
                    <w:tr2bl w:val="nil"/>
                  </w:tcBorders>
                  <w:shd w:val="clear" w:color="auto" w:fill="auto"/>
                  <w:noWrap/>
                  <w:vAlign w:val="center"/>
                </w:tcPr>
                <w:p w14:paraId="5DB2312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扣式电池组装</w:t>
                  </w:r>
                </w:p>
              </w:tc>
            </w:tr>
            <w:tr w14:paraId="77BD3DE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4502B5D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39</w:t>
                  </w:r>
                </w:p>
              </w:tc>
              <w:tc>
                <w:tcPr>
                  <w:tcW w:w="968" w:type="pct"/>
                  <w:tcBorders>
                    <w:tl2br w:val="nil"/>
                    <w:tr2bl w:val="nil"/>
                  </w:tcBorders>
                  <w:shd w:val="clear" w:color="auto" w:fill="auto"/>
                  <w:vAlign w:val="center"/>
                </w:tcPr>
                <w:p w14:paraId="14077A56">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电动对辊机</w:t>
                  </w:r>
                </w:p>
              </w:tc>
              <w:tc>
                <w:tcPr>
                  <w:tcW w:w="1146" w:type="pct"/>
                  <w:tcBorders>
                    <w:tl2br w:val="nil"/>
                    <w:tr2bl w:val="nil"/>
                  </w:tcBorders>
                  <w:shd w:val="clear" w:color="auto" w:fill="auto"/>
                  <w:vAlign w:val="center"/>
                </w:tcPr>
                <w:p w14:paraId="7DECFEA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MSK-2150</w:t>
                  </w:r>
                </w:p>
              </w:tc>
              <w:tc>
                <w:tcPr>
                  <w:tcW w:w="516" w:type="pct"/>
                  <w:tcBorders>
                    <w:tl2br w:val="nil"/>
                    <w:tr2bl w:val="nil"/>
                  </w:tcBorders>
                  <w:shd w:val="clear" w:color="auto" w:fill="auto"/>
                  <w:noWrap/>
                  <w:vAlign w:val="center"/>
                </w:tcPr>
                <w:p w14:paraId="07F2E6A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0C864F6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一层干房主体间</w:t>
                  </w:r>
                </w:p>
              </w:tc>
              <w:tc>
                <w:tcPr>
                  <w:tcW w:w="989" w:type="pct"/>
                  <w:tcBorders>
                    <w:tl2br w:val="nil"/>
                    <w:tr2bl w:val="nil"/>
                  </w:tcBorders>
                  <w:shd w:val="clear" w:color="auto" w:fill="auto"/>
                  <w:noWrap/>
                  <w:vAlign w:val="center"/>
                </w:tcPr>
                <w:p w14:paraId="17A0327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极片辊压</w:t>
                  </w:r>
                </w:p>
              </w:tc>
            </w:tr>
            <w:tr w14:paraId="06D5BC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31FD6B2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40</w:t>
                  </w:r>
                </w:p>
              </w:tc>
              <w:tc>
                <w:tcPr>
                  <w:tcW w:w="968" w:type="pct"/>
                  <w:tcBorders>
                    <w:tl2br w:val="nil"/>
                    <w:tr2bl w:val="nil"/>
                  </w:tcBorders>
                  <w:shd w:val="clear" w:color="auto" w:fill="auto"/>
                  <w:vAlign w:val="center"/>
                </w:tcPr>
                <w:p w14:paraId="620406D6">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手动切片机</w:t>
                  </w:r>
                </w:p>
              </w:tc>
              <w:tc>
                <w:tcPr>
                  <w:tcW w:w="1146" w:type="pct"/>
                  <w:tcBorders>
                    <w:tl2br w:val="nil"/>
                    <w:tr2bl w:val="nil"/>
                  </w:tcBorders>
                  <w:shd w:val="clear" w:color="auto" w:fill="auto"/>
                  <w:vAlign w:val="center"/>
                </w:tcPr>
                <w:p w14:paraId="4F8739E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MSK-T10</w:t>
                  </w:r>
                </w:p>
              </w:tc>
              <w:tc>
                <w:tcPr>
                  <w:tcW w:w="516" w:type="pct"/>
                  <w:tcBorders>
                    <w:tl2br w:val="nil"/>
                    <w:tr2bl w:val="nil"/>
                  </w:tcBorders>
                  <w:shd w:val="clear" w:color="auto" w:fill="auto"/>
                  <w:noWrap/>
                  <w:vAlign w:val="center"/>
                </w:tcPr>
                <w:p w14:paraId="11C4231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2C81EAB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一层干房主体间</w:t>
                  </w:r>
                </w:p>
              </w:tc>
              <w:tc>
                <w:tcPr>
                  <w:tcW w:w="989" w:type="pct"/>
                  <w:tcBorders>
                    <w:tl2br w:val="nil"/>
                    <w:tr2bl w:val="nil"/>
                  </w:tcBorders>
                  <w:shd w:val="clear" w:color="auto" w:fill="auto"/>
                  <w:noWrap/>
                  <w:vAlign w:val="center"/>
                </w:tcPr>
                <w:p w14:paraId="0F172AE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极片冲切、隔膜冲切</w:t>
                  </w:r>
                </w:p>
              </w:tc>
            </w:tr>
            <w:tr w14:paraId="173C3CD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50A8B49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41</w:t>
                  </w:r>
                </w:p>
              </w:tc>
              <w:tc>
                <w:tcPr>
                  <w:tcW w:w="968" w:type="pct"/>
                  <w:tcBorders>
                    <w:tl2br w:val="nil"/>
                    <w:tr2bl w:val="nil"/>
                  </w:tcBorders>
                  <w:shd w:val="clear" w:color="auto" w:fill="auto"/>
                  <w:vAlign w:val="center"/>
                </w:tcPr>
                <w:p w14:paraId="73261A5D">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半微量天平</w:t>
                  </w:r>
                </w:p>
              </w:tc>
              <w:tc>
                <w:tcPr>
                  <w:tcW w:w="1146" w:type="pct"/>
                  <w:tcBorders>
                    <w:tl2br w:val="nil"/>
                    <w:tr2bl w:val="nil"/>
                  </w:tcBorders>
                  <w:shd w:val="clear" w:color="auto" w:fill="auto"/>
                  <w:vAlign w:val="center"/>
                </w:tcPr>
                <w:p w14:paraId="17CE637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QUINTIX65-1CN</w:t>
                  </w:r>
                </w:p>
              </w:tc>
              <w:tc>
                <w:tcPr>
                  <w:tcW w:w="516" w:type="pct"/>
                  <w:tcBorders>
                    <w:tl2br w:val="nil"/>
                    <w:tr2bl w:val="nil"/>
                  </w:tcBorders>
                  <w:shd w:val="clear" w:color="auto" w:fill="auto"/>
                  <w:noWrap/>
                  <w:vAlign w:val="center"/>
                </w:tcPr>
                <w:p w14:paraId="63CB761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0F7D6B3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一层干房主体间</w:t>
                  </w:r>
                </w:p>
              </w:tc>
              <w:tc>
                <w:tcPr>
                  <w:tcW w:w="989" w:type="pct"/>
                  <w:tcBorders>
                    <w:tl2br w:val="nil"/>
                    <w:tr2bl w:val="nil"/>
                  </w:tcBorders>
                  <w:shd w:val="clear" w:color="auto" w:fill="auto"/>
                  <w:noWrap/>
                  <w:vAlign w:val="center"/>
                </w:tcPr>
                <w:p w14:paraId="59867B7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极片称量</w:t>
                  </w:r>
                </w:p>
              </w:tc>
            </w:tr>
            <w:tr w14:paraId="412635E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7CF689B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42</w:t>
                  </w:r>
                </w:p>
              </w:tc>
              <w:tc>
                <w:tcPr>
                  <w:tcW w:w="968" w:type="pct"/>
                  <w:tcBorders>
                    <w:tl2br w:val="nil"/>
                    <w:tr2bl w:val="nil"/>
                  </w:tcBorders>
                  <w:shd w:val="clear" w:color="auto" w:fill="auto"/>
                  <w:vAlign w:val="center"/>
                </w:tcPr>
                <w:p w14:paraId="190E6FF3">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减震工作台</w:t>
                  </w:r>
                </w:p>
              </w:tc>
              <w:tc>
                <w:tcPr>
                  <w:tcW w:w="1146" w:type="pct"/>
                  <w:tcBorders>
                    <w:tl2br w:val="nil"/>
                    <w:tr2bl w:val="nil"/>
                  </w:tcBorders>
                  <w:shd w:val="clear" w:color="auto" w:fill="auto"/>
                  <w:vAlign w:val="center"/>
                </w:tcPr>
                <w:p w14:paraId="59E98CE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400*500 mm</w:t>
                  </w:r>
                </w:p>
              </w:tc>
              <w:tc>
                <w:tcPr>
                  <w:tcW w:w="516" w:type="pct"/>
                  <w:tcBorders>
                    <w:tl2br w:val="nil"/>
                    <w:tr2bl w:val="nil"/>
                  </w:tcBorders>
                  <w:shd w:val="clear" w:color="auto" w:fill="auto"/>
                  <w:noWrap/>
                  <w:vAlign w:val="center"/>
                </w:tcPr>
                <w:p w14:paraId="6FD03D2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22C7184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一层干房主体间</w:t>
                  </w:r>
                </w:p>
              </w:tc>
              <w:tc>
                <w:tcPr>
                  <w:tcW w:w="989" w:type="pct"/>
                  <w:tcBorders>
                    <w:tl2br w:val="nil"/>
                    <w:tr2bl w:val="nil"/>
                  </w:tcBorders>
                  <w:shd w:val="clear" w:color="auto" w:fill="auto"/>
                  <w:noWrap/>
                  <w:vAlign w:val="center"/>
                </w:tcPr>
                <w:p w14:paraId="4AFC03A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放置微量天平</w:t>
                  </w:r>
                </w:p>
              </w:tc>
            </w:tr>
            <w:tr w14:paraId="11C866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71EDC26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43</w:t>
                  </w:r>
                </w:p>
              </w:tc>
              <w:tc>
                <w:tcPr>
                  <w:tcW w:w="968" w:type="pct"/>
                  <w:tcBorders>
                    <w:tl2br w:val="nil"/>
                    <w:tr2bl w:val="nil"/>
                  </w:tcBorders>
                  <w:shd w:val="clear" w:color="auto" w:fill="auto"/>
                  <w:vAlign w:val="center"/>
                </w:tcPr>
                <w:p w14:paraId="4947655F">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电子天平</w:t>
                  </w:r>
                </w:p>
              </w:tc>
              <w:tc>
                <w:tcPr>
                  <w:tcW w:w="1146" w:type="pct"/>
                  <w:tcBorders>
                    <w:tl2br w:val="nil"/>
                    <w:tr2bl w:val="nil"/>
                  </w:tcBorders>
                  <w:shd w:val="clear" w:color="auto" w:fill="auto"/>
                  <w:vAlign w:val="center"/>
                </w:tcPr>
                <w:p w14:paraId="5308CED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BSA623S-CW</w:t>
                  </w:r>
                </w:p>
              </w:tc>
              <w:tc>
                <w:tcPr>
                  <w:tcW w:w="516" w:type="pct"/>
                  <w:tcBorders>
                    <w:tl2br w:val="nil"/>
                    <w:tr2bl w:val="nil"/>
                  </w:tcBorders>
                  <w:shd w:val="clear" w:color="auto" w:fill="auto"/>
                  <w:noWrap/>
                  <w:vAlign w:val="center"/>
                </w:tcPr>
                <w:p w14:paraId="13F40C7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148DE19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一层干房主体间</w:t>
                  </w:r>
                </w:p>
              </w:tc>
              <w:tc>
                <w:tcPr>
                  <w:tcW w:w="989" w:type="pct"/>
                  <w:tcBorders>
                    <w:tl2br w:val="nil"/>
                    <w:tr2bl w:val="nil"/>
                  </w:tcBorders>
                  <w:shd w:val="clear" w:color="auto" w:fill="auto"/>
                  <w:noWrap/>
                  <w:vAlign w:val="center"/>
                </w:tcPr>
                <w:p w14:paraId="2214C4A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制浆粉体称量</w:t>
                  </w:r>
                </w:p>
              </w:tc>
            </w:tr>
            <w:tr w14:paraId="5936751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5000BDF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44</w:t>
                  </w:r>
                </w:p>
              </w:tc>
              <w:tc>
                <w:tcPr>
                  <w:tcW w:w="968" w:type="pct"/>
                  <w:tcBorders>
                    <w:tl2br w:val="nil"/>
                    <w:tr2bl w:val="nil"/>
                  </w:tcBorders>
                  <w:shd w:val="clear" w:color="auto" w:fill="auto"/>
                  <w:vAlign w:val="center"/>
                </w:tcPr>
                <w:p w14:paraId="4784AF7B">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离心混合制浆机</w:t>
                  </w:r>
                </w:p>
              </w:tc>
              <w:tc>
                <w:tcPr>
                  <w:tcW w:w="1146" w:type="pct"/>
                  <w:tcBorders>
                    <w:tl2br w:val="nil"/>
                    <w:tr2bl w:val="nil"/>
                  </w:tcBorders>
                  <w:shd w:val="clear" w:color="auto" w:fill="auto"/>
                  <w:vAlign w:val="center"/>
                </w:tcPr>
                <w:p w14:paraId="484CDA1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ARE-310</w:t>
                  </w:r>
                </w:p>
              </w:tc>
              <w:tc>
                <w:tcPr>
                  <w:tcW w:w="516" w:type="pct"/>
                  <w:tcBorders>
                    <w:tl2br w:val="nil"/>
                    <w:tr2bl w:val="nil"/>
                  </w:tcBorders>
                  <w:shd w:val="clear" w:color="auto" w:fill="auto"/>
                  <w:noWrap/>
                  <w:vAlign w:val="center"/>
                </w:tcPr>
                <w:p w14:paraId="4757D7C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0FFEFB2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一层干房主体间</w:t>
                  </w:r>
                </w:p>
              </w:tc>
              <w:tc>
                <w:tcPr>
                  <w:tcW w:w="989" w:type="pct"/>
                  <w:tcBorders>
                    <w:tl2br w:val="nil"/>
                    <w:tr2bl w:val="nil"/>
                  </w:tcBorders>
                  <w:shd w:val="clear" w:color="auto" w:fill="auto"/>
                  <w:noWrap/>
                  <w:vAlign w:val="center"/>
                </w:tcPr>
                <w:p w14:paraId="43F6415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离心混合制浆</w:t>
                  </w:r>
                </w:p>
              </w:tc>
            </w:tr>
            <w:tr w14:paraId="7BE636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2" w:type="pct"/>
                  <w:tcBorders>
                    <w:tl2br w:val="nil"/>
                    <w:tr2bl w:val="nil"/>
                  </w:tcBorders>
                  <w:shd w:val="clear" w:color="auto" w:fill="auto"/>
                  <w:noWrap/>
                  <w:vAlign w:val="center"/>
                </w:tcPr>
                <w:p w14:paraId="1936A0D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45</w:t>
                  </w:r>
                </w:p>
              </w:tc>
              <w:tc>
                <w:tcPr>
                  <w:tcW w:w="968" w:type="pct"/>
                  <w:tcBorders>
                    <w:tl2br w:val="nil"/>
                    <w:tr2bl w:val="nil"/>
                  </w:tcBorders>
                  <w:shd w:val="clear" w:color="auto" w:fill="auto"/>
                  <w:vAlign w:val="center"/>
                </w:tcPr>
                <w:p w14:paraId="5FC51565">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加热型磁力搅拌器</w:t>
                  </w:r>
                </w:p>
              </w:tc>
              <w:tc>
                <w:tcPr>
                  <w:tcW w:w="1146" w:type="pct"/>
                  <w:tcBorders>
                    <w:tl2br w:val="nil"/>
                    <w:tr2bl w:val="nil"/>
                  </w:tcBorders>
                  <w:shd w:val="clear" w:color="auto" w:fill="auto"/>
                  <w:vAlign w:val="center"/>
                </w:tcPr>
                <w:p w14:paraId="26D2B3D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SP-H550-Pro</w:t>
                  </w:r>
                </w:p>
              </w:tc>
              <w:tc>
                <w:tcPr>
                  <w:tcW w:w="516" w:type="pct"/>
                  <w:tcBorders>
                    <w:tl2br w:val="nil"/>
                    <w:tr2bl w:val="nil"/>
                  </w:tcBorders>
                  <w:shd w:val="clear" w:color="auto" w:fill="auto"/>
                  <w:noWrap/>
                  <w:vAlign w:val="center"/>
                </w:tcPr>
                <w:p w14:paraId="7C4AD58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5DEEE81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一层干房主体间</w:t>
                  </w:r>
                </w:p>
              </w:tc>
              <w:tc>
                <w:tcPr>
                  <w:tcW w:w="989" w:type="pct"/>
                  <w:tcBorders>
                    <w:tl2br w:val="nil"/>
                    <w:tr2bl w:val="nil"/>
                  </w:tcBorders>
                  <w:shd w:val="clear" w:color="auto" w:fill="auto"/>
                  <w:noWrap/>
                  <w:vAlign w:val="center"/>
                </w:tcPr>
                <w:p w14:paraId="3149EBC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制浆搅拌</w:t>
                  </w:r>
                </w:p>
              </w:tc>
            </w:tr>
            <w:tr w14:paraId="3548EB2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49C7F7E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46</w:t>
                  </w:r>
                </w:p>
              </w:tc>
              <w:tc>
                <w:tcPr>
                  <w:tcW w:w="968" w:type="pct"/>
                  <w:tcBorders>
                    <w:tl2br w:val="nil"/>
                    <w:tr2bl w:val="nil"/>
                  </w:tcBorders>
                  <w:shd w:val="clear" w:color="auto" w:fill="auto"/>
                  <w:vAlign w:val="center"/>
                </w:tcPr>
                <w:p w14:paraId="177EE8D6">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刮板细度计</w:t>
                  </w:r>
                </w:p>
              </w:tc>
              <w:tc>
                <w:tcPr>
                  <w:tcW w:w="1146" w:type="pct"/>
                  <w:tcBorders>
                    <w:tl2br w:val="nil"/>
                    <w:tr2bl w:val="nil"/>
                  </w:tcBorders>
                  <w:shd w:val="clear" w:color="auto" w:fill="auto"/>
                  <w:vAlign w:val="center"/>
                </w:tcPr>
                <w:p w14:paraId="7AB713E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QXD0-150um</w:t>
                  </w:r>
                </w:p>
              </w:tc>
              <w:tc>
                <w:tcPr>
                  <w:tcW w:w="516" w:type="pct"/>
                  <w:tcBorders>
                    <w:tl2br w:val="nil"/>
                    <w:tr2bl w:val="nil"/>
                  </w:tcBorders>
                  <w:shd w:val="clear" w:color="auto" w:fill="auto"/>
                  <w:noWrap/>
                  <w:vAlign w:val="center"/>
                </w:tcPr>
                <w:p w14:paraId="5C82C38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1F93163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一层干房主体间</w:t>
                  </w:r>
                </w:p>
              </w:tc>
              <w:tc>
                <w:tcPr>
                  <w:tcW w:w="989" w:type="pct"/>
                  <w:tcBorders>
                    <w:tl2br w:val="nil"/>
                    <w:tr2bl w:val="nil"/>
                  </w:tcBorders>
                  <w:shd w:val="clear" w:color="auto" w:fill="auto"/>
                  <w:noWrap/>
                  <w:vAlign w:val="center"/>
                </w:tcPr>
                <w:p w14:paraId="68C6FF9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浆料细度测量</w:t>
                  </w:r>
                </w:p>
              </w:tc>
            </w:tr>
            <w:tr w14:paraId="4EEAB63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4971E4B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47</w:t>
                  </w:r>
                </w:p>
              </w:tc>
              <w:tc>
                <w:tcPr>
                  <w:tcW w:w="968" w:type="pct"/>
                  <w:tcBorders>
                    <w:tl2br w:val="nil"/>
                    <w:tr2bl w:val="nil"/>
                  </w:tcBorders>
                  <w:shd w:val="clear" w:color="auto" w:fill="auto"/>
                  <w:vAlign w:val="center"/>
                </w:tcPr>
                <w:p w14:paraId="316077D5">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红外烘干平板涂覆机</w:t>
                  </w:r>
                </w:p>
              </w:tc>
              <w:tc>
                <w:tcPr>
                  <w:tcW w:w="1146" w:type="pct"/>
                  <w:tcBorders>
                    <w:tl2br w:val="nil"/>
                    <w:tr2bl w:val="nil"/>
                  </w:tcBorders>
                  <w:shd w:val="clear" w:color="auto" w:fill="auto"/>
                  <w:vAlign w:val="center"/>
                </w:tcPr>
                <w:p w14:paraId="5CE1EC1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MSK-AFA-ES200</w:t>
                  </w:r>
                </w:p>
              </w:tc>
              <w:tc>
                <w:tcPr>
                  <w:tcW w:w="516" w:type="pct"/>
                  <w:tcBorders>
                    <w:tl2br w:val="nil"/>
                    <w:tr2bl w:val="nil"/>
                  </w:tcBorders>
                  <w:shd w:val="clear" w:color="auto" w:fill="auto"/>
                  <w:noWrap/>
                  <w:vAlign w:val="center"/>
                </w:tcPr>
                <w:p w14:paraId="6229F8C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7F3ACC4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一层干房主体间</w:t>
                  </w:r>
                </w:p>
              </w:tc>
              <w:tc>
                <w:tcPr>
                  <w:tcW w:w="989" w:type="pct"/>
                  <w:tcBorders>
                    <w:tl2br w:val="nil"/>
                    <w:tr2bl w:val="nil"/>
                  </w:tcBorders>
                  <w:shd w:val="clear" w:color="auto" w:fill="auto"/>
                  <w:noWrap/>
                  <w:vAlign w:val="center"/>
                </w:tcPr>
                <w:p w14:paraId="0DBAB62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平板涂布，标配刮刀涂布</w:t>
                  </w:r>
                </w:p>
              </w:tc>
            </w:tr>
            <w:tr w14:paraId="2D99E81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1D5DDAE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48</w:t>
                  </w:r>
                </w:p>
              </w:tc>
              <w:tc>
                <w:tcPr>
                  <w:tcW w:w="968" w:type="pct"/>
                  <w:tcBorders>
                    <w:tl2br w:val="nil"/>
                    <w:tr2bl w:val="nil"/>
                  </w:tcBorders>
                  <w:shd w:val="clear" w:color="auto" w:fill="auto"/>
                  <w:vAlign w:val="center"/>
                </w:tcPr>
                <w:p w14:paraId="34A30E0F">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半自动模切机</w:t>
                  </w:r>
                </w:p>
              </w:tc>
              <w:tc>
                <w:tcPr>
                  <w:tcW w:w="1146" w:type="pct"/>
                  <w:tcBorders>
                    <w:tl2br w:val="nil"/>
                    <w:tr2bl w:val="nil"/>
                  </w:tcBorders>
                  <w:shd w:val="clear" w:color="auto" w:fill="auto"/>
                  <w:vAlign w:val="center"/>
                </w:tcPr>
                <w:p w14:paraId="6E5F15E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MSK-180-S/含刀模</w:t>
                  </w:r>
                </w:p>
              </w:tc>
              <w:tc>
                <w:tcPr>
                  <w:tcW w:w="516" w:type="pct"/>
                  <w:tcBorders>
                    <w:tl2br w:val="nil"/>
                    <w:tr2bl w:val="nil"/>
                  </w:tcBorders>
                  <w:shd w:val="clear" w:color="auto" w:fill="auto"/>
                  <w:noWrap/>
                  <w:vAlign w:val="center"/>
                </w:tcPr>
                <w:p w14:paraId="50D7876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7772171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一层干房主体间</w:t>
                  </w:r>
                </w:p>
              </w:tc>
              <w:tc>
                <w:tcPr>
                  <w:tcW w:w="989" w:type="pct"/>
                  <w:tcBorders>
                    <w:tl2br w:val="nil"/>
                    <w:tr2bl w:val="nil"/>
                  </w:tcBorders>
                  <w:shd w:val="clear" w:color="auto" w:fill="auto"/>
                  <w:noWrap/>
                  <w:vAlign w:val="center"/>
                </w:tcPr>
                <w:p w14:paraId="6EEDA32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极片切割</w:t>
                  </w:r>
                </w:p>
              </w:tc>
            </w:tr>
            <w:tr w14:paraId="29E6FF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04688B4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49</w:t>
                  </w:r>
                </w:p>
              </w:tc>
              <w:tc>
                <w:tcPr>
                  <w:tcW w:w="968" w:type="pct"/>
                  <w:tcBorders>
                    <w:tl2br w:val="nil"/>
                    <w:tr2bl w:val="nil"/>
                  </w:tcBorders>
                  <w:shd w:val="clear" w:color="auto" w:fill="auto"/>
                  <w:vAlign w:val="center"/>
                </w:tcPr>
                <w:p w14:paraId="39B2DD22">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手动叠片夹具</w:t>
                  </w:r>
                </w:p>
              </w:tc>
              <w:tc>
                <w:tcPr>
                  <w:tcW w:w="1146" w:type="pct"/>
                  <w:tcBorders>
                    <w:tl2br w:val="nil"/>
                    <w:tr2bl w:val="nil"/>
                  </w:tcBorders>
                  <w:shd w:val="clear" w:color="auto" w:fill="auto"/>
                  <w:vAlign w:val="center"/>
                </w:tcPr>
                <w:p w14:paraId="1DDA34C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SK-111A-PF4662/CZX</w:t>
                  </w:r>
                </w:p>
              </w:tc>
              <w:tc>
                <w:tcPr>
                  <w:tcW w:w="516" w:type="pct"/>
                  <w:tcBorders>
                    <w:tl2br w:val="nil"/>
                    <w:tr2bl w:val="nil"/>
                  </w:tcBorders>
                  <w:shd w:val="clear" w:color="auto" w:fill="auto"/>
                  <w:noWrap/>
                  <w:vAlign w:val="center"/>
                </w:tcPr>
                <w:p w14:paraId="5726639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76C7A0B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一层干房主体间</w:t>
                  </w:r>
                </w:p>
              </w:tc>
              <w:tc>
                <w:tcPr>
                  <w:tcW w:w="989" w:type="pct"/>
                  <w:tcBorders>
                    <w:tl2br w:val="nil"/>
                    <w:tr2bl w:val="nil"/>
                  </w:tcBorders>
                  <w:shd w:val="clear" w:color="auto" w:fill="auto"/>
                  <w:noWrap/>
                  <w:vAlign w:val="center"/>
                </w:tcPr>
                <w:p w14:paraId="636EBA1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叠片用</w:t>
                  </w:r>
                </w:p>
              </w:tc>
            </w:tr>
            <w:tr w14:paraId="70797C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1DD6032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50</w:t>
                  </w:r>
                </w:p>
              </w:tc>
              <w:tc>
                <w:tcPr>
                  <w:tcW w:w="968" w:type="pct"/>
                  <w:tcBorders>
                    <w:tl2br w:val="nil"/>
                    <w:tr2bl w:val="nil"/>
                  </w:tcBorders>
                  <w:shd w:val="clear" w:color="auto" w:fill="auto"/>
                  <w:vAlign w:val="center"/>
                </w:tcPr>
                <w:p w14:paraId="3643E688">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精密型平板热压机</w:t>
                  </w:r>
                </w:p>
              </w:tc>
              <w:tc>
                <w:tcPr>
                  <w:tcW w:w="1146" w:type="pct"/>
                  <w:tcBorders>
                    <w:tl2br w:val="nil"/>
                    <w:tr2bl w:val="nil"/>
                  </w:tcBorders>
                  <w:shd w:val="clear" w:color="auto" w:fill="auto"/>
                  <w:vAlign w:val="center"/>
                </w:tcPr>
                <w:p w14:paraId="65EFB07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MSK-YLJ-HS20KN</w:t>
                  </w:r>
                </w:p>
              </w:tc>
              <w:tc>
                <w:tcPr>
                  <w:tcW w:w="516" w:type="pct"/>
                  <w:tcBorders>
                    <w:tl2br w:val="nil"/>
                    <w:tr2bl w:val="nil"/>
                  </w:tcBorders>
                  <w:shd w:val="clear" w:color="auto" w:fill="auto"/>
                  <w:noWrap/>
                  <w:vAlign w:val="center"/>
                </w:tcPr>
                <w:p w14:paraId="3750D25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32A3288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一层干房主体间</w:t>
                  </w:r>
                </w:p>
              </w:tc>
              <w:tc>
                <w:tcPr>
                  <w:tcW w:w="989" w:type="pct"/>
                  <w:tcBorders>
                    <w:tl2br w:val="nil"/>
                    <w:tr2bl w:val="nil"/>
                  </w:tcBorders>
                  <w:shd w:val="clear" w:color="auto" w:fill="auto"/>
                  <w:noWrap/>
                  <w:vAlign w:val="center"/>
                </w:tcPr>
                <w:p w14:paraId="3856AEB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极片热压</w:t>
                  </w:r>
                </w:p>
              </w:tc>
            </w:tr>
            <w:tr w14:paraId="4ED8DCB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7FBD064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51</w:t>
                  </w:r>
                </w:p>
              </w:tc>
              <w:tc>
                <w:tcPr>
                  <w:tcW w:w="968" w:type="pct"/>
                  <w:tcBorders>
                    <w:tl2br w:val="nil"/>
                    <w:tr2bl w:val="nil"/>
                  </w:tcBorders>
                  <w:shd w:val="clear" w:color="auto" w:fill="auto"/>
                  <w:vAlign w:val="center"/>
                </w:tcPr>
                <w:p w14:paraId="11A76C5A">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高速绝缘电阻测试仪</w:t>
                  </w:r>
                </w:p>
              </w:tc>
              <w:tc>
                <w:tcPr>
                  <w:tcW w:w="1146" w:type="pct"/>
                  <w:tcBorders>
                    <w:tl2br w:val="nil"/>
                    <w:tr2bl w:val="nil"/>
                  </w:tcBorders>
                  <w:shd w:val="clear" w:color="auto" w:fill="auto"/>
                  <w:vAlign w:val="center"/>
                </w:tcPr>
                <w:p w14:paraId="5EF46AF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MSK-9920</w:t>
                  </w:r>
                </w:p>
              </w:tc>
              <w:tc>
                <w:tcPr>
                  <w:tcW w:w="516" w:type="pct"/>
                  <w:tcBorders>
                    <w:tl2br w:val="nil"/>
                    <w:tr2bl w:val="nil"/>
                  </w:tcBorders>
                  <w:shd w:val="clear" w:color="auto" w:fill="auto"/>
                  <w:noWrap/>
                  <w:vAlign w:val="center"/>
                </w:tcPr>
                <w:p w14:paraId="61B8A7B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0407592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一层干房主体间</w:t>
                  </w:r>
                </w:p>
              </w:tc>
              <w:tc>
                <w:tcPr>
                  <w:tcW w:w="989" w:type="pct"/>
                  <w:tcBorders>
                    <w:tl2br w:val="nil"/>
                    <w:tr2bl w:val="nil"/>
                  </w:tcBorders>
                  <w:shd w:val="clear" w:color="auto" w:fill="auto"/>
                  <w:noWrap/>
                  <w:vAlign w:val="center"/>
                </w:tcPr>
                <w:p w14:paraId="28F4B53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干极片电阻测量</w:t>
                  </w:r>
                </w:p>
              </w:tc>
            </w:tr>
            <w:tr w14:paraId="56EDA2D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44171D3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53</w:t>
                  </w:r>
                </w:p>
              </w:tc>
              <w:tc>
                <w:tcPr>
                  <w:tcW w:w="968" w:type="pct"/>
                  <w:tcBorders>
                    <w:tl2br w:val="nil"/>
                    <w:tr2bl w:val="nil"/>
                  </w:tcBorders>
                  <w:shd w:val="clear" w:color="auto" w:fill="auto"/>
                  <w:vAlign w:val="center"/>
                </w:tcPr>
                <w:p w14:paraId="45C7C43B">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多功能真空封口机，配双极油封旋片式真空泵</w:t>
                  </w:r>
                </w:p>
              </w:tc>
              <w:tc>
                <w:tcPr>
                  <w:tcW w:w="1146" w:type="pct"/>
                  <w:tcBorders>
                    <w:tl2br w:val="nil"/>
                    <w:tr2bl w:val="nil"/>
                  </w:tcBorders>
                  <w:shd w:val="clear" w:color="auto" w:fill="auto"/>
                  <w:vAlign w:val="center"/>
                </w:tcPr>
                <w:p w14:paraId="1BBFE6B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MSK-115A-MS，DRV10</w:t>
                  </w:r>
                </w:p>
              </w:tc>
              <w:tc>
                <w:tcPr>
                  <w:tcW w:w="516" w:type="pct"/>
                  <w:tcBorders>
                    <w:tl2br w:val="nil"/>
                    <w:tr2bl w:val="nil"/>
                  </w:tcBorders>
                  <w:shd w:val="clear" w:color="auto" w:fill="auto"/>
                  <w:noWrap/>
                  <w:vAlign w:val="center"/>
                </w:tcPr>
                <w:p w14:paraId="2C021DA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68381AC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一层干房主体间</w:t>
                  </w:r>
                </w:p>
              </w:tc>
              <w:tc>
                <w:tcPr>
                  <w:tcW w:w="989" w:type="pct"/>
                  <w:tcBorders>
                    <w:tl2br w:val="nil"/>
                    <w:tr2bl w:val="nil"/>
                  </w:tcBorders>
                  <w:shd w:val="clear" w:color="auto" w:fill="auto"/>
                  <w:noWrap/>
                  <w:vAlign w:val="center"/>
                </w:tcPr>
                <w:p w14:paraId="4B6759D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电池封装</w:t>
                  </w:r>
                </w:p>
              </w:tc>
            </w:tr>
            <w:tr w14:paraId="7504917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758D960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54</w:t>
                  </w:r>
                </w:p>
              </w:tc>
              <w:tc>
                <w:tcPr>
                  <w:tcW w:w="968" w:type="pct"/>
                  <w:tcBorders>
                    <w:tl2br w:val="nil"/>
                    <w:tr2bl w:val="nil"/>
                  </w:tcBorders>
                  <w:shd w:val="clear" w:color="auto" w:fill="auto"/>
                  <w:vAlign w:val="center"/>
                </w:tcPr>
                <w:p w14:paraId="53C18F04">
                  <w:pPr>
                    <w:widowControl/>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软包电池夹板套件</w:t>
                  </w:r>
                </w:p>
              </w:tc>
              <w:tc>
                <w:tcPr>
                  <w:tcW w:w="1146" w:type="pct"/>
                  <w:tcBorders>
                    <w:tl2br w:val="nil"/>
                    <w:tr2bl w:val="nil"/>
                  </w:tcBorders>
                  <w:shd w:val="clear" w:color="auto" w:fill="auto"/>
                  <w:vAlign w:val="center"/>
                </w:tcPr>
                <w:p w14:paraId="43986BB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60*80*5mm</w:t>
                  </w:r>
                </w:p>
              </w:tc>
              <w:tc>
                <w:tcPr>
                  <w:tcW w:w="516" w:type="pct"/>
                  <w:tcBorders>
                    <w:tl2br w:val="nil"/>
                    <w:tr2bl w:val="nil"/>
                  </w:tcBorders>
                  <w:shd w:val="clear" w:color="auto" w:fill="auto"/>
                  <w:noWrap/>
                  <w:vAlign w:val="center"/>
                </w:tcPr>
                <w:p w14:paraId="4968139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38C504E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一层干房主体间</w:t>
                  </w:r>
                </w:p>
              </w:tc>
              <w:tc>
                <w:tcPr>
                  <w:tcW w:w="989" w:type="pct"/>
                  <w:tcBorders>
                    <w:tl2br w:val="nil"/>
                    <w:tr2bl w:val="nil"/>
                  </w:tcBorders>
                  <w:shd w:val="clear" w:color="auto" w:fill="auto"/>
                  <w:noWrap/>
                  <w:vAlign w:val="center"/>
                </w:tcPr>
                <w:p w14:paraId="795961A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电池测试夹具</w:t>
                  </w:r>
                </w:p>
              </w:tc>
            </w:tr>
            <w:tr w14:paraId="71A65F1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4B4E8DC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55</w:t>
                  </w:r>
                </w:p>
              </w:tc>
              <w:tc>
                <w:tcPr>
                  <w:tcW w:w="968" w:type="pct"/>
                  <w:tcBorders>
                    <w:tl2br w:val="nil"/>
                    <w:tr2bl w:val="nil"/>
                  </w:tcBorders>
                  <w:shd w:val="clear" w:color="auto" w:fill="auto"/>
                  <w:vAlign w:val="center"/>
                </w:tcPr>
                <w:p w14:paraId="1FA1E0A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压片机和电池模具</w:t>
                  </w:r>
                </w:p>
              </w:tc>
              <w:tc>
                <w:tcPr>
                  <w:tcW w:w="1146" w:type="pct"/>
                  <w:tcBorders>
                    <w:tl2br w:val="nil"/>
                    <w:tr2bl w:val="nil"/>
                  </w:tcBorders>
                  <w:shd w:val="clear" w:color="auto" w:fill="auto"/>
                  <w:vAlign w:val="center"/>
                </w:tcPr>
                <w:p w14:paraId="2033A2C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CAN-TAP60-0015ST</w:t>
                  </w:r>
                </w:p>
              </w:tc>
              <w:tc>
                <w:tcPr>
                  <w:tcW w:w="516" w:type="pct"/>
                  <w:tcBorders>
                    <w:tl2br w:val="nil"/>
                    <w:tr2bl w:val="nil"/>
                  </w:tcBorders>
                  <w:shd w:val="clear" w:color="auto" w:fill="auto"/>
                  <w:noWrap/>
                  <w:vAlign w:val="center"/>
                </w:tcPr>
                <w:p w14:paraId="77F8BD2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1C7C791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一层干房主体间</w:t>
                  </w:r>
                </w:p>
              </w:tc>
              <w:tc>
                <w:tcPr>
                  <w:tcW w:w="989" w:type="pct"/>
                  <w:tcBorders>
                    <w:tl2br w:val="nil"/>
                    <w:tr2bl w:val="nil"/>
                  </w:tcBorders>
                  <w:shd w:val="clear" w:color="auto" w:fill="auto"/>
                  <w:noWrap/>
                  <w:vAlign w:val="center"/>
                </w:tcPr>
                <w:p w14:paraId="6E3E935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固态电池制备配件</w:t>
                  </w:r>
                </w:p>
              </w:tc>
            </w:tr>
            <w:tr w14:paraId="0EDD8A8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342" w:type="pct"/>
                  <w:tcBorders>
                    <w:tl2br w:val="nil"/>
                    <w:tr2bl w:val="nil"/>
                  </w:tcBorders>
                  <w:shd w:val="clear" w:color="auto" w:fill="auto"/>
                  <w:noWrap/>
                  <w:vAlign w:val="center"/>
                </w:tcPr>
                <w:p w14:paraId="169AFF73">
                  <w:pPr>
                    <w:widowControl/>
                    <w:jc w:val="left"/>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56</w:t>
                  </w:r>
                </w:p>
              </w:tc>
              <w:tc>
                <w:tcPr>
                  <w:tcW w:w="968" w:type="pct"/>
                  <w:tcBorders>
                    <w:tl2br w:val="nil"/>
                    <w:tr2bl w:val="nil"/>
                  </w:tcBorders>
                  <w:shd w:val="clear" w:color="auto" w:fill="auto"/>
                  <w:vAlign w:val="center"/>
                </w:tcPr>
                <w:p w14:paraId="5346AFA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干燥房及除湿机组、冷却机组</w:t>
                  </w:r>
                </w:p>
              </w:tc>
              <w:tc>
                <w:tcPr>
                  <w:tcW w:w="1146" w:type="pct"/>
                  <w:tcBorders>
                    <w:tl2br w:val="nil"/>
                    <w:tr2bl w:val="nil"/>
                  </w:tcBorders>
                  <w:shd w:val="clear" w:color="auto" w:fill="auto"/>
                  <w:vAlign w:val="center"/>
                </w:tcPr>
                <w:p w14:paraId="59CC669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体积: 33 m³温湿度要求:T：25℃±3℃湿度：（露点≦-45℃）</w:t>
                  </w:r>
                </w:p>
              </w:tc>
              <w:tc>
                <w:tcPr>
                  <w:tcW w:w="516" w:type="pct"/>
                  <w:tcBorders>
                    <w:tl2br w:val="nil"/>
                    <w:tr2bl w:val="nil"/>
                  </w:tcBorders>
                  <w:shd w:val="clear" w:color="auto" w:fill="auto"/>
                  <w:noWrap/>
                  <w:vAlign w:val="center"/>
                </w:tcPr>
                <w:p w14:paraId="1188840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w:t>
                  </w:r>
                </w:p>
              </w:tc>
              <w:tc>
                <w:tcPr>
                  <w:tcW w:w="1036" w:type="pct"/>
                  <w:tcBorders>
                    <w:tl2br w:val="nil"/>
                    <w:tr2bl w:val="nil"/>
                  </w:tcBorders>
                  <w:shd w:val="clear" w:color="auto" w:fill="auto"/>
                  <w:noWrap/>
                  <w:vAlign w:val="center"/>
                </w:tcPr>
                <w:p w14:paraId="3D3EAE5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一层干房除湿机组间+冷却机组间</w:t>
                  </w:r>
                </w:p>
              </w:tc>
              <w:tc>
                <w:tcPr>
                  <w:tcW w:w="989" w:type="pct"/>
                  <w:tcBorders>
                    <w:tl2br w:val="nil"/>
                    <w:tr2bl w:val="nil"/>
                  </w:tcBorders>
                  <w:shd w:val="clear" w:color="auto" w:fill="auto"/>
                  <w:noWrap/>
                  <w:vAlign w:val="center"/>
                </w:tcPr>
                <w:p w14:paraId="28B3A56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提供恒温干燥环境，提供工艺冷冻水，制冷降温</w:t>
                  </w:r>
                </w:p>
              </w:tc>
            </w:tr>
            <w:tr w14:paraId="13F113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64175D23">
                  <w:pPr>
                    <w:widowControl/>
                    <w:jc w:val="left"/>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57</w:t>
                  </w:r>
                </w:p>
              </w:tc>
              <w:tc>
                <w:tcPr>
                  <w:tcW w:w="968" w:type="pct"/>
                  <w:tcBorders>
                    <w:tl2br w:val="nil"/>
                    <w:tr2bl w:val="nil"/>
                  </w:tcBorders>
                  <w:shd w:val="clear" w:color="auto" w:fill="auto"/>
                  <w:vAlign w:val="center"/>
                </w:tcPr>
                <w:p w14:paraId="6F5D059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扣电恒温测试一体机</w:t>
                  </w:r>
                </w:p>
              </w:tc>
              <w:tc>
                <w:tcPr>
                  <w:tcW w:w="1146" w:type="pct"/>
                  <w:tcBorders>
                    <w:tl2br w:val="nil"/>
                    <w:tr2bl w:val="nil"/>
                  </w:tcBorders>
                  <w:shd w:val="clear" w:color="auto" w:fill="auto"/>
                  <w:vAlign w:val="center"/>
                </w:tcPr>
                <w:p w14:paraId="5EAC780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MIHW-200-160CH-B</w:t>
                  </w:r>
                </w:p>
              </w:tc>
              <w:tc>
                <w:tcPr>
                  <w:tcW w:w="516" w:type="pct"/>
                  <w:tcBorders>
                    <w:tl2br w:val="nil"/>
                    <w:tr2bl w:val="nil"/>
                  </w:tcBorders>
                  <w:shd w:val="clear" w:color="auto" w:fill="auto"/>
                  <w:noWrap/>
                  <w:vAlign w:val="center"/>
                </w:tcPr>
                <w:p w14:paraId="198670D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55A424C6">
                  <w:pPr>
                    <w:widowControl/>
                    <w:jc w:val="center"/>
                    <w:rPr>
                      <w:rFonts w:hint="default" w:ascii="Times New Roman" w:hAnsi="Times New Roman" w:eastAsia="宋体" w:cs="Times New Roman"/>
                      <w:kern w:val="0"/>
                      <w:sz w:val="18"/>
                      <w:szCs w:val="18"/>
                    </w:rPr>
                  </w:pPr>
                  <w:bookmarkStart w:id="0" w:name="OLE_LINK2"/>
                  <w:r>
                    <w:rPr>
                      <w:rFonts w:hint="default" w:ascii="Times New Roman" w:hAnsi="Times New Roman" w:eastAsia="宋体" w:cs="Times New Roman"/>
                      <w:kern w:val="0"/>
                      <w:sz w:val="18"/>
                      <w:szCs w:val="18"/>
                    </w:rPr>
                    <w:t>一层电芯测试间</w:t>
                  </w:r>
                  <w:bookmarkEnd w:id="0"/>
                </w:p>
              </w:tc>
              <w:tc>
                <w:tcPr>
                  <w:tcW w:w="989" w:type="pct"/>
                  <w:tcBorders>
                    <w:tl2br w:val="nil"/>
                    <w:tr2bl w:val="nil"/>
                  </w:tcBorders>
                  <w:shd w:val="clear" w:color="auto" w:fill="auto"/>
                  <w:noWrap/>
                  <w:vAlign w:val="center"/>
                </w:tcPr>
                <w:p w14:paraId="1523A80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扣式电池恒温充放电、循环测试</w:t>
                  </w:r>
                </w:p>
              </w:tc>
            </w:tr>
            <w:tr w14:paraId="2BE88F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342" w:type="pct"/>
                  <w:tcBorders>
                    <w:tl2br w:val="nil"/>
                    <w:tr2bl w:val="nil"/>
                  </w:tcBorders>
                  <w:shd w:val="clear" w:color="auto" w:fill="auto"/>
                  <w:noWrap/>
                  <w:vAlign w:val="center"/>
                </w:tcPr>
                <w:p w14:paraId="228C50C7">
                  <w:pPr>
                    <w:widowControl/>
                    <w:jc w:val="left"/>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58</w:t>
                  </w:r>
                </w:p>
              </w:tc>
              <w:tc>
                <w:tcPr>
                  <w:tcW w:w="968" w:type="pct"/>
                  <w:tcBorders>
                    <w:tl2br w:val="nil"/>
                    <w:tr2bl w:val="nil"/>
                  </w:tcBorders>
                  <w:shd w:val="clear" w:color="auto" w:fill="auto"/>
                  <w:vAlign w:val="center"/>
                </w:tcPr>
                <w:p w14:paraId="7C03AAF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扣电高低温</w:t>
                  </w:r>
                  <w:r>
                    <w:rPr>
                      <w:rFonts w:hint="default" w:ascii="Times New Roman" w:hAnsi="Times New Roman" w:eastAsia="宋体" w:cs="Times New Roman"/>
                      <w:kern w:val="0"/>
                      <w:sz w:val="18"/>
                      <w:szCs w:val="18"/>
                      <w:lang w:eastAsia="zh-CN"/>
                    </w:rPr>
                    <w:t>实验</w:t>
                  </w:r>
                  <w:r>
                    <w:rPr>
                      <w:rFonts w:hint="default" w:ascii="Times New Roman" w:hAnsi="Times New Roman" w:eastAsia="宋体" w:cs="Times New Roman"/>
                      <w:kern w:val="0"/>
                      <w:sz w:val="18"/>
                      <w:szCs w:val="18"/>
                    </w:rPr>
                    <w:t>箱测试一体机（ 5V100mA160 通道）</w:t>
                  </w:r>
                </w:p>
              </w:tc>
              <w:tc>
                <w:tcPr>
                  <w:tcW w:w="1146" w:type="pct"/>
                  <w:tcBorders>
                    <w:tl2br w:val="nil"/>
                    <w:tr2bl w:val="nil"/>
                  </w:tcBorders>
                  <w:shd w:val="clear" w:color="auto" w:fill="auto"/>
                  <w:vAlign w:val="center"/>
                </w:tcPr>
                <w:p w14:paraId="33C2F3A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WGDW-225L-70-mA160CH</w:t>
                  </w:r>
                </w:p>
              </w:tc>
              <w:tc>
                <w:tcPr>
                  <w:tcW w:w="516" w:type="pct"/>
                  <w:tcBorders>
                    <w:tl2br w:val="nil"/>
                    <w:tr2bl w:val="nil"/>
                  </w:tcBorders>
                  <w:shd w:val="clear" w:color="auto" w:fill="auto"/>
                  <w:noWrap/>
                  <w:vAlign w:val="center"/>
                </w:tcPr>
                <w:p w14:paraId="5909A4A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61FF99B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一层电芯测试间</w:t>
                  </w:r>
                </w:p>
              </w:tc>
              <w:tc>
                <w:tcPr>
                  <w:tcW w:w="989" w:type="pct"/>
                  <w:tcBorders>
                    <w:tl2br w:val="nil"/>
                    <w:tr2bl w:val="nil"/>
                  </w:tcBorders>
                  <w:shd w:val="clear" w:color="auto" w:fill="auto"/>
                  <w:noWrap/>
                  <w:vAlign w:val="center"/>
                </w:tcPr>
                <w:p w14:paraId="25B856D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电池恒温充放电、循环测试</w:t>
                  </w:r>
                </w:p>
              </w:tc>
            </w:tr>
            <w:tr w14:paraId="0C4BB84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342" w:type="pct"/>
                  <w:tcBorders>
                    <w:tl2br w:val="nil"/>
                    <w:tr2bl w:val="nil"/>
                  </w:tcBorders>
                  <w:shd w:val="clear" w:color="auto" w:fill="auto"/>
                  <w:noWrap/>
                  <w:vAlign w:val="center"/>
                </w:tcPr>
                <w:p w14:paraId="13C6FB91">
                  <w:pPr>
                    <w:widowControl/>
                    <w:jc w:val="left"/>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59</w:t>
                  </w:r>
                </w:p>
              </w:tc>
              <w:tc>
                <w:tcPr>
                  <w:tcW w:w="968" w:type="pct"/>
                  <w:tcBorders>
                    <w:tl2br w:val="nil"/>
                    <w:tr2bl w:val="nil"/>
                  </w:tcBorders>
                  <w:shd w:val="clear" w:color="auto" w:fill="auto"/>
                  <w:vAlign w:val="center"/>
                </w:tcPr>
                <w:p w14:paraId="53ADADB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恒温充放电</w:t>
                  </w:r>
                  <w:r>
                    <w:rPr>
                      <w:rFonts w:hint="default" w:ascii="Times New Roman" w:hAnsi="Times New Roman" w:eastAsia="宋体" w:cs="Times New Roman"/>
                      <w:kern w:val="0"/>
                      <w:sz w:val="18"/>
                      <w:szCs w:val="18"/>
                      <w:lang w:eastAsia="zh-CN"/>
                    </w:rPr>
                    <w:t>实验</w:t>
                  </w:r>
                  <w:r>
                    <w:rPr>
                      <w:rFonts w:hint="default" w:ascii="Times New Roman" w:hAnsi="Times New Roman" w:eastAsia="宋体" w:cs="Times New Roman"/>
                      <w:kern w:val="0"/>
                      <w:sz w:val="18"/>
                      <w:szCs w:val="18"/>
                    </w:rPr>
                    <w:t>箱一体机</w:t>
                  </w:r>
                </w:p>
              </w:tc>
              <w:tc>
                <w:tcPr>
                  <w:tcW w:w="1146" w:type="pct"/>
                  <w:tcBorders>
                    <w:tl2br w:val="nil"/>
                    <w:tr2bl w:val="nil"/>
                  </w:tcBorders>
                  <w:shd w:val="clear" w:color="auto" w:fill="auto"/>
                  <w:vAlign w:val="center"/>
                </w:tcPr>
                <w:p w14:paraId="48EDF64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MHW-200-5V12A64CH-380V</w:t>
                  </w:r>
                </w:p>
              </w:tc>
              <w:tc>
                <w:tcPr>
                  <w:tcW w:w="516" w:type="pct"/>
                  <w:tcBorders>
                    <w:tl2br w:val="nil"/>
                    <w:tr2bl w:val="nil"/>
                  </w:tcBorders>
                  <w:shd w:val="clear" w:color="auto" w:fill="auto"/>
                  <w:noWrap/>
                  <w:vAlign w:val="center"/>
                </w:tcPr>
                <w:p w14:paraId="6C0D255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4F5E022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一层电芯测试间</w:t>
                  </w:r>
                </w:p>
              </w:tc>
              <w:tc>
                <w:tcPr>
                  <w:tcW w:w="989" w:type="pct"/>
                  <w:tcBorders>
                    <w:tl2br w:val="nil"/>
                    <w:tr2bl w:val="nil"/>
                  </w:tcBorders>
                  <w:shd w:val="clear" w:color="auto" w:fill="auto"/>
                  <w:noWrap/>
                  <w:vAlign w:val="center"/>
                </w:tcPr>
                <w:p w14:paraId="6486392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软包电池恒温充放电、循环测试</w:t>
                  </w:r>
                </w:p>
              </w:tc>
            </w:tr>
            <w:tr w14:paraId="06EBDE3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342" w:type="pct"/>
                  <w:tcBorders>
                    <w:tl2br w:val="nil"/>
                    <w:tr2bl w:val="nil"/>
                  </w:tcBorders>
                  <w:shd w:val="clear" w:color="auto" w:fill="auto"/>
                  <w:noWrap/>
                  <w:vAlign w:val="center"/>
                </w:tcPr>
                <w:p w14:paraId="4FEA5D14">
                  <w:pPr>
                    <w:widowControl/>
                    <w:jc w:val="left"/>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60</w:t>
                  </w:r>
                </w:p>
              </w:tc>
              <w:tc>
                <w:tcPr>
                  <w:tcW w:w="968" w:type="pct"/>
                  <w:tcBorders>
                    <w:tl2br w:val="nil"/>
                    <w:tr2bl w:val="nil"/>
                  </w:tcBorders>
                  <w:shd w:val="clear" w:color="auto" w:fill="auto"/>
                  <w:vAlign w:val="center"/>
                </w:tcPr>
                <w:p w14:paraId="6D01B2D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软包高低温充放电</w:t>
                  </w:r>
                  <w:r>
                    <w:rPr>
                      <w:rFonts w:hint="default" w:ascii="Times New Roman" w:hAnsi="Times New Roman" w:eastAsia="宋体" w:cs="Times New Roman"/>
                      <w:kern w:val="0"/>
                      <w:sz w:val="18"/>
                      <w:szCs w:val="18"/>
                      <w:lang w:eastAsia="zh-CN"/>
                    </w:rPr>
                    <w:t>实验</w:t>
                  </w:r>
                  <w:r>
                    <w:rPr>
                      <w:rFonts w:hint="default" w:ascii="Times New Roman" w:hAnsi="Times New Roman" w:eastAsia="宋体" w:cs="Times New Roman"/>
                      <w:kern w:val="0"/>
                      <w:sz w:val="18"/>
                      <w:szCs w:val="18"/>
                    </w:rPr>
                    <w:t>箱一体机（ 5V12A64 通道）</w:t>
                  </w:r>
                </w:p>
              </w:tc>
              <w:tc>
                <w:tcPr>
                  <w:tcW w:w="1146" w:type="pct"/>
                  <w:tcBorders>
                    <w:tl2br w:val="nil"/>
                    <w:tr2bl w:val="nil"/>
                  </w:tcBorders>
                  <w:shd w:val="clear" w:color="auto" w:fill="auto"/>
                  <w:vAlign w:val="center"/>
                </w:tcPr>
                <w:p w14:paraId="7535BAA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WGDW-200L-40C-380V-6U</w:t>
                  </w:r>
                </w:p>
              </w:tc>
              <w:tc>
                <w:tcPr>
                  <w:tcW w:w="516" w:type="pct"/>
                  <w:tcBorders>
                    <w:tl2br w:val="nil"/>
                    <w:tr2bl w:val="nil"/>
                  </w:tcBorders>
                  <w:shd w:val="clear" w:color="auto" w:fill="auto"/>
                  <w:noWrap/>
                  <w:vAlign w:val="center"/>
                </w:tcPr>
                <w:p w14:paraId="294600C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7D983B4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一层电芯测试间</w:t>
                  </w:r>
                </w:p>
              </w:tc>
              <w:tc>
                <w:tcPr>
                  <w:tcW w:w="989" w:type="pct"/>
                  <w:tcBorders>
                    <w:tl2br w:val="nil"/>
                    <w:tr2bl w:val="nil"/>
                  </w:tcBorders>
                  <w:shd w:val="clear" w:color="auto" w:fill="auto"/>
                  <w:noWrap/>
                  <w:vAlign w:val="center"/>
                </w:tcPr>
                <w:p w14:paraId="542768C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软包高低温性能测试</w:t>
                  </w:r>
                </w:p>
              </w:tc>
            </w:tr>
            <w:tr w14:paraId="3414F7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21B956E6">
                  <w:pPr>
                    <w:widowControl/>
                    <w:jc w:val="left"/>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61</w:t>
                  </w:r>
                </w:p>
              </w:tc>
              <w:tc>
                <w:tcPr>
                  <w:tcW w:w="968" w:type="pct"/>
                  <w:tcBorders>
                    <w:tl2br w:val="nil"/>
                    <w:tr2bl w:val="nil"/>
                  </w:tcBorders>
                  <w:shd w:val="clear" w:color="auto" w:fill="auto"/>
                  <w:vAlign w:val="center"/>
                </w:tcPr>
                <w:p w14:paraId="5E478AB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精密内阻测试仪</w:t>
                  </w:r>
                </w:p>
              </w:tc>
              <w:tc>
                <w:tcPr>
                  <w:tcW w:w="1146" w:type="pct"/>
                  <w:tcBorders>
                    <w:tl2br w:val="nil"/>
                    <w:tr2bl w:val="nil"/>
                  </w:tcBorders>
                  <w:shd w:val="clear" w:color="auto" w:fill="auto"/>
                  <w:vAlign w:val="center"/>
                </w:tcPr>
                <w:p w14:paraId="79A2AF6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HK-3560</w:t>
                  </w:r>
                </w:p>
              </w:tc>
              <w:tc>
                <w:tcPr>
                  <w:tcW w:w="516" w:type="pct"/>
                  <w:tcBorders>
                    <w:tl2br w:val="nil"/>
                    <w:tr2bl w:val="nil"/>
                  </w:tcBorders>
                  <w:shd w:val="clear" w:color="auto" w:fill="auto"/>
                  <w:noWrap/>
                  <w:vAlign w:val="center"/>
                </w:tcPr>
                <w:p w14:paraId="712F0EF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355D841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一层电芯测试间</w:t>
                  </w:r>
                </w:p>
              </w:tc>
              <w:tc>
                <w:tcPr>
                  <w:tcW w:w="989" w:type="pct"/>
                  <w:tcBorders>
                    <w:tl2br w:val="nil"/>
                    <w:tr2bl w:val="nil"/>
                  </w:tcBorders>
                  <w:shd w:val="clear" w:color="auto" w:fill="auto"/>
                  <w:noWrap/>
                  <w:vAlign w:val="center"/>
                </w:tcPr>
                <w:p w14:paraId="5FA0BA3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电池内阻及电压测量</w:t>
                  </w:r>
                </w:p>
              </w:tc>
            </w:tr>
            <w:tr w14:paraId="55CA56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5000" w:type="pct"/>
                  <w:gridSpan w:val="6"/>
                  <w:tcBorders>
                    <w:tl2br w:val="nil"/>
                    <w:tr2bl w:val="nil"/>
                  </w:tcBorders>
                  <w:shd w:val="clear" w:color="auto" w:fill="auto"/>
                  <w:noWrap/>
                  <w:vAlign w:val="center"/>
                </w:tcPr>
                <w:p w14:paraId="79F8B87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三、纳米晶材料研究室</w:t>
                  </w:r>
                </w:p>
              </w:tc>
            </w:tr>
            <w:tr w14:paraId="74CD1A9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4E55D7AB">
                  <w:pPr>
                    <w:widowControl/>
                    <w:jc w:val="left"/>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968" w:type="pct"/>
                  <w:tcBorders>
                    <w:tl2br w:val="nil"/>
                    <w:tr2bl w:val="nil"/>
                  </w:tcBorders>
                  <w:shd w:val="clear" w:color="auto" w:fill="auto"/>
                  <w:vAlign w:val="center"/>
                </w:tcPr>
                <w:p w14:paraId="4E3FAC1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热处理设备（定制）</w:t>
                  </w:r>
                </w:p>
              </w:tc>
              <w:tc>
                <w:tcPr>
                  <w:tcW w:w="1146" w:type="pct"/>
                  <w:tcBorders>
                    <w:tl2br w:val="nil"/>
                    <w:tr2bl w:val="nil"/>
                  </w:tcBorders>
                  <w:shd w:val="clear" w:color="auto" w:fill="auto"/>
                  <w:vAlign w:val="center"/>
                </w:tcPr>
                <w:p w14:paraId="7BBAAB1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定制</w:t>
                  </w:r>
                </w:p>
              </w:tc>
              <w:tc>
                <w:tcPr>
                  <w:tcW w:w="516" w:type="pct"/>
                  <w:tcBorders>
                    <w:tl2br w:val="nil"/>
                    <w:tr2bl w:val="nil"/>
                  </w:tcBorders>
                  <w:shd w:val="clear" w:color="auto" w:fill="auto"/>
                  <w:noWrap/>
                  <w:vAlign w:val="center"/>
                </w:tcPr>
                <w:p w14:paraId="4341F03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53AA233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一层冶炼和热处理间</w:t>
                  </w:r>
                </w:p>
              </w:tc>
              <w:tc>
                <w:tcPr>
                  <w:tcW w:w="989" w:type="pct"/>
                  <w:tcBorders>
                    <w:tl2br w:val="nil"/>
                    <w:tr2bl w:val="nil"/>
                  </w:tcBorders>
                  <w:shd w:val="clear" w:color="auto" w:fill="auto"/>
                  <w:noWrap/>
                  <w:vAlign w:val="center"/>
                </w:tcPr>
                <w:p w14:paraId="41159A4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纳米晶化热处理</w:t>
                  </w:r>
                </w:p>
              </w:tc>
            </w:tr>
            <w:tr w14:paraId="6BD0EDD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7B830466">
                  <w:pPr>
                    <w:widowControl/>
                    <w:jc w:val="left"/>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w:t>
                  </w:r>
                </w:p>
              </w:tc>
              <w:tc>
                <w:tcPr>
                  <w:tcW w:w="968" w:type="pct"/>
                  <w:tcBorders>
                    <w:tl2br w:val="nil"/>
                    <w:tr2bl w:val="nil"/>
                  </w:tcBorders>
                  <w:shd w:val="clear" w:color="auto" w:fill="auto"/>
                  <w:vAlign w:val="center"/>
                </w:tcPr>
                <w:p w14:paraId="6C4CB78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全自动铁芯动卷绕机</w:t>
                  </w:r>
                </w:p>
              </w:tc>
              <w:tc>
                <w:tcPr>
                  <w:tcW w:w="1146" w:type="pct"/>
                  <w:tcBorders>
                    <w:tl2br w:val="nil"/>
                    <w:tr2bl w:val="nil"/>
                  </w:tcBorders>
                  <w:shd w:val="clear" w:color="auto" w:fill="auto"/>
                  <w:vAlign w:val="center"/>
                </w:tcPr>
                <w:p w14:paraId="562AE88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WCL-12-A</w:t>
                  </w:r>
                </w:p>
              </w:tc>
              <w:tc>
                <w:tcPr>
                  <w:tcW w:w="516" w:type="pct"/>
                  <w:tcBorders>
                    <w:tl2br w:val="nil"/>
                    <w:tr2bl w:val="nil"/>
                  </w:tcBorders>
                  <w:shd w:val="clear" w:color="auto" w:fill="auto"/>
                  <w:noWrap/>
                  <w:vAlign w:val="center"/>
                </w:tcPr>
                <w:p w14:paraId="47284FF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708FF83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二层纳米晶样品制备间</w:t>
                  </w:r>
                </w:p>
              </w:tc>
              <w:tc>
                <w:tcPr>
                  <w:tcW w:w="989" w:type="pct"/>
                  <w:tcBorders>
                    <w:tl2br w:val="nil"/>
                    <w:tr2bl w:val="nil"/>
                  </w:tcBorders>
                  <w:shd w:val="clear" w:color="auto" w:fill="auto"/>
                  <w:noWrap/>
                  <w:vAlign w:val="center"/>
                </w:tcPr>
                <w:p w14:paraId="5E3329A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铁芯卷绕(小型铁芯)</w:t>
                  </w:r>
                </w:p>
              </w:tc>
            </w:tr>
            <w:tr w14:paraId="26DE76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49421219">
                  <w:pPr>
                    <w:widowControl/>
                    <w:jc w:val="left"/>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3</w:t>
                  </w:r>
                </w:p>
              </w:tc>
              <w:tc>
                <w:tcPr>
                  <w:tcW w:w="968" w:type="pct"/>
                  <w:tcBorders>
                    <w:tl2br w:val="nil"/>
                    <w:tr2bl w:val="nil"/>
                  </w:tcBorders>
                  <w:shd w:val="clear" w:color="auto" w:fill="auto"/>
                  <w:vAlign w:val="center"/>
                </w:tcPr>
                <w:p w14:paraId="06BD289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铁芯浸漆+固化成套设备</w:t>
                  </w:r>
                </w:p>
              </w:tc>
              <w:tc>
                <w:tcPr>
                  <w:tcW w:w="1146" w:type="pct"/>
                  <w:tcBorders>
                    <w:tl2br w:val="nil"/>
                    <w:tr2bl w:val="nil"/>
                  </w:tcBorders>
                  <w:shd w:val="clear" w:color="auto" w:fill="auto"/>
                  <w:vAlign w:val="center"/>
                </w:tcPr>
                <w:p w14:paraId="21CBFF9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ZGJ-850</w:t>
                  </w:r>
                </w:p>
              </w:tc>
              <w:tc>
                <w:tcPr>
                  <w:tcW w:w="516" w:type="pct"/>
                  <w:tcBorders>
                    <w:tl2br w:val="nil"/>
                    <w:tr2bl w:val="nil"/>
                  </w:tcBorders>
                  <w:shd w:val="clear" w:color="auto" w:fill="auto"/>
                  <w:noWrap/>
                  <w:vAlign w:val="center"/>
                </w:tcPr>
                <w:p w14:paraId="2A18A3D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0E5319A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二层纳米晶样品制备间</w:t>
                  </w:r>
                </w:p>
              </w:tc>
              <w:tc>
                <w:tcPr>
                  <w:tcW w:w="989" w:type="pct"/>
                  <w:tcBorders>
                    <w:tl2br w:val="nil"/>
                    <w:tr2bl w:val="nil"/>
                  </w:tcBorders>
                  <w:shd w:val="clear" w:color="auto" w:fill="auto"/>
                  <w:noWrap/>
                  <w:vAlign w:val="center"/>
                </w:tcPr>
                <w:p w14:paraId="250AB56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铁芯真空浸漆固化</w:t>
                  </w:r>
                </w:p>
              </w:tc>
            </w:tr>
            <w:tr w14:paraId="5BAD1AD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3F703D08">
                  <w:pPr>
                    <w:widowControl/>
                    <w:jc w:val="left"/>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4</w:t>
                  </w:r>
                </w:p>
              </w:tc>
              <w:tc>
                <w:tcPr>
                  <w:tcW w:w="968" w:type="pct"/>
                  <w:tcBorders>
                    <w:tl2br w:val="nil"/>
                    <w:tr2bl w:val="nil"/>
                  </w:tcBorders>
                  <w:shd w:val="clear" w:color="auto" w:fill="auto"/>
                  <w:vAlign w:val="center"/>
                </w:tcPr>
                <w:p w14:paraId="4FE234EC">
                  <w:pPr>
                    <w:widowControl/>
                    <w:jc w:val="center"/>
                    <w:rPr>
                      <w:rFonts w:hint="default" w:ascii="Times New Roman" w:hAnsi="Times New Roman" w:eastAsia="宋体" w:cs="Times New Roman"/>
                      <w:kern w:val="0"/>
                      <w:sz w:val="18"/>
                      <w:szCs w:val="18"/>
                      <w:lang w:val="en-US" w:eastAsia="zh-CN"/>
                    </w:rPr>
                  </w:pPr>
                  <w:r>
                    <w:rPr>
                      <w:rFonts w:hint="default" w:ascii="Times New Roman" w:hAnsi="Times New Roman" w:eastAsia="宋体" w:cs="Times New Roman"/>
                      <w:kern w:val="0"/>
                      <w:sz w:val="18"/>
                      <w:szCs w:val="18"/>
                    </w:rPr>
                    <w:t>铁芯切割</w:t>
                  </w:r>
                  <w:r>
                    <w:rPr>
                      <w:rFonts w:hint="default" w:ascii="Times New Roman" w:hAnsi="Times New Roman" w:eastAsia="宋体" w:cs="Times New Roman"/>
                      <w:kern w:val="0"/>
                      <w:sz w:val="18"/>
                      <w:szCs w:val="18"/>
                      <w:lang w:val="en-US" w:eastAsia="zh-CN"/>
                    </w:rPr>
                    <w:t>机</w:t>
                  </w:r>
                </w:p>
              </w:tc>
              <w:tc>
                <w:tcPr>
                  <w:tcW w:w="1146" w:type="pct"/>
                  <w:tcBorders>
                    <w:tl2br w:val="nil"/>
                    <w:tr2bl w:val="nil"/>
                  </w:tcBorders>
                  <w:shd w:val="clear" w:color="auto" w:fill="auto"/>
                  <w:vAlign w:val="center"/>
                </w:tcPr>
                <w:p w14:paraId="3415137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HY-01</w:t>
                  </w:r>
                </w:p>
              </w:tc>
              <w:tc>
                <w:tcPr>
                  <w:tcW w:w="516" w:type="pct"/>
                  <w:tcBorders>
                    <w:tl2br w:val="nil"/>
                    <w:tr2bl w:val="nil"/>
                  </w:tcBorders>
                  <w:shd w:val="clear" w:color="auto" w:fill="auto"/>
                  <w:noWrap/>
                  <w:vAlign w:val="center"/>
                </w:tcPr>
                <w:p w14:paraId="2799360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3BBB0E1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二层纳米晶样品制备间</w:t>
                  </w:r>
                </w:p>
              </w:tc>
              <w:tc>
                <w:tcPr>
                  <w:tcW w:w="989" w:type="pct"/>
                  <w:tcBorders>
                    <w:tl2br w:val="nil"/>
                    <w:tr2bl w:val="nil"/>
                  </w:tcBorders>
                  <w:shd w:val="clear" w:color="auto" w:fill="auto"/>
                  <w:noWrap/>
                  <w:vAlign w:val="center"/>
                </w:tcPr>
                <w:p w14:paraId="1218C79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铁芯切割加工</w:t>
                  </w:r>
                </w:p>
              </w:tc>
            </w:tr>
            <w:tr w14:paraId="56973A5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1AEC363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5</w:t>
                  </w:r>
                </w:p>
              </w:tc>
              <w:tc>
                <w:tcPr>
                  <w:tcW w:w="968" w:type="pct"/>
                  <w:tcBorders>
                    <w:tl2br w:val="nil"/>
                    <w:tr2bl w:val="nil"/>
                  </w:tcBorders>
                  <w:shd w:val="clear" w:color="auto" w:fill="auto"/>
                  <w:vAlign w:val="center"/>
                </w:tcPr>
                <w:p w14:paraId="72E818E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3D打印机-打印护盒</w:t>
                  </w:r>
                </w:p>
              </w:tc>
              <w:tc>
                <w:tcPr>
                  <w:tcW w:w="1146" w:type="pct"/>
                  <w:tcBorders>
                    <w:tl2br w:val="nil"/>
                    <w:tr2bl w:val="nil"/>
                  </w:tcBorders>
                  <w:shd w:val="clear" w:color="auto" w:fill="auto"/>
                  <w:vAlign w:val="center"/>
                </w:tcPr>
                <w:p w14:paraId="4D10D9C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打印层厚分辨率≤0.05mm成型尺寸≥200×200×200mm</w:t>
                  </w:r>
                </w:p>
              </w:tc>
              <w:tc>
                <w:tcPr>
                  <w:tcW w:w="516" w:type="pct"/>
                  <w:tcBorders>
                    <w:tl2br w:val="nil"/>
                    <w:tr2bl w:val="nil"/>
                  </w:tcBorders>
                  <w:shd w:val="clear" w:color="auto" w:fill="auto"/>
                  <w:noWrap/>
                  <w:vAlign w:val="center"/>
                </w:tcPr>
                <w:p w14:paraId="1A7F31B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1CA2D01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二层纳米晶样品制备间</w:t>
                  </w:r>
                </w:p>
              </w:tc>
              <w:tc>
                <w:tcPr>
                  <w:tcW w:w="989" w:type="pct"/>
                  <w:tcBorders>
                    <w:tl2br w:val="nil"/>
                    <w:tr2bl w:val="nil"/>
                  </w:tcBorders>
                  <w:shd w:val="clear" w:color="auto" w:fill="auto"/>
                  <w:noWrap/>
                  <w:vAlign w:val="center"/>
                </w:tcPr>
                <w:p w14:paraId="2D16967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快速成型纳米晶材料的复杂结构或定制化器件</w:t>
                  </w:r>
                </w:p>
              </w:tc>
            </w:tr>
            <w:tr w14:paraId="609A2B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342" w:type="pct"/>
                  <w:tcBorders>
                    <w:tl2br w:val="nil"/>
                    <w:tr2bl w:val="nil"/>
                  </w:tcBorders>
                  <w:shd w:val="clear" w:color="auto" w:fill="auto"/>
                  <w:noWrap/>
                  <w:vAlign w:val="center"/>
                </w:tcPr>
                <w:p w14:paraId="02A5A65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6</w:t>
                  </w:r>
                </w:p>
              </w:tc>
              <w:tc>
                <w:tcPr>
                  <w:tcW w:w="968" w:type="pct"/>
                  <w:tcBorders>
                    <w:tl2br w:val="nil"/>
                    <w:tr2bl w:val="nil"/>
                  </w:tcBorders>
                  <w:shd w:val="clear" w:color="auto" w:fill="auto"/>
                  <w:vAlign w:val="center"/>
                </w:tcPr>
                <w:p w14:paraId="27EA70A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绕线机X2</w:t>
                  </w:r>
                  <w:r>
                    <w:rPr>
                      <w:rFonts w:hint="default" w:ascii="Times New Roman" w:hAnsi="Times New Roman" w:eastAsia="宋体" w:cs="Times New Roman"/>
                      <w:kern w:val="0"/>
                      <w:sz w:val="18"/>
                      <w:szCs w:val="18"/>
                    </w:rPr>
                    <w:br w:type="textWrapping"/>
                  </w:r>
                  <w:r>
                    <w:rPr>
                      <w:rFonts w:hint="default" w:ascii="Times New Roman" w:hAnsi="Times New Roman" w:eastAsia="宋体" w:cs="Times New Roman"/>
                      <w:kern w:val="0"/>
                      <w:sz w:val="18"/>
                      <w:szCs w:val="18"/>
                    </w:rPr>
                    <w:t>（粗线和细线各一个）</w:t>
                  </w:r>
                </w:p>
              </w:tc>
              <w:tc>
                <w:tcPr>
                  <w:tcW w:w="1146" w:type="pct"/>
                  <w:tcBorders>
                    <w:tl2br w:val="nil"/>
                    <w:tr2bl w:val="nil"/>
                  </w:tcBorders>
                  <w:shd w:val="clear" w:color="auto" w:fill="auto"/>
                  <w:vAlign w:val="center"/>
                </w:tcPr>
                <w:p w14:paraId="67F0A0D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线径适配0.02mm-0.5mm</w:t>
                  </w:r>
                  <w:r>
                    <w:rPr>
                      <w:rFonts w:hint="default" w:ascii="Times New Roman" w:hAnsi="Times New Roman" w:eastAsia="宋体" w:cs="Times New Roman"/>
                      <w:kern w:val="0"/>
                      <w:sz w:val="18"/>
                      <w:szCs w:val="18"/>
                    </w:rPr>
                    <w:br w:type="textWrapping"/>
                  </w:r>
                  <w:r>
                    <w:rPr>
                      <w:rFonts w:hint="default" w:ascii="Times New Roman" w:hAnsi="Times New Roman" w:eastAsia="宋体" w:cs="Times New Roman"/>
                      <w:kern w:val="0"/>
                      <w:sz w:val="18"/>
                      <w:szCs w:val="18"/>
                    </w:rPr>
                    <w:t>张力波动≤±0.1N</w:t>
                  </w:r>
                  <w:r>
                    <w:rPr>
                      <w:rFonts w:hint="default" w:ascii="Times New Roman" w:hAnsi="Times New Roman" w:eastAsia="宋体" w:cs="Times New Roman"/>
                      <w:kern w:val="0"/>
                      <w:sz w:val="18"/>
                      <w:szCs w:val="18"/>
                    </w:rPr>
                    <w:br w:type="textWrapping"/>
                  </w:r>
                  <w:r>
                    <w:rPr>
                      <w:rFonts w:hint="default" w:ascii="Times New Roman" w:hAnsi="Times New Roman" w:eastAsia="宋体" w:cs="Times New Roman"/>
                      <w:kern w:val="0"/>
                      <w:sz w:val="18"/>
                      <w:szCs w:val="18"/>
                    </w:rPr>
                    <w:t>绕线重复定位精度≤±0.01mm</w:t>
                  </w:r>
                </w:p>
              </w:tc>
              <w:tc>
                <w:tcPr>
                  <w:tcW w:w="516" w:type="pct"/>
                  <w:tcBorders>
                    <w:tl2br w:val="nil"/>
                    <w:tr2bl w:val="nil"/>
                  </w:tcBorders>
                  <w:shd w:val="clear" w:color="auto" w:fill="auto"/>
                  <w:noWrap/>
                  <w:vAlign w:val="center"/>
                </w:tcPr>
                <w:p w14:paraId="155757B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w:t>
                  </w:r>
                </w:p>
              </w:tc>
              <w:tc>
                <w:tcPr>
                  <w:tcW w:w="1036" w:type="pct"/>
                  <w:tcBorders>
                    <w:tl2br w:val="nil"/>
                    <w:tr2bl w:val="nil"/>
                  </w:tcBorders>
                  <w:shd w:val="clear" w:color="auto" w:fill="auto"/>
                  <w:noWrap/>
                  <w:vAlign w:val="center"/>
                </w:tcPr>
                <w:p w14:paraId="52CCA16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二层纳米晶样品制备间</w:t>
                  </w:r>
                </w:p>
              </w:tc>
              <w:tc>
                <w:tcPr>
                  <w:tcW w:w="989" w:type="pct"/>
                  <w:tcBorders>
                    <w:tl2br w:val="nil"/>
                    <w:tr2bl w:val="nil"/>
                  </w:tcBorders>
                  <w:shd w:val="clear" w:color="auto" w:fill="auto"/>
                  <w:noWrap/>
                  <w:vAlign w:val="center"/>
                </w:tcPr>
                <w:p w14:paraId="0F58E6C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纳米晶材料（如纳米线、纤维）有序缠绕或组装成特定结构</w:t>
                  </w:r>
                </w:p>
              </w:tc>
            </w:tr>
            <w:tr w14:paraId="3496B83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1584753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7</w:t>
                  </w:r>
                </w:p>
              </w:tc>
              <w:tc>
                <w:tcPr>
                  <w:tcW w:w="968" w:type="pct"/>
                  <w:tcBorders>
                    <w:tl2br w:val="nil"/>
                    <w:tr2bl w:val="nil"/>
                  </w:tcBorders>
                  <w:shd w:val="clear" w:color="auto" w:fill="auto"/>
                  <w:vAlign w:val="center"/>
                </w:tcPr>
                <w:p w14:paraId="1592A2E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精密阻抗分析仪（120M）</w:t>
                  </w:r>
                </w:p>
              </w:tc>
              <w:tc>
                <w:tcPr>
                  <w:tcW w:w="1146" w:type="pct"/>
                  <w:tcBorders>
                    <w:tl2br w:val="nil"/>
                    <w:tr2bl w:val="nil"/>
                  </w:tcBorders>
                  <w:shd w:val="clear" w:color="auto" w:fill="auto"/>
                  <w:vAlign w:val="center"/>
                </w:tcPr>
                <w:p w14:paraId="357FD6B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E4990A-120</w:t>
                  </w:r>
                </w:p>
              </w:tc>
              <w:tc>
                <w:tcPr>
                  <w:tcW w:w="516" w:type="pct"/>
                  <w:tcBorders>
                    <w:tl2br w:val="nil"/>
                    <w:tr2bl w:val="nil"/>
                  </w:tcBorders>
                  <w:shd w:val="clear" w:color="auto" w:fill="auto"/>
                  <w:noWrap/>
                  <w:vAlign w:val="center"/>
                </w:tcPr>
                <w:p w14:paraId="045D658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0E0BC7B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二层纳米晶磁性能测试室</w:t>
                  </w:r>
                </w:p>
              </w:tc>
              <w:tc>
                <w:tcPr>
                  <w:tcW w:w="989" w:type="pct"/>
                  <w:tcBorders>
                    <w:tl2br w:val="nil"/>
                    <w:tr2bl w:val="nil"/>
                  </w:tcBorders>
                  <w:shd w:val="clear" w:color="auto" w:fill="auto"/>
                  <w:noWrap/>
                  <w:vAlign w:val="center"/>
                </w:tcPr>
                <w:p w14:paraId="74F9F77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测量软磁性能</w:t>
                  </w:r>
                </w:p>
              </w:tc>
            </w:tr>
            <w:tr w14:paraId="36CEAE9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1524F94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8</w:t>
                  </w:r>
                </w:p>
              </w:tc>
              <w:tc>
                <w:tcPr>
                  <w:tcW w:w="968" w:type="pct"/>
                  <w:tcBorders>
                    <w:tl2br w:val="nil"/>
                    <w:tr2bl w:val="nil"/>
                  </w:tcBorders>
                  <w:shd w:val="clear" w:color="auto" w:fill="auto"/>
                  <w:vAlign w:val="center"/>
                </w:tcPr>
                <w:p w14:paraId="467D067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宽频带示波器</w:t>
                  </w:r>
                </w:p>
              </w:tc>
              <w:tc>
                <w:tcPr>
                  <w:tcW w:w="1146" w:type="pct"/>
                  <w:tcBorders>
                    <w:tl2br w:val="nil"/>
                    <w:tr2bl w:val="nil"/>
                  </w:tcBorders>
                  <w:shd w:val="clear" w:color="auto" w:fill="auto"/>
                  <w:vAlign w:val="center"/>
                </w:tcPr>
                <w:p w14:paraId="456D067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DPO7000C(500MHz-3.5GHz)</w:t>
                  </w:r>
                </w:p>
              </w:tc>
              <w:tc>
                <w:tcPr>
                  <w:tcW w:w="516" w:type="pct"/>
                  <w:tcBorders>
                    <w:tl2br w:val="nil"/>
                    <w:tr2bl w:val="nil"/>
                  </w:tcBorders>
                  <w:shd w:val="clear" w:color="auto" w:fill="auto"/>
                  <w:noWrap/>
                  <w:vAlign w:val="center"/>
                </w:tcPr>
                <w:p w14:paraId="029E3F9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0BFAC32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二层纳米晶磁性能测试室</w:t>
                  </w:r>
                </w:p>
              </w:tc>
              <w:tc>
                <w:tcPr>
                  <w:tcW w:w="989" w:type="pct"/>
                  <w:tcBorders>
                    <w:tl2br w:val="nil"/>
                    <w:tr2bl w:val="nil"/>
                  </w:tcBorders>
                  <w:shd w:val="clear" w:color="auto" w:fill="auto"/>
                  <w:noWrap/>
                  <w:vAlign w:val="center"/>
                </w:tcPr>
                <w:p w14:paraId="2E1D583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电流、电压数据波形测量及采样</w:t>
                  </w:r>
                </w:p>
              </w:tc>
            </w:tr>
            <w:tr w14:paraId="7B4A008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320C6EF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9</w:t>
                  </w:r>
                </w:p>
              </w:tc>
              <w:tc>
                <w:tcPr>
                  <w:tcW w:w="968" w:type="pct"/>
                  <w:tcBorders>
                    <w:tl2br w:val="nil"/>
                    <w:tr2bl w:val="nil"/>
                  </w:tcBorders>
                  <w:shd w:val="clear" w:color="auto" w:fill="auto"/>
                  <w:noWrap/>
                  <w:vAlign w:val="center"/>
                </w:tcPr>
                <w:p w14:paraId="22090FC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精密LCR表（及其配套设备）</w:t>
                  </w:r>
                </w:p>
              </w:tc>
              <w:tc>
                <w:tcPr>
                  <w:tcW w:w="1146" w:type="pct"/>
                  <w:tcBorders>
                    <w:tl2br w:val="nil"/>
                    <w:tr2bl w:val="nil"/>
                  </w:tcBorders>
                  <w:shd w:val="clear" w:color="auto" w:fill="auto"/>
                  <w:vAlign w:val="center"/>
                </w:tcPr>
                <w:p w14:paraId="50AF4BA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4980A+2*20A偏流</w:t>
                  </w:r>
                </w:p>
              </w:tc>
              <w:tc>
                <w:tcPr>
                  <w:tcW w:w="516" w:type="pct"/>
                  <w:tcBorders>
                    <w:tl2br w:val="nil"/>
                    <w:tr2bl w:val="nil"/>
                  </w:tcBorders>
                  <w:shd w:val="clear" w:color="auto" w:fill="auto"/>
                  <w:noWrap/>
                  <w:vAlign w:val="center"/>
                </w:tcPr>
                <w:p w14:paraId="6FF5A03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3D0FCBA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二层纳米晶磁性能测试室</w:t>
                  </w:r>
                </w:p>
              </w:tc>
              <w:tc>
                <w:tcPr>
                  <w:tcW w:w="989" w:type="pct"/>
                  <w:tcBorders>
                    <w:tl2br w:val="nil"/>
                    <w:tr2bl w:val="nil"/>
                  </w:tcBorders>
                  <w:shd w:val="clear" w:color="auto" w:fill="auto"/>
                  <w:noWrap/>
                  <w:vAlign w:val="center"/>
                </w:tcPr>
                <w:p w14:paraId="22037FC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电磁器件直流偏置参数测量</w:t>
                  </w:r>
                </w:p>
              </w:tc>
            </w:tr>
            <w:tr w14:paraId="42AA106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610267C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10</w:t>
                  </w:r>
                </w:p>
              </w:tc>
              <w:tc>
                <w:tcPr>
                  <w:tcW w:w="968" w:type="pct"/>
                  <w:tcBorders>
                    <w:tl2br w:val="nil"/>
                    <w:tr2bl w:val="nil"/>
                  </w:tcBorders>
                  <w:shd w:val="clear" w:color="auto" w:fill="auto"/>
                  <w:vAlign w:val="center"/>
                </w:tcPr>
                <w:p w14:paraId="3454DE9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数字繁用表</w:t>
                  </w:r>
                </w:p>
              </w:tc>
              <w:tc>
                <w:tcPr>
                  <w:tcW w:w="1146" w:type="pct"/>
                  <w:tcBorders>
                    <w:tl2br w:val="nil"/>
                    <w:tr2bl w:val="nil"/>
                  </w:tcBorders>
                  <w:shd w:val="clear" w:color="auto" w:fill="auto"/>
                  <w:vAlign w:val="center"/>
                </w:tcPr>
                <w:p w14:paraId="36EC2CC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Keithley2001</w:t>
                  </w:r>
                </w:p>
              </w:tc>
              <w:tc>
                <w:tcPr>
                  <w:tcW w:w="516" w:type="pct"/>
                  <w:tcBorders>
                    <w:tl2br w:val="nil"/>
                    <w:tr2bl w:val="nil"/>
                  </w:tcBorders>
                  <w:shd w:val="clear" w:color="auto" w:fill="auto"/>
                  <w:noWrap/>
                  <w:vAlign w:val="center"/>
                </w:tcPr>
                <w:p w14:paraId="1D7DE98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02743B0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二层纳米晶磁性能测试室</w:t>
                  </w:r>
                </w:p>
              </w:tc>
              <w:tc>
                <w:tcPr>
                  <w:tcW w:w="989" w:type="pct"/>
                  <w:tcBorders>
                    <w:tl2br w:val="nil"/>
                    <w:tr2bl w:val="nil"/>
                  </w:tcBorders>
                  <w:shd w:val="clear" w:color="auto" w:fill="auto"/>
                  <w:noWrap/>
                  <w:vAlign w:val="center"/>
                </w:tcPr>
                <w:p w14:paraId="40095FB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用于电压、电流、电阻测量</w:t>
                  </w:r>
                </w:p>
              </w:tc>
            </w:tr>
            <w:tr w14:paraId="5CFC76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11451CB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11</w:t>
                  </w:r>
                </w:p>
              </w:tc>
              <w:tc>
                <w:tcPr>
                  <w:tcW w:w="968" w:type="pct"/>
                  <w:tcBorders>
                    <w:tl2br w:val="nil"/>
                    <w:tr2bl w:val="nil"/>
                  </w:tcBorders>
                  <w:shd w:val="clear" w:color="auto" w:fill="auto"/>
                  <w:vAlign w:val="center"/>
                </w:tcPr>
                <w:p w14:paraId="236C2AC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软磁直流测量装置</w:t>
                  </w:r>
                </w:p>
              </w:tc>
              <w:tc>
                <w:tcPr>
                  <w:tcW w:w="1146" w:type="pct"/>
                  <w:tcBorders>
                    <w:tl2br w:val="nil"/>
                    <w:tr2bl w:val="nil"/>
                  </w:tcBorders>
                  <w:shd w:val="clear" w:color="auto" w:fill="auto"/>
                  <w:vAlign w:val="center"/>
                </w:tcPr>
                <w:p w14:paraId="07B2871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emic BH-1000</w:t>
                  </w:r>
                </w:p>
              </w:tc>
              <w:tc>
                <w:tcPr>
                  <w:tcW w:w="516" w:type="pct"/>
                  <w:tcBorders>
                    <w:tl2br w:val="nil"/>
                    <w:tr2bl w:val="nil"/>
                  </w:tcBorders>
                  <w:shd w:val="clear" w:color="auto" w:fill="auto"/>
                  <w:noWrap/>
                  <w:vAlign w:val="center"/>
                </w:tcPr>
                <w:p w14:paraId="66F4381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4217DA6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二层纳米晶磁性能测试室</w:t>
                  </w:r>
                </w:p>
              </w:tc>
              <w:tc>
                <w:tcPr>
                  <w:tcW w:w="989" w:type="pct"/>
                  <w:tcBorders>
                    <w:tl2br w:val="nil"/>
                    <w:tr2bl w:val="nil"/>
                  </w:tcBorders>
                  <w:shd w:val="clear" w:color="auto" w:fill="auto"/>
                  <w:noWrap/>
                  <w:vAlign w:val="center"/>
                </w:tcPr>
                <w:p w14:paraId="2822E01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直流或准静态条件下磁滞回线绘制</w:t>
                  </w:r>
                </w:p>
              </w:tc>
            </w:tr>
            <w:tr w14:paraId="341C34D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5C5DCE8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12</w:t>
                  </w:r>
                </w:p>
              </w:tc>
              <w:tc>
                <w:tcPr>
                  <w:tcW w:w="968" w:type="pct"/>
                  <w:tcBorders>
                    <w:tl2br w:val="nil"/>
                    <w:tr2bl w:val="nil"/>
                  </w:tcBorders>
                  <w:shd w:val="clear" w:color="auto" w:fill="auto"/>
                  <w:vAlign w:val="center"/>
                </w:tcPr>
                <w:p w14:paraId="15C8E4D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动态磁测量仪</w:t>
                  </w:r>
                </w:p>
              </w:tc>
              <w:tc>
                <w:tcPr>
                  <w:tcW w:w="1146" w:type="pct"/>
                  <w:tcBorders>
                    <w:tl2br w:val="nil"/>
                    <w:tr2bl w:val="nil"/>
                  </w:tcBorders>
                  <w:shd w:val="clear" w:color="auto" w:fill="auto"/>
                  <w:vAlign w:val="center"/>
                </w:tcPr>
                <w:p w14:paraId="56FEDC3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IWATSU SY8219</w:t>
                  </w:r>
                </w:p>
              </w:tc>
              <w:tc>
                <w:tcPr>
                  <w:tcW w:w="516" w:type="pct"/>
                  <w:tcBorders>
                    <w:tl2br w:val="nil"/>
                    <w:tr2bl w:val="nil"/>
                  </w:tcBorders>
                  <w:shd w:val="clear" w:color="auto" w:fill="auto"/>
                  <w:noWrap/>
                  <w:vAlign w:val="center"/>
                </w:tcPr>
                <w:p w14:paraId="0A54512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5FBB019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二层纳米晶磁性能测试室</w:t>
                  </w:r>
                </w:p>
              </w:tc>
              <w:tc>
                <w:tcPr>
                  <w:tcW w:w="989" w:type="pct"/>
                  <w:tcBorders>
                    <w:tl2br w:val="nil"/>
                    <w:tr2bl w:val="nil"/>
                  </w:tcBorders>
                  <w:shd w:val="clear" w:color="auto" w:fill="auto"/>
                  <w:noWrap/>
                  <w:vAlign w:val="center"/>
                </w:tcPr>
                <w:p w14:paraId="2438DA5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用于软磁材料基本交流性能测量</w:t>
                  </w:r>
                </w:p>
              </w:tc>
            </w:tr>
            <w:tr w14:paraId="79A4702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3922CBC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13</w:t>
                  </w:r>
                </w:p>
              </w:tc>
              <w:tc>
                <w:tcPr>
                  <w:tcW w:w="968" w:type="pct"/>
                  <w:tcBorders>
                    <w:tl2br w:val="nil"/>
                    <w:tr2bl w:val="nil"/>
                  </w:tcBorders>
                  <w:shd w:val="clear" w:color="auto" w:fill="auto"/>
                  <w:vAlign w:val="center"/>
                </w:tcPr>
                <w:p w14:paraId="06F1792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网络分析仪</w:t>
                  </w:r>
                </w:p>
              </w:tc>
              <w:tc>
                <w:tcPr>
                  <w:tcW w:w="1146" w:type="pct"/>
                  <w:tcBorders>
                    <w:tl2br w:val="nil"/>
                    <w:tr2bl w:val="nil"/>
                  </w:tcBorders>
                  <w:shd w:val="clear" w:color="auto" w:fill="auto"/>
                  <w:vAlign w:val="center"/>
                </w:tcPr>
                <w:p w14:paraId="78C276E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E5080B</w:t>
                  </w:r>
                </w:p>
              </w:tc>
              <w:tc>
                <w:tcPr>
                  <w:tcW w:w="516" w:type="pct"/>
                  <w:tcBorders>
                    <w:tl2br w:val="nil"/>
                    <w:tr2bl w:val="nil"/>
                  </w:tcBorders>
                  <w:shd w:val="clear" w:color="auto" w:fill="auto"/>
                  <w:noWrap/>
                  <w:vAlign w:val="center"/>
                </w:tcPr>
                <w:p w14:paraId="5759828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1FF0FE1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二层纳米晶磁性能测试室</w:t>
                  </w:r>
                </w:p>
              </w:tc>
              <w:tc>
                <w:tcPr>
                  <w:tcW w:w="989" w:type="pct"/>
                  <w:tcBorders>
                    <w:tl2br w:val="nil"/>
                    <w:tr2bl w:val="nil"/>
                  </w:tcBorders>
                  <w:shd w:val="clear" w:color="auto" w:fill="auto"/>
                  <w:noWrap/>
                  <w:vAlign w:val="center"/>
                </w:tcPr>
                <w:p w14:paraId="7B51512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用于软磁材料传输性能测试</w:t>
                  </w:r>
                </w:p>
              </w:tc>
            </w:tr>
            <w:tr w14:paraId="30EA039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34709B8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14</w:t>
                  </w:r>
                </w:p>
              </w:tc>
              <w:tc>
                <w:tcPr>
                  <w:tcW w:w="968" w:type="pct"/>
                  <w:tcBorders>
                    <w:tl2br w:val="nil"/>
                    <w:tr2bl w:val="nil"/>
                  </w:tcBorders>
                  <w:shd w:val="clear" w:color="auto" w:fill="auto"/>
                  <w:vAlign w:val="center"/>
                </w:tcPr>
                <w:p w14:paraId="5F0A9B5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高低温</w:t>
                  </w:r>
                  <w:r>
                    <w:rPr>
                      <w:rFonts w:hint="default" w:ascii="Times New Roman" w:hAnsi="Times New Roman" w:eastAsia="宋体" w:cs="Times New Roman"/>
                      <w:kern w:val="0"/>
                      <w:sz w:val="18"/>
                      <w:szCs w:val="18"/>
                      <w:lang w:eastAsia="zh-CN"/>
                    </w:rPr>
                    <w:t>实验</w:t>
                  </w:r>
                  <w:r>
                    <w:rPr>
                      <w:rFonts w:hint="default" w:ascii="Times New Roman" w:hAnsi="Times New Roman" w:eastAsia="宋体" w:cs="Times New Roman"/>
                      <w:kern w:val="0"/>
                      <w:sz w:val="18"/>
                      <w:szCs w:val="18"/>
                    </w:rPr>
                    <w:t>箱</w:t>
                  </w:r>
                </w:p>
              </w:tc>
              <w:tc>
                <w:tcPr>
                  <w:tcW w:w="1146" w:type="pct"/>
                  <w:tcBorders>
                    <w:tl2br w:val="nil"/>
                    <w:tr2bl w:val="nil"/>
                  </w:tcBorders>
                  <w:shd w:val="clear" w:color="auto" w:fill="auto"/>
                  <w:vAlign w:val="center"/>
                </w:tcPr>
                <w:p w14:paraId="34F780D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零下40℃至200℃</w:t>
                  </w:r>
                </w:p>
              </w:tc>
              <w:tc>
                <w:tcPr>
                  <w:tcW w:w="516" w:type="pct"/>
                  <w:tcBorders>
                    <w:tl2br w:val="nil"/>
                    <w:tr2bl w:val="nil"/>
                  </w:tcBorders>
                  <w:shd w:val="clear" w:color="auto" w:fill="auto"/>
                  <w:noWrap/>
                  <w:vAlign w:val="center"/>
                </w:tcPr>
                <w:p w14:paraId="1616EFE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08FE606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一层冶炼和热处理间</w:t>
                  </w:r>
                </w:p>
              </w:tc>
              <w:tc>
                <w:tcPr>
                  <w:tcW w:w="989" w:type="pct"/>
                  <w:tcBorders>
                    <w:tl2br w:val="nil"/>
                    <w:tr2bl w:val="nil"/>
                  </w:tcBorders>
                  <w:shd w:val="clear" w:color="auto" w:fill="auto"/>
                  <w:noWrap/>
                  <w:vAlign w:val="center"/>
                </w:tcPr>
                <w:p w14:paraId="21C580C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用于软磁器件高低温性能测试</w:t>
                  </w:r>
                </w:p>
              </w:tc>
            </w:tr>
            <w:tr w14:paraId="03A3DAC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1C98CBF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15</w:t>
                  </w:r>
                </w:p>
              </w:tc>
              <w:tc>
                <w:tcPr>
                  <w:tcW w:w="968" w:type="pct"/>
                  <w:tcBorders>
                    <w:tl2br w:val="nil"/>
                    <w:tr2bl w:val="nil"/>
                  </w:tcBorders>
                  <w:shd w:val="clear" w:color="auto" w:fill="auto"/>
                  <w:vAlign w:val="center"/>
                </w:tcPr>
                <w:p w14:paraId="2CD686B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程控直流电源</w:t>
                  </w:r>
                </w:p>
              </w:tc>
              <w:tc>
                <w:tcPr>
                  <w:tcW w:w="1146" w:type="pct"/>
                  <w:tcBorders>
                    <w:tl2br w:val="nil"/>
                    <w:tr2bl w:val="nil"/>
                  </w:tcBorders>
                  <w:shd w:val="clear" w:color="auto" w:fill="auto"/>
                  <w:vAlign w:val="center"/>
                </w:tcPr>
                <w:p w14:paraId="3CFB2A9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Keithley2420</w:t>
                  </w:r>
                </w:p>
              </w:tc>
              <w:tc>
                <w:tcPr>
                  <w:tcW w:w="516" w:type="pct"/>
                  <w:tcBorders>
                    <w:tl2br w:val="nil"/>
                    <w:tr2bl w:val="nil"/>
                  </w:tcBorders>
                  <w:shd w:val="clear" w:color="auto" w:fill="auto"/>
                  <w:noWrap/>
                  <w:vAlign w:val="center"/>
                </w:tcPr>
                <w:p w14:paraId="0A9CE1D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3F90641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二层纳米晶磁性能测试室</w:t>
                  </w:r>
                </w:p>
              </w:tc>
              <w:tc>
                <w:tcPr>
                  <w:tcW w:w="989" w:type="pct"/>
                  <w:tcBorders>
                    <w:tl2br w:val="nil"/>
                    <w:tr2bl w:val="nil"/>
                  </w:tcBorders>
                  <w:shd w:val="clear" w:color="auto" w:fill="auto"/>
                  <w:noWrap/>
                  <w:vAlign w:val="center"/>
                </w:tcPr>
                <w:p w14:paraId="215CE40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用于提供稳定测量的电源</w:t>
                  </w:r>
                </w:p>
              </w:tc>
            </w:tr>
            <w:tr w14:paraId="704012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400D952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16</w:t>
                  </w:r>
                </w:p>
              </w:tc>
              <w:tc>
                <w:tcPr>
                  <w:tcW w:w="968" w:type="pct"/>
                  <w:tcBorders>
                    <w:tl2br w:val="nil"/>
                    <w:tr2bl w:val="nil"/>
                  </w:tcBorders>
                  <w:shd w:val="clear" w:color="auto" w:fill="auto"/>
                  <w:vAlign w:val="center"/>
                </w:tcPr>
                <w:p w14:paraId="6420F41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软磁交流测量装置</w:t>
                  </w:r>
                </w:p>
              </w:tc>
              <w:tc>
                <w:tcPr>
                  <w:tcW w:w="1146" w:type="pct"/>
                  <w:tcBorders>
                    <w:tl2br w:val="nil"/>
                    <w:tr2bl w:val="nil"/>
                  </w:tcBorders>
                  <w:shd w:val="clear" w:color="auto" w:fill="auto"/>
                  <w:vAlign w:val="center"/>
                </w:tcPr>
                <w:p w14:paraId="5F40927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MATS-3010SA</w:t>
                  </w:r>
                </w:p>
              </w:tc>
              <w:tc>
                <w:tcPr>
                  <w:tcW w:w="516" w:type="pct"/>
                  <w:tcBorders>
                    <w:tl2br w:val="nil"/>
                    <w:tr2bl w:val="nil"/>
                  </w:tcBorders>
                  <w:shd w:val="clear" w:color="auto" w:fill="auto"/>
                  <w:noWrap/>
                  <w:vAlign w:val="center"/>
                </w:tcPr>
                <w:p w14:paraId="4B3F819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5E5C98E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二层纳米晶磁性能测试室</w:t>
                  </w:r>
                </w:p>
              </w:tc>
              <w:tc>
                <w:tcPr>
                  <w:tcW w:w="989" w:type="pct"/>
                  <w:tcBorders>
                    <w:tl2br w:val="nil"/>
                    <w:tr2bl w:val="nil"/>
                  </w:tcBorders>
                  <w:shd w:val="clear" w:color="auto" w:fill="auto"/>
                  <w:noWrap/>
                  <w:vAlign w:val="center"/>
                </w:tcPr>
                <w:p w14:paraId="21630EE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用于软磁材料基本交流性能测量</w:t>
                  </w:r>
                </w:p>
              </w:tc>
            </w:tr>
            <w:tr w14:paraId="728DBBE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6522175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17</w:t>
                  </w:r>
                </w:p>
              </w:tc>
              <w:tc>
                <w:tcPr>
                  <w:tcW w:w="968" w:type="pct"/>
                  <w:tcBorders>
                    <w:tl2br w:val="nil"/>
                    <w:tr2bl w:val="nil"/>
                  </w:tcBorders>
                  <w:shd w:val="clear" w:color="auto" w:fill="auto"/>
                  <w:vAlign w:val="center"/>
                </w:tcPr>
                <w:p w14:paraId="67E61BF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电磁兼容测试设备</w:t>
                  </w:r>
                </w:p>
              </w:tc>
              <w:tc>
                <w:tcPr>
                  <w:tcW w:w="1146" w:type="pct"/>
                  <w:tcBorders>
                    <w:tl2br w:val="nil"/>
                    <w:tr2bl w:val="nil"/>
                  </w:tcBorders>
                  <w:shd w:val="clear" w:color="auto" w:fill="auto"/>
                  <w:vAlign w:val="center"/>
                </w:tcPr>
                <w:p w14:paraId="01CC289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R&amp;S ESRP3</w:t>
                  </w:r>
                </w:p>
              </w:tc>
              <w:tc>
                <w:tcPr>
                  <w:tcW w:w="516" w:type="pct"/>
                  <w:tcBorders>
                    <w:tl2br w:val="nil"/>
                    <w:tr2bl w:val="nil"/>
                  </w:tcBorders>
                  <w:shd w:val="clear" w:color="auto" w:fill="auto"/>
                  <w:noWrap/>
                  <w:vAlign w:val="center"/>
                </w:tcPr>
                <w:p w14:paraId="103D78A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noWrap/>
                  <w:vAlign w:val="center"/>
                </w:tcPr>
                <w:p w14:paraId="214B668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二层纳米晶磁性能测试室</w:t>
                  </w:r>
                </w:p>
              </w:tc>
              <w:tc>
                <w:tcPr>
                  <w:tcW w:w="989" w:type="pct"/>
                  <w:tcBorders>
                    <w:tl2br w:val="nil"/>
                    <w:tr2bl w:val="nil"/>
                  </w:tcBorders>
                  <w:shd w:val="clear" w:color="auto" w:fill="auto"/>
                  <w:noWrap/>
                  <w:vAlign w:val="center"/>
                </w:tcPr>
                <w:p w14:paraId="64AA410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磁兼容测试</w:t>
                  </w:r>
                </w:p>
              </w:tc>
            </w:tr>
            <w:tr w14:paraId="7C71F06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5000" w:type="pct"/>
                  <w:gridSpan w:val="6"/>
                  <w:tcBorders>
                    <w:tl2br w:val="nil"/>
                    <w:tr2bl w:val="nil"/>
                  </w:tcBorders>
                  <w:shd w:val="clear" w:color="auto" w:fill="auto"/>
                  <w:noWrap/>
                  <w:vAlign w:val="center"/>
                </w:tcPr>
                <w:p w14:paraId="426D76C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四、模拟仿真研究室</w:t>
                  </w:r>
                </w:p>
              </w:tc>
            </w:tr>
            <w:tr w14:paraId="521C6FC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3A1F956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968" w:type="pct"/>
                  <w:tcBorders>
                    <w:tl2br w:val="nil"/>
                    <w:tr2bl w:val="nil"/>
                  </w:tcBorders>
                  <w:shd w:val="clear" w:color="auto" w:fill="auto"/>
                  <w:vAlign w:val="center"/>
                </w:tcPr>
                <w:p w14:paraId="68B3541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JmatPro热力学计算软件及数据库</w:t>
                  </w:r>
                </w:p>
              </w:tc>
              <w:tc>
                <w:tcPr>
                  <w:tcW w:w="1146" w:type="pct"/>
                  <w:tcBorders>
                    <w:tl2br w:val="nil"/>
                    <w:tr2bl w:val="nil"/>
                  </w:tcBorders>
                  <w:shd w:val="clear" w:color="auto" w:fill="auto"/>
                  <w:vAlign w:val="center"/>
                </w:tcPr>
                <w:p w14:paraId="42AD5DE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软件</w:t>
                  </w:r>
                </w:p>
              </w:tc>
              <w:tc>
                <w:tcPr>
                  <w:tcW w:w="516" w:type="pct"/>
                  <w:tcBorders>
                    <w:tl2br w:val="nil"/>
                    <w:tr2bl w:val="nil"/>
                  </w:tcBorders>
                  <w:shd w:val="clear" w:color="auto" w:fill="auto"/>
                  <w:noWrap/>
                  <w:vAlign w:val="center"/>
                </w:tcPr>
                <w:p w14:paraId="0FF9451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68DB22D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二层仿真模拟室</w:t>
                  </w:r>
                </w:p>
              </w:tc>
              <w:tc>
                <w:tcPr>
                  <w:tcW w:w="989" w:type="pct"/>
                  <w:tcBorders>
                    <w:tl2br w:val="nil"/>
                    <w:tr2bl w:val="nil"/>
                  </w:tcBorders>
                  <w:shd w:val="clear" w:color="auto" w:fill="auto"/>
                  <w:vAlign w:val="center"/>
                </w:tcPr>
                <w:p w14:paraId="39D5975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数值模拟计算</w:t>
                  </w:r>
                </w:p>
              </w:tc>
            </w:tr>
            <w:tr w14:paraId="0378AB8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27F9DAF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w:t>
                  </w:r>
                </w:p>
              </w:tc>
              <w:tc>
                <w:tcPr>
                  <w:tcW w:w="968" w:type="pct"/>
                  <w:tcBorders>
                    <w:tl2br w:val="nil"/>
                    <w:tr2bl w:val="nil"/>
                  </w:tcBorders>
                  <w:shd w:val="clear" w:color="auto" w:fill="auto"/>
                  <w:vAlign w:val="center"/>
                </w:tcPr>
                <w:p w14:paraId="3752519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连铸凝固仿真模拟软件</w:t>
                  </w:r>
                </w:p>
              </w:tc>
              <w:tc>
                <w:tcPr>
                  <w:tcW w:w="1146" w:type="pct"/>
                  <w:tcBorders>
                    <w:tl2br w:val="nil"/>
                    <w:tr2bl w:val="nil"/>
                  </w:tcBorders>
                  <w:shd w:val="clear" w:color="auto" w:fill="auto"/>
                  <w:vAlign w:val="center"/>
                </w:tcPr>
                <w:p w14:paraId="6C1093C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软件</w:t>
                  </w:r>
                </w:p>
              </w:tc>
              <w:tc>
                <w:tcPr>
                  <w:tcW w:w="516" w:type="pct"/>
                  <w:tcBorders>
                    <w:tl2br w:val="nil"/>
                    <w:tr2bl w:val="nil"/>
                  </w:tcBorders>
                  <w:shd w:val="clear" w:color="auto" w:fill="auto"/>
                  <w:noWrap/>
                  <w:vAlign w:val="center"/>
                </w:tcPr>
                <w:p w14:paraId="5301FA2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0DE79C3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二层仿真模拟室</w:t>
                  </w:r>
                </w:p>
              </w:tc>
              <w:tc>
                <w:tcPr>
                  <w:tcW w:w="989" w:type="pct"/>
                  <w:tcBorders>
                    <w:tl2br w:val="nil"/>
                    <w:tr2bl w:val="nil"/>
                  </w:tcBorders>
                  <w:shd w:val="clear" w:color="auto" w:fill="auto"/>
                  <w:vAlign w:val="center"/>
                </w:tcPr>
                <w:p w14:paraId="0961AEB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数值模拟计算</w:t>
                  </w:r>
                </w:p>
              </w:tc>
            </w:tr>
            <w:tr w14:paraId="4309A59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475915F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3</w:t>
                  </w:r>
                </w:p>
              </w:tc>
              <w:tc>
                <w:tcPr>
                  <w:tcW w:w="968" w:type="pct"/>
                  <w:tcBorders>
                    <w:tl2br w:val="nil"/>
                    <w:tr2bl w:val="nil"/>
                  </w:tcBorders>
                  <w:shd w:val="clear" w:color="auto" w:fill="auto"/>
                  <w:vAlign w:val="center"/>
                </w:tcPr>
                <w:p w14:paraId="3FAD4A6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金属成形\热处理仿真模拟软件</w:t>
                  </w:r>
                </w:p>
              </w:tc>
              <w:tc>
                <w:tcPr>
                  <w:tcW w:w="1146" w:type="pct"/>
                  <w:tcBorders>
                    <w:tl2br w:val="nil"/>
                    <w:tr2bl w:val="nil"/>
                  </w:tcBorders>
                  <w:shd w:val="clear" w:color="auto" w:fill="auto"/>
                  <w:vAlign w:val="center"/>
                </w:tcPr>
                <w:p w14:paraId="760B18F1">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软件</w:t>
                  </w:r>
                </w:p>
              </w:tc>
              <w:tc>
                <w:tcPr>
                  <w:tcW w:w="516" w:type="pct"/>
                  <w:tcBorders>
                    <w:tl2br w:val="nil"/>
                    <w:tr2bl w:val="nil"/>
                  </w:tcBorders>
                  <w:shd w:val="clear" w:color="auto" w:fill="auto"/>
                  <w:noWrap/>
                  <w:vAlign w:val="center"/>
                </w:tcPr>
                <w:p w14:paraId="22C8CE1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0C97EC0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二层仿真模拟室</w:t>
                  </w:r>
                </w:p>
              </w:tc>
              <w:tc>
                <w:tcPr>
                  <w:tcW w:w="989" w:type="pct"/>
                  <w:tcBorders>
                    <w:tl2br w:val="nil"/>
                    <w:tr2bl w:val="nil"/>
                  </w:tcBorders>
                  <w:shd w:val="clear" w:color="auto" w:fill="auto"/>
                  <w:vAlign w:val="center"/>
                </w:tcPr>
                <w:p w14:paraId="3B478D6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数值模拟计算</w:t>
                  </w:r>
                </w:p>
              </w:tc>
            </w:tr>
            <w:tr w14:paraId="2AE77FD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6421F8D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4</w:t>
                  </w:r>
                </w:p>
              </w:tc>
              <w:tc>
                <w:tcPr>
                  <w:tcW w:w="968" w:type="pct"/>
                  <w:tcBorders>
                    <w:tl2br w:val="nil"/>
                    <w:tr2bl w:val="nil"/>
                  </w:tcBorders>
                  <w:shd w:val="clear" w:color="auto" w:fill="auto"/>
                  <w:vAlign w:val="center"/>
                </w:tcPr>
                <w:p w14:paraId="0653C39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微观组织模拟软件</w:t>
                  </w:r>
                </w:p>
              </w:tc>
              <w:tc>
                <w:tcPr>
                  <w:tcW w:w="1146" w:type="pct"/>
                  <w:tcBorders>
                    <w:tl2br w:val="nil"/>
                    <w:tr2bl w:val="nil"/>
                  </w:tcBorders>
                  <w:shd w:val="clear" w:color="auto" w:fill="auto"/>
                  <w:vAlign w:val="center"/>
                </w:tcPr>
                <w:p w14:paraId="56836B3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软件</w:t>
                  </w:r>
                </w:p>
              </w:tc>
              <w:tc>
                <w:tcPr>
                  <w:tcW w:w="516" w:type="pct"/>
                  <w:tcBorders>
                    <w:tl2br w:val="nil"/>
                    <w:tr2bl w:val="nil"/>
                  </w:tcBorders>
                  <w:shd w:val="clear" w:color="auto" w:fill="auto"/>
                  <w:noWrap/>
                  <w:vAlign w:val="center"/>
                </w:tcPr>
                <w:p w14:paraId="0AB61F3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07D9285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二层仿真模拟室</w:t>
                  </w:r>
                </w:p>
              </w:tc>
              <w:tc>
                <w:tcPr>
                  <w:tcW w:w="989" w:type="pct"/>
                  <w:tcBorders>
                    <w:tl2br w:val="nil"/>
                    <w:tr2bl w:val="nil"/>
                  </w:tcBorders>
                  <w:shd w:val="clear" w:color="auto" w:fill="auto"/>
                  <w:vAlign w:val="center"/>
                </w:tcPr>
                <w:p w14:paraId="30EDB93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数值模拟计算</w:t>
                  </w:r>
                </w:p>
              </w:tc>
            </w:tr>
            <w:tr w14:paraId="7751494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0E206DE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5</w:t>
                  </w:r>
                </w:p>
              </w:tc>
              <w:tc>
                <w:tcPr>
                  <w:tcW w:w="968" w:type="pct"/>
                  <w:tcBorders>
                    <w:tl2br w:val="nil"/>
                    <w:tr2bl w:val="nil"/>
                  </w:tcBorders>
                  <w:shd w:val="clear" w:color="auto" w:fill="auto"/>
                  <w:vAlign w:val="center"/>
                </w:tcPr>
                <w:p w14:paraId="0D24974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低频电磁场仿真模拟软件</w:t>
                  </w:r>
                </w:p>
              </w:tc>
              <w:tc>
                <w:tcPr>
                  <w:tcW w:w="1146" w:type="pct"/>
                  <w:tcBorders>
                    <w:tl2br w:val="nil"/>
                    <w:tr2bl w:val="nil"/>
                  </w:tcBorders>
                  <w:shd w:val="clear" w:color="auto" w:fill="auto"/>
                  <w:vAlign w:val="center"/>
                </w:tcPr>
                <w:p w14:paraId="4FCD25C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软件</w:t>
                  </w:r>
                </w:p>
              </w:tc>
              <w:tc>
                <w:tcPr>
                  <w:tcW w:w="516" w:type="pct"/>
                  <w:tcBorders>
                    <w:tl2br w:val="nil"/>
                    <w:tr2bl w:val="nil"/>
                  </w:tcBorders>
                  <w:shd w:val="clear" w:color="auto" w:fill="auto"/>
                  <w:noWrap/>
                  <w:vAlign w:val="center"/>
                </w:tcPr>
                <w:p w14:paraId="0C2F6E6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12AC46B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二层仿真模拟室</w:t>
                  </w:r>
                </w:p>
              </w:tc>
              <w:tc>
                <w:tcPr>
                  <w:tcW w:w="989" w:type="pct"/>
                  <w:tcBorders>
                    <w:tl2br w:val="nil"/>
                    <w:tr2bl w:val="nil"/>
                  </w:tcBorders>
                  <w:shd w:val="clear" w:color="auto" w:fill="auto"/>
                  <w:vAlign w:val="center"/>
                </w:tcPr>
                <w:p w14:paraId="762151F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数值模拟计算</w:t>
                  </w:r>
                </w:p>
              </w:tc>
            </w:tr>
            <w:tr w14:paraId="05320C4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047490E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6</w:t>
                  </w:r>
                </w:p>
              </w:tc>
              <w:tc>
                <w:tcPr>
                  <w:tcW w:w="968" w:type="pct"/>
                  <w:tcBorders>
                    <w:tl2br w:val="nil"/>
                    <w:tr2bl w:val="nil"/>
                  </w:tcBorders>
                  <w:shd w:val="clear" w:color="auto" w:fill="auto"/>
                  <w:vAlign w:val="center"/>
                </w:tcPr>
                <w:p w14:paraId="06E756E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PLECS电力电子电路仿真软件</w:t>
                  </w:r>
                </w:p>
              </w:tc>
              <w:tc>
                <w:tcPr>
                  <w:tcW w:w="1146" w:type="pct"/>
                  <w:tcBorders>
                    <w:tl2br w:val="nil"/>
                    <w:tr2bl w:val="nil"/>
                  </w:tcBorders>
                  <w:shd w:val="clear" w:color="auto" w:fill="auto"/>
                  <w:vAlign w:val="center"/>
                </w:tcPr>
                <w:p w14:paraId="73FE31E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软件</w:t>
                  </w:r>
                </w:p>
              </w:tc>
              <w:tc>
                <w:tcPr>
                  <w:tcW w:w="516" w:type="pct"/>
                  <w:tcBorders>
                    <w:tl2br w:val="nil"/>
                    <w:tr2bl w:val="nil"/>
                  </w:tcBorders>
                  <w:shd w:val="clear" w:color="auto" w:fill="auto"/>
                  <w:noWrap/>
                  <w:vAlign w:val="center"/>
                </w:tcPr>
                <w:p w14:paraId="79CDAEDA">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62B9E11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二层仿真模拟室</w:t>
                  </w:r>
                </w:p>
              </w:tc>
              <w:tc>
                <w:tcPr>
                  <w:tcW w:w="989" w:type="pct"/>
                  <w:tcBorders>
                    <w:tl2br w:val="nil"/>
                    <w:tr2bl w:val="nil"/>
                  </w:tcBorders>
                  <w:shd w:val="clear" w:color="auto" w:fill="auto"/>
                  <w:vAlign w:val="center"/>
                </w:tcPr>
                <w:p w14:paraId="0FFD585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数值模拟计算</w:t>
                  </w:r>
                </w:p>
              </w:tc>
            </w:tr>
            <w:tr w14:paraId="3B85A7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6C0D7BA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7</w:t>
                  </w:r>
                </w:p>
              </w:tc>
              <w:tc>
                <w:tcPr>
                  <w:tcW w:w="968" w:type="pct"/>
                  <w:tcBorders>
                    <w:tl2br w:val="nil"/>
                    <w:tr2bl w:val="nil"/>
                  </w:tcBorders>
                  <w:shd w:val="clear" w:color="auto" w:fill="auto"/>
                  <w:vAlign w:val="center"/>
                </w:tcPr>
                <w:p w14:paraId="5C4E4FB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MATLAB数据处理</w:t>
                  </w:r>
                </w:p>
              </w:tc>
              <w:tc>
                <w:tcPr>
                  <w:tcW w:w="1146" w:type="pct"/>
                  <w:tcBorders>
                    <w:tl2br w:val="nil"/>
                    <w:tr2bl w:val="nil"/>
                  </w:tcBorders>
                  <w:shd w:val="clear" w:color="auto" w:fill="auto"/>
                  <w:vAlign w:val="center"/>
                </w:tcPr>
                <w:p w14:paraId="4354542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软件</w:t>
                  </w:r>
                </w:p>
              </w:tc>
              <w:tc>
                <w:tcPr>
                  <w:tcW w:w="516" w:type="pct"/>
                  <w:tcBorders>
                    <w:tl2br w:val="nil"/>
                    <w:tr2bl w:val="nil"/>
                  </w:tcBorders>
                  <w:shd w:val="clear" w:color="auto" w:fill="auto"/>
                  <w:noWrap/>
                  <w:vAlign w:val="center"/>
                </w:tcPr>
                <w:p w14:paraId="152E2D8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2794313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二层仿真模拟室</w:t>
                  </w:r>
                </w:p>
              </w:tc>
              <w:tc>
                <w:tcPr>
                  <w:tcW w:w="989" w:type="pct"/>
                  <w:tcBorders>
                    <w:tl2br w:val="nil"/>
                    <w:tr2bl w:val="nil"/>
                  </w:tcBorders>
                  <w:shd w:val="clear" w:color="auto" w:fill="auto"/>
                  <w:vAlign w:val="center"/>
                </w:tcPr>
                <w:p w14:paraId="7B31AB4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数值模拟计算</w:t>
                  </w:r>
                </w:p>
              </w:tc>
            </w:tr>
            <w:tr w14:paraId="76A9778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1172F83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8</w:t>
                  </w:r>
                </w:p>
              </w:tc>
              <w:tc>
                <w:tcPr>
                  <w:tcW w:w="968" w:type="pct"/>
                  <w:tcBorders>
                    <w:tl2br w:val="nil"/>
                    <w:tr2bl w:val="nil"/>
                  </w:tcBorders>
                  <w:shd w:val="clear" w:color="auto" w:fill="auto"/>
                  <w:vAlign w:val="center"/>
                </w:tcPr>
                <w:p w14:paraId="02A88CB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SolidWorks三维计算机辅助设计</w:t>
                  </w:r>
                </w:p>
              </w:tc>
              <w:tc>
                <w:tcPr>
                  <w:tcW w:w="1146" w:type="pct"/>
                  <w:tcBorders>
                    <w:tl2br w:val="nil"/>
                    <w:tr2bl w:val="nil"/>
                  </w:tcBorders>
                  <w:shd w:val="clear" w:color="auto" w:fill="auto"/>
                  <w:vAlign w:val="center"/>
                </w:tcPr>
                <w:p w14:paraId="172A9682">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软件</w:t>
                  </w:r>
                </w:p>
              </w:tc>
              <w:tc>
                <w:tcPr>
                  <w:tcW w:w="516" w:type="pct"/>
                  <w:tcBorders>
                    <w:tl2br w:val="nil"/>
                    <w:tr2bl w:val="nil"/>
                  </w:tcBorders>
                  <w:shd w:val="clear" w:color="auto" w:fill="auto"/>
                  <w:noWrap/>
                  <w:vAlign w:val="center"/>
                </w:tcPr>
                <w:p w14:paraId="57DCA6C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46F7484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二层仿真模拟室</w:t>
                  </w:r>
                </w:p>
              </w:tc>
              <w:tc>
                <w:tcPr>
                  <w:tcW w:w="989" w:type="pct"/>
                  <w:tcBorders>
                    <w:tl2br w:val="nil"/>
                    <w:tr2bl w:val="nil"/>
                  </w:tcBorders>
                  <w:shd w:val="clear" w:color="auto" w:fill="auto"/>
                  <w:vAlign w:val="center"/>
                </w:tcPr>
                <w:p w14:paraId="179CD52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数值模拟计算</w:t>
                  </w:r>
                </w:p>
              </w:tc>
            </w:tr>
            <w:tr w14:paraId="4BB19E7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5E5B71C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9</w:t>
                  </w:r>
                </w:p>
              </w:tc>
              <w:tc>
                <w:tcPr>
                  <w:tcW w:w="968" w:type="pct"/>
                  <w:tcBorders>
                    <w:tl2br w:val="nil"/>
                    <w:tr2bl w:val="nil"/>
                  </w:tcBorders>
                  <w:shd w:val="clear" w:color="auto" w:fill="auto"/>
                  <w:vAlign w:val="center"/>
                </w:tcPr>
                <w:p w14:paraId="7527A86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Lims系统</w:t>
                  </w:r>
                </w:p>
              </w:tc>
              <w:tc>
                <w:tcPr>
                  <w:tcW w:w="1146" w:type="pct"/>
                  <w:tcBorders>
                    <w:tl2br w:val="nil"/>
                    <w:tr2bl w:val="nil"/>
                  </w:tcBorders>
                  <w:shd w:val="clear" w:color="auto" w:fill="auto"/>
                  <w:vAlign w:val="center"/>
                </w:tcPr>
                <w:p w14:paraId="0D73F5C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软件</w:t>
                  </w:r>
                </w:p>
              </w:tc>
              <w:tc>
                <w:tcPr>
                  <w:tcW w:w="516" w:type="pct"/>
                  <w:tcBorders>
                    <w:tl2br w:val="nil"/>
                    <w:tr2bl w:val="nil"/>
                  </w:tcBorders>
                  <w:shd w:val="clear" w:color="auto" w:fill="auto"/>
                  <w:noWrap/>
                  <w:vAlign w:val="center"/>
                </w:tcPr>
                <w:p w14:paraId="34A860B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w:t>
                  </w:r>
                </w:p>
              </w:tc>
              <w:tc>
                <w:tcPr>
                  <w:tcW w:w="1036" w:type="pct"/>
                  <w:tcBorders>
                    <w:tl2br w:val="nil"/>
                    <w:tr2bl w:val="nil"/>
                  </w:tcBorders>
                  <w:shd w:val="clear" w:color="auto" w:fill="auto"/>
                  <w:vAlign w:val="center"/>
                </w:tcPr>
                <w:p w14:paraId="3A92C6F0">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二层仿真模拟室</w:t>
                  </w:r>
                </w:p>
              </w:tc>
              <w:tc>
                <w:tcPr>
                  <w:tcW w:w="989" w:type="pct"/>
                  <w:tcBorders>
                    <w:tl2br w:val="nil"/>
                    <w:tr2bl w:val="nil"/>
                  </w:tcBorders>
                  <w:shd w:val="clear" w:color="auto" w:fill="auto"/>
                  <w:vAlign w:val="center"/>
                </w:tcPr>
                <w:p w14:paraId="2BE6AE18">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数值模拟计算</w:t>
                  </w:r>
                </w:p>
              </w:tc>
            </w:tr>
            <w:tr w14:paraId="0ABDDC7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42" w:type="pct"/>
                  <w:tcBorders>
                    <w:tl2br w:val="nil"/>
                    <w:tr2bl w:val="nil"/>
                  </w:tcBorders>
                  <w:shd w:val="clear" w:color="auto" w:fill="auto"/>
                  <w:noWrap/>
                  <w:vAlign w:val="center"/>
                </w:tcPr>
                <w:p w14:paraId="7818391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10</w:t>
                  </w:r>
                </w:p>
              </w:tc>
              <w:tc>
                <w:tcPr>
                  <w:tcW w:w="968" w:type="pct"/>
                  <w:tcBorders>
                    <w:tl2br w:val="nil"/>
                    <w:tr2bl w:val="nil"/>
                  </w:tcBorders>
                  <w:shd w:val="clear" w:color="auto" w:fill="auto"/>
                  <w:vAlign w:val="center"/>
                </w:tcPr>
                <w:p w14:paraId="5452A0E9">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塔式工作站</w:t>
                  </w:r>
                </w:p>
              </w:tc>
              <w:tc>
                <w:tcPr>
                  <w:tcW w:w="1146" w:type="pct"/>
                  <w:tcBorders>
                    <w:tl2br w:val="nil"/>
                    <w:tr2bl w:val="nil"/>
                  </w:tcBorders>
                  <w:shd w:val="clear" w:color="auto" w:fill="auto"/>
                  <w:vAlign w:val="center"/>
                </w:tcPr>
                <w:p w14:paraId="00F3F32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参考型号：T7875</w:t>
                  </w:r>
                </w:p>
              </w:tc>
              <w:tc>
                <w:tcPr>
                  <w:tcW w:w="516" w:type="pct"/>
                  <w:tcBorders>
                    <w:tl2br w:val="nil"/>
                    <w:tr2bl w:val="nil"/>
                  </w:tcBorders>
                  <w:shd w:val="clear" w:color="auto" w:fill="auto"/>
                  <w:noWrap/>
                  <w:vAlign w:val="center"/>
                </w:tcPr>
                <w:p w14:paraId="29C4A15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3</w:t>
                  </w:r>
                </w:p>
              </w:tc>
              <w:tc>
                <w:tcPr>
                  <w:tcW w:w="1036" w:type="pct"/>
                  <w:tcBorders>
                    <w:tl2br w:val="nil"/>
                    <w:tr2bl w:val="nil"/>
                  </w:tcBorders>
                  <w:shd w:val="clear" w:color="auto" w:fill="auto"/>
                  <w:vAlign w:val="center"/>
                </w:tcPr>
                <w:p w14:paraId="776F90C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二层仿真模拟室</w:t>
                  </w:r>
                </w:p>
              </w:tc>
              <w:tc>
                <w:tcPr>
                  <w:tcW w:w="989" w:type="pct"/>
                  <w:tcBorders>
                    <w:tl2br w:val="nil"/>
                    <w:tr2bl w:val="nil"/>
                  </w:tcBorders>
                  <w:shd w:val="clear" w:color="auto" w:fill="auto"/>
                  <w:vAlign w:val="center"/>
                </w:tcPr>
                <w:p w14:paraId="0E130545">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数值模拟计算</w:t>
                  </w:r>
                </w:p>
              </w:tc>
            </w:tr>
            <w:tr w14:paraId="4DC599C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30BEB39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11</w:t>
                  </w:r>
                </w:p>
              </w:tc>
              <w:tc>
                <w:tcPr>
                  <w:tcW w:w="968" w:type="pct"/>
                  <w:tcBorders>
                    <w:tl2br w:val="nil"/>
                    <w:tr2bl w:val="nil"/>
                  </w:tcBorders>
                  <w:shd w:val="clear" w:color="auto" w:fill="auto"/>
                  <w:vAlign w:val="center"/>
                </w:tcPr>
                <w:p w14:paraId="1EFD82B3">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100英寸展示大屏液晶LCD</w:t>
                  </w:r>
                </w:p>
              </w:tc>
              <w:tc>
                <w:tcPr>
                  <w:tcW w:w="1146" w:type="pct"/>
                  <w:tcBorders>
                    <w:tl2br w:val="nil"/>
                    <w:tr2bl w:val="nil"/>
                  </w:tcBorders>
                  <w:shd w:val="clear" w:color="auto" w:fill="auto"/>
                  <w:vAlign w:val="center"/>
                </w:tcPr>
                <w:p w14:paraId="7E8BDFB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100英寸</w:t>
                  </w:r>
                </w:p>
              </w:tc>
              <w:tc>
                <w:tcPr>
                  <w:tcW w:w="516" w:type="pct"/>
                  <w:tcBorders>
                    <w:tl2br w:val="nil"/>
                    <w:tr2bl w:val="nil"/>
                  </w:tcBorders>
                  <w:shd w:val="clear" w:color="auto" w:fill="auto"/>
                  <w:noWrap/>
                  <w:vAlign w:val="center"/>
                </w:tcPr>
                <w:p w14:paraId="5713909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w:t>
                  </w:r>
                </w:p>
              </w:tc>
              <w:tc>
                <w:tcPr>
                  <w:tcW w:w="1036" w:type="pct"/>
                  <w:tcBorders>
                    <w:tl2br w:val="nil"/>
                    <w:tr2bl w:val="nil"/>
                  </w:tcBorders>
                  <w:shd w:val="clear" w:color="auto" w:fill="auto"/>
                  <w:vAlign w:val="center"/>
                </w:tcPr>
                <w:p w14:paraId="249F6BA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二层仿真模拟室</w:t>
                  </w:r>
                </w:p>
              </w:tc>
              <w:tc>
                <w:tcPr>
                  <w:tcW w:w="989" w:type="pct"/>
                  <w:tcBorders>
                    <w:tl2br w:val="nil"/>
                    <w:tr2bl w:val="nil"/>
                  </w:tcBorders>
                  <w:shd w:val="clear" w:color="auto" w:fill="auto"/>
                  <w:vAlign w:val="center"/>
                </w:tcPr>
                <w:p w14:paraId="12F14A8C">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模拟结果展示</w:t>
                  </w:r>
                </w:p>
              </w:tc>
            </w:tr>
            <w:tr w14:paraId="1566AA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42" w:type="pct"/>
                  <w:tcBorders>
                    <w:tl2br w:val="nil"/>
                    <w:tr2bl w:val="nil"/>
                  </w:tcBorders>
                  <w:shd w:val="clear" w:color="auto" w:fill="auto"/>
                  <w:noWrap/>
                  <w:vAlign w:val="center"/>
                </w:tcPr>
                <w:p w14:paraId="30A9349F">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12</w:t>
                  </w:r>
                </w:p>
              </w:tc>
              <w:tc>
                <w:tcPr>
                  <w:tcW w:w="968" w:type="pct"/>
                  <w:tcBorders>
                    <w:tl2br w:val="nil"/>
                    <w:tr2bl w:val="nil"/>
                  </w:tcBorders>
                  <w:shd w:val="clear" w:color="auto" w:fill="auto"/>
                  <w:vAlign w:val="center"/>
                </w:tcPr>
                <w:p w14:paraId="66547C9E">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AI模型服务器、存储服务器</w:t>
                  </w:r>
                </w:p>
              </w:tc>
              <w:tc>
                <w:tcPr>
                  <w:tcW w:w="1146" w:type="pct"/>
                  <w:tcBorders>
                    <w:tl2br w:val="nil"/>
                    <w:tr2bl w:val="nil"/>
                  </w:tcBorders>
                  <w:shd w:val="clear" w:color="auto" w:fill="auto"/>
                  <w:vAlign w:val="center"/>
                </w:tcPr>
                <w:p w14:paraId="523DB6D4">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服务器</w:t>
                  </w:r>
                </w:p>
              </w:tc>
              <w:tc>
                <w:tcPr>
                  <w:tcW w:w="516" w:type="pct"/>
                  <w:tcBorders>
                    <w:tl2br w:val="nil"/>
                    <w:tr2bl w:val="nil"/>
                  </w:tcBorders>
                  <w:shd w:val="clear" w:color="auto" w:fill="auto"/>
                  <w:noWrap/>
                  <w:vAlign w:val="center"/>
                </w:tcPr>
                <w:p w14:paraId="249BBF67">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2</w:t>
                  </w:r>
                </w:p>
              </w:tc>
              <w:tc>
                <w:tcPr>
                  <w:tcW w:w="1036" w:type="pct"/>
                  <w:tcBorders>
                    <w:tl2br w:val="nil"/>
                    <w:tr2bl w:val="nil"/>
                  </w:tcBorders>
                  <w:shd w:val="clear" w:color="auto" w:fill="auto"/>
                  <w:vAlign w:val="center"/>
                </w:tcPr>
                <w:p w14:paraId="060AAAD6">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二层仿真模拟室</w:t>
                  </w:r>
                </w:p>
              </w:tc>
              <w:tc>
                <w:tcPr>
                  <w:tcW w:w="989" w:type="pct"/>
                  <w:tcBorders>
                    <w:tl2br w:val="nil"/>
                    <w:tr2bl w:val="nil"/>
                  </w:tcBorders>
                  <w:shd w:val="clear" w:color="auto" w:fill="auto"/>
                  <w:vAlign w:val="center"/>
                </w:tcPr>
                <w:p w14:paraId="020E9FED">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本地部署大模型</w:t>
                  </w:r>
                </w:p>
                <w:p w14:paraId="6248941B">
                  <w:pPr>
                    <w:widowControl/>
                    <w:jc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及数据库存储</w:t>
                  </w:r>
                </w:p>
              </w:tc>
            </w:tr>
          </w:tbl>
          <w:p w14:paraId="3A89CB73">
            <w:pPr>
              <w:numPr>
                <w:ilvl w:val="0"/>
                <w:numId w:val="0"/>
              </w:numPr>
              <w:spacing w:line="360" w:lineRule="auto"/>
              <w:ind w:leftChars="0"/>
              <w:jc w:val="both"/>
              <w:rPr>
                <w:rFonts w:hint="default" w:ascii="Times New Roman" w:hAnsi="Times New Roman" w:eastAsia="宋体" w:cs="Times New Roman"/>
                <w:b/>
                <w:bCs/>
                <w:sz w:val="24"/>
                <w:highlight w:val="none"/>
              </w:rPr>
            </w:pPr>
          </w:p>
          <w:p w14:paraId="3B8C984B">
            <w:pPr>
              <w:numPr>
                <w:ilvl w:val="0"/>
                <w:numId w:val="22"/>
              </w:numPr>
              <w:tabs>
                <w:tab w:val="left" w:pos="0"/>
              </w:tabs>
              <w:adjustRightInd w:val="0"/>
              <w:snapToGrid w:val="0"/>
              <w:spacing w:line="360" w:lineRule="auto"/>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主要原辅材料</w:t>
            </w:r>
          </w:p>
          <w:p w14:paraId="1BBB4113">
            <w:pPr>
              <w:adjustRightInd w:val="0"/>
              <w:snapToGrid w:val="0"/>
              <w:spacing w:line="360" w:lineRule="auto"/>
              <w:ind w:firstLine="480" w:firstLineChars="200"/>
              <w:rPr>
                <w:rFonts w:hint="default" w:ascii="Times New Roman" w:hAnsi="Times New Roman" w:eastAsia="宋体" w:cs="Times New Roman"/>
                <w:b/>
                <w:bCs/>
                <w:sz w:val="24"/>
                <w:highlight w:val="none"/>
              </w:rPr>
            </w:pPr>
            <w:r>
              <w:rPr>
                <w:rFonts w:hint="default" w:ascii="Times New Roman" w:hAnsi="Times New Roman" w:eastAsia="宋体" w:cs="Times New Roman"/>
                <w:sz w:val="24"/>
                <w:highlight w:val="none"/>
              </w:rPr>
              <w:t>项目主要原辅材料及用量详见下表。</w:t>
            </w:r>
          </w:p>
          <w:p w14:paraId="79BC48D8">
            <w:pPr>
              <w:numPr>
                <w:ilvl w:val="0"/>
                <w:numId w:val="23"/>
              </w:numPr>
              <w:adjustRightInd w:val="0"/>
              <w:snapToGrid w:val="0"/>
              <w:spacing w:line="360" w:lineRule="auto"/>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项目主要原辅材料使用情况一览表</w:t>
            </w:r>
          </w:p>
          <w:tbl>
            <w:tblPr>
              <w:tblStyle w:val="17"/>
              <w:tblW w:w="4894" w:type="pct"/>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6"/>
              <w:gridCol w:w="2616"/>
              <w:gridCol w:w="1116"/>
              <w:gridCol w:w="1212"/>
              <w:gridCol w:w="1224"/>
              <w:gridCol w:w="928"/>
            </w:tblGrid>
            <w:tr w14:paraId="5728BAE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40" w:type="pct"/>
                  <w:tcBorders>
                    <w:tl2br w:val="nil"/>
                    <w:tr2bl w:val="nil"/>
                  </w:tcBorders>
                  <w:vAlign w:val="center"/>
                </w:tcPr>
                <w:p w14:paraId="47438998">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序号</w:t>
                  </w:r>
                </w:p>
              </w:tc>
              <w:tc>
                <w:tcPr>
                  <w:tcW w:w="1680" w:type="pct"/>
                  <w:tcBorders>
                    <w:tl2br w:val="nil"/>
                    <w:tr2bl w:val="nil"/>
                  </w:tcBorders>
                  <w:vAlign w:val="center"/>
                </w:tcPr>
                <w:p w14:paraId="05026144">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原辅料名称</w:t>
                  </w:r>
                </w:p>
              </w:tc>
              <w:tc>
                <w:tcPr>
                  <w:tcW w:w="717" w:type="pct"/>
                  <w:tcBorders>
                    <w:tl2br w:val="nil"/>
                    <w:tr2bl w:val="nil"/>
                  </w:tcBorders>
                  <w:vAlign w:val="center"/>
                </w:tcPr>
                <w:p w14:paraId="475A2766">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规格</w:t>
                  </w:r>
                </w:p>
              </w:tc>
              <w:tc>
                <w:tcPr>
                  <w:tcW w:w="778" w:type="pct"/>
                  <w:tcBorders>
                    <w:tl2br w:val="nil"/>
                    <w:tr2bl w:val="nil"/>
                  </w:tcBorders>
                  <w:vAlign w:val="center"/>
                </w:tcPr>
                <w:p w14:paraId="68A648A6">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年用量</w:t>
                  </w:r>
                </w:p>
              </w:tc>
              <w:tc>
                <w:tcPr>
                  <w:tcW w:w="786" w:type="pct"/>
                  <w:tcBorders>
                    <w:tl2br w:val="nil"/>
                    <w:tr2bl w:val="nil"/>
                  </w:tcBorders>
                  <w:vAlign w:val="center"/>
                </w:tcPr>
                <w:p w14:paraId="4E3DE4EA">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最大存储量</w:t>
                  </w:r>
                </w:p>
              </w:tc>
              <w:tc>
                <w:tcPr>
                  <w:tcW w:w="596" w:type="pct"/>
                  <w:tcBorders>
                    <w:tl2br w:val="nil"/>
                    <w:tr2bl w:val="nil"/>
                  </w:tcBorders>
                  <w:vAlign w:val="center"/>
                </w:tcPr>
                <w:p w14:paraId="3783D254">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用途</w:t>
                  </w:r>
                </w:p>
              </w:tc>
            </w:tr>
            <w:tr w14:paraId="5FB7465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440" w:type="pct"/>
                  <w:tcBorders>
                    <w:tl2br w:val="nil"/>
                    <w:tr2bl w:val="nil"/>
                  </w:tcBorders>
                  <w:vAlign w:val="center"/>
                </w:tcPr>
                <w:p w14:paraId="509625D3">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2B35F28F">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rPr>
                    <w:t>硝酸（</w:t>
                  </w:r>
                  <w:r>
                    <w:rPr>
                      <w:rFonts w:hint="eastAsia" w:ascii="Times New Roman" w:hAnsi="Times New Roman" w:eastAsia="宋体" w:cs="Times New Roman"/>
                      <w:color w:val="000000"/>
                      <w:sz w:val="18"/>
                      <w:szCs w:val="18"/>
                      <w:lang w:val="en-US" w:eastAsia="zh-CN"/>
                    </w:rPr>
                    <w:t>68%</w:t>
                  </w:r>
                  <w:r>
                    <w:rPr>
                      <w:rFonts w:hint="default" w:ascii="Times New Roman" w:hAnsi="Times New Roman" w:eastAsia="宋体" w:cs="Times New Roman"/>
                      <w:color w:val="000000"/>
                      <w:sz w:val="18"/>
                      <w:szCs w:val="18"/>
                    </w:rPr>
                    <w:t>）</w:t>
                  </w:r>
                </w:p>
              </w:tc>
              <w:tc>
                <w:tcPr>
                  <w:tcW w:w="717" w:type="pct"/>
                  <w:tcBorders>
                    <w:tl2br w:val="nil"/>
                    <w:tr2bl w:val="nil"/>
                  </w:tcBorders>
                  <w:vAlign w:val="center"/>
                </w:tcPr>
                <w:p w14:paraId="4FA728CC">
                  <w:pPr>
                    <w:adjustRightInd w:val="0"/>
                    <w:snapToGrid w:val="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500ml</w:t>
                  </w:r>
                </w:p>
              </w:tc>
              <w:tc>
                <w:tcPr>
                  <w:tcW w:w="778" w:type="pct"/>
                  <w:tcBorders>
                    <w:tl2br w:val="nil"/>
                    <w:tr2bl w:val="nil"/>
                  </w:tcBorders>
                  <w:shd w:val="clear" w:color="auto" w:fill="auto"/>
                  <w:vAlign w:val="center"/>
                </w:tcPr>
                <w:p w14:paraId="5AD4F393">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lang w:val="en-US" w:eastAsia="zh-CN"/>
                    </w:rPr>
                    <w:t>7</w:t>
                  </w:r>
                  <w:r>
                    <w:rPr>
                      <w:rFonts w:hint="default" w:ascii="Times New Roman" w:hAnsi="Times New Roman" w:eastAsia="宋体" w:cs="Times New Roman"/>
                      <w:color w:val="000000"/>
                      <w:sz w:val="18"/>
                      <w:szCs w:val="18"/>
                    </w:rPr>
                    <w:t>00ml</w:t>
                  </w:r>
                </w:p>
              </w:tc>
              <w:tc>
                <w:tcPr>
                  <w:tcW w:w="786" w:type="pct"/>
                  <w:tcBorders>
                    <w:tl2br w:val="nil"/>
                    <w:tr2bl w:val="nil"/>
                  </w:tcBorders>
                  <w:shd w:val="clear" w:color="auto" w:fill="auto"/>
                  <w:vAlign w:val="center"/>
                </w:tcPr>
                <w:p w14:paraId="36912399">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5</w:t>
                  </w:r>
                  <w:r>
                    <w:rPr>
                      <w:rFonts w:hint="default" w:ascii="Times New Roman" w:hAnsi="Times New Roman" w:eastAsia="宋体" w:cs="Times New Roman"/>
                      <w:sz w:val="18"/>
                      <w:szCs w:val="18"/>
                    </w:rPr>
                    <w:t>00ml</w:t>
                  </w:r>
                </w:p>
              </w:tc>
              <w:tc>
                <w:tcPr>
                  <w:tcW w:w="596" w:type="pct"/>
                  <w:vMerge w:val="restart"/>
                  <w:tcBorders>
                    <w:tl2br w:val="nil"/>
                    <w:tr2bl w:val="nil"/>
                  </w:tcBorders>
                  <w:shd w:val="clear" w:color="auto" w:fill="auto"/>
                  <w:vAlign w:val="center"/>
                </w:tcPr>
                <w:p w14:paraId="3972FE5B">
                  <w:pPr>
                    <w:jc w:val="center"/>
                    <w:rPr>
                      <w:rFonts w:hint="default" w:ascii="Times New Roman" w:hAnsi="Times New Roman" w:eastAsia="宋体" w:cs="Times New Roman"/>
                      <w:sz w:val="18"/>
                      <w:szCs w:val="18"/>
                    </w:rPr>
                  </w:pPr>
                </w:p>
                <w:p w14:paraId="790F6C36">
                  <w:pPr>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金属材料实验</w:t>
                  </w:r>
                </w:p>
                <w:p w14:paraId="6D17B047">
                  <w:pPr>
                    <w:jc w:val="center"/>
                    <w:rPr>
                      <w:rFonts w:hint="default" w:ascii="Times New Roman" w:hAnsi="Times New Roman" w:eastAsia="宋体" w:cs="Times New Roman"/>
                      <w:kern w:val="2"/>
                      <w:sz w:val="18"/>
                      <w:szCs w:val="18"/>
                      <w:lang w:val="en-US" w:eastAsia="zh-CN" w:bidi="ar-SA"/>
                    </w:rPr>
                  </w:pPr>
                </w:p>
              </w:tc>
            </w:tr>
            <w:tr w14:paraId="777C9F9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15120851">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6FD5D24E">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404040"/>
                      <w:sz w:val="18"/>
                      <w:szCs w:val="18"/>
                    </w:rPr>
                    <w:t>盐酸（</w:t>
                  </w:r>
                  <w:r>
                    <w:rPr>
                      <w:rFonts w:hint="eastAsia" w:ascii="Times New Roman" w:hAnsi="Times New Roman" w:eastAsia="宋体" w:cs="Times New Roman"/>
                      <w:color w:val="404040"/>
                      <w:sz w:val="18"/>
                      <w:szCs w:val="18"/>
                      <w:lang w:val="en-US" w:eastAsia="zh-CN"/>
                    </w:rPr>
                    <w:t>36%</w:t>
                  </w:r>
                  <w:r>
                    <w:rPr>
                      <w:rFonts w:hint="default" w:ascii="Times New Roman" w:hAnsi="Times New Roman" w:eastAsia="宋体" w:cs="Times New Roman"/>
                      <w:color w:val="404040"/>
                      <w:sz w:val="18"/>
                      <w:szCs w:val="18"/>
                    </w:rPr>
                    <w:t>）</w:t>
                  </w:r>
                </w:p>
              </w:tc>
              <w:tc>
                <w:tcPr>
                  <w:tcW w:w="717" w:type="pct"/>
                  <w:tcBorders>
                    <w:tl2br w:val="nil"/>
                    <w:tr2bl w:val="nil"/>
                  </w:tcBorders>
                  <w:vAlign w:val="center"/>
                </w:tcPr>
                <w:p w14:paraId="78F1F417">
                  <w:pPr>
                    <w:adjustRightInd w:val="0"/>
                    <w:snapToGrid w:val="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500ml</w:t>
                  </w:r>
                </w:p>
              </w:tc>
              <w:tc>
                <w:tcPr>
                  <w:tcW w:w="778" w:type="pct"/>
                  <w:tcBorders>
                    <w:tl2br w:val="nil"/>
                    <w:tr2bl w:val="nil"/>
                  </w:tcBorders>
                  <w:shd w:val="clear" w:color="auto" w:fill="auto"/>
                  <w:vAlign w:val="center"/>
                </w:tcPr>
                <w:p w14:paraId="752E1D00">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lang w:val="en-US" w:eastAsia="zh-CN"/>
                    </w:rPr>
                    <w:t>1L</w:t>
                  </w:r>
                </w:p>
              </w:tc>
              <w:tc>
                <w:tcPr>
                  <w:tcW w:w="786" w:type="pct"/>
                  <w:tcBorders>
                    <w:tl2br w:val="nil"/>
                    <w:tr2bl w:val="nil"/>
                  </w:tcBorders>
                  <w:shd w:val="clear" w:color="auto" w:fill="auto"/>
                  <w:vAlign w:val="center"/>
                </w:tcPr>
                <w:p w14:paraId="051B7294">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5</w:t>
                  </w:r>
                  <w:r>
                    <w:rPr>
                      <w:rFonts w:hint="default" w:ascii="Times New Roman" w:hAnsi="Times New Roman" w:eastAsia="宋体" w:cs="Times New Roman"/>
                      <w:sz w:val="18"/>
                      <w:szCs w:val="18"/>
                    </w:rPr>
                    <w:t>00ml</w:t>
                  </w:r>
                </w:p>
              </w:tc>
              <w:tc>
                <w:tcPr>
                  <w:tcW w:w="596" w:type="pct"/>
                  <w:vMerge w:val="continue"/>
                  <w:tcBorders>
                    <w:tl2br w:val="nil"/>
                    <w:tr2bl w:val="nil"/>
                  </w:tcBorders>
                  <w:shd w:val="clear" w:color="auto" w:fill="auto"/>
                  <w:vAlign w:val="center"/>
                </w:tcPr>
                <w:p w14:paraId="090748B3">
                  <w:pPr>
                    <w:jc w:val="center"/>
                    <w:rPr>
                      <w:rFonts w:hint="default" w:ascii="Times New Roman" w:hAnsi="Times New Roman" w:eastAsia="宋体" w:cs="Times New Roman"/>
                      <w:kern w:val="2"/>
                      <w:sz w:val="18"/>
                      <w:szCs w:val="18"/>
                      <w:lang w:val="en-US" w:eastAsia="zh-CN" w:bidi="ar-SA"/>
                    </w:rPr>
                  </w:pPr>
                </w:p>
              </w:tc>
            </w:tr>
            <w:tr w14:paraId="1C8D2FB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117D8D72">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18A80590">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无水乙醇</w:t>
                  </w:r>
                </w:p>
              </w:tc>
              <w:tc>
                <w:tcPr>
                  <w:tcW w:w="717" w:type="pct"/>
                  <w:tcBorders>
                    <w:tl2br w:val="nil"/>
                    <w:tr2bl w:val="nil"/>
                  </w:tcBorders>
                  <w:vAlign w:val="center"/>
                </w:tcPr>
                <w:p w14:paraId="00EA332B">
                  <w:pPr>
                    <w:adjustRightInd w:val="0"/>
                    <w:snapToGrid w:val="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500ml</w:t>
                  </w:r>
                </w:p>
              </w:tc>
              <w:tc>
                <w:tcPr>
                  <w:tcW w:w="778" w:type="pct"/>
                  <w:tcBorders>
                    <w:tl2br w:val="nil"/>
                    <w:tr2bl w:val="nil"/>
                  </w:tcBorders>
                  <w:shd w:val="clear" w:color="auto" w:fill="auto"/>
                  <w:vAlign w:val="center"/>
                </w:tcPr>
                <w:p w14:paraId="33B9A188">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lang w:val="en-US" w:eastAsia="zh-CN"/>
                    </w:rPr>
                    <w:t>5L</w:t>
                  </w:r>
                </w:p>
              </w:tc>
              <w:tc>
                <w:tcPr>
                  <w:tcW w:w="786" w:type="pct"/>
                  <w:tcBorders>
                    <w:tl2br w:val="nil"/>
                    <w:tr2bl w:val="nil"/>
                  </w:tcBorders>
                  <w:shd w:val="clear" w:color="auto" w:fill="auto"/>
                  <w:vAlign w:val="center"/>
                </w:tcPr>
                <w:p w14:paraId="7376BEFD">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1L</w:t>
                  </w:r>
                </w:p>
              </w:tc>
              <w:tc>
                <w:tcPr>
                  <w:tcW w:w="596" w:type="pct"/>
                  <w:vMerge w:val="continue"/>
                  <w:tcBorders>
                    <w:tl2br w:val="nil"/>
                    <w:tr2bl w:val="nil"/>
                  </w:tcBorders>
                  <w:shd w:val="clear" w:color="auto" w:fill="auto"/>
                  <w:vAlign w:val="center"/>
                </w:tcPr>
                <w:p w14:paraId="2D89DA6C">
                  <w:pPr>
                    <w:jc w:val="center"/>
                    <w:rPr>
                      <w:rFonts w:hint="default" w:ascii="Times New Roman" w:hAnsi="Times New Roman" w:eastAsia="宋体" w:cs="Times New Roman"/>
                      <w:kern w:val="2"/>
                      <w:sz w:val="18"/>
                      <w:szCs w:val="18"/>
                      <w:lang w:val="en-US" w:eastAsia="zh-CN" w:bidi="ar-SA"/>
                    </w:rPr>
                  </w:pPr>
                </w:p>
              </w:tc>
            </w:tr>
            <w:tr w14:paraId="11B0DA9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1A755164">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4774CBC2">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液氮</w:t>
                  </w:r>
                </w:p>
              </w:tc>
              <w:tc>
                <w:tcPr>
                  <w:tcW w:w="717" w:type="pct"/>
                  <w:tcBorders>
                    <w:tl2br w:val="nil"/>
                    <w:tr2bl w:val="nil"/>
                  </w:tcBorders>
                  <w:vAlign w:val="center"/>
                </w:tcPr>
                <w:p w14:paraId="2DD0F1C8">
                  <w:pPr>
                    <w:adjustRightInd w:val="0"/>
                    <w:snapToGrid w:val="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40L</w:t>
                  </w:r>
                </w:p>
              </w:tc>
              <w:tc>
                <w:tcPr>
                  <w:tcW w:w="778" w:type="pct"/>
                  <w:tcBorders>
                    <w:tl2br w:val="nil"/>
                    <w:tr2bl w:val="nil"/>
                  </w:tcBorders>
                  <w:shd w:val="clear" w:color="auto" w:fill="auto"/>
                  <w:vAlign w:val="center"/>
                </w:tcPr>
                <w:p w14:paraId="303369F2">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rPr>
                    <w:t>1440L</w:t>
                  </w:r>
                </w:p>
              </w:tc>
              <w:tc>
                <w:tcPr>
                  <w:tcW w:w="786" w:type="pct"/>
                  <w:tcBorders>
                    <w:tl2br w:val="nil"/>
                    <w:tr2bl w:val="nil"/>
                  </w:tcBorders>
                  <w:shd w:val="clear" w:color="auto" w:fill="auto"/>
                  <w:vAlign w:val="center"/>
                </w:tcPr>
                <w:p w14:paraId="5C487D99">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120L</w:t>
                  </w:r>
                </w:p>
              </w:tc>
              <w:tc>
                <w:tcPr>
                  <w:tcW w:w="596" w:type="pct"/>
                  <w:vMerge w:val="continue"/>
                  <w:tcBorders>
                    <w:tl2br w:val="nil"/>
                    <w:tr2bl w:val="nil"/>
                  </w:tcBorders>
                  <w:shd w:val="clear" w:color="auto" w:fill="auto"/>
                  <w:vAlign w:val="center"/>
                </w:tcPr>
                <w:p w14:paraId="7B5A1F34">
                  <w:pPr>
                    <w:jc w:val="center"/>
                    <w:rPr>
                      <w:rFonts w:hint="default" w:ascii="Times New Roman" w:hAnsi="Times New Roman" w:eastAsia="宋体" w:cs="Times New Roman"/>
                      <w:kern w:val="2"/>
                      <w:sz w:val="18"/>
                      <w:szCs w:val="18"/>
                      <w:lang w:val="en-US" w:eastAsia="zh-CN" w:bidi="ar-SA"/>
                    </w:rPr>
                  </w:pPr>
                </w:p>
              </w:tc>
            </w:tr>
            <w:tr w14:paraId="2FB4072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1A484272">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0DCFA590">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液氧</w:t>
                  </w:r>
                </w:p>
              </w:tc>
              <w:tc>
                <w:tcPr>
                  <w:tcW w:w="717" w:type="pct"/>
                  <w:tcBorders>
                    <w:tl2br w:val="nil"/>
                    <w:tr2bl w:val="nil"/>
                  </w:tcBorders>
                  <w:vAlign w:val="center"/>
                </w:tcPr>
                <w:p w14:paraId="4CE0BE2C">
                  <w:pPr>
                    <w:adjustRightInd w:val="0"/>
                    <w:snapToGrid w:val="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40L</w:t>
                  </w:r>
                </w:p>
              </w:tc>
              <w:tc>
                <w:tcPr>
                  <w:tcW w:w="778" w:type="pct"/>
                  <w:tcBorders>
                    <w:tl2br w:val="nil"/>
                    <w:tr2bl w:val="nil"/>
                  </w:tcBorders>
                  <w:shd w:val="clear" w:color="auto" w:fill="auto"/>
                  <w:vAlign w:val="center"/>
                </w:tcPr>
                <w:p w14:paraId="000CB603">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rPr>
                    <w:t>960L</w:t>
                  </w:r>
                </w:p>
              </w:tc>
              <w:tc>
                <w:tcPr>
                  <w:tcW w:w="786" w:type="pct"/>
                  <w:tcBorders>
                    <w:tl2br w:val="nil"/>
                    <w:tr2bl w:val="nil"/>
                  </w:tcBorders>
                  <w:shd w:val="clear" w:color="auto" w:fill="auto"/>
                  <w:vAlign w:val="center"/>
                </w:tcPr>
                <w:p w14:paraId="623727C8">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80L</w:t>
                  </w:r>
                </w:p>
              </w:tc>
              <w:tc>
                <w:tcPr>
                  <w:tcW w:w="596" w:type="pct"/>
                  <w:vMerge w:val="continue"/>
                  <w:tcBorders>
                    <w:tl2br w:val="nil"/>
                    <w:tr2bl w:val="nil"/>
                  </w:tcBorders>
                  <w:shd w:val="clear" w:color="auto" w:fill="auto"/>
                  <w:vAlign w:val="center"/>
                </w:tcPr>
                <w:p w14:paraId="47187A97">
                  <w:pPr>
                    <w:jc w:val="center"/>
                    <w:rPr>
                      <w:rFonts w:hint="default" w:ascii="Times New Roman" w:hAnsi="Times New Roman" w:eastAsia="宋体" w:cs="Times New Roman"/>
                      <w:kern w:val="2"/>
                      <w:sz w:val="18"/>
                      <w:szCs w:val="18"/>
                      <w:lang w:val="en-US" w:eastAsia="zh-CN" w:bidi="ar-SA"/>
                    </w:rPr>
                  </w:pPr>
                </w:p>
              </w:tc>
            </w:tr>
            <w:tr w14:paraId="19B5B7C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078C0BB9">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18D77BC0">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氩气</w:t>
                  </w:r>
                </w:p>
              </w:tc>
              <w:tc>
                <w:tcPr>
                  <w:tcW w:w="717" w:type="pct"/>
                  <w:tcBorders>
                    <w:tl2br w:val="nil"/>
                    <w:tr2bl w:val="nil"/>
                  </w:tcBorders>
                  <w:vAlign w:val="center"/>
                </w:tcPr>
                <w:p w14:paraId="58703E54">
                  <w:pPr>
                    <w:adjustRightInd w:val="0"/>
                    <w:snapToGrid w:val="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40L</w:t>
                  </w:r>
                </w:p>
              </w:tc>
              <w:tc>
                <w:tcPr>
                  <w:tcW w:w="778" w:type="pct"/>
                  <w:tcBorders>
                    <w:tl2br w:val="nil"/>
                    <w:tr2bl w:val="nil"/>
                  </w:tcBorders>
                  <w:shd w:val="clear" w:color="auto" w:fill="auto"/>
                  <w:vAlign w:val="center"/>
                </w:tcPr>
                <w:p w14:paraId="2550846D">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rPr>
                    <w:t>1440L</w:t>
                  </w:r>
                </w:p>
              </w:tc>
              <w:tc>
                <w:tcPr>
                  <w:tcW w:w="786" w:type="pct"/>
                  <w:tcBorders>
                    <w:tl2br w:val="nil"/>
                    <w:tr2bl w:val="nil"/>
                  </w:tcBorders>
                  <w:shd w:val="clear" w:color="auto" w:fill="auto"/>
                  <w:vAlign w:val="center"/>
                </w:tcPr>
                <w:p w14:paraId="42F5FEDC">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120L</w:t>
                  </w:r>
                </w:p>
              </w:tc>
              <w:tc>
                <w:tcPr>
                  <w:tcW w:w="596" w:type="pct"/>
                  <w:vMerge w:val="continue"/>
                  <w:tcBorders>
                    <w:tl2br w:val="nil"/>
                    <w:tr2bl w:val="nil"/>
                  </w:tcBorders>
                  <w:shd w:val="clear" w:color="auto" w:fill="auto"/>
                  <w:vAlign w:val="center"/>
                </w:tcPr>
                <w:p w14:paraId="1E983338">
                  <w:pPr>
                    <w:jc w:val="center"/>
                    <w:rPr>
                      <w:rFonts w:hint="default" w:ascii="Times New Roman" w:hAnsi="Times New Roman" w:eastAsia="宋体" w:cs="Times New Roman"/>
                      <w:kern w:val="2"/>
                      <w:sz w:val="18"/>
                      <w:szCs w:val="18"/>
                      <w:lang w:val="en-US" w:eastAsia="zh-CN" w:bidi="ar-SA"/>
                    </w:rPr>
                  </w:pPr>
                </w:p>
              </w:tc>
            </w:tr>
            <w:tr w14:paraId="04C63C5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1389436E">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1FF411FA">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氦气</w:t>
                  </w:r>
                </w:p>
              </w:tc>
              <w:tc>
                <w:tcPr>
                  <w:tcW w:w="717" w:type="pct"/>
                  <w:tcBorders>
                    <w:tl2br w:val="nil"/>
                    <w:tr2bl w:val="nil"/>
                  </w:tcBorders>
                  <w:vAlign w:val="center"/>
                </w:tcPr>
                <w:p w14:paraId="6857239D">
                  <w:pPr>
                    <w:adjustRightInd w:val="0"/>
                    <w:snapToGrid w:val="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40L</w:t>
                  </w:r>
                </w:p>
              </w:tc>
              <w:tc>
                <w:tcPr>
                  <w:tcW w:w="778" w:type="pct"/>
                  <w:tcBorders>
                    <w:tl2br w:val="nil"/>
                    <w:tr2bl w:val="nil"/>
                  </w:tcBorders>
                  <w:shd w:val="clear" w:color="auto" w:fill="auto"/>
                  <w:vAlign w:val="center"/>
                </w:tcPr>
                <w:p w14:paraId="0AECF99D">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rPr>
                    <w:t>1440L</w:t>
                  </w:r>
                </w:p>
              </w:tc>
              <w:tc>
                <w:tcPr>
                  <w:tcW w:w="786" w:type="pct"/>
                  <w:tcBorders>
                    <w:tl2br w:val="nil"/>
                    <w:tr2bl w:val="nil"/>
                  </w:tcBorders>
                  <w:shd w:val="clear" w:color="auto" w:fill="auto"/>
                  <w:vAlign w:val="center"/>
                </w:tcPr>
                <w:p w14:paraId="620574EE">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120L</w:t>
                  </w:r>
                </w:p>
              </w:tc>
              <w:tc>
                <w:tcPr>
                  <w:tcW w:w="596" w:type="pct"/>
                  <w:vMerge w:val="continue"/>
                  <w:tcBorders>
                    <w:tl2br w:val="nil"/>
                    <w:tr2bl w:val="nil"/>
                  </w:tcBorders>
                  <w:shd w:val="clear" w:color="auto" w:fill="auto"/>
                  <w:vAlign w:val="center"/>
                </w:tcPr>
                <w:p w14:paraId="1BC0142F">
                  <w:pPr>
                    <w:jc w:val="center"/>
                    <w:rPr>
                      <w:rFonts w:hint="default" w:ascii="Times New Roman" w:hAnsi="Times New Roman" w:eastAsia="宋体" w:cs="Times New Roman"/>
                      <w:kern w:val="2"/>
                      <w:sz w:val="18"/>
                      <w:szCs w:val="18"/>
                      <w:lang w:val="en-US" w:eastAsia="zh-CN" w:bidi="ar-SA"/>
                    </w:rPr>
                  </w:pPr>
                </w:p>
              </w:tc>
            </w:tr>
            <w:tr w14:paraId="26082BB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4CE76D54">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1082E554">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热固性树脂类镶样粉</w:t>
                  </w:r>
                </w:p>
              </w:tc>
              <w:tc>
                <w:tcPr>
                  <w:tcW w:w="717" w:type="pct"/>
                  <w:tcBorders>
                    <w:tl2br w:val="nil"/>
                    <w:tr2bl w:val="nil"/>
                  </w:tcBorders>
                  <w:vAlign w:val="center"/>
                </w:tcPr>
                <w:p w14:paraId="1434E0E5">
                  <w:pPr>
                    <w:adjustRightInd w:val="0"/>
                    <w:snapToGrid w:val="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21C68B6C">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lang w:val="en-US" w:eastAsia="zh-CN"/>
                    </w:rPr>
                    <w:t>2k</w:t>
                  </w:r>
                  <w:r>
                    <w:rPr>
                      <w:rFonts w:hint="default" w:ascii="Times New Roman" w:hAnsi="Times New Roman" w:eastAsia="宋体" w:cs="Times New Roman"/>
                      <w:color w:val="000000"/>
                      <w:sz w:val="18"/>
                      <w:szCs w:val="18"/>
                    </w:rPr>
                    <w:t>g</w:t>
                  </w:r>
                </w:p>
              </w:tc>
              <w:tc>
                <w:tcPr>
                  <w:tcW w:w="786" w:type="pct"/>
                  <w:tcBorders>
                    <w:tl2br w:val="nil"/>
                    <w:tr2bl w:val="nil"/>
                  </w:tcBorders>
                  <w:shd w:val="clear" w:color="auto" w:fill="auto"/>
                  <w:vAlign w:val="center"/>
                </w:tcPr>
                <w:p w14:paraId="5E9DA501">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5</w:t>
                  </w:r>
                  <w:r>
                    <w:rPr>
                      <w:rFonts w:hint="default" w:ascii="Times New Roman" w:hAnsi="Times New Roman" w:eastAsia="宋体" w:cs="Times New Roman"/>
                      <w:sz w:val="18"/>
                      <w:szCs w:val="18"/>
                    </w:rPr>
                    <w:t>00g</w:t>
                  </w:r>
                </w:p>
              </w:tc>
              <w:tc>
                <w:tcPr>
                  <w:tcW w:w="596" w:type="pct"/>
                  <w:vMerge w:val="continue"/>
                  <w:tcBorders>
                    <w:tl2br w:val="nil"/>
                    <w:tr2bl w:val="nil"/>
                  </w:tcBorders>
                  <w:shd w:val="clear" w:color="auto" w:fill="auto"/>
                  <w:vAlign w:val="center"/>
                </w:tcPr>
                <w:p w14:paraId="75A93FA9">
                  <w:pPr>
                    <w:jc w:val="center"/>
                    <w:rPr>
                      <w:rFonts w:hint="default" w:ascii="Times New Roman" w:hAnsi="Times New Roman" w:eastAsia="宋体" w:cs="Times New Roman"/>
                      <w:kern w:val="2"/>
                      <w:sz w:val="18"/>
                      <w:szCs w:val="18"/>
                      <w:lang w:val="en-US" w:eastAsia="zh-CN" w:bidi="ar-SA"/>
                    </w:rPr>
                  </w:pPr>
                </w:p>
              </w:tc>
            </w:tr>
            <w:tr w14:paraId="7EC663B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440" w:type="pct"/>
                  <w:tcBorders>
                    <w:tl2br w:val="nil"/>
                    <w:tr2bl w:val="nil"/>
                  </w:tcBorders>
                  <w:vAlign w:val="center"/>
                </w:tcPr>
                <w:p w14:paraId="713F6C6E">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70FD4AE3">
                  <w:pPr>
                    <w:adjustRightInd w:val="0"/>
                    <w:snapToGrid w:val="0"/>
                    <w:jc w:val="both"/>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lang w:val="en-US" w:eastAsia="zh-CN"/>
                    </w:rPr>
                    <w:t>电解液（</w:t>
                  </w:r>
                  <w:r>
                    <w:rPr>
                      <w:rFonts w:hint="default" w:ascii="Times New Roman" w:hAnsi="Times New Roman" w:eastAsia="宋体" w:cs="Times New Roman"/>
                      <w:color w:val="000000"/>
                      <w:sz w:val="18"/>
                      <w:szCs w:val="18"/>
                    </w:rPr>
                    <w:t>六氟磷酸锂</w:t>
                  </w:r>
                  <w:r>
                    <w:rPr>
                      <w:rFonts w:hint="default" w:ascii="Times New Roman" w:hAnsi="Times New Roman" w:eastAsia="宋体" w:cs="Times New Roman"/>
                      <w:color w:val="000000"/>
                      <w:sz w:val="18"/>
                      <w:szCs w:val="18"/>
                      <w:lang w:val="en-US" w:eastAsia="zh-CN"/>
                    </w:rPr>
                    <w:t>1.12mol/L、</w:t>
                  </w:r>
                  <w:r>
                    <w:rPr>
                      <w:rFonts w:hint="default" w:ascii="Times New Roman" w:hAnsi="Times New Roman" w:eastAsia="宋体" w:cs="Times New Roman"/>
                      <w:sz w:val="18"/>
                      <w:szCs w:val="18"/>
                    </w:rPr>
                    <w:t>碳酸二乙酯</w:t>
                  </w:r>
                  <w:r>
                    <w:rPr>
                      <w:rFonts w:hint="default" w:ascii="Times New Roman" w:hAnsi="Times New Roman" w:eastAsia="宋体" w:cs="Times New Roman"/>
                      <w:sz w:val="18"/>
                      <w:szCs w:val="18"/>
                      <w:lang w:eastAsia="zh-CN"/>
                    </w:rPr>
                    <w:t>、</w:t>
                  </w:r>
                  <w:r>
                    <w:rPr>
                      <w:rFonts w:hint="default" w:ascii="Times New Roman" w:hAnsi="Times New Roman" w:eastAsia="宋体" w:cs="Times New Roman"/>
                      <w:color w:val="000000"/>
                      <w:sz w:val="18"/>
                      <w:szCs w:val="18"/>
                    </w:rPr>
                    <w:t>碳酸乙烯酯</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碳酸甲乙酯等比例）</w:t>
                  </w:r>
                </w:p>
              </w:tc>
              <w:tc>
                <w:tcPr>
                  <w:tcW w:w="717" w:type="pct"/>
                  <w:tcBorders>
                    <w:tl2br w:val="nil"/>
                    <w:tr2bl w:val="nil"/>
                  </w:tcBorders>
                  <w:vAlign w:val="center"/>
                </w:tcPr>
                <w:p w14:paraId="2E6B81C3">
                  <w:pPr>
                    <w:adjustRightInd w:val="0"/>
                    <w:snapToGrid w:val="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500ml</w:t>
                  </w:r>
                </w:p>
              </w:tc>
              <w:tc>
                <w:tcPr>
                  <w:tcW w:w="778" w:type="pct"/>
                  <w:tcBorders>
                    <w:tl2br w:val="nil"/>
                    <w:tr2bl w:val="nil"/>
                  </w:tcBorders>
                  <w:shd w:val="clear" w:color="auto" w:fill="auto"/>
                  <w:vAlign w:val="center"/>
                </w:tcPr>
                <w:p w14:paraId="4BD38212">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lang w:val="en-US" w:eastAsia="zh-CN"/>
                    </w:rPr>
                    <w:t>2L</w:t>
                  </w:r>
                </w:p>
              </w:tc>
              <w:tc>
                <w:tcPr>
                  <w:tcW w:w="786" w:type="pct"/>
                  <w:tcBorders>
                    <w:tl2br w:val="nil"/>
                    <w:tr2bl w:val="nil"/>
                  </w:tcBorders>
                  <w:shd w:val="clear" w:color="auto" w:fill="auto"/>
                  <w:vAlign w:val="center"/>
                </w:tcPr>
                <w:p w14:paraId="271D97D6">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5</w:t>
                  </w:r>
                  <w:r>
                    <w:rPr>
                      <w:rFonts w:hint="default" w:ascii="Times New Roman" w:hAnsi="Times New Roman" w:eastAsia="宋体" w:cs="Times New Roman"/>
                      <w:sz w:val="18"/>
                      <w:szCs w:val="18"/>
                    </w:rPr>
                    <w:t>00ml</w:t>
                  </w:r>
                </w:p>
              </w:tc>
              <w:tc>
                <w:tcPr>
                  <w:tcW w:w="596" w:type="pct"/>
                  <w:vMerge w:val="restart"/>
                  <w:tcBorders>
                    <w:tl2br w:val="nil"/>
                    <w:tr2bl w:val="nil"/>
                  </w:tcBorders>
                  <w:shd w:val="clear" w:color="auto" w:fill="auto"/>
                  <w:vAlign w:val="center"/>
                </w:tcPr>
                <w:p w14:paraId="029236C4">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电池材料实验</w:t>
                  </w:r>
                </w:p>
                <w:p w14:paraId="7E2C3412">
                  <w:pPr>
                    <w:jc w:val="center"/>
                    <w:rPr>
                      <w:rFonts w:hint="default" w:ascii="Times New Roman" w:hAnsi="Times New Roman" w:eastAsia="宋体" w:cs="Times New Roman"/>
                      <w:kern w:val="2"/>
                      <w:sz w:val="18"/>
                      <w:szCs w:val="18"/>
                      <w:lang w:val="en-US" w:eastAsia="zh-CN" w:bidi="ar-SA"/>
                    </w:rPr>
                  </w:pPr>
                </w:p>
              </w:tc>
            </w:tr>
            <w:tr w14:paraId="374AD92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216C24A8">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1A137D81">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rPr>
                    <w:t>N-甲基吡咯烷酮（NMP）</w:t>
                  </w:r>
                </w:p>
              </w:tc>
              <w:tc>
                <w:tcPr>
                  <w:tcW w:w="717" w:type="pct"/>
                  <w:tcBorders>
                    <w:tl2br w:val="nil"/>
                    <w:tr2bl w:val="nil"/>
                  </w:tcBorders>
                  <w:vAlign w:val="center"/>
                </w:tcPr>
                <w:p w14:paraId="6DC76CD2">
                  <w:pPr>
                    <w:adjustRightInd w:val="0"/>
                    <w:snapToGrid w:val="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500ml</w:t>
                  </w:r>
                </w:p>
              </w:tc>
              <w:tc>
                <w:tcPr>
                  <w:tcW w:w="778" w:type="pct"/>
                  <w:tcBorders>
                    <w:tl2br w:val="nil"/>
                    <w:tr2bl w:val="nil"/>
                  </w:tcBorders>
                  <w:shd w:val="clear" w:color="auto" w:fill="auto"/>
                  <w:vAlign w:val="center"/>
                </w:tcPr>
                <w:p w14:paraId="00C6809A">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lang w:val="en-US" w:eastAsia="zh-CN"/>
                    </w:rPr>
                    <w:t>1L</w:t>
                  </w:r>
                </w:p>
              </w:tc>
              <w:tc>
                <w:tcPr>
                  <w:tcW w:w="786" w:type="pct"/>
                  <w:tcBorders>
                    <w:tl2br w:val="nil"/>
                    <w:tr2bl w:val="nil"/>
                  </w:tcBorders>
                  <w:shd w:val="clear" w:color="auto" w:fill="auto"/>
                  <w:vAlign w:val="center"/>
                </w:tcPr>
                <w:p w14:paraId="5828CC8B">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1L</w:t>
                  </w:r>
                </w:p>
              </w:tc>
              <w:tc>
                <w:tcPr>
                  <w:tcW w:w="596" w:type="pct"/>
                  <w:vMerge w:val="continue"/>
                  <w:tcBorders>
                    <w:tl2br w:val="nil"/>
                    <w:tr2bl w:val="nil"/>
                  </w:tcBorders>
                  <w:shd w:val="clear" w:color="auto" w:fill="auto"/>
                  <w:vAlign w:val="center"/>
                </w:tcPr>
                <w:p w14:paraId="3EA3324D">
                  <w:pPr>
                    <w:jc w:val="center"/>
                    <w:rPr>
                      <w:rFonts w:hint="default" w:ascii="Times New Roman" w:hAnsi="Times New Roman" w:eastAsia="宋体" w:cs="Times New Roman"/>
                      <w:kern w:val="2"/>
                      <w:sz w:val="18"/>
                      <w:szCs w:val="18"/>
                      <w:lang w:val="en-US" w:eastAsia="zh-CN" w:bidi="ar-SA"/>
                    </w:rPr>
                  </w:pPr>
                </w:p>
              </w:tc>
            </w:tr>
            <w:tr w14:paraId="32BC9FB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097DCEE7">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310D597C">
                  <w:pPr>
                    <w:adjustRightInd w:val="0"/>
                    <w:snapToGrid w:val="0"/>
                    <w:jc w:val="center"/>
                    <w:rPr>
                      <w:rFonts w:hint="default" w:ascii="Times New Roman" w:hAnsi="Times New Roman" w:eastAsia="宋体" w:cs="Times New Roman"/>
                      <w:kern w:val="2"/>
                      <w:sz w:val="18"/>
                      <w:szCs w:val="18"/>
                      <w:lang w:val="en-US" w:eastAsia="zh-CN" w:bidi="ar-SA"/>
                    </w:rPr>
                  </w:pPr>
                  <w:r>
                    <w:rPr>
                      <w:rFonts w:hint="eastAsia" w:cs="Times New Roman"/>
                      <w:kern w:val="2"/>
                      <w:sz w:val="18"/>
                      <w:szCs w:val="18"/>
                      <w:lang w:val="en-US" w:eastAsia="zh-CN" w:bidi="ar-SA"/>
                    </w:rPr>
                    <w:t>氢氟酸（40%）</w:t>
                  </w:r>
                </w:p>
              </w:tc>
              <w:tc>
                <w:tcPr>
                  <w:tcW w:w="717" w:type="pct"/>
                  <w:tcBorders>
                    <w:tl2br w:val="nil"/>
                    <w:tr2bl w:val="nil"/>
                  </w:tcBorders>
                  <w:shd w:val="clear" w:color="auto" w:fill="auto"/>
                  <w:vAlign w:val="center"/>
                </w:tcPr>
                <w:p w14:paraId="27B3F704">
                  <w:pPr>
                    <w:adjustRightInd w:val="0"/>
                    <w:snapToGrid w:val="0"/>
                    <w:jc w:val="center"/>
                    <w:rPr>
                      <w:rFonts w:hint="default" w:ascii="Times New Roman" w:hAnsi="Times New Roman" w:eastAsia="宋体" w:cs="Times New Roman"/>
                      <w:kern w:val="2"/>
                      <w:sz w:val="18"/>
                      <w:szCs w:val="18"/>
                      <w:lang w:val="en-US" w:eastAsia="zh-CN" w:bidi="ar-SA"/>
                    </w:rPr>
                  </w:pPr>
                  <w:r>
                    <w:rPr>
                      <w:rFonts w:hint="eastAsia" w:cs="Times New Roman"/>
                      <w:sz w:val="18"/>
                      <w:szCs w:val="18"/>
                      <w:lang w:val="en-US" w:eastAsia="zh-CN"/>
                    </w:rPr>
                    <w:t>500ml</w:t>
                  </w:r>
                </w:p>
              </w:tc>
              <w:tc>
                <w:tcPr>
                  <w:tcW w:w="778" w:type="pct"/>
                  <w:tcBorders>
                    <w:tl2br w:val="nil"/>
                    <w:tr2bl w:val="nil"/>
                  </w:tcBorders>
                  <w:shd w:val="clear" w:color="auto" w:fill="auto"/>
                  <w:vAlign w:val="center"/>
                </w:tcPr>
                <w:p w14:paraId="4EC573E5">
                  <w:pPr>
                    <w:adjustRightInd w:val="0"/>
                    <w:snapToGrid w:val="0"/>
                    <w:jc w:val="center"/>
                    <w:rPr>
                      <w:rFonts w:hint="default" w:ascii="Times New Roman" w:hAnsi="Times New Roman" w:eastAsia="宋体" w:cs="Times New Roman"/>
                      <w:kern w:val="2"/>
                      <w:sz w:val="18"/>
                      <w:szCs w:val="18"/>
                      <w:lang w:val="en-US" w:eastAsia="zh-CN" w:bidi="ar-SA"/>
                    </w:rPr>
                  </w:pPr>
                  <w:r>
                    <w:rPr>
                      <w:rFonts w:hint="eastAsia" w:cs="Times New Roman"/>
                      <w:kern w:val="2"/>
                      <w:sz w:val="18"/>
                      <w:szCs w:val="18"/>
                      <w:lang w:val="en-US" w:eastAsia="zh-CN" w:bidi="ar-SA"/>
                    </w:rPr>
                    <w:t>10L</w:t>
                  </w:r>
                </w:p>
              </w:tc>
              <w:tc>
                <w:tcPr>
                  <w:tcW w:w="786" w:type="pct"/>
                  <w:tcBorders>
                    <w:tl2br w:val="nil"/>
                    <w:tr2bl w:val="nil"/>
                  </w:tcBorders>
                  <w:shd w:val="clear" w:color="auto" w:fill="auto"/>
                  <w:vAlign w:val="center"/>
                </w:tcPr>
                <w:p w14:paraId="31C815DB">
                  <w:pPr>
                    <w:adjustRightInd w:val="0"/>
                    <w:snapToGrid w:val="0"/>
                    <w:jc w:val="center"/>
                    <w:rPr>
                      <w:rFonts w:hint="default" w:ascii="Times New Roman" w:hAnsi="Times New Roman" w:eastAsia="宋体" w:cs="Times New Roman"/>
                      <w:kern w:val="2"/>
                      <w:sz w:val="18"/>
                      <w:szCs w:val="18"/>
                      <w:lang w:val="en-US" w:eastAsia="zh-CN" w:bidi="ar-SA"/>
                    </w:rPr>
                  </w:pPr>
                  <w:r>
                    <w:rPr>
                      <w:rFonts w:hint="eastAsia" w:cs="Times New Roman"/>
                      <w:kern w:val="2"/>
                      <w:sz w:val="18"/>
                      <w:szCs w:val="18"/>
                      <w:lang w:val="en-US" w:eastAsia="zh-CN" w:bidi="ar-SA"/>
                    </w:rPr>
                    <w:t>1000ml</w:t>
                  </w:r>
                </w:p>
              </w:tc>
              <w:tc>
                <w:tcPr>
                  <w:tcW w:w="596" w:type="pct"/>
                  <w:vMerge w:val="continue"/>
                  <w:tcBorders>
                    <w:tl2br w:val="nil"/>
                    <w:tr2bl w:val="nil"/>
                  </w:tcBorders>
                  <w:shd w:val="clear" w:color="auto" w:fill="auto"/>
                  <w:vAlign w:val="center"/>
                </w:tcPr>
                <w:p w14:paraId="6FBBC300">
                  <w:pPr>
                    <w:jc w:val="center"/>
                    <w:rPr>
                      <w:rFonts w:hint="default" w:ascii="Times New Roman" w:hAnsi="Times New Roman" w:eastAsia="宋体" w:cs="Times New Roman"/>
                      <w:kern w:val="2"/>
                      <w:sz w:val="18"/>
                      <w:szCs w:val="18"/>
                      <w:lang w:val="en-US" w:eastAsia="zh-CN" w:bidi="ar-SA"/>
                    </w:rPr>
                  </w:pPr>
                </w:p>
              </w:tc>
            </w:tr>
            <w:tr w14:paraId="35D8B9B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1D163986">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2A6D9495">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硫酸镍</w:t>
                  </w:r>
                </w:p>
              </w:tc>
              <w:tc>
                <w:tcPr>
                  <w:tcW w:w="717" w:type="pct"/>
                  <w:tcBorders>
                    <w:tl2br w:val="nil"/>
                    <w:tr2bl w:val="nil"/>
                  </w:tcBorders>
                  <w:vAlign w:val="center"/>
                </w:tcPr>
                <w:p w14:paraId="1F5EFA09">
                  <w:pPr>
                    <w:adjustRightInd w:val="0"/>
                    <w:snapToGrid w:val="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42A79BFE">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lang w:val="en-US" w:eastAsia="zh-CN"/>
                    </w:rPr>
                    <w:t>10k</w:t>
                  </w:r>
                  <w:r>
                    <w:rPr>
                      <w:rFonts w:hint="default" w:ascii="Times New Roman" w:hAnsi="Times New Roman" w:eastAsia="宋体" w:cs="Times New Roman"/>
                      <w:color w:val="000000"/>
                      <w:sz w:val="18"/>
                      <w:szCs w:val="18"/>
                    </w:rPr>
                    <w:t>g</w:t>
                  </w:r>
                </w:p>
              </w:tc>
              <w:tc>
                <w:tcPr>
                  <w:tcW w:w="786" w:type="pct"/>
                  <w:tcBorders>
                    <w:tl2br w:val="nil"/>
                    <w:tr2bl w:val="nil"/>
                  </w:tcBorders>
                  <w:shd w:val="clear" w:color="auto" w:fill="auto"/>
                  <w:vAlign w:val="center"/>
                </w:tcPr>
                <w:p w14:paraId="05AFD8CE">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1k</w:t>
                  </w:r>
                  <w:r>
                    <w:rPr>
                      <w:rFonts w:hint="default" w:ascii="Times New Roman" w:hAnsi="Times New Roman" w:eastAsia="宋体" w:cs="Times New Roman"/>
                      <w:sz w:val="18"/>
                      <w:szCs w:val="18"/>
                    </w:rPr>
                    <w:t>g</w:t>
                  </w:r>
                </w:p>
              </w:tc>
              <w:tc>
                <w:tcPr>
                  <w:tcW w:w="596" w:type="pct"/>
                  <w:vMerge w:val="continue"/>
                  <w:tcBorders>
                    <w:tl2br w:val="nil"/>
                    <w:tr2bl w:val="nil"/>
                  </w:tcBorders>
                  <w:shd w:val="clear" w:color="auto" w:fill="auto"/>
                  <w:vAlign w:val="center"/>
                </w:tcPr>
                <w:p w14:paraId="336C59CD">
                  <w:pPr>
                    <w:jc w:val="center"/>
                    <w:rPr>
                      <w:rFonts w:hint="default" w:ascii="Times New Roman" w:hAnsi="Times New Roman" w:eastAsia="宋体" w:cs="Times New Roman"/>
                      <w:kern w:val="2"/>
                      <w:sz w:val="18"/>
                      <w:szCs w:val="18"/>
                      <w:lang w:val="en-US" w:eastAsia="zh-CN" w:bidi="ar-SA"/>
                    </w:rPr>
                  </w:pPr>
                </w:p>
              </w:tc>
            </w:tr>
            <w:tr w14:paraId="68DBE73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440" w:type="pct"/>
                  <w:tcBorders>
                    <w:tl2br w:val="nil"/>
                    <w:tr2bl w:val="nil"/>
                  </w:tcBorders>
                  <w:vAlign w:val="center"/>
                </w:tcPr>
                <w:p w14:paraId="652BAF95">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21EA1D16">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硫酸钴</w:t>
                  </w:r>
                </w:p>
              </w:tc>
              <w:tc>
                <w:tcPr>
                  <w:tcW w:w="717" w:type="pct"/>
                  <w:tcBorders>
                    <w:tl2br w:val="nil"/>
                    <w:tr2bl w:val="nil"/>
                  </w:tcBorders>
                  <w:vAlign w:val="center"/>
                </w:tcPr>
                <w:p w14:paraId="51C84417">
                  <w:pPr>
                    <w:adjustRightInd w:val="0"/>
                    <w:snapToGrid w:val="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40979232">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lang w:val="en-US" w:eastAsia="zh-CN"/>
                    </w:rPr>
                    <w:t>5k</w:t>
                  </w:r>
                  <w:r>
                    <w:rPr>
                      <w:rFonts w:hint="default" w:ascii="Times New Roman" w:hAnsi="Times New Roman" w:eastAsia="宋体" w:cs="Times New Roman"/>
                      <w:color w:val="000000"/>
                      <w:sz w:val="18"/>
                      <w:szCs w:val="18"/>
                    </w:rPr>
                    <w:t>g</w:t>
                  </w:r>
                </w:p>
              </w:tc>
              <w:tc>
                <w:tcPr>
                  <w:tcW w:w="786" w:type="pct"/>
                  <w:tcBorders>
                    <w:tl2br w:val="nil"/>
                    <w:tr2bl w:val="nil"/>
                  </w:tcBorders>
                  <w:shd w:val="clear" w:color="auto" w:fill="auto"/>
                  <w:vAlign w:val="center"/>
                </w:tcPr>
                <w:p w14:paraId="319DC7E0">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1k</w:t>
                  </w:r>
                  <w:r>
                    <w:rPr>
                      <w:rFonts w:hint="default" w:ascii="Times New Roman" w:hAnsi="Times New Roman" w:eastAsia="宋体" w:cs="Times New Roman"/>
                      <w:sz w:val="18"/>
                      <w:szCs w:val="18"/>
                    </w:rPr>
                    <w:t>g</w:t>
                  </w:r>
                </w:p>
              </w:tc>
              <w:tc>
                <w:tcPr>
                  <w:tcW w:w="596" w:type="pct"/>
                  <w:vMerge w:val="continue"/>
                  <w:tcBorders>
                    <w:tl2br w:val="nil"/>
                    <w:tr2bl w:val="nil"/>
                  </w:tcBorders>
                  <w:shd w:val="clear" w:color="auto" w:fill="auto"/>
                  <w:vAlign w:val="center"/>
                </w:tcPr>
                <w:p w14:paraId="0E85856D">
                  <w:pPr>
                    <w:jc w:val="center"/>
                    <w:rPr>
                      <w:rFonts w:hint="default" w:ascii="Times New Roman" w:hAnsi="Times New Roman" w:eastAsia="宋体" w:cs="Times New Roman"/>
                      <w:kern w:val="2"/>
                      <w:sz w:val="18"/>
                      <w:szCs w:val="18"/>
                      <w:lang w:val="en-US" w:eastAsia="zh-CN" w:bidi="ar-SA"/>
                    </w:rPr>
                  </w:pPr>
                </w:p>
              </w:tc>
            </w:tr>
            <w:tr w14:paraId="5FDE424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4CE292A7">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5839B68E">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硫酸锰</w:t>
                  </w:r>
                </w:p>
              </w:tc>
              <w:tc>
                <w:tcPr>
                  <w:tcW w:w="717" w:type="pct"/>
                  <w:tcBorders>
                    <w:tl2br w:val="nil"/>
                    <w:tr2bl w:val="nil"/>
                  </w:tcBorders>
                  <w:vAlign w:val="center"/>
                </w:tcPr>
                <w:p w14:paraId="6B3626CA">
                  <w:pPr>
                    <w:adjustRightInd w:val="0"/>
                    <w:snapToGrid w:val="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4E13E05C">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lang w:val="en-US" w:eastAsia="zh-CN"/>
                    </w:rPr>
                    <w:t>5k</w:t>
                  </w:r>
                  <w:r>
                    <w:rPr>
                      <w:rFonts w:hint="default" w:ascii="Times New Roman" w:hAnsi="Times New Roman" w:eastAsia="宋体" w:cs="Times New Roman"/>
                      <w:color w:val="000000"/>
                      <w:sz w:val="18"/>
                      <w:szCs w:val="18"/>
                    </w:rPr>
                    <w:t>g</w:t>
                  </w:r>
                </w:p>
              </w:tc>
              <w:tc>
                <w:tcPr>
                  <w:tcW w:w="786" w:type="pct"/>
                  <w:tcBorders>
                    <w:tl2br w:val="nil"/>
                    <w:tr2bl w:val="nil"/>
                  </w:tcBorders>
                  <w:shd w:val="clear" w:color="auto" w:fill="auto"/>
                  <w:vAlign w:val="center"/>
                </w:tcPr>
                <w:p w14:paraId="54ADEC8D">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1k</w:t>
                  </w:r>
                  <w:r>
                    <w:rPr>
                      <w:rFonts w:hint="default" w:ascii="Times New Roman" w:hAnsi="Times New Roman" w:eastAsia="宋体" w:cs="Times New Roman"/>
                      <w:sz w:val="18"/>
                      <w:szCs w:val="18"/>
                    </w:rPr>
                    <w:t>g</w:t>
                  </w:r>
                </w:p>
              </w:tc>
              <w:tc>
                <w:tcPr>
                  <w:tcW w:w="596" w:type="pct"/>
                  <w:vMerge w:val="continue"/>
                  <w:tcBorders>
                    <w:tl2br w:val="nil"/>
                    <w:tr2bl w:val="nil"/>
                  </w:tcBorders>
                  <w:shd w:val="clear" w:color="auto" w:fill="auto"/>
                  <w:vAlign w:val="center"/>
                </w:tcPr>
                <w:p w14:paraId="3783CE7A">
                  <w:pPr>
                    <w:jc w:val="center"/>
                    <w:rPr>
                      <w:rFonts w:hint="default" w:ascii="Times New Roman" w:hAnsi="Times New Roman" w:eastAsia="宋体" w:cs="Times New Roman"/>
                      <w:kern w:val="2"/>
                      <w:sz w:val="18"/>
                      <w:szCs w:val="18"/>
                      <w:lang w:val="en-US" w:eastAsia="zh-CN" w:bidi="ar-SA"/>
                    </w:rPr>
                  </w:pPr>
                </w:p>
              </w:tc>
            </w:tr>
            <w:tr w14:paraId="72D860D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41AADC8C">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0E3698C2">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三元前驱体</w:t>
                  </w:r>
                </w:p>
              </w:tc>
              <w:tc>
                <w:tcPr>
                  <w:tcW w:w="717" w:type="pct"/>
                  <w:tcBorders>
                    <w:tl2br w:val="nil"/>
                    <w:tr2bl w:val="nil"/>
                  </w:tcBorders>
                  <w:vAlign w:val="center"/>
                </w:tcPr>
                <w:p w14:paraId="3FEA2F79">
                  <w:pPr>
                    <w:adjustRightInd w:val="0"/>
                    <w:snapToGrid w:val="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5E1B108D">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lang w:val="en-US" w:eastAsia="zh-CN"/>
                    </w:rPr>
                    <w:t>2</w:t>
                  </w:r>
                  <w:r>
                    <w:rPr>
                      <w:rFonts w:hint="default" w:ascii="Times New Roman" w:hAnsi="Times New Roman" w:eastAsia="宋体" w:cs="Times New Roman"/>
                      <w:color w:val="000000"/>
                      <w:sz w:val="18"/>
                      <w:szCs w:val="18"/>
                    </w:rPr>
                    <w:t>0</w:t>
                  </w:r>
                  <w:r>
                    <w:rPr>
                      <w:rFonts w:hint="default" w:ascii="Times New Roman" w:hAnsi="Times New Roman" w:eastAsia="宋体" w:cs="Times New Roman"/>
                      <w:color w:val="000000"/>
                      <w:sz w:val="18"/>
                      <w:szCs w:val="18"/>
                      <w:lang w:val="en-US" w:eastAsia="zh-CN"/>
                    </w:rPr>
                    <w:t>kg</w:t>
                  </w:r>
                </w:p>
              </w:tc>
              <w:tc>
                <w:tcPr>
                  <w:tcW w:w="786" w:type="pct"/>
                  <w:tcBorders>
                    <w:tl2br w:val="nil"/>
                    <w:tr2bl w:val="nil"/>
                  </w:tcBorders>
                  <w:shd w:val="clear" w:color="auto" w:fill="auto"/>
                  <w:vAlign w:val="center"/>
                </w:tcPr>
                <w:p w14:paraId="1F7AE6D3">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1kg</w:t>
                  </w:r>
                </w:p>
              </w:tc>
              <w:tc>
                <w:tcPr>
                  <w:tcW w:w="596" w:type="pct"/>
                  <w:vMerge w:val="continue"/>
                  <w:tcBorders>
                    <w:tl2br w:val="nil"/>
                    <w:tr2bl w:val="nil"/>
                  </w:tcBorders>
                  <w:shd w:val="clear" w:color="auto" w:fill="auto"/>
                  <w:vAlign w:val="center"/>
                </w:tcPr>
                <w:p w14:paraId="700891A9">
                  <w:pPr>
                    <w:jc w:val="center"/>
                    <w:rPr>
                      <w:rFonts w:hint="default" w:ascii="Times New Roman" w:hAnsi="Times New Roman" w:eastAsia="宋体" w:cs="Times New Roman"/>
                      <w:kern w:val="2"/>
                      <w:sz w:val="18"/>
                      <w:szCs w:val="18"/>
                      <w:lang w:val="en-US" w:eastAsia="zh-CN" w:bidi="ar-SA"/>
                    </w:rPr>
                  </w:pPr>
                </w:p>
              </w:tc>
            </w:tr>
            <w:tr w14:paraId="64DBEFF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502EE078">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51FD04EA">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氢氧化钠</w:t>
                  </w:r>
                </w:p>
              </w:tc>
              <w:tc>
                <w:tcPr>
                  <w:tcW w:w="717" w:type="pct"/>
                  <w:tcBorders>
                    <w:tl2br w:val="nil"/>
                    <w:tr2bl w:val="nil"/>
                  </w:tcBorders>
                  <w:vAlign w:val="center"/>
                </w:tcPr>
                <w:p w14:paraId="792BF8F4">
                  <w:pPr>
                    <w:adjustRightInd w:val="0"/>
                    <w:snapToGrid w:val="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033199DF">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lang w:val="en-US" w:eastAsia="zh-CN"/>
                    </w:rPr>
                    <w:t>2</w:t>
                  </w:r>
                  <w:r>
                    <w:rPr>
                      <w:rFonts w:hint="default" w:ascii="Times New Roman" w:hAnsi="Times New Roman" w:eastAsia="宋体" w:cs="Times New Roman"/>
                      <w:color w:val="000000"/>
                      <w:sz w:val="18"/>
                      <w:szCs w:val="18"/>
                    </w:rPr>
                    <w:t>0</w:t>
                  </w:r>
                  <w:r>
                    <w:rPr>
                      <w:rFonts w:hint="default" w:ascii="Times New Roman" w:hAnsi="Times New Roman" w:eastAsia="宋体" w:cs="Times New Roman"/>
                      <w:color w:val="000000"/>
                      <w:sz w:val="18"/>
                      <w:szCs w:val="18"/>
                      <w:lang w:val="en-US" w:eastAsia="zh-CN"/>
                    </w:rPr>
                    <w:t>kg</w:t>
                  </w:r>
                </w:p>
              </w:tc>
              <w:tc>
                <w:tcPr>
                  <w:tcW w:w="786" w:type="pct"/>
                  <w:tcBorders>
                    <w:tl2br w:val="nil"/>
                    <w:tr2bl w:val="nil"/>
                  </w:tcBorders>
                  <w:shd w:val="clear" w:color="auto" w:fill="auto"/>
                  <w:vAlign w:val="center"/>
                </w:tcPr>
                <w:p w14:paraId="3B269126">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5</w:t>
                  </w:r>
                  <w:r>
                    <w:rPr>
                      <w:rFonts w:hint="default" w:ascii="Times New Roman" w:hAnsi="Times New Roman" w:eastAsia="宋体" w:cs="Times New Roman"/>
                      <w:sz w:val="18"/>
                      <w:szCs w:val="18"/>
                      <w:lang w:val="en-US" w:eastAsia="zh-CN"/>
                    </w:rPr>
                    <w:t>k</w:t>
                  </w:r>
                  <w:r>
                    <w:rPr>
                      <w:rFonts w:hint="default" w:ascii="Times New Roman" w:hAnsi="Times New Roman" w:eastAsia="宋体" w:cs="Times New Roman"/>
                      <w:sz w:val="18"/>
                      <w:szCs w:val="18"/>
                    </w:rPr>
                    <w:t>g</w:t>
                  </w:r>
                </w:p>
              </w:tc>
              <w:tc>
                <w:tcPr>
                  <w:tcW w:w="596" w:type="pct"/>
                  <w:vMerge w:val="continue"/>
                  <w:tcBorders>
                    <w:tl2br w:val="nil"/>
                    <w:tr2bl w:val="nil"/>
                  </w:tcBorders>
                  <w:shd w:val="clear" w:color="auto" w:fill="auto"/>
                  <w:vAlign w:val="center"/>
                </w:tcPr>
                <w:p w14:paraId="7EBE41DE">
                  <w:pPr>
                    <w:jc w:val="center"/>
                    <w:rPr>
                      <w:rFonts w:hint="default" w:ascii="Times New Roman" w:hAnsi="Times New Roman" w:eastAsia="宋体" w:cs="Times New Roman"/>
                      <w:kern w:val="2"/>
                      <w:sz w:val="18"/>
                      <w:szCs w:val="18"/>
                      <w:lang w:val="en-US" w:eastAsia="zh-CN" w:bidi="ar-SA"/>
                    </w:rPr>
                  </w:pPr>
                </w:p>
              </w:tc>
            </w:tr>
            <w:tr w14:paraId="0FCB19A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074C99D4">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15F0F0B2">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氨水</w:t>
                  </w:r>
                  <w:r>
                    <w:rPr>
                      <w:rFonts w:hint="default" w:ascii="Times New Roman" w:hAnsi="Times New Roman" w:eastAsia="宋体" w:cs="Times New Roman"/>
                      <w:sz w:val="18"/>
                      <w:szCs w:val="18"/>
                      <w:lang w:val="en-US" w:eastAsia="zh-CN"/>
                    </w:rPr>
                    <w:t>(25%)</w:t>
                  </w:r>
                </w:p>
              </w:tc>
              <w:tc>
                <w:tcPr>
                  <w:tcW w:w="717" w:type="pct"/>
                  <w:tcBorders>
                    <w:tl2br w:val="nil"/>
                    <w:tr2bl w:val="nil"/>
                  </w:tcBorders>
                  <w:vAlign w:val="center"/>
                </w:tcPr>
                <w:p w14:paraId="33C63466">
                  <w:pPr>
                    <w:adjustRightInd w:val="0"/>
                    <w:snapToGrid w:val="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500ml</w:t>
                  </w:r>
                </w:p>
              </w:tc>
              <w:tc>
                <w:tcPr>
                  <w:tcW w:w="778" w:type="pct"/>
                  <w:tcBorders>
                    <w:tl2br w:val="nil"/>
                    <w:tr2bl w:val="nil"/>
                  </w:tcBorders>
                  <w:shd w:val="clear" w:color="auto" w:fill="auto"/>
                  <w:vAlign w:val="center"/>
                </w:tcPr>
                <w:p w14:paraId="25A92054">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lang w:val="en-US" w:eastAsia="zh-CN"/>
                    </w:rPr>
                    <w:t>200L</w:t>
                  </w:r>
                </w:p>
              </w:tc>
              <w:tc>
                <w:tcPr>
                  <w:tcW w:w="786" w:type="pct"/>
                  <w:tcBorders>
                    <w:tl2br w:val="nil"/>
                    <w:tr2bl w:val="nil"/>
                  </w:tcBorders>
                  <w:shd w:val="clear" w:color="auto" w:fill="auto"/>
                  <w:vAlign w:val="center"/>
                </w:tcPr>
                <w:p w14:paraId="7720FDF7">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5L</w:t>
                  </w:r>
                </w:p>
              </w:tc>
              <w:tc>
                <w:tcPr>
                  <w:tcW w:w="596" w:type="pct"/>
                  <w:vMerge w:val="continue"/>
                  <w:tcBorders>
                    <w:tl2br w:val="nil"/>
                    <w:tr2bl w:val="nil"/>
                  </w:tcBorders>
                  <w:shd w:val="clear" w:color="auto" w:fill="auto"/>
                  <w:vAlign w:val="center"/>
                </w:tcPr>
                <w:p w14:paraId="0207F1B7">
                  <w:pPr>
                    <w:jc w:val="center"/>
                    <w:rPr>
                      <w:rFonts w:hint="default" w:ascii="Times New Roman" w:hAnsi="Times New Roman" w:eastAsia="宋体" w:cs="Times New Roman"/>
                      <w:kern w:val="2"/>
                      <w:sz w:val="18"/>
                      <w:szCs w:val="18"/>
                      <w:lang w:val="en-US" w:eastAsia="zh-CN" w:bidi="ar-SA"/>
                    </w:rPr>
                  </w:pPr>
                </w:p>
              </w:tc>
            </w:tr>
            <w:tr w14:paraId="5F08E3C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73994778">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3AEC6CCF">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草酸铌铵</w:t>
                  </w:r>
                </w:p>
              </w:tc>
              <w:tc>
                <w:tcPr>
                  <w:tcW w:w="717" w:type="pct"/>
                  <w:tcBorders>
                    <w:tl2br w:val="nil"/>
                    <w:tr2bl w:val="nil"/>
                  </w:tcBorders>
                  <w:vAlign w:val="center"/>
                </w:tcPr>
                <w:p w14:paraId="5048119A">
                  <w:pPr>
                    <w:adjustRightInd w:val="0"/>
                    <w:snapToGrid w:val="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3CBDEA1D">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lang w:val="en-US" w:eastAsia="zh-CN"/>
                    </w:rPr>
                    <w:t>2</w:t>
                  </w:r>
                  <w:r>
                    <w:rPr>
                      <w:rFonts w:hint="default" w:ascii="Times New Roman" w:hAnsi="Times New Roman" w:eastAsia="宋体" w:cs="Times New Roman"/>
                      <w:color w:val="000000"/>
                      <w:sz w:val="18"/>
                      <w:szCs w:val="18"/>
                    </w:rPr>
                    <w:t>kg</w:t>
                  </w:r>
                </w:p>
              </w:tc>
              <w:tc>
                <w:tcPr>
                  <w:tcW w:w="786" w:type="pct"/>
                  <w:tcBorders>
                    <w:tl2br w:val="nil"/>
                    <w:tr2bl w:val="nil"/>
                  </w:tcBorders>
                  <w:shd w:val="clear" w:color="auto" w:fill="auto"/>
                  <w:vAlign w:val="center"/>
                </w:tcPr>
                <w:p w14:paraId="6D0787DC">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1kg</w:t>
                  </w:r>
                </w:p>
              </w:tc>
              <w:tc>
                <w:tcPr>
                  <w:tcW w:w="596" w:type="pct"/>
                  <w:vMerge w:val="continue"/>
                  <w:tcBorders>
                    <w:tl2br w:val="nil"/>
                    <w:tr2bl w:val="nil"/>
                  </w:tcBorders>
                  <w:shd w:val="clear" w:color="auto" w:fill="auto"/>
                  <w:vAlign w:val="center"/>
                </w:tcPr>
                <w:p w14:paraId="53BB558A">
                  <w:pPr>
                    <w:jc w:val="center"/>
                    <w:rPr>
                      <w:rFonts w:hint="default" w:ascii="Times New Roman" w:hAnsi="Times New Roman" w:eastAsia="宋体" w:cs="Times New Roman"/>
                      <w:kern w:val="2"/>
                      <w:sz w:val="18"/>
                      <w:szCs w:val="18"/>
                      <w:lang w:val="en-US" w:eastAsia="zh-CN" w:bidi="ar-SA"/>
                    </w:rPr>
                  </w:pPr>
                </w:p>
              </w:tc>
            </w:tr>
            <w:tr w14:paraId="79BC9BC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718AF35E">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65282BA9">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氢氧化锂</w:t>
                  </w:r>
                </w:p>
              </w:tc>
              <w:tc>
                <w:tcPr>
                  <w:tcW w:w="717" w:type="pct"/>
                  <w:tcBorders>
                    <w:tl2br w:val="nil"/>
                    <w:tr2bl w:val="nil"/>
                  </w:tcBorders>
                  <w:vAlign w:val="center"/>
                </w:tcPr>
                <w:p w14:paraId="35DE4FE3">
                  <w:pPr>
                    <w:adjustRightInd w:val="0"/>
                    <w:snapToGrid w:val="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67D9C823">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lang w:val="en-US" w:eastAsia="zh-CN"/>
                    </w:rPr>
                    <w:t>2</w:t>
                  </w:r>
                  <w:r>
                    <w:rPr>
                      <w:rFonts w:hint="default" w:ascii="Times New Roman" w:hAnsi="Times New Roman" w:eastAsia="宋体" w:cs="Times New Roman"/>
                      <w:color w:val="000000"/>
                      <w:sz w:val="18"/>
                      <w:szCs w:val="18"/>
                    </w:rPr>
                    <w:t>0</w:t>
                  </w:r>
                  <w:r>
                    <w:rPr>
                      <w:rFonts w:hint="default" w:ascii="Times New Roman" w:hAnsi="Times New Roman" w:eastAsia="宋体" w:cs="Times New Roman"/>
                      <w:color w:val="000000"/>
                      <w:sz w:val="18"/>
                      <w:szCs w:val="18"/>
                      <w:lang w:val="en-US" w:eastAsia="zh-CN"/>
                    </w:rPr>
                    <w:t>k</w:t>
                  </w:r>
                  <w:r>
                    <w:rPr>
                      <w:rFonts w:hint="default" w:ascii="Times New Roman" w:hAnsi="Times New Roman" w:eastAsia="宋体" w:cs="Times New Roman"/>
                      <w:color w:val="000000"/>
                      <w:sz w:val="18"/>
                      <w:szCs w:val="18"/>
                    </w:rPr>
                    <w:t>g</w:t>
                  </w:r>
                </w:p>
              </w:tc>
              <w:tc>
                <w:tcPr>
                  <w:tcW w:w="786" w:type="pct"/>
                  <w:tcBorders>
                    <w:tl2br w:val="nil"/>
                    <w:tr2bl w:val="nil"/>
                  </w:tcBorders>
                  <w:shd w:val="clear" w:color="auto" w:fill="auto"/>
                  <w:vAlign w:val="center"/>
                </w:tcPr>
                <w:p w14:paraId="697180AA">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5</w:t>
                  </w:r>
                  <w:r>
                    <w:rPr>
                      <w:rFonts w:hint="default" w:ascii="Times New Roman" w:hAnsi="Times New Roman" w:eastAsia="宋体" w:cs="Times New Roman"/>
                      <w:sz w:val="18"/>
                      <w:szCs w:val="18"/>
                      <w:lang w:val="en-US" w:eastAsia="zh-CN"/>
                    </w:rPr>
                    <w:t>k</w:t>
                  </w:r>
                  <w:r>
                    <w:rPr>
                      <w:rFonts w:hint="default" w:ascii="Times New Roman" w:hAnsi="Times New Roman" w:eastAsia="宋体" w:cs="Times New Roman"/>
                      <w:sz w:val="18"/>
                      <w:szCs w:val="18"/>
                    </w:rPr>
                    <w:t>g</w:t>
                  </w:r>
                </w:p>
              </w:tc>
              <w:tc>
                <w:tcPr>
                  <w:tcW w:w="596" w:type="pct"/>
                  <w:vMerge w:val="continue"/>
                  <w:tcBorders>
                    <w:tl2br w:val="nil"/>
                    <w:tr2bl w:val="nil"/>
                  </w:tcBorders>
                  <w:shd w:val="clear" w:color="auto" w:fill="auto"/>
                  <w:vAlign w:val="center"/>
                </w:tcPr>
                <w:p w14:paraId="02ABD689">
                  <w:pPr>
                    <w:jc w:val="center"/>
                    <w:rPr>
                      <w:rFonts w:hint="default" w:ascii="Times New Roman" w:hAnsi="Times New Roman" w:eastAsia="宋体" w:cs="Times New Roman"/>
                      <w:kern w:val="2"/>
                      <w:sz w:val="18"/>
                      <w:szCs w:val="18"/>
                      <w:lang w:val="en-US" w:eastAsia="zh-CN" w:bidi="ar-SA"/>
                    </w:rPr>
                  </w:pPr>
                </w:p>
              </w:tc>
            </w:tr>
            <w:tr w14:paraId="25C5C90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1B50F41F">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5B1E3F81">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碳酸锂</w:t>
                  </w:r>
                </w:p>
              </w:tc>
              <w:tc>
                <w:tcPr>
                  <w:tcW w:w="717" w:type="pct"/>
                  <w:tcBorders>
                    <w:tl2br w:val="nil"/>
                    <w:tr2bl w:val="nil"/>
                  </w:tcBorders>
                  <w:vAlign w:val="center"/>
                </w:tcPr>
                <w:p w14:paraId="5B57262E">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2F764D33">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lang w:val="en-US" w:eastAsia="zh-CN"/>
                    </w:rPr>
                    <w:t>1</w:t>
                  </w:r>
                  <w:r>
                    <w:rPr>
                      <w:rFonts w:hint="default" w:ascii="Times New Roman" w:hAnsi="Times New Roman" w:eastAsia="宋体" w:cs="Times New Roman"/>
                      <w:color w:val="000000"/>
                      <w:sz w:val="18"/>
                      <w:szCs w:val="18"/>
                    </w:rPr>
                    <w:t>0</w:t>
                  </w:r>
                  <w:r>
                    <w:rPr>
                      <w:rFonts w:hint="default" w:ascii="Times New Roman" w:hAnsi="Times New Roman" w:eastAsia="宋体" w:cs="Times New Roman"/>
                      <w:color w:val="000000"/>
                      <w:sz w:val="18"/>
                      <w:szCs w:val="18"/>
                      <w:lang w:val="en-US" w:eastAsia="zh-CN"/>
                    </w:rPr>
                    <w:t>k</w:t>
                  </w:r>
                  <w:r>
                    <w:rPr>
                      <w:rFonts w:hint="default" w:ascii="Times New Roman" w:hAnsi="Times New Roman" w:eastAsia="宋体" w:cs="Times New Roman"/>
                      <w:color w:val="000000"/>
                      <w:sz w:val="18"/>
                      <w:szCs w:val="18"/>
                    </w:rPr>
                    <w:t>g</w:t>
                  </w:r>
                </w:p>
              </w:tc>
              <w:tc>
                <w:tcPr>
                  <w:tcW w:w="786" w:type="pct"/>
                  <w:tcBorders>
                    <w:tl2br w:val="nil"/>
                    <w:tr2bl w:val="nil"/>
                  </w:tcBorders>
                  <w:shd w:val="clear" w:color="auto" w:fill="auto"/>
                  <w:vAlign w:val="center"/>
                </w:tcPr>
                <w:p w14:paraId="3056E654">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1k</w:t>
                  </w:r>
                  <w:r>
                    <w:rPr>
                      <w:rFonts w:hint="default" w:ascii="Times New Roman" w:hAnsi="Times New Roman" w:eastAsia="宋体" w:cs="Times New Roman"/>
                      <w:sz w:val="18"/>
                      <w:szCs w:val="18"/>
                    </w:rPr>
                    <w:t>g</w:t>
                  </w:r>
                </w:p>
              </w:tc>
              <w:tc>
                <w:tcPr>
                  <w:tcW w:w="596" w:type="pct"/>
                  <w:vMerge w:val="continue"/>
                  <w:tcBorders>
                    <w:tl2br w:val="nil"/>
                    <w:tr2bl w:val="nil"/>
                  </w:tcBorders>
                  <w:shd w:val="clear" w:color="auto" w:fill="auto"/>
                  <w:vAlign w:val="center"/>
                </w:tcPr>
                <w:p w14:paraId="7152E2D6">
                  <w:pPr>
                    <w:jc w:val="center"/>
                    <w:rPr>
                      <w:rFonts w:hint="default" w:ascii="Times New Roman" w:hAnsi="Times New Roman" w:eastAsia="宋体" w:cs="Times New Roman"/>
                      <w:kern w:val="2"/>
                      <w:sz w:val="18"/>
                      <w:szCs w:val="18"/>
                      <w:lang w:val="en-US" w:eastAsia="zh-CN" w:bidi="ar-SA"/>
                    </w:rPr>
                  </w:pPr>
                </w:p>
              </w:tc>
            </w:tr>
            <w:tr w14:paraId="5111C2D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346FD4F1">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2CE79B90">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氧化铌</w:t>
                  </w:r>
                </w:p>
              </w:tc>
              <w:tc>
                <w:tcPr>
                  <w:tcW w:w="717" w:type="pct"/>
                  <w:tcBorders>
                    <w:tl2br w:val="nil"/>
                    <w:tr2bl w:val="nil"/>
                  </w:tcBorders>
                  <w:vAlign w:val="center"/>
                </w:tcPr>
                <w:p w14:paraId="53241404">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697B7E0E">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20kg</w:t>
                  </w:r>
                </w:p>
              </w:tc>
              <w:tc>
                <w:tcPr>
                  <w:tcW w:w="786" w:type="pct"/>
                  <w:tcBorders>
                    <w:tl2br w:val="nil"/>
                    <w:tr2bl w:val="nil"/>
                  </w:tcBorders>
                  <w:shd w:val="clear" w:color="auto" w:fill="auto"/>
                  <w:vAlign w:val="center"/>
                </w:tcPr>
                <w:p w14:paraId="29CC9883">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5kg</w:t>
                  </w:r>
                </w:p>
              </w:tc>
              <w:tc>
                <w:tcPr>
                  <w:tcW w:w="596" w:type="pct"/>
                  <w:vMerge w:val="continue"/>
                  <w:tcBorders>
                    <w:tl2br w:val="nil"/>
                    <w:tr2bl w:val="nil"/>
                  </w:tcBorders>
                  <w:shd w:val="clear" w:color="auto" w:fill="auto"/>
                  <w:vAlign w:val="center"/>
                </w:tcPr>
                <w:p w14:paraId="30CCB08F">
                  <w:pPr>
                    <w:jc w:val="center"/>
                    <w:rPr>
                      <w:rFonts w:hint="default" w:ascii="Times New Roman" w:hAnsi="Times New Roman" w:eastAsia="宋体" w:cs="Times New Roman"/>
                      <w:kern w:val="2"/>
                      <w:sz w:val="18"/>
                      <w:szCs w:val="18"/>
                      <w:lang w:val="en-US" w:eastAsia="zh-CN" w:bidi="ar-SA"/>
                    </w:rPr>
                  </w:pPr>
                </w:p>
              </w:tc>
            </w:tr>
            <w:tr w14:paraId="0E7B4EE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3CE98AB1">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015A1A1D">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氧化钨</w:t>
                  </w:r>
                </w:p>
              </w:tc>
              <w:tc>
                <w:tcPr>
                  <w:tcW w:w="717" w:type="pct"/>
                  <w:tcBorders>
                    <w:tl2br w:val="nil"/>
                    <w:tr2bl w:val="nil"/>
                  </w:tcBorders>
                  <w:vAlign w:val="center"/>
                </w:tcPr>
                <w:p w14:paraId="30A50478">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42357427">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1kg</w:t>
                  </w:r>
                </w:p>
              </w:tc>
              <w:tc>
                <w:tcPr>
                  <w:tcW w:w="786" w:type="pct"/>
                  <w:tcBorders>
                    <w:tl2br w:val="nil"/>
                    <w:tr2bl w:val="nil"/>
                  </w:tcBorders>
                  <w:shd w:val="clear" w:color="auto" w:fill="auto"/>
                  <w:vAlign w:val="center"/>
                </w:tcPr>
                <w:p w14:paraId="5D174842">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596" w:type="pct"/>
                  <w:vMerge w:val="continue"/>
                  <w:tcBorders>
                    <w:tl2br w:val="nil"/>
                    <w:tr2bl w:val="nil"/>
                  </w:tcBorders>
                  <w:shd w:val="clear" w:color="auto" w:fill="auto"/>
                  <w:vAlign w:val="center"/>
                </w:tcPr>
                <w:p w14:paraId="21F19E3B">
                  <w:pPr>
                    <w:jc w:val="center"/>
                    <w:rPr>
                      <w:rFonts w:hint="default" w:ascii="Times New Roman" w:hAnsi="Times New Roman" w:eastAsia="宋体" w:cs="Times New Roman"/>
                      <w:kern w:val="2"/>
                      <w:sz w:val="18"/>
                      <w:szCs w:val="18"/>
                      <w:lang w:val="en-US" w:eastAsia="zh-CN" w:bidi="ar-SA"/>
                    </w:rPr>
                  </w:pPr>
                </w:p>
              </w:tc>
            </w:tr>
            <w:tr w14:paraId="7221700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155C599E">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3A0FA8DD">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氧化镁</w:t>
                  </w:r>
                </w:p>
              </w:tc>
              <w:tc>
                <w:tcPr>
                  <w:tcW w:w="717" w:type="pct"/>
                  <w:tcBorders>
                    <w:tl2br w:val="nil"/>
                    <w:tr2bl w:val="nil"/>
                  </w:tcBorders>
                  <w:vAlign w:val="center"/>
                </w:tcPr>
                <w:p w14:paraId="79D9DB56">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7D0AB406">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1kg</w:t>
                  </w:r>
                </w:p>
              </w:tc>
              <w:tc>
                <w:tcPr>
                  <w:tcW w:w="786" w:type="pct"/>
                  <w:tcBorders>
                    <w:tl2br w:val="nil"/>
                    <w:tr2bl w:val="nil"/>
                  </w:tcBorders>
                  <w:shd w:val="clear" w:color="auto" w:fill="auto"/>
                  <w:vAlign w:val="center"/>
                </w:tcPr>
                <w:p w14:paraId="38363CA8">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596" w:type="pct"/>
                  <w:vMerge w:val="continue"/>
                  <w:tcBorders>
                    <w:tl2br w:val="nil"/>
                    <w:tr2bl w:val="nil"/>
                  </w:tcBorders>
                  <w:shd w:val="clear" w:color="auto" w:fill="auto"/>
                  <w:vAlign w:val="center"/>
                </w:tcPr>
                <w:p w14:paraId="6682F6CD">
                  <w:pPr>
                    <w:jc w:val="center"/>
                    <w:rPr>
                      <w:rFonts w:hint="default" w:ascii="Times New Roman" w:hAnsi="Times New Roman" w:eastAsia="宋体" w:cs="Times New Roman"/>
                      <w:kern w:val="2"/>
                      <w:sz w:val="18"/>
                      <w:szCs w:val="18"/>
                      <w:lang w:val="en-US" w:eastAsia="zh-CN" w:bidi="ar-SA"/>
                    </w:rPr>
                  </w:pPr>
                </w:p>
              </w:tc>
            </w:tr>
            <w:tr w14:paraId="11777EB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7D14402E">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6E37BC95">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氧化锆</w:t>
                  </w:r>
                </w:p>
              </w:tc>
              <w:tc>
                <w:tcPr>
                  <w:tcW w:w="717" w:type="pct"/>
                  <w:tcBorders>
                    <w:tl2br w:val="nil"/>
                    <w:tr2bl w:val="nil"/>
                  </w:tcBorders>
                  <w:vAlign w:val="center"/>
                </w:tcPr>
                <w:p w14:paraId="29BB41C3">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2DFF9876">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1kg</w:t>
                  </w:r>
                </w:p>
              </w:tc>
              <w:tc>
                <w:tcPr>
                  <w:tcW w:w="786" w:type="pct"/>
                  <w:tcBorders>
                    <w:tl2br w:val="nil"/>
                    <w:tr2bl w:val="nil"/>
                  </w:tcBorders>
                  <w:shd w:val="clear" w:color="auto" w:fill="auto"/>
                  <w:vAlign w:val="center"/>
                </w:tcPr>
                <w:p w14:paraId="6C311EFA">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596" w:type="pct"/>
                  <w:vMerge w:val="continue"/>
                  <w:tcBorders>
                    <w:tl2br w:val="nil"/>
                    <w:tr2bl w:val="nil"/>
                  </w:tcBorders>
                  <w:shd w:val="clear" w:color="auto" w:fill="auto"/>
                  <w:vAlign w:val="center"/>
                </w:tcPr>
                <w:p w14:paraId="4A81F0C8">
                  <w:pPr>
                    <w:jc w:val="center"/>
                    <w:rPr>
                      <w:rFonts w:hint="default" w:ascii="Times New Roman" w:hAnsi="Times New Roman" w:eastAsia="宋体" w:cs="Times New Roman"/>
                      <w:kern w:val="2"/>
                      <w:sz w:val="18"/>
                      <w:szCs w:val="18"/>
                      <w:lang w:val="en-US" w:eastAsia="zh-CN" w:bidi="ar-SA"/>
                    </w:rPr>
                  </w:pPr>
                </w:p>
              </w:tc>
            </w:tr>
            <w:tr w14:paraId="616369F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6D03EDB2">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11BCCE7F">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氧化铝</w:t>
                  </w:r>
                </w:p>
              </w:tc>
              <w:tc>
                <w:tcPr>
                  <w:tcW w:w="717" w:type="pct"/>
                  <w:tcBorders>
                    <w:tl2br w:val="nil"/>
                    <w:tr2bl w:val="nil"/>
                  </w:tcBorders>
                  <w:vAlign w:val="center"/>
                </w:tcPr>
                <w:p w14:paraId="511349B5">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4E2F9E30">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1kg</w:t>
                  </w:r>
                </w:p>
              </w:tc>
              <w:tc>
                <w:tcPr>
                  <w:tcW w:w="786" w:type="pct"/>
                  <w:tcBorders>
                    <w:tl2br w:val="nil"/>
                    <w:tr2bl w:val="nil"/>
                  </w:tcBorders>
                  <w:shd w:val="clear" w:color="auto" w:fill="auto"/>
                  <w:vAlign w:val="center"/>
                </w:tcPr>
                <w:p w14:paraId="607DF0E8">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596" w:type="pct"/>
                  <w:vMerge w:val="continue"/>
                  <w:tcBorders>
                    <w:tl2br w:val="nil"/>
                    <w:tr2bl w:val="nil"/>
                  </w:tcBorders>
                  <w:shd w:val="clear" w:color="auto" w:fill="auto"/>
                  <w:vAlign w:val="center"/>
                </w:tcPr>
                <w:p w14:paraId="7305F777">
                  <w:pPr>
                    <w:jc w:val="center"/>
                    <w:rPr>
                      <w:rFonts w:hint="default" w:ascii="Times New Roman" w:hAnsi="Times New Roman" w:eastAsia="宋体" w:cs="Times New Roman"/>
                      <w:kern w:val="2"/>
                      <w:sz w:val="18"/>
                      <w:szCs w:val="18"/>
                      <w:lang w:val="en-US" w:eastAsia="zh-CN" w:bidi="ar-SA"/>
                    </w:rPr>
                  </w:pPr>
                </w:p>
              </w:tc>
            </w:tr>
            <w:tr w14:paraId="4A71864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15510F2A">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4D73127B">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氧化钛</w:t>
                  </w:r>
                </w:p>
              </w:tc>
              <w:tc>
                <w:tcPr>
                  <w:tcW w:w="717" w:type="pct"/>
                  <w:tcBorders>
                    <w:tl2br w:val="nil"/>
                    <w:tr2bl w:val="nil"/>
                  </w:tcBorders>
                  <w:vAlign w:val="center"/>
                </w:tcPr>
                <w:p w14:paraId="5B66D2D9">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31F44218">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1kg</w:t>
                  </w:r>
                </w:p>
              </w:tc>
              <w:tc>
                <w:tcPr>
                  <w:tcW w:w="786" w:type="pct"/>
                  <w:tcBorders>
                    <w:tl2br w:val="nil"/>
                    <w:tr2bl w:val="nil"/>
                  </w:tcBorders>
                  <w:shd w:val="clear" w:color="auto" w:fill="auto"/>
                  <w:vAlign w:val="center"/>
                </w:tcPr>
                <w:p w14:paraId="65695F81">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596" w:type="pct"/>
                  <w:vMerge w:val="continue"/>
                  <w:tcBorders>
                    <w:tl2br w:val="nil"/>
                    <w:tr2bl w:val="nil"/>
                  </w:tcBorders>
                  <w:shd w:val="clear" w:color="auto" w:fill="auto"/>
                  <w:vAlign w:val="center"/>
                </w:tcPr>
                <w:p w14:paraId="05E90F68">
                  <w:pPr>
                    <w:jc w:val="center"/>
                    <w:rPr>
                      <w:rFonts w:hint="default" w:ascii="Times New Roman" w:hAnsi="Times New Roman" w:eastAsia="宋体" w:cs="Times New Roman"/>
                      <w:kern w:val="2"/>
                      <w:sz w:val="18"/>
                      <w:szCs w:val="18"/>
                      <w:lang w:val="en-US" w:eastAsia="zh-CN" w:bidi="ar-SA"/>
                    </w:rPr>
                  </w:pPr>
                </w:p>
              </w:tc>
            </w:tr>
            <w:tr w14:paraId="7B9D44F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7D77DA2B">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430D3437">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磷酸</w:t>
                  </w:r>
                </w:p>
              </w:tc>
              <w:tc>
                <w:tcPr>
                  <w:tcW w:w="717" w:type="pct"/>
                  <w:tcBorders>
                    <w:tl2br w:val="nil"/>
                    <w:tr2bl w:val="nil"/>
                  </w:tcBorders>
                  <w:vAlign w:val="center"/>
                </w:tcPr>
                <w:p w14:paraId="49559CCC">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500ml</w:t>
                  </w:r>
                </w:p>
              </w:tc>
              <w:tc>
                <w:tcPr>
                  <w:tcW w:w="778" w:type="pct"/>
                  <w:tcBorders>
                    <w:tl2br w:val="nil"/>
                    <w:tr2bl w:val="nil"/>
                  </w:tcBorders>
                  <w:shd w:val="clear" w:color="auto" w:fill="auto"/>
                  <w:vAlign w:val="center"/>
                </w:tcPr>
                <w:p w14:paraId="2D1C651C">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6L</w:t>
                  </w:r>
                </w:p>
              </w:tc>
              <w:tc>
                <w:tcPr>
                  <w:tcW w:w="786" w:type="pct"/>
                  <w:tcBorders>
                    <w:tl2br w:val="nil"/>
                    <w:tr2bl w:val="nil"/>
                  </w:tcBorders>
                  <w:shd w:val="clear" w:color="auto" w:fill="auto"/>
                  <w:vAlign w:val="center"/>
                </w:tcPr>
                <w:p w14:paraId="46457AC7">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2L</w:t>
                  </w:r>
                </w:p>
              </w:tc>
              <w:tc>
                <w:tcPr>
                  <w:tcW w:w="596" w:type="pct"/>
                  <w:vMerge w:val="continue"/>
                  <w:tcBorders>
                    <w:tl2br w:val="nil"/>
                    <w:tr2bl w:val="nil"/>
                  </w:tcBorders>
                  <w:shd w:val="clear" w:color="auto" w:fill="auto"/>
                  <w:vAlign w:val="center"/>
                </w:tcPr>
                <w:p w14:paraId="2D6E65D2">
                  <w:pPr>
                    <w:jc w:val="center"/>
                    <w:rPr>
                      <w:rFonts w:hint="default" w:ascii="Times New Roman" w:hAnsi="Times New Roman" w:eastAsia="宋体" w:cs="Times New Roman"/>
                      <w:kern w:val="2"/>
                      <w:sz w:val="18"/>
                      <w:szCs w:val="18"/>
                      <w:lang w:val="en-US" w:eastAsia="zh-CN" w:bidi="ar-SA"/>
                    </w:rPr>
                  </w:pPr>
                </w:p>
              </w:tc>
            </w:tr>
            <w:tr w14:paraId="1ED08AE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271FD3EB">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2DB70A8E">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磷酸铁</w:t>
                  </w:r>
                </w:p>
              </w:tc>
              <w:tc>
                <w:tcPr>
                  <w:tcW w:w="717" w:type="pct"/>
                  <w:tcBorders>
                    <w:tl2br w:val="nil"/>
                    <w:tr2bl w:val="nil"/>
                  </w:tcBorders>
                  <w:vAlign w:val="center"/>
                </w:tcPr>
                <w:p w14:paraId="32D8F94E">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05E5137C">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1kg</w:t>
                  </w:r>
                </w:p>
              </w:tc>
              <w:tc>
                <w:tcPr>
                  <w:tcW w:w="786" w:type="pct"/>
                  <w:tcBorders>
                    <w:tl2br w:val="nil"/>
                    <w:tr2bl w:val="nil"/>
                  </w:tcBorders>
                  <w:shd w:val="clear" w:color="auto" w:fill="auto"/>
                  <w:vAlign w:val="center"/>
                </w:tcPr>
                <w:p w14:paraId="48C641EC">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596" w:type="pct"/>
                  <w:vMerge w:val="continue"/>
                  <w:tcBorders>
                    <w:tl2br w:val="nil"/>
                    <w:tr2bl w:val="nil"/>
                  </w:tcBorders>
                  <w:shd w:val="clear" w:color="auto" w:fill="auto"/>
                  <w:vAlign w:val="center"/>
                </w:tcPr>
                <w:p w14:paraId="14EC06D7">
                  <w:pPr>
                    <w:jc w:val="center"/>
                    <w:rPr>
                      <w:rFonts w:hint="default" w:ascii="Times New Roman" w:hAnsi="Times New Roman" w:eastAsia="宋体" w:cs="Times New Roman"/>
                      <w:kern w:val="2"/>
                      <w:sz w:val="18"/>
                      <w:szCs w:val="18"/>
                      <w:lang w:val="en-US" w:eastAsia="zh-CN" w:bidi="ar-SA"/>
                    </w:rPr>
                  </w:pPr>
                </w:p>
              </w:tc>
            </w:tr>
            <w:tr w14:paraId="3734C34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66DA33E2">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7752AC4F">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硫酸亚铁</w:t>
                  </w:r>
                </w:p>
              </w:tc>
              <w:tc>
                <w:tcPr>
                  <w:tcW w:w="717" w:type="pct"/>
                  <w:tcBorders>
                    <w:tl2br w:val="nil"/>
                    <w:tr2bl w:val="nil"/>
                  </w:tcBorders>
                  <w:vAlign w:val="center"/>
                </w:tcPr>
                <w:p w14:paraId="209CA171">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12764921">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1kg</w:t>
                  </w:r>
                </w:p>
              </w:tc>
              <w:tc>
                <w:tcPr>
                  <w:tcW w:w="786" w:type="pct"/>
                  <w:tcBorders>
                    <w:tl2br w:val="nil"/>
                    <w:tr2bl w:val="nil"/>
                  </w:tcBorders>
                  <w:shd w:val="clear" w:color="auto" w:fill="auto"/>
                  <w:vAlign w:val="center"/>
                </w:tcPr>
                <w:p w14:paraId="2118766A">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596" w:type="pct"/>
                  <w:vMerge w:val="continue"/>
                  <w:tcBorders>
                    <w:tl2br w:val="nil"/>
                    <w:tr2bl w:val="nil"/>
                  </w:tcBorders>
                  <w:shd w:val="clear" w:color="auto" w:fill="auto"/>
                  <w:vAlign w:val="center"/>
                </w:tcPr>
                <w:p w14:paraId="6B7AA750">
                  <w:pPr>
                    <w:jc w:val="center"/>
                    <w:rPr>
                      <w:rFonts w:hint="default" w:ascii="Times New Roman" w:hAnsi="Times New Roman" w:eastAsia="宋体" w:cs="Times New Roman"/>
                      <w:kern w:val="2"/>
                      <w:sz w:val="18"/>
                      <w:szCs w:val="18"/>
                      <w:lang w:val="en-US" w:eastAsia="zh-CN" w:bidi="ar-SA"/>
                    </w:rPr>
                  </w:pPr>
                </w:p>
              </w:tc>
            </w:tr>
            <w:tr w14:paraId="0384C3C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252C5952">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39E63A8E">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葡萄糖</w:t>
                  </w:r>
                </w:p>
              </w:tc>
              <w:tc>
                <w:tcPr>
                  <w:tcW w:w="717" w:type="pct"/>
                  <w:tcBorders>
                    <w:tl2br w:val="nil"/>
                    <w:tr2bl w:val="nil"/>
                  </w:tcBorders>
                  <w:vAlign w:val="center"/>
                </w:tcPr>
                <w:p w14:paraId="5C8917DD">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18E196B5">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1kg</w:t>
                  </w:r>
                </w:p>
              </w:tc>
              <w:tc>
                <w:tcPr>
                  <w:tcW w:w="786" w:type="pct"/>
                  <w:tcBorders>
                    <w:tl2br w:val="nil"/>
                    <w:tr2bl w:val="nil"/>
                  </w:tcBorders>
                  <w:shd w:val="clear" w:color="auto" w:fill="auto"/>
                  <w:vAlign w:val="center"/>
                </w:tcPr>
                <w:p w14:paraId="41D46DA9">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596" w:type="pct"/>
                  <w:vMerge w:val="continue"/>
                  <w:tcBorders>
                    <w:tl2br w:val="nil"/>
                    <w:tr2bl w:val="nil"/>
                  </w:tcBorders>
                  <w:shd w:val="clear" w:color="auto" w:fill="auto"/>
                  <w:vAlign w:val="center"/>
                </w:tcPr>
                <w:p w14:paraId="10A78120">
                  <w:pPr>
                    <w:jc w:val="center"/>
                    <w:rPr>
                      <w:rFonts w:hint="default" w:ascii="Times New Roman" w:hAnsi="Times New Roman" w:eastAsia="宋体" w:cs="Times New Roman"/>
                      <w:kern w:val="2"/>
                      <w:sz w:val="18"/>
                      <w:szCs w:val="18"/>
                      <w:lang w:val="en-US" w:eastAsia="zh-CN" w:bidi="ar-SA"/>
                    </w:rPr>
                  </w:pPr>
                </w:p>
              </w:tc>
            </w:tr>
            <w:tr w14:paraId="3123AAD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1D5C3BA5">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54E84D34">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四氧化三锰</w:t>
                  </w:r>
                </w:p>
              </w:tc>
              <w:tc>
                <w:tcPr>
                  <w:tcW w:w="717" w:type="pct"/>
                  <w:tcBorders>
                    <w:tl2br w:val="nil"/>
                    <w:tr2bl w:val="nil"/>
                  </w:tcBorders>
                  <w:vAlign w:val="center"/>
                </w:tcPr>
                <w:p w14:paraId="7C2115CD">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417EC180">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1kg</w:t>
                  </w:r>
                </w:p>
              </w:tc>
              <w:tc>
                <w:tcPr>
                  <w:tcW w:w="786" w:type="pct"/>
                  <w:tcBorders>
                    <w:tl2br w:val="nil"/>
                    <w:tr2bl w:val="nil"/>
                  </w:tcBorders>
                  <w:shd w:val="clear" w:color="auto" w:fill="auto"/>
                  <w:vAlign w:val="center"/>
                </w:tcPr>
                <w:p w14:paraId="3B9D93F0">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596" w:type="pct"/>
                  <w:vMerge w:val="continue"/>
                  <w:tcBorders>
                    <w:tl2br w:val="nil"/>
                    <w:tr2bl w:val="nil"/>
                  </w:tcBorders>
                  <w:shd w:val="clear" w:color="auto" w:fill="auto"/>
                  <w:vAlign w:val="center"/>
                </w:tcPr>
                <w:p w14:paraId="0AE7914B">
                  <w:pPr>
                    <w:jc w:val="center"/>
                    <w:rPr>
                      <w:rFonts w:hint="default" w:ascii="Times New Roman" w:hAnsi="Times New Roman" w:eastAsia="宋体" w:cs="Times New Roman"/>
                      <w:kern w:val="2"/>
                      <w:sz w:val="18"/>
                      <w:szCs w:val="18"/>
                      <w:lang w:val="en-US" w:eastAsia="zh-CN" w:bidi="ar-SA"/>
                    </w:rPr>
                  </w:pPr>
                </w:p>
              </w:tc>
            </w:tr>
            <w:tr w14:paraId="48643C7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0FBEB2E9">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43B1F329">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二氧化锰</w:t>
                  </w:r>
                </w:p>
              </w:tc>
              <w:tc>
                <w:tcPr>
                  <w:tcW w:w="717" w:type="pct"/>
                  <w:tcBorders>
                    <w:tl2br w:val="nil"/>
                    <w:tr2bl w:val="nil"/>
                  </w:tcBorders>
                  <w:vAlign w:val="center"/>
                </w:tcPr>
                <w:p w14:paraId="5A4DC023">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54906FF9">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1kg</w:t>
                  </w:r>
                </w:p>
              </w:tc>
              <w:tc>
                <w:tcPr>
                  <w:tcW w:w="786" w:type="pct"/>
                  <w:tcBorders>
                    <w:tl2br w:val="nil"/>
                    <w:tr2bl w:val="nil"/>
                  </w:tcBorders>
                  <w:shd w:val="clear" w:color="auto" w:fill="auto"/>
                  <w:vAlign w:val="center"/>
                </w:tcPr>
                <w:p w14:paraId="6D316678">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596" w:type="pct"/>
                  <w:vMerge w:val="continue"/>
                  <w:tcBorders>
                    <w:tl2br w:val="nil"/>
                    <w:tr2bl w:val="nil"/>
                  </w:tcBorders>
                  <w:shd w:val="clear" w:color="auto" w:fill="auto"/>
                  <w:vAlign w:val="center"/>
                </w:tcPr>
                <w:p w14:paraId="281FD7C8">
                  <w:pPr>
                    <w:jc w:val="center"/>
                    <w:rPr>
                      <w:rFonts w:hint="default" w:ascii="Times New Roman" w:hAnsi="Times New Roman" w:eastAsia="宋体" w:cs="Times New Roman"/>
                      <w:kern w:val="2"/>
                      <w:sz w:val="18"/>
                      <w:szCs w:val="18"/>
                      <w:lang w:val="en-US" w:eastAsia="zh-CN" w:bidi="ar-SA"/>
                    </w:rPr>
                  </w:pPr>
                </w:p>
              </w:tc>
            </w:tr>
            <w:tr w14:paraId="75DFD7C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064E8EB7">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7C00FCBC">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导电炭黑</w:t>
                  </w:r>
                </w:p>
              </w:tc>
              <w:tc>
                <w:tcPr>
                  <w:tcW w:w="717" w:type="pct"/>
                  <w:tcBorders>
                    <w:tl2br w:val="nil"/>
                    <w:tr2bl w:val="nil"/>
                  </w:tcBorders>
                  <w:vAlign w:val="center"/>
                </w:tcPr>
                <w:p w14:paraId="6F5299D8">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7228E499">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1kg</w:t>
                  </w:r>
                </w:p>
              </w:tc>
              <w:tc>
                <w:tcPr>
                  <w:tcW w:w="786" w:type="pct"/>
                  <w:tcBorders>
                    <w:tl2br w:val="nil"/>
                    <w:tr2bl w:val="nil"/>
                  </w:tcBorders>
                  <w:shd w:val="clear" w:color="auto" w:fill="auto"/>
                  <w:vAlign w:val="center"/>
                </w:tcPr>
                <w:p w14:paraId="22EF1F0A">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596" w:type="pct"/>
                  <w:vMerge w:val="continue"/>
                  <w:tcBorders>
                    <w:tl2br w:val="nil"/>
                    <w:tr2bl w:val="nil"/>
                  </w:tcBorders>
                  <w:shd w:val="clear" w:color="auto" w:fill="auto"/>
                  <w:vAlign w:val="center"/>
                </w:tcPr>
                <w:p w14:paraId="436CD99A">
                  <w:pPr>
                    <w:jc w:val="center"/>
                    <w:rPr>
                      <w:rFonts w:hint="default" w:ascii="Times New Roman" w:hAnsi="Times New Roman" w:eastAsia="宋体" w:cs="Times New Roman"/>
                      <w:kern w:val="2"/>
                      <w:sz w:val="18"/>
                      <w:szCs w:val="18"/>
                      <w:lang w:val="en-US" w:eastAsia="zh-CN" w:bidi="ar-SA"/>
                    </w:rPr>
                  </w:pPr>
                </w:p>
              </w:tc>
            </w:tr>
            <w:tr w14:paraId="5DB6E91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699E8AD5">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4957234B">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聚偏氟乙烯</w:t>
                  </w:r>
                </w:p>
              </w:tc>
              <w:tc>
                <w:tcPr>
                  <w:tcW w:w="717" w:type="pct"/>
                  <w:tcBorders>
                    <w:tl2br w:val="nil"/>
                    <w:tr2bl w:val="nil"/>
                  </w:tcBorders>
                  <w:vAlign w:val="center"/>
                </w:tcPr>
                <w:p w14:paraId="20C2561D">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1DBF7056">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2kg</w:t>
                  </w:r>
                </w:p>
              </w:tc>
              <w:tc>
                <w:tcPr>
                  <w:tcW w:w="786" w:type="pct"/>
                  <w:tcBorders>
                    <w:tl2br w:val="nil"/>
                    <w:tr2bl w:val="nil"/>
                  </w:tcBorders>
                  <w:shd w:val="clear" w:color="auto" w:fill="auto"/>
                  <w:vAlign w:val="center"/>
                </w:tcPr>
                <w:p w14:paraId="225BC3E6">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2kg</w:t>
                  </w:r>
                </w:p>
              </w:tc>
              <w:tc>
                <w:tcPr>
                  <w:tcW w:w="596" w:type="pct"/>
                  <w:vMerge w:val="continue"/>
                  <w:tcBorders>
                    <w:tl2br w:val="nil"/>
                    <w:tr2bl w:val="nil"/>
                  </w:tcBorders>
                  <w:shd w:val="clear" w:color="auto" w:fill="auto"/>
                  <w:vAlign w:val="center"/>
                </w:tcPr>
                <w:p w14:paraId="7442E4C8">
                  <w:pPr>
                    <w:jc w:val="center"/>
                    <w:rPr>
                      <w:rFonts w:hint="default" w:ascii="Times New Roman" w:hAnsi="Times New Roman" w:eastAsia="宋体" w:cs="Times New Roman"/>
                      <w:kern w:val="2"/>
                      <w:sz w:val="18"/>
                      <w:szCs w:val="18"/>
                      <w:lang w:val="en-US" w:eastAsia="zh-CN" w:bidi="ar-SA"/>
                    </w:rPr>
                  </w:pPr>
                </w:p>
              </w:tc>
            </w:tr>
            <w:tr w14:paraId="6DD9EB4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40" w:type="pct"/>
                  <w:tcBorders>
                    <w:tl2br w:val="nil"/>
                    <w:tr2bl w:val="nil"/>
                  </w:tcBorders>
                  <w:vAlign w:val="center"/>
                </w:tcPr>
                <w:p w14:paraId="7EF7E7D1">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10E4E468">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金属锂片</w:t>
                  </w:r>
                </w:p>
              </w:tc>
              <w:tc>
                <w:tcPr>
                  <w:tcW w:w="717" w:type="pct"/>
                  <w:tcBorders>
                    <w:tl2br w:val="nil"/>
                    <w:tr2bl w:val="nil"/>
                  </w:tcBorders>
                  <w:vAlign w:val="center"/>
                </w:tcPr>
                <w:p w14:paraId="43DD6525">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500g</w:t>
                  </w:r>
                </w:p>
              </w:tc>
              <w:tc>
                <w:tcPr>
                  <w:tcW w:w="778" w:type="pct"/>
                  <w:tcBorders>
                    <w:tl2br w:val="nil"/>
                    <w:tr2bl w:val="nil"/>
                  </w:tcBorders>
                  <w:shd w:val="clear" w:color="auto" w:fill="auto"/>
                  <w:vAlign w:val="center"/>
                </w:tcPr>
                <w:p w14:paraId="2737B320">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2kg</w:t>
                  </w:r>
                </w:p>
              </w:tc>
              <w:tc>
                <w:tcPr>
                  <w:tcW w:w="786" w:type="pct"/>
                  <w:tcBorders>
                    <w:tl2br w:val="nil"/>
                    <w:tr2bl w:val="nil"/>
                  </w:tcBorders>
                  <w:shd w:val="clear" w:color="auto" w:fill="auto"/>
                  <w:vAlign w:val="center"/>
                </w:tcPr>
                <w:p w14:paraId="6AD1F11C">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1kg</w:t>
                  </w:r>
                </w:p>
              </w:tc>
              <w:tc>
                <w:tcPr>
                  <w:tcW w:w="596" w:type="pct"/>
                  <w:vMerge w:val="restart"/>
                  <w:tcBorders>
                    <w:tl2br w:val="nil"/>
                    <w:tr2bl w:val="nil"/>
                  </w:tcBorders>
                  <w:shd w:val="clear" w:color="auto" w:fill="auto"/>
                  <w:vAlign w:val="center"/>
                </w:tcPr>
                <w:p w14:paraId="456049EF">
                  <w:pPr>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纳米晶材料实验</w:t>
                  </w:r>
                </w:p>
              </w:tc>
            </w:tr>
            <w:tr w14:paraId="2EF17AD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440" w:type="pct"/>
                  <w:tcBorders>
                    <w:tl2br w:val="nil"/>
                    <w:tr2bl w:val="nil"/>
                  </w:tcBorders>
                  <w:vAlign w:val="center"/>
                </w:tcPr>
                <w:p w14:paraId="105C6C23">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5AB0EAE0">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环氧树脂（固化剂）</w:t>
                  </w:r>
                </w:p>
              </w:tc>
              <w:tc>
                <w:tcPr>
                  <w:tcW w:w="717" w:type="pct"/>
                  <w:tcBorders>
                    <w:tl2br w:val="nil"/>
                    <w:tr2bl w:val="nil"/>
                  </w:tcBorders>
                  <w:vAlign w:val="center"/>
                </w:tcPr>
                <w:p w14:paraId="5B1FDA6D">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500ml</w:t>
                  </w:r>
                </w:p>
              </w:tc>
              <w:tc>
                <w:tcPr>
                  <w:tcW w:w="778" w:type="pct"/>
                  <w:tcBorders>
                    <w:tl2br w:val="nil"/>
                    <w:tr2bl w:val="nil"/>
                  </w:tcBorders>
                  <w:shd w:val="clear" w:color="auto" w:fill="auto"/>
                  <w:vAlign w:val="center"/>
                </w:tcPr>
                <w:p w14:paraId="5C613920">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3.2L</w:t>
                  </w:r>
                </w:p>
              </w:tc>
              <w:tc>
                <w:tcPr>
                  <w:tcW w:w="786" w:type="pct"/>
                  <w:tcBorders>
                    <w:tl2br w:val="nil"/>
                    <w:tr2bl w:val="nil"/>
                  </w:tcBorders>
                  <w:shd w:val="clear" w:color="auto" w:fill="auto"/>
                  <w:vAlign w:val="center"/>
                </w:tcPr>
                <w:p w14:paraId="0430F50C">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1L</w:t>
                  </w:r>
                </w:p>
              </w:tc>
              <w:tc>
                <w:tcPr>
                  <w:tcW w:w="596" w:type="pct"/>
                  <w:vMerge w:val="continue"/>
                  <w:tcBorders>
                    <w:tl2br w:val="nil"/>
                    <w:tr2bl w:val="nil"/>
                  </w:tcBorders>
                  <w:shd w:val="clear" w:color="auto" w:fill="auto"/>
                  <w:vAlign w:val="center"/>
                </w:tcPr>
                <w:p w14:paraId="023F9E6E">
                  <w:pPr>
                    <w:jc w:val="center"/>
                    <w:rPr>
                      <w:rFonts w:hint="default" w:ascii="Times New Roman" w:hAnsi="Times New Roman" w:eastAsia="宋体" w:cs="Times New Roman"/>
                      <w:kern w:val="2"/>
                      <w:sz w:val="18"/>
                      <w:szCs w:val="18"/>
                      <w:lang w:val="en-US" w:eastAsia="zh-CN" w:bidi="ar-SA"/>
                    </w:rPr>
                  </w:pPr>
                </w:p>
              </w:tc>
            </w:tr>
            <w:tr w14:paraId="23F790B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0" w:type="pct"/>
                  <w:tcBorders>
                    <w:tl2br w:val="nil"/>
                    <w:tr2bl w:val="nil"/>
                  </w:tcBorders>
                  <w:vAlign w:val="center"/>
                </w:tcPr>
                <w:p w14:paraId="7BC0CD6A">
                  <w:pPr>
                    <w:numPr>
                      <w:ilvl w:val="0"/>
                      <w:numId w:val="25"/>
                    </w:numPr>
                    <w:adjustRightInd w:val="0"/>
                    <w:snapToGrid w:val="0"/>
                    <w:ind w:left="425" w:leftChars="0" w:hanging="425" w:firstLineChars="0"/>
                    <w:jc w:val="center"/>
                    <w:rPr>
                      <w:rFonts w:hint="default" w:ascii="Times New Roman" w:hAnsi="Times New Roman" w:eastAsia="宋体" w:cs="Times New Roman"/>
                      <w:szCs w:val="21"/>
                      <w:highlight w:val="none"/>
                    </w:rPr>
                  </w:pPr>
                </w:p>
              </w:tc>
              <w:tc>
                <w:tcPr>
                  <w:tcW w:w="1680" w:type="pct"/>
                  <w:tcBorders>
                    <w:tl2br w:val="nil"/>
                    <w:tr2bl w:val="nil"/>
                  </w:tcBorders>
                  <w:shd w:val="clear" w:color="auto" w:fill="auto"/>
                  <w:vAlign w:val="center"/>
                </w:tcPr>
                <w:p w14:paraId="5ED2EB81">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润滑剂（设备维护用）</w:t>
                  </w:r>
                </w:p>
              </w:tc>
              <w:tc>
                <w:tcPr>
                  <w:tcW w:w="717" w:type="pct"/>
                  <w:tcBorders>
                    <w:tl2br w:val="nil"/>
                    <w:tr2bl w:val="nil"/>
                  </w:tcBorders>
                  <w:vAlign w:val="center"/>
                </w:tcPr>
                <w:p w14:paraId="54A1DFDE">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500ml</w:t>
                  </w:r>
                </w:p>
              </w:tc>
              <w:tc>
                <w:tcPr>
                  <w:tcW w:w="778" w:type="pct"/>
                  <w:tcBorders>
                    <w:tl2br w:val="nil"/>
                    <w:tr2bl w:val="nil"/>
                  </w:tcBorders>
                  <w:shd w:val="clear" w:color="auto" w:fill="auto"/>
                  <w:vAlign w:val="center"/>
                </w:tcPr>
                <w:p w14:paraId="332E0F1D">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6L</w:t>
                  </w:r>
                </w:p>
              </w:tc>
              <w:tc>
                <w:tcPr>
                  <w:tcW w:w="786" w:type="pct"/>
                  <w:tcBorders>
                    <w:tl2br w:val="nil"/>
                    <w:tr2bl w:val="nil"/>
                  </w:tcBorders>
                  <w:shd w:val="clear" w:color="auto" w:fill="auto"/>
                  <w:vAlign w:val="center"/>
                </w:tcPr>
                <w:p w14:paraId="54CB0C91">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500mL</w:t>
                  </w:r>
                </w:p>
              </w:tc>
              <w:tc>
                <w:tcPr>
                  <w:tcW w:w="596" w:type="pct"/>
                  <w:tcBorders>
                    <w:tl2br w:val="nil"/>
                    <w:tr2bl w:val="nil"/>
                  </w:tcBorders>
                  <w:shd w:val="clear" w:color="auto" w:fill="auto"/>
                  <w:vAlign w:val="center"/>
                </w:tcPr>
                <w:p w14:paraId="1CC91AFF">
                  <w:pPr>
                    <w:jc w:val="center"/>
                    <w:rPr>
                      <w:rFonts w:hint="default"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t>公用工程及实验设备</w:t>
                  </w:r>
                </w:p>
              </w:tc>
            </w:tr>
          </w:tbl>
          <w:p w14:paraId="72B59917">
            <w:pPr>
              <w:adjustRightInd w:val="0"/>
              <w:snapToGrid w:val="0"/>
              <w:spacing w:line="360" w:lineRule="auto"/>
              <w:ind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项目主要原辅材料理化性质详见下表。</w:t>
            </w:r>
          </w:p>
          <w:p w14:paraId="3BBF04DC">
            <w:pPr>
              <w:numPr>
                <w:ilvl w:val="0"/>
                <w:numId w:val="23"/>
              </w:numPr>
              <w:adjustRightInd w:val="0"/>
              <w:snapToGrid w:val="0"/>
              <w:spacing w:line="360" w:lineRule="auto"/>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项目主要原辅材料理化性质一览表</w:t>
            </w:r>
          </w:p>
          <w:tbl>
            <w:tblPr>
              <w:tblStyle w:val="17"/>
              <w:tblW w:w="7964" w:type="dxa"/>
              <w:jc w:val="center"/>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45"/>
              <w:gridCol w:w="1096"/>
              <w:gridCol w:w="6223"/>
            </w:tblGrid>
            <w:tr w14:paraId="41346721">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52" w:hRule="atLeast"/>
                <w:jc w:val="center"/>
              </w:trPr>
              <w:tc>
                <w:tcPr>
                  <w:tcW w:w="645" w:type="dxa"/>
                  <w:tcBorders>
                    <w:tl2br w:val="nil"/>
                    <w:tr2bl w:val="nil"/>
                  </w:tcBorders>
                  <w:vAlign w:val="center"/>
                </w:tcPr>
                <w:p w14:paraId="2A2A4F5A">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序号</w:t>
                  </w:r>
                </w:p>
              </w:tc>
              <w:tc>
                <w:tcPr>
                  <w:tcW w:w="1096" w:type="dxa"/>
                  <w:tcBorders>
                    <w:tl2br w:val="nil"/>
                    <w:tr2bl w:val="nil"/>
                  </w:tcBorders>
                  <w:vAlign w:val="center"/>
                </w:tcPr>
                <w:p w14:paraId="34330AF6">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名称</w:t>
                  </w:r>
                </w:p>
              </w:tc>
              <w:tc>
                <w:tcPr>
                  <w:tcW w:w="6223" w:type="dxa"/>
                  <w:tcBorders>
                    <w:tl2br w:val="nil"/>
                    <w:tr2bl w:val="nil"/>
                  </w:tcBorders>
                  <w:vAlign w:val="center"/>
                </w:tcPr>
                <w:p w14:paraId="79620A5C">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理化性质</w:t>
                  </w:r>
                </w:p>
              </w:tc>
            </w:tr>
            <w:tr w14:paraId="0F56411E">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1BCAF98E">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4F543BEE">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rPr>
                    <w:t>硝酸</w:t>
                  </w:r>
                </w:p>
              </w:tc>
              <w:tc>
                <w:tcPr>
                  <w:tcW w:w="6223" w:type="dxa"/>
                  <w:tcBorders>
                    <w:tl2br w:val="nil"/>
                    <w:tr2bl w:val="nil"/>
                  </w:tcBorders>
                  <w:shd w:val="clear" w:color="auto" w:fill="auto"/>
                  <w:vAlign w:val="center"/>
                </w:tcPr>
                <w:p w14:paraId="2D076263">
                  <w:pPr>
                    <w:adjustRightInd w:val="0"/>
                    <w:snapToGrid w:val="0"/>
                    <w:jc w:val="left"/>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无色透明发烟液体，有酸味。熔点(℃)：-42(无水)；沸点(℃)：86(无水)；相对密度(水=1)：1.50(无水)；相对蒸气密度(空气=1)：2.17；饱和蒸气压(kPa)：4.4(20℃)；溶解性：与水混溶。</w:t>
                  </w:r>
                </w:p>
              </w:tc>
            </w:tr>
            <w:tr w14:paraId="0665A977">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7B0CC482">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33DB9A4D">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404040"/>
                      <w:sz w:val="18"/>
                      <w:szCs w:val="18"/>
                    </w:rPr>
                    <w:t>盐酸</w:t>
                  </w:r>
                </w:p>
              </w:tc>
              <w:tc>
                <w:tcPr>
                  <w:tcW w:w="6223" w:type="dxa"/>
                  <w:tcBorders>
                    <w:tl2br w:val="nil"/>
                    <w:tr2bl w:val="nil"/>
                  </w:tcBorders>
                  <w:vAlign w:val="center"/>
                </w:tcPr>
                <w:p w14:paraId="4D59BAF2">
                  <w:pPr>
                    <w:adjustRightInd w:val="0"/>
                    <w:snapToGrid w:val="0"/>
                    <w:jc w:val="left"/>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无色液体，有腐蚀性，具有刺激性气味。密度：1.20g/mL，LD50：900mg/kg(兔经口) 危险特性：具强腐蚀性、强刺激性，可致人体灼伤。</w:t>
                  </w:r>
                </w:p>
              </w:tc>
            </w:tr>
            <w:tr w14:paraId="1E8A49A7">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79BDC59D">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0E4BC2DD">
                  <w:pPr>
                    <w:adjustRightInd w:val="0"/>
                    <w:snapToGrid w:val="0"/>
                    <w:jc w:val="center"/>
                    <w:rPr>
                      <w:rFonts w:hint="eastAsia" w:ascii="Times New Roman" w:hAnsi="Times New Roman" w:eastAsia="宋体" w:cs="Times New Roman"/>
                      <w:color w:val="404040"/>
                      <w:sz w:val="18"/>
                      <w:szCs w:val="18"/>
                      <w:lang w:val="en-US" w:eastAsia="zh-CN"/>
                    </w:rPr>
                  </w:pPr>
                  <w:r>
                    <w:rPr>
                      <w:rFonts w:hint="eastAsia" w:cs="Times New Roman"/>
                      <w:color w:val="404040"/>
                      <w:sz w:val="18"/>
                      <w:szCs w:val="18"/>
                      <w:lang w:val="en-US" w:eastAsia="zh-CN"/>
                    </w:rPr>
                    <w:t>氢氟酸</w:t>
                  </w:r>
                </w:p>
              </w:tc>
              <w:tc>
                <w:tcPr>
                  <w:tcW w:w="6223" w:type="dxa"/>
                  <w:tcBorders>
                    <w:tl2br w:val="nil"/>
                    <w:tr2bl w:val="nil"/>
                  </w:tcBorders>
                  <w:vAlign w:val="center"/>
                </w:tcPr>
                <w:p w14:paraId="7F05419C">
                  <w:pPr>
                    <w:adjustRightInd w:val="0"/>
                    <w:snapToGrid w:val="0"/>
                    <w:jc w:val="left"/>
                    <w:rPr>
                      <w:rFonts w:hint="eastAsia" w:ascii="Times New Roman" w:hAnsi="Times New Roman" w:eastAsia="宋体" w:cs="Times New Roman"/>
                      <w:sz w:val="18"/>
                      <w:szCs w:val="18"/>
                      <w:lang w:val="en-US" w:eastAsia="zh-CN"/>
                    </w:rPr>
                  </w:pPr>
                  <w:r>
                    <w:rPr>
                      <w:rFonts w:ascii="Segoe UI" w:hAnsi="Segoe UI" w:eastAsia="Segoe UI" w:cs="Segoe UI"/>
                      <w:i w:val="0"/>
                      <w:iCs w:val="0"/>
                      <w:caps w:val="0"/>
                      <w:spacing w:val="0"/>
                      <w:sz w:val="19"/>
                      <w:szCs w:val="19"/>
                      <w:shd w:val="clear" w:fill="FFFFFF"/>
                    </w:rPr>
                    <w:t>无色液体</w:t>
                  </w:r>
                  <w:r>
                    <w:rPr>
                      <w:rFonts w:hint="default" w:ascii="Times New Roman" w:hAnsi="Times New Roman" w:eastAsia="宋体" w:cs="Times New Roman"/>
                      <w:sz w:val="18"/>
                      <w:szCs w:val="18"/>
                      <w:lang w:val="en-US" w:eastAsia="zh-CN"/>
                    </w:rPr>
                    <w:t>，具有强烈刺激性气味</w:t>
                  </w:r>
                  <w:r>
                    <w:rPr>
                      <w:rFonts w:hint="eastAsia" w:ascii="Times New Roman" w:hAnsi="Times New Roman" w:eastAsia="宋体" w:cs="Times New Roman"/>
                      <w:sz w:val="18"/>
                      <w:szCs w:val="18"/>
                      <w:lang w:val="en-US" w:eastAsia="zh-CN"/>
                    </w:rPr>
                    <w:t>，</w:t>
                  </w:r>
                  <w:r>
                    <w:rPr>
                      <w:rFonts w:hint="default" w:ascii="Times New Roman" w:hAnsi="Times New Roman" w:eastAsia="宋体" w:cs="Times New Roman"/>
                      <w:sz w:val="18"/>
                      <w:szCs w:val="18"/>
                      <w:lang w:val="en-US" w:eastAsia="zh-CN"/>
                    </w:rPr>
                    <w:t>40% 溶液密度约1.15 g/cm³（20℃</w:t>
                  </w:r>
                  <w:r>
                    <w:rPr>
                      <w:rFonts w:ascii="Segoe UI" w:hAnsi="Segoe UI" w:eastAsia="Segoe UI" w:cs="Segoe UI"/>
                      <w:i w:val="0"/>
                      <w:iCs w:val="0"/>
                      <w:caps w:val="0"/>
                      <w:spacing w:val="0"/>
                      <w:sz w:val="19"/>
                      <w:szCs w:val="19"/>
                      <w:shd w:val="clear" w:fill="FFFFFF"/>
                    </w:rPr>
                    <w:t>）</w:t>
                  </w:r>
                  <w:r>
                    <w:rPr>
                      <w:rFonts w:hint="eastAsia" w:ascii="Segoe UI" w:hAnsi="Segoe UI" w:eastAsia="宋体" w:cs="Segoe UI"/>
                      <w:i w:val="0"/>
                      <w:iCs w:val="0"/>
                      <w:caps w:val="0"/>
                      <w:spacing w:val="0"/>
                      <w:sz w:val="19"/>
                      <w:szCs w:val="19"/>
                      <w:shd w:val="clear" w:fill="FFFFFF"/>
                      <w:lang w:eastAsia="zh-CN"/>
                    </w:rPr>
                    <w:t>。</w:t>
                  </w:r>
                </w:p>
              </w:tc>
            </w:tr>
            <w:tr w14:paraId="2B31728A">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45" w:type="dxa"/>
                  <w:tcBorders>
                    <w:tl2br w:val="nil"/>
                    <w:tr2bl w:val="nil"/>
                  </w:tcBorders>
                  <w:vAlign w:val="center"/>
                </w:tcPr>
                <w:p w14:paraId="35769CB4">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25514998">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乙醇</w:t>
                  </w:r>
                </w:p>
              </w:tc>
              <w:tc>
                <w:tcPr>
                  <w:tcW w:w="6223" w:type="dxa"/>
                  <w:tcBorders>
                    <w:tl2br w:val="nil"/>
                    <w:tr2bl w:val="nil"/>
                  </w:tcBorders>
                  <w:shd w:val="clear" w:color="auto" w:fill="auto"/>
                  <w:vAlign w:val="center"/>
                </w:tcPr>
                <w:p w14:paraId="06E8C746">
                  <w:pPr>
                    <w:adjustRightInd w:val="0"/>
                    <w:snapToGrid w:val="0"/>
                    <w:jc w:val="left"/>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醇类化合物的一种，化学式为 C2H6O，在常温常压下是一种易挥发的无色透明液体，毒性较低，可以与水以任意比互溶，可与多数有机溶剂混溶。熔点-114.1℃，沸点 78℃，密度 0.789kg/L。</w:t>
                  </w:r>
                </w:p>
              </w:tc>
            </w:tr>
            <w:tr w14:paraId="76EB5F7A">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2303F51F">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69DF69B2">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液氮</w:t>
                  </w:r>
                </w:p>
              </w:tc>
              <w:tc>
                <w:tcPr>
                  <w:tcW w:w="6223" w:type="dxa"/>
                  <w:tcBorders>
                    <w:tl2br w:val="nil"/>
                    <w:tr2bl w:val="nil"/>
                  </w:tcBorders>
                  <w:shd w:val="clear" w:color="auto" w:fill="auto"/>
                  <w:vAlign w:val="center"/>
                </w:tcPr>
                <w:p w14:paraId="410BA5FB">
                  <w:pPr>
                    <w:adjustRightInd w:val="0"/>
                    <w:snapToGrid w:val="0"/>
                    <w:jc w:val="left"/>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温度极低（-196℃），接触皮肤会迅速冻结细胞，导致冻伤，症状类似烧伤，表现为皮肤发白、疼痛、麻木，严重时可致组织坏死。</w:t>
                  </w:r>
                </w:p>
              </w:tc>
            </w:tr>
            <w:tr w14:paraId="2AB5EE78">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51652B81">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7A6D2B06">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液氧</w:t>
                  </w:r>
                </w:p>
              </w:tc>
              <w:tc>
                <w:tcPr>
                  <w:tcW w:w="6223" w:type="dxa"/>
                  <w:tcBorders>
                    <w:tl2br w:val="nil"/>
                    <w:tr2bl w:val="nil"/>
                  </w:tcBorders>
                  <w:shd w:val="clear" w:color="auto" w:fill="auto"/>
                  <w:vAlign w:val="center"/>
                </w:tcPr>
                <w:p w14:paraId="6ADA24CE">
                  <w:pPr>
                    <w:adjustRightInd w:val="0"/>
                    <w:snapToGrid w:val="0"/>
                    <w:jc w:val="left"/>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淡蓝色透明液体，无臭，常温下易汽化，汽化时产生无色气体。严禁接触油脂、有机物，操作前需确保工具和设备无油污；避免在密闭空间大量存放液氧，需安装氧气浓度报警器（阈值设为 23%），通风良好。</w:t>
                  </w:r>
                </w:p>
              </w:tc>
            </w:tr>
            <w:tr w14:paraId="3B294DFC">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2B306C49">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6FB1D076">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氩气</w:t>
                  </w:r>
                </w:p>
              </w:tc>
              <w:tc>
                <w:tcPr>
                  <w:tcW w:w="6223" w:type="dxa"/>
                  <w:tcBorders>
                    <w:tl2br w:val="nil"/>
                    <w:tr2bl w:val="nil"/>
                  </w:tcBorders>
                  <w:shd w:val="clear" w:color="auto" w:fill="auto"/>
                  <w:vAlign w:val="center"/>
                </w:tcPr>
                <w:p w14:paraId="598A296E">
                  <w:pPr>
                    <w:adjustRightInd w:val="0"/>
                    <w:snapToGrid w:val="0"/>
                    <w:jc w:val="left"/>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熔点：-189.2℃；沸点：-185.9℃；密度：1.784g/L。</w:t>
                  </w:r>
                </w:p>
              </w:tc>
            </w:tr>
            <w:tr w14:paraId="7727E938">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3A2563AF">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40B43977">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氦气</w:t>
                  </w:r>
                </w:p>
              </w:tc>
              <w:tc>
                <w:tcPr>
                  <w:tcW w:w="6223" w:type="dxa"/>
                  <w:tcBorders>
                    <w:tl2br w:val="nil"/>
                    <w:tr2bl w:val="nil"/>
                  </w:tcBorders>
                  <w:shd w:val="clear" w:color="auto" w:fill="auto"/>
                  <w:vAlign w:val="center"/>
                </w:tcPr>
                <w:p w14:paraId="0FD0D117">
                  <w:pPr>
                    <w:adjustRightInd w:val="0"/>
                    <w:snapToGrid w:val="0"/>
                    <w:jc w:val="left"/>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属于稀有气体单质，密度 0.1786g/L（0°C、1atm）；沸点 4.3K（1atm）；熔点 1.0K（26atm）；蒸发热 5.50cal/g、20.4kJ/kg（沸点）；无色、无味。</w:t>
                  </w:r>
                </w:p>
              </w:tc>
            </w:tr>
            <w:tr w14:paraId="09C7124D">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3A1857B9">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7361E9B8">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热固性树脂镶样粉</w:t>
                  </w:r>
                </w:p>
              </w:tc>
              <w:tc>
                <w:tcPr>
                  <w:tcW w:w="6223" w:type="dxa"/>
                  <w:tcBorders>
                    <w:tl2br w:val="nil"/>
                    <w:tr2bl w:val="nil"/>
                  </w:tcBorders>
                  <w:shd w:val="clear" w:color="auto" w:fill="auto"/>
                  <w:vAlign w:val="center"/>
                </w:tcPr>
                <w:p w14:paraId="52CEC8FA">
                  <w:pPr>
                    <w:adjustRightInd w:val="0"/>
                    <w:snapToGrid w:val="0"/>
                    <w:jc w:val="left"/>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对稀酸（如盐酸、硫酸）和弱碱（如氢氧化钠稀溶液）有较好的耐受性，但浓酸、强碱可能腐蚀树脂基体，导致镶嵌件开裂或溶解。固化后耐热温度通常在 100-200℃之间。</w:t>
                  </w:r>
                </w:p>
              </w:tc>
            </w:tr>
            <w:tr w14:paraId="1A043238">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609426BD">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1DAF6DA6">
                  <w:pPr>
                    <w:adjustRightInd w:val="0"/>
                    <w:snapToGrid w:val="0"/>
                    <w:jc w:val="center"/>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color w:val="000000"/>
                      <w:sz w:val="18"/>
                      <w:szCs w:val="18"/>
                      <w:lang w:val="en-US" w:eastAsia="zh-CN"/>
                    </w:rPr>
                    <w:t>电解液（</w:t>
                  </w:r>
                  <w:r>
                    <w:rPr>
                      <w:rFonts w:hint="default" w:ascii="Times New Roman" w:hAnsi="Times New Roman" w:eastAsia="宋体" w:cs="Times New Roman"/>
                      <w:color w:val="000000"/>
                      <w:sz w:val="18"/>
                      <w:szCs w:val="18"/>
                    </w:rPr>
                    <w:t>六氟磷酸锂</w:t>
                  </w:r>
                  <w:r>
                    <w:rPr>
                      <w:rFonts w:hint="default" w:ascii="Times New Roman" w:hAnsi="Times New Roman" w:eastAsia="宋体" w:cs="Times New Roman"/>
                      <w:color w:val="000000"/>
                      <w:sz w:val="18"/>
                      <w:szCs w:val="18"/>
                      <w:lang w:val="en-US" w:eastAsia="zh-CN"/>
                    </w:rPr>
                    <w:t>1.12mol/L</w:t>
                  </w:r>
                </w:p>
                <w:p w14:paraId="074718CE">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碳酸二乙酯</w:t>
                  </w:r>
                  <w:r>
                    <w:rPr>
                      <w:rFonts w:hint="default" w:ascii="Times New Roman" w:hAnsi="Times New Roman" w:eastAsia="宋体" w:cs="Times New Roman"/>
                      <w:sz w:val="18"/>
                      <w:szCs w:val="18"/>
                      <w:lang w:eastAsia="zh-CN"/>
                    </w:rPr>
                    <w:t>、</w:t>
                  </w:r>
                </w:p>
                <w:p w14:paraId="4F95E5BC">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rPr>
                    <w:t>碳酸乙烯酯</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碳酸甲乙酯等比例）</w:t>
                  </w:r>
                </w:p>
              </w:tc>
              <w:tc>
                <w:tcPr>
                  <w:tcW w:w="6223" w:type="dxa"/>
                  <w:tcBorders>
                    <w:tl2br w:val="nil"/>
                    <w:tr2bl w:val="nil"/>
                  </w:tcBorders>
                  <w:shd w:val="clear" w:color="auto" w:fill="auto"/>
                  <w:vAlign w:val="center"/>
                </w:tcPr>
                <w:p w14:paraId="68659806">
                  <w:pPr>
                    <w:adjustRightInd w:val="0"/>
                    <w:snapToGrid w:val="0"/>
                    <w:jc w:val="left"/>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六氟磷酸锂：白色结晶或粉末，相对密度 1.5，溶解性强，易溶于水，还溶于低溶度甲醇、乙醇、丙醇等有机溶剂。暴露空气中或加热时分解，空气中由于水蒸气的作用二迅速分解，放出 PF5产生白色烟雾。</w:t>
                  </w:r>
                </w:p>
                <w:p w14:paraId="080669E2">
                  <w:pPr>
                    <w:adjustRightInd w:val="0"/>
                    <w:snapToGrid w:val="0"/>
                    <w:jc w:val="left"/>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碳酸二乙酯：无色液体，稍有气味，饱和蒸气压（kPa）：1.1（20℃）；闪点（℃）：25（CC）；熔点（℃）：-43；沸点（℃）：126~128；相对密度（水=1）：0.98（20℃）；相对蒸气密度（空气=1）:4.07。</w:t>
                  </w:r>
                </w:p>
                <w:p w14:paraId="51D7F8A0">
                  <w:pPr>
                    <w:adjustRightInd w:val="0"/>
                    <w:snapToGrid w:val="0"/>
                    <w:jc w:val="left"/>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碳酸乙烯酯：分子式：透明无色液体（&gt;35℃），室温时为结晶固体，沸点：248℃/760mmHg，243-244℃/740mmHg；闪点：160℃；密度：1.3218；折光率：1.4158（50℃）；熔点：35~38℃。</w:t>
                  </w:r>
                </w:p>
                <w:p w14:paraId="598B3296">
                  <w:pPr>
                    <w:adjustRightInd w:val="0"/>
                    <w:snapToGrid w:val="0"/>
                    <w:jc w:val="left"/>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碳酸甲乙酯：无色透明液体，密度（g/mL，25/49℃）：1.01，熔点（℃）：-14.5，沸点（℃，常压）：107，闪点（℃）：23，不溶于水，应储存于阴凉、通风、干燥处，按易燃化学品规定储运。</w:t>
                  </w:r>
                </w:p>
              </w:tc>
            </w:tr>
            <w:tr w14:paraId="6EB09E3E">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1A334667">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76B6E46D">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rPr>
                    <w:t>N-甲基吡咯烷酮（NMP）</w:t>
                  </w:r>
                </w:p>
              </w:tc>
              <w:tc>
                <w:tcPr>
                  <w:tcW w:w="6223" w:type="dxa"/>
                  <w:tcBorders>
                    <w:tl2br w:val="nil"/>
                    <w:tr2bl w:val="nil"/>
                  </w:tcBorders>
                  <w:shd w:val="clear" w:color="auto" w:fill="auto"/>
                  <w:vAlign w:val="center"/>
                </w:tcPr>
                <w:p w14:paraId="54BFB7F4">
                  <w:pPr>
                    <w:adjustRightInd w:val="0"/>
                    <w:snapToGrid w:val="0"/>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无色透明油状液体，微有胺的气味；熔点-24.4℃，沸点203℃；150℃（30.66kPa)；135℃（13.33kPa)；81～82℃（1.33kPa)，闪点95℃，相对密度1.0260(25/25℃)，能与水、醇、醚、酯、酮、卤代烃、芳烃互溶；挥发度低，热稳定性、化学稳定性均佳。LC50：&gt;5130mg/kg (小鼠经口)，LD50：&gt;3914mg/kg (大鼠经口)。</w:t>
                  </w:r>
                </w:p>
              </w:tc>
            </w:tr>
            <w:tr w14:paraId="1C3C75E2">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200A0ED2">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58A9C8E9">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硫酸镍</w:t>
                  </w:r>
                </w:p>
              </w:tc>
              <w:tc>
                <w:tcPr>
                  <w:tcW w:w="6223" w:type="dxa"/>
                  <w:tcBorders>
                    <w:tl2br w:val="nil"/>
                    <w:tr2bl w:val="nil"/>
                  </w:tcBorders>
                  <w:shd w:val="clear" w:color="auto" w:fill="auto"/>
                  <w:vAlign w:val="center"/>
                </w:tcPr>
                <w:p w14:paraId="0C35657C">
                  <w:pPr>
                    <w:adjustRightInd w:val="0"/>
                    <w:snapToGrid w:val="0"/>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是一种无机化合物，有无水物、六水物和七水物三种形态，无水物相对密度 3.68，六水物相对密度 2.07，七水物相对密度 1.948。易溶于水，微溶于乙醇、甲醇，其水溶液呈酸性，微溶于酸、氨水。</w:t>
                  </w:r>
                </w:p>
              </w:tc>
            </w:tr>
            <w:tr w14:paraId="6FB5CEA0">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0DDE1BBE">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20ACD199">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硫酸钴</w:t>
                  </w:r>
                </w:p>
              </w:tc>
              <w:tc>
                <w:tcPr>
                  <w:tcW w:w="6223" w:type="dxa"/>
                  <w:tcBorders>
                    <w:tl2br w:val="nil"/>
                    <w:tr2bl w:val="nil"/>
                  </w:tcBorders>
                  <w:shd w:val="clear" w:color="auto" w:fill="auto"/>
                  <w:vAlign w:val="center"/>
                </w:tcPr>
                <w:p w14:paraId="7F58C024">
                  <w:pPr>
                    <w:adjustRightInd w:val="0"/>
                    <w:snapToGrid w:val="0"/>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无水物密度约 3.05 g/cm³，七水合物密度约 1.948 g/cm³。易溶于水（20℃时溶解度约 34 g/100 mL 水），其水溶液呈粉红色（钴离子的特征颜色）。可溶于甲醇、乙醇，微溶于丙酮，不溶于苯。无水物吸湿性强，暴露于空气中易吸收水分转变为水合物；七水合物在潮湿空气中稳定，但在干燥环境中会缓慢风化。</w:t>
                  </w:r>
                </w:p>
              </w:tc>
            </w:tr>
            <w:tr w14:paraId="4002643B">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96" w:hRule="atLeast"/>
                <w:jc w:val="center"/>
              </w:trPr>
              <w:tc>
                <w:tcPr>
                  <w:tcW w:w="645" w:type="dxa"/>
                  <w:tcBorders>
                    <w:tl2br w:val="nil"/>
                    <w:tr2bl w:val="nil"/>
                  </w:tcBorders>
                  <w:vAlign w:val="center"/>
                </w:tcPr>
                <w:p w14:paraId="5C009FBB">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26AEA21D">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硫酸锰</w:t>
                  </w:r>
                </w:p>
              </w:tc>
              <w:tc>
                <w:tcPr>
                  <w:tcW w:w="6223" w:type="dxa"/>
                  <w:tcBorders>
                    <w:tl2br w:val="nil"/>
                    <w:tr2bl w:val="nil"/>
                  </w:tcBorders>
                  <w:shd w:val="clear" w:color="auto" w:fill="auto"/>
                  <w:vAlign w:val="center"/>
                </w:tcPr>
                <w:p w14:paraId="54266F93">
                  <w:pPr>
                    <w:adjustRightInd w:val="0"/>
                    <w:snapToGrid w:val="0"/>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七水合物密度约 2.1 g/cm³，无水物密度约 3.25 g/cm³。熔点：七水合物加热至 70℃时失去 6 个结晶水生成一水合物，继续加热至 280℃时失去全部结晶水，生成无水硫酸锰；无水物熔点约为 700℃，超过 850℃时分解。易溶于水（20℃时溶解度约 52.9 g/100 mL 水），其水溶液呈淡粉红色（Mn²⁺的特征颜色）。可溶于甲醇，微溶于乙醇，不溶于乙醚和苯。无水物吸湿性较强，暴露于空气中易吸收水分；七水合物在干燥环境中会缓慢风化，潮湿环境中较稳定。</w:t>
                  </w:r>
                </w:p>
              </w:tc>
            </w:tr>
            <w:tr w14:paraId="61BFB76B">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41117EC4">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2A35EEE0">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氢氧化钠</w:t>
                  </w:r>
                </w:p>
              </w:tc>
              <w:tc>
                <w:tcPr>
                  <w:tcW w:w="6223" w:type="dxa"/>
                  <w:tcBorders>
                    <w:tl2br w:val="nil"/>
                    <w:tr2bl w:val="nil"/>
                  </w:tcBorders>
                  <w:shd w:val="clear" w:color="auto" w:fill="auto"/>
                  <w:vAlign w:val="center"/>
                </w:tcPr>
                <w:p w14:paraId="71CA612C">
                  <w:pPr>
                    <w:adjustRightInd w:val="0"/>
                    <w:snapToGrid w:val="0"/>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强腐蚀性的强碱，一般为片状或颗粒形态，易溶于水(溶于水时放热)并形成碱性溶液，另有潮解性，易吸取空气中的水蒸气(潮解) 和二氧化碳(变质)。危险特性：强烈刺激和腐蚀性。</w:t>
                  </w:r>
                </w:p>
              </w:tc>
            </w:tr>
            <w:tr w14:paraId="2EB85ECA">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70B232CB">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4B27AD68">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氨水</w:t>
                  </w:r>
                  <w:r>
                    <w:rPr>
                      <w:rFonts w:hint="default" w:ascii="Times New Roman" w:hAnsi="Times New Roman" w:eastAsia="宋体" w:cs="Times New Roman"/>
                      <w:sz w:val="18"/>
                      <w:szCs w:val="18"/>
                      <w:lang w:val="en-US" w:eastAsia="zh-CN"/>
                    </w:rPr>
                    <w:t>(25%)</w:t>
                  </w:r>
                </w:p>
              </w:tc>
              <w:tc>
                <w:tcPr>
                  <w:tcW w:w="6223" w:type="dxa"/>
                  <w:tcBorders>
                    <w:tl2br w:val="nil"/>
                    <w:tr2bl w:val="nil"/>
                  </w:tcBorders>
                  <w:shd w:val="clear" w:color="auto" w:fill="auto"/>
                  <w:vAlign w:val="center"/>
                </w:tcPr>
                <w:p w14:paraId="5D2437DC">
                  <w:pPr>
                    <w:adjustRightInd w:val="0"/>
                    <w:snapToGrid w:val="0"/>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无色极易挥发溶液，有刺鼻气味；沸点：（25%）38℃；熔点：（25%）-58℃；相对密度（水=1）：0.9；混溶蒸汽压：20℃时 48kPa （25%）。</w:t>
                  </w:r>
                </w:p>
              </w:tc>
            </w:tr>
            <w:tr w14:paraId="3056281D">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30836C1F">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144BAF62">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草酸铌铵</w:t>
                  </w:r>
                </w:p>
              </w:tc>
              <w:tc>
                <w:tcPr>
                  <w:tcW w:w="6223" w:type="dxa"/>
                  <w:tcBorders>
                    <w:tl2br w:val="nil"/>
                    <w:tr2bl w:val="nil"/>
                  </w:tcBorders>
                  <w:shd w:val="clear" w:color="auto" w:fill="auto"/>
                  <w:vAlign w:val="center"/>
                </w:tcPr>
                <w:p w14:paraId="4A4F9E60">
                  <w:pPr>
                    <w:adjustRightInd w:val="0"/>
                    <w:snapToGrid w:val="0"/>
                    <w:jc w:val="left"/>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一种含铌的配位化合物，通常以草酸根为配体与铌离子形成配合物，易溶于水，形成无色或淡黄色透明溶液（纯度影响颜色）；可溶于稀酸（如草酸溶液），增强其稳定性；难溶于乙醇、乙醚等有机溶剂。无水草酸铌铵吸湿性强，需密封保存以防潮解。</w:t>
                  </w:r>
                </w:p>
              </w:tc>
            </w:tr>
            <w:tr w14:paraId="4FAB5AD7">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2FDA8CE5">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419A2909">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氢氧化锂</w:t>
                  </w:r>
                </w:p>
              </w:tc>
              <w:tc>
                <w:tcPr>
                  <w:tcW w:w="6223" w:type="dxa"/>
                  <w:tcBorders>
                    <w:tl2br w:val="nil"/>
                    <w:tr2bl w:val="nil"/>
                  </w:tcBorders>
                  <w:shd w:val="clear" w:color="auto" w:fill="auto"/>
                  <w:vAlign w:val="center"/>
                </w:tcPr>
                <w:p w14:paraId="2CC99877">
                  <w:pPr>
                    <w:adjustRightInd w:val="0"/>
                    <w:snapToGrid w:val="0"/>
                    <w:jc w:val="left"/>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白色结晶性粉末，吸湿性极强；一水合物：白色单斜晶体，暴露于空气中易潮解（吸收 CO₂和水分）。无水 LiOH：熔点约 462℃，加热至 924℃分解为 Li₂O 和 H₂O；一水合物：熔点约 471℃（失去结晶水），进一步加热分解同无水物。</w:t>
                  </w:r>
                </w:p>
              </w:tc>
            </w:tr>
            <w:tr w14:paraId="7E51B1BB">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30490050">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68EBA560">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碳酸锂</w:t>
                  </w:r>
                </w:p>
              </w:tc>
              <w:tc>
                <w:tcPr>
                  <w:tcW w:w="6223" w:type="dxa"/>
                  <w:tcBorders>
                    <w:tl2br w:val="nil"/>
                    <w:tr2bl w:val="nil"/>
                  </w:tcBorders>
                  <w:shd w:val="clear" w:color="auto" w:fill="auto"/>
                  <w:vAlign w:val="center"/>
                </w:tcPr>
                <w:p w14:paraId="01FE27AF">
                  <w:pPr>
                    <w:keepNext w:val="0"/>
                    <w:keepLines w:val="0"/>
                    <w:widowControl/>
                    <w:numPr>
                      <w:ilvl w:val="0"/>
                      <w:numId w:val="0"/>
                    </w:numPr>
                    <w:suppressLineNumbers w:val="0"/>
                    <w:pBdr>
                      <w:left w:val="none" w:color="auto" w:sz="0" w:space="0"/>
                    </w:pBdr>
                    <w:spacing w:before="0" w:beforeAutospacing="1" w:after="0" w:afterAutospacing="1"/>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aps w:val="0"/>
                      <w:color w:val="000000"/>
                      <w:spacing w:val="0"/>
                      <w:sz w:val="19"/>
                      <w:szCs w:val="19"/>
                      <w:shd w:val="clear" w:fill="FFFFFF"/>
                    </w:rPr>
                    <w:t>白色单斜晶体或粉末，无臭，味微咸；晶体颗粒细腻，粉末状样品手感细腻，暴露于空气中不易潮解（与 LiOH 相比吸湿性较弱）。熔点约 723℃（1.01×10⁵ Pa），加热至约 1310℃分解为 Li₂O 和 CO₂；熔融状态下为无色液体，冷却后重新结晶。</w:t>
                  </w:r>
                </w:p>
              </w:tc>
            </w:tr>
            <w:tr w14:paraId="04885FE0">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3147B982">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1520F301">
                  <w:pPr>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氧化铌</w:t>
                  </w:r>
                </w:p>
              </w:tc>
              <w:tc>
                <w:tcPr>
                  <w:tcW w:w="6223" w:type="dxa"/>
                  <w:tcBorders>
                    <w:tl2br w:val="nil"/>
                    <w:tr2bl w:val="nil"/>
                  </w:tcBorders>
                  <w:shd w:val="clear" w:color="auto" w:fill="auto"/>
                  <w:vAlign w:val="center"/>
                </w:tcPr>
                <w:p w14:paraId="1F5611E4">
                  <w:pPr>
                    <w:keepNext w:val="0"/>
                    <w:keepLines w:val="0"/>
                    <w:widowControl/>
                    <w:numPr>
                      <w:ilvl w:val="0"/>
                      <w:numId w:val="0"/>
                    </w:numPr>
                    <w:suppressLineNumbers w:val="0"/>
                    <w:pBdr>
                      <w:left w:val="none" w:color="auto" w:sz="0" w:space="0"/>
                    </w:pBdr>
                    <w:spacing w:before="0" w:beforeAutospacing="1" w:after="0" w:afterAutospacing="1"/>
                    <w:rPr>
                      <w:rFonts w:hint="default" w:ascii="Times New Roman" w:hAnsi="Times New Roman" w:eastAsia="宋体" w:cs="Times New Roman"/>
                      <w:b w:val="0"/>
                      <w:bCs w:val="0"/>
                      <w:i w:val="0"/>
                      <w:iCs w:val="0"/>
                      <w:caps w:val="0"/>
                      <w:color w:val="000000"/>
                      <w:spacing w:val="0"/>
                      <w:kern w:val="2"/>
                      <w:sz w:val="19"/>
                      <w:szCs w:val="19"/>
                      <w:shd w:val="clear" w:fill="FFFFFF"/>
                      <w:lang w:val="en-US" w:eastAsia="zh-CN" w:bidi="ar-SA"/>
                    </w:rPr>
                  </w:pPr>
                  <w:r>
                    <w:rPr>
                      <w:rFonts w:hint="default" w:ascii="Times New Roman" w:hAnsi="Times New Roman" w:eastAsia="宋体" w:cs="Times New Roman"/>
                      <w:b w:val="0"/>
                      <w:bCs w:val="0"/>
                      <w:i w:val="0"/>
                      <w:iCs w:val="0"/>
                      <w:caps w:val="0"/>
                      <w:color w:val="000000"/>
                      <w:spacing w:val="0"/>
                      <w:kern w:val="2"/>
                      <w:sz w:val="19"/>
                      <w:szCs w:val="19"/>
                      <w:shd w:val="clear" w:fill="FFFFFF"/>
                      <w:lang w:val="en-US" w:eastAsia="zh-CN" w:bidi="ar-SA"/>
                    </w:rPr>
                    <w:t>白色或淡黄色粉末（纯度不足时带黄色），晶体为无色透明，天然存在形式为铌铁矿、烧绿石等矿物。低价氧化物：Nb₂O₅：熔点约 1460℃，沸点约 1800℃（在惰性气氛中），高温下可挥发；低价氧化物熔点较低，如 NbO 熔点约 2080℃，但易被氧化为 Nb₂O₅。</w:t>
                  </w:r>
                </w:p>
              </w:tc>
            </w:tr>
            <w:tr w14:paraId="1813305F">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55201247">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1B5EAF39">
                  <w:pPr>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氧化钨</w:t>
                  </w:r>
                </w:p>
              </w:tc>
              <w:tc>
                <w:tcPr>
                  <w:tcW w:w="6223" w:type="dxa"/>
                  <w:tcBorders>
                    <w:tl2br w:val="nil"/>
                    <w:tr2bl w:val="nil"/>
                  </w:tcBorders>
                  <w:shd w:val="clear" w:color="auto" w:fill="auto"/>
                  <w:vAlign w:val="center"/>
                </w:tcPr>
                <w:p w14:paraId="19308742">
                  <w:pPr>
                    <w:keepNext w:val="0"/>
                    <w:keepLines w:val="0"/>
                    <w:widowControl/>
                    <w:numPr>
                      <w:ilvl w:val="0"/>
                      <w:numId w:val="0"/>
                    </w:numPr>
                    <w:suppressLineNumbers w:val="0"/>
                    <w:pBdr>
                      <w:left w:val="none" w:color="auto" w:sz="0" w:space="0"/>
                    </w:pBdr>
                    <w:spacing w:before="0" w:beforeAutospacing="1" w:after="0" w:afterAutospacing="1"/>
                    <w:rPr>
                      <w:rFonts w:hint="default" w:ascii="Times New Roman" w:hAnsi="Times New Roman" w:eastAsia="宋体" w:cs="Times New Roman"/>
                      <w:b w:val="0"/>
                      <w:bCs w:val="0"/>
                      <w:i w:val="0"/>
                      <w:iCs w:val="0"/>
                      <w:caps w:val="0"/>
                      <w:color w:val="000000"/>
                      <w:spacing w:val="0"/>
                      <w:kern w:val="2"/>
                      <w:sz w:val="19"/>
                      <w:szCs w:val="19"/>
                      <w:shd w:val="clear" w:fill="FFFFFF"/>
                      <w:lang w:val="en-US" w:eastAsia="zh-CN" w:bidi="ar-SA"/>
                    </w:rPr>
                  </w:pPr>
                  <w:r>
                    <w:rPr>
                      <w:rFonts w:hint="default" w:ascii="Times New Roman" w:hAnsi="Times New Roman" w:eastAsia="宋体" w:cs="Times New Roman"/>
                      <w:b w:val="0"/>
                      <w:bCs w:val="0"/>
                      <w:i w:val="0"/>
                      <w:iCs w:val="0"/>
                      <w:caps w:val="0"/>
                      <w:color w:val="000000"/>
                      <w:spacing w:val="0"/>
                      <w:kern w:val="2"/>
                      <w:sz w:val="19"/>
                      <w:szCs w:val="19"/>
                      <w:shd w:val="clear" w:fill="FFFFFF"/>
                      <w:lang w:val="en-US" w:eastAsia="zh-CN" w:bidi="ar-SA"/>
                    </w:rPr>
                    <w:t>钨的多种氧化物的统称，常见类型包括三氧化钨（WO₃）、二氧化钨（WO₂）WO₃的密度约为 7.16 g/cm³，属于高密度氧化物。几乎不溶于水和大多数有机溶剂；可溶于浓碱溶液（如 NaOH）生成钨酸盐，也可溶于热的浓无机酸（如硝酸、氢氟酸）。</w:t>
                  </w:r>
                </w:p>
              </w:tc>
            </w:tr>
            <w:tr w14:paraId="7B0ECFB0">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6E54D3ED">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39925C4B">
                  <w:pPr>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氧化镁</w:t>
                  </w:r>
                </w:p>
              </w:tc>
              <w:tc>
                <w:tcPr>
                  <w:tcW w:w="6223" w:type="dxa"/>
                  <w:tcBorders>
                    <w:tl2br w:val="nil"/>
                    <w:tr2bl w:val="nil"/>
                  </w:tcBorders>
                  <w:shd w:val="clear" w:color="auto" w:fill="auto"/>
                  <w:vAlign w:val="center"/>
                </w:tcPr>
                <w:p w14:paraId="0693F2FC">
                  <w:pPr>
                    <w:pStyle w:val="4"/>
                    <w:keepNext w:val="0"/>
                    <w:keepLines w:val="0"/>
                    <w:widowControl/>
                    <w:suppressLineNumbers w:val="0"/>
                    <w:pBdr>
                      <w:bottom w:val="none" w:color="auto" w:sz="0" w:space="0"/>
                    </w:pBdr>
                    <w:shd w:val="clear" w:fill="FFFFFF"/>
                    <w:ind w:left="0" w:firstLine="0"/>
                    <w:rPr>
                      <w:rFonts w:hint="default" w:ascii="Times New Roman" w:hAnsi="Times New Roman" w:eastAsia="宋体" w:cs="Times New Roman"/>
                      <w:b w:val="0"/>
                      <w:bCs w:val="0"/>
                      <w:i w:val="0"/>
                      <w:iCs w:val="0"/>
                      <w:caps w:val="0"/>
                      <w:color w:val="000000"/>
                      <w:spacing w:val="0"/>
                      <w:kern w:val="2"/>
                      <w:sz w:val="19"/>
                      <w:szCs w:val="19"/>
                      <w:shd w:val="clear" w:fill="FFFFFF"/>
                      <w:lang w:val="en-US" w:eastAsia="zh-CN" w:bidi="ar-SA"/>
                    </w:rPr>
                  </w:pPr>
                  <w:r>
                    <w:rPr>
                      <w:rFonts w:hint="default" w:ascii="Times New Roman" w:hAnsi="Times New Roman" w:eastAsia="宋体" w:cs="Times New Roman"/>
                      <w:b w:val="0"/>
                      <w:bCs w:val="0"/>
                      <w:i w:val="0"/>
                      <w:iCs w:val="0"/>
                      <w:caps w:val="0"/>
                      <w:color w:val="000000"/>
                      <w:spacing w:val="0"/>
                      <w:kern w:val="2"/>
                      <w:sz w:val="19"/>
                      <w:szCs w:val="19"/>
                      <w:shd w:val="clear" w:fill="FFFFFF"/>
                      <w:lang w:val="en-US" w:eastAsia="zh-CN" w:bidi="ar-SA"/>
                    </w:rPr>
                    <w:t>常温下为白色无定形粉末或晶体，纯品呈白色，含杂质时可能略带淡黄色或灰色。晶体结构为立方晶系（岩盐结构），与 NaCl 晶体结构类似，离子键强度高。熔点极高，约为 2852℃，沸点约为 3600℃，属于高熔点氧化物（耐火材料的重要特性）。密度：约为 3.58 g/cm³（晶体状态），粉末堆积密度随粒度不同而变化。</w:t>
                  </w:r>
                </w:p>
              </w:tc>
            </w:tr>
            <w:tr w14:paraId="16824B13">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2D162B2B">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4227A2E2">
                  <w:pPr>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氧化锆</w:t>
                  </w:r>
                </w:p>
              </w:tc>
              <w:tc>
                <w:tcPr>
                  <w:tcW w:w="6223" w:type="dxa"/>
                  <w:tcBorders>
                    <w:tl2br w:val="nil"/>
                    <w:tr2bl w:val="nil"/>
                  </w:tcBorders>
                  <w:shd w:val="clear" w:color="auto" w:fill="auto"/>
                  <w:vAlign w:val="center"/>
                </w:tcPr>
                <w:p w14:paraId="6E9154C5">
                  <w:pPr>
                    <w:keepNext w:val="0"/>
                    <w:keepLines w:val="0"/>
                    <w:widowControl/>
                    <w:numPr>
                      <w:ilvl w:val="0"/>
                      <w:numId w:val="0"/>
                    </w:numPr>
                    <w:suppressLineNumbers w:val="0"/>
                    <w:pBdr>
                      <w:left w:val="none" w:color="auto" w:sz="0" w:space="0"/>
                    </w:pBdr>
                    <w:spacing w:before="0" w:beforeAutospacing="1" w:after="0" w:afterAutospacing="1"/>
                    <w:rPr>
                      <w:rFonts w:hint="default" w:ascii="Times New Roman" w:hAnsi="Times New Roman" w:eastAsia="宋体" w:cs="Times New Roman"/>
                      <w:i w:val="0"/>
                      <w:iCs w:val="0"/>
                      <w:caps w:val="0"/>
                      <w:color w:val="000000"/>
                      <w:spacing w:val="0"/>
                      <w:sz w:val="19"/>
                      <w:szCs w:val="19"/>
                      <w:shd w:val="clear" w:fill="FFFFFF"/>
                    </w:rPr>
                  </w:pPr>
                  <w:r>
                    <w:rPr>
                      <w:rFonts w:hint="default" w:ascii="Times New Roman" w:hAnsi="Times New Roman" w:eastAsia="宋体" w:cs="Times New Roman"/>
                      <w:i w:val="0"/>
                      <w:iCs w:val="0"/>
                      <w:caps w:val="0"/>
                      <w:color w:val="000000"/>
                      <w:spacing w:val="0"/>
                      <w:sz w:val="19"/>
                      <w:szCs w:val="19"/>
                      <w:shd w:val="clear" w:fill="FFFFFF"/>
                    </w:rPr>
                    <w:t>常温下为单斜晶系（密度约 5.65 g/cm³）；约 1170℃转变为四方晶系（密度约 6.10 g/cm³）；高于 2370℃转变为立方晶系（密度约 6.27 g/cm³）；冷却时四方晶系向单斜晶系的转变会伴随约 5% 的体积膨胀，易导致开裂（需通过掺杂稳定化处理）。几乎不溶于水和大多数酸（氢氟酸除外）</w:t>
                  </w:r>
                  <w:r>
                    <w:rPr>
                      <w:rFonts w:hint="default" w:ascii="Times New Roman" w:hAnsi="Times New Roman" w:eastAsia="宋体" w:cs="Times New Roman"/>
                      <w:i w:val="0"/>
                      <w:iCs w:val="0"/>
                      <w:caps w:val="0"/>
                      <w:color w:val="000000"/>
                      <w:spacing w:val="0"/>
                      <w:sz w:val="19"/>
                      <w:szCs w:val="19"/>
                      <w:shd w:val="clear" w:fill="FFFFFF"/>
                      <w:lang w:eastAsia="zh-CN"/>
                    </w:rPr>
                    <w:t>。</w:t>
                  </w:r>
                </w:p>
              </w:tc>
            </w:tr>
            <w:tr w14:paraId="58466EC2">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0E41CA58">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553E0E99">
                  <w:pPr>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氧化钛</w:t>
                  </w:r>
                </w:p>
              </w:tc>
              <w:tc>
                <w:tcPr>
                  <w:tcW w:w="6223" w:type="dxa"/>
                  <w:tcBorders>
                    <w:tl2br w:val="nil"/>
                    <w:tr2bl w:val="nil"/>
                  </w:tcBorders>
                  <w:shd w:val="clear" w:color="auto" w:fill="auto"/>
                  <w:vAlign w:val="center"/>
                </w:tcPr>
                <w:p w14:paraId="623472F5">
                  <w:pPr>
                    <w:keepNext w:val="0"/>
                    <w:keepLines w:val="0"/>
                    <w:widowControl/>
                    <w:numPr>
                      <w:ilvl w:val="0"/>
                      <w:numId w:val="0"/>
                    </w:numPr>
                    <w:suppressLineNumbers w:val="0"/>
                    <w:pBdr>
                      <w:left w:val="none" w:color="auto" w:sz="0" w:space="0"/>
                    </w:pBdr>
                    <w:spacing w:before="0" w:beforeAutospacing="1" w:after="0" w:afterAutospacing="1"/>
                    <w:rPr>
                      <w:rFonts w:hint="default" w:ascii="Times New Roman" w:hAnsi="Times New Roman" w:eastAsia="宋体" w:cs="Times New Roman"/>
                      <w:i w:val="0"/>
                      <w:iCs w:val="0"/>
                      <w:caps w:val="0"/>
                      <w:color w:val="000000"/>
                      <w:spacing w:val="0"/>
                      <w:sz w:val="19"/>
                      <w:szCs w:val="19"/>
                      <w:shd w:val="clear" w:fill="FFFFFF"/>
                    </w:rPr>
                  </w:pPr>
                  <w:r>
                    <w:rPr>
                      <w:rFonts w:hint="default" w:ascii="Times New Roman" w:hAnsi="Times New Roman" w:eastAsia="宋体" w:cs="Times New Roman"/>
                      <w:i w:val="0"/>
                      <w:iCs w:val="0"/>
                      <w:caps w:val="0"/>
                      <w:color w:val="000000"/>
                      <w:spacing w:val="0"/>
                      <w:sz w:val="19"/>
                      <w:szCs w:val="19"/>
                      <w:shd w:val="clear" w:fill="FFFFFF"/>
                    </w:rPr>
                    <w:t>常温下为白色粉末或晶体，纯品呈白色，无臭无味，熔点极高，约为 1840℃（金红石型），沸点约为 2900℃，高温下不易分解，热稳定性优异。</w:t>
                  </w:r>
                </w:p>
              </w:tc>
            </w:tr>
            <w:tr w14:paraId="5D39D636">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5691545C">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741880C6">
                  <w:pPr>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磷酸</w:t>
                  </w:r>
                </w:p>
              </w:tc>
              <w:tc>
                <w:tcPr>
                  <w:tcW w:w="6223" w:type="dxa"/>
                  <w:tcBorders>
                    <w:tl2br w:val="nil"/>
                    <w:tr2bl w:val="nil"/>
                  </w:tcBorders>
                  <w:shd w:val="clear" w:color="auto" w:fill="auto"/>
                  <w:vAlign w:val="center"/>
                </w:tcPr>
                <w:p w14:paraId="6B0C2D62">
                  <w:pPr>
                    <w:keepNext w:val="0"/>
                    <w:keepLines w:val="0"/>
                    <w:widowControl/>
                    <w:numPr>
                      <w:ilvl w:val="0"/>
                      <w:numId w:val="0"/>
                    </w:numPr>
                    <w:suppressLineNumbers w:val="0"/>
                    <w:pBdr>
                      <w:left w:val="none" w:color="auto" w:sz="0" w:space="0"/>
                    </w:pBdr>
                    <w:spacing w:before="0" w:beforeAutospacing="1" w:after="0" w:afterAutospacing="1"/>
                    <w:rPr>
                      <w:rFonts w:hint="default" w:ascii="Times New Roman" w:hAnsi="Times New Roman" w:eastAsia="宋体" w:cs="Times New Roman"/>
                      <w:i w:val="0"/>
                      <w:iCs w:val="0"/>
                      <w:caps w:val="0"/>
                      <w:color w:val="000000"/>
                      <w:spacing w:val="0"/>
                      <w:sz w:val="19"/>
                      <w:szCs w:val="19"/>
                      <w:shd w:val="clear" w:fill="FFFFFF"/>
                    </w:rPr>
                  </w:pPr>
                  <w:r>
                    <w:rPr>
                      <w:rFonts w:hint="default" w:ascii="Times New Roman" w:hAnsi="Times New Roman" w:eastAsia="宋体" w:cs="Times New Roman"/>
                      <w:i w:val="0"/>
                      <w:iCs w:val="0"/>
                      <w:caps w:val="0"/>
                      <w:color w:val="000000"/>
                      <w:spacing w:val="0"/>
                      <w:sz w:val="19"/>
                      <w:szCs w:val="19"/>
                      <w:shd w:val="clear" w:fill="FFFFFF"/>
                    </w:rPr>
                    <w:t>常温下为无色透明的黏稠液体（熔点 42.35℃），熔点：42.35℃（纯品），低于常温时易结晶（需温热融化）；沸点：213℃（分解，生成焦磷酸 H₄P₂O₇），进一步加热可逐步脱水生成偏磷酸（HPO₃）；密度：纯磷酸密度约 1.834 g/cm³（25℃）</w:t>
                  </w:r>
                  <w:r>
                    <w:rPr>
                      <w:rFonts w:hint="default" w:ascii="Times New Roman" w:hAnsi="Times New Roman" w:eastAsia="宋体" w:cs="Times New Roman"/>
                      <w:i w:val="0"/>
                      <w:iCs w:val="0"/>
                      <w:caps w:val="0"/>
                      <w:color w:val="000000"/>
                      <w:spacing w:val="0"/>
                      <w:sz w:val="19"/>
                      <w:szCs w:val="19"/>
                      <w:shd w:val="clear" w:fill="FFFFFF"/>
                      <w:lang w:eastAsia="zh-CN"/>
                    </w:rPr>
                    <w:t>，</w:t>
                  </w:r>
                  <w:r>
                    <w:rPr>
                      <w:rFonts w:hint="default" w:ascii="Times New Roman" w:hAnsi="Times New Roman" w:eastAsia="宋体" w:cs="Times New Roman"/>
                      <w:i w:val="0"/>
                      <w:iCs w:val="0"/>
                      <w:caps w:val="0"/>
                      <w:color w:val="000000"/>
                      <w:spacing w:val="0"/>
                      <w:sz w:val="19"/>
                      <w:szCs w:val="19"/>
                      <w:shd w:val="clear" w:fill="FFFFFF"/>
                    </w:rPr>
                    <w:t>与水、乙醇任意比例互溶，形成黏稠溶液；吸湿性：浓磷酸具有较强吸湿性，暴露于空气中会吸收水分，浓度降低。</w:t>
                  </w:r>
                </w:p>
              </w:tc>
            </w:tr>
            <w:tr w14:paraId="6BA8E11C">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6EDCBB6F">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2F5FA78B">
                  <w:pPr>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磷酸铁</w:t>
                  </w:r>
                </w:p>
              </w:tc>
              <w:tc>
                <w:tcPr>
                  <w:tcW w:w="6223" w:type="dxa"/>
                  <w:tcBorders>
                    <w:tl2br w:val="nil"/>
                    <w:tr2bl w:val="nil"/>
                  </w:tcBorders>
                  <w:shd w:val="clear" w:color="auto" w:fill="auto"/>
                  <w:vAlign w:val="center"/>
                </w:tcPr>
                <w:p w14:paraId="2A7AFDCD">
                  <w:pPr>
                    <w:keepNext w:val="0"/>
                    <w:keepLines w:val="0"/>
                    <w:widowControl/>
                    <w:numPr>
                      <w:ilvl w:val="0"/>
                      <w:numId w:val="0"/>
                    </w:numPr>
                    <w:suppressLineNumbers w:val="0"/>
                    <w:pBdr>
                      <w:left w:val="none" w:color="auto" w:sz="0" w:space="0"/>
                    </w:pBdr>
                    <w:spacing w:before="0" w:beforeAutospacing="1" w:after="0" w:afterAutospacing="1"/>
                    <w:rPr>
                      <w:rFonts w:hint="default" w:ascii="Times New Roman" w:hAnsi="Times New Roman" w:eastAsia="宋体" w:cs="Times New Roman"/>
                      <w:i w:val="0"/>
                      <w:iCs w:val="0"/>
                      <w:caps w:val="0"/>
                      <w:color w:val="000000"/>
                      <w:spacing w:val="0"/>
                      <w:sz w:val="19"/>
                      <w:szCs w:val="19"/>
                      <w:shd w:val="clear" w:fill="FFFFFF"/>
                    </w:rPr>
                  </w:pPr>
                  <w:r>
                    <w:rPr>
                      <w:rFonts w:hint="default" w:ascii="Times New Roman" w:hAnsi="Times New Roman" w:eastAsia="宋体" w:cs="Times New Roman"/>
                      <w:i w:val="0"/>
                      <w:iCs w:val="0"/>
                      <w:caps w:val="0"/>
                      <w:color w:val="000000"/>
                      <w:spacing w:val="0"/>
                      <w:sz w:val="19"/>
                      <w:szCs w:val="19"/>
                      <w:shd w:val="clear" w:fill="FFFFFF"/>
                    </w:rPr>
                    <w:t>无水磷酸铁为白色至浅灰色粉末，水合物（如 FePO₄・2H₂O）呈淡粉色或米色粉末；无水物密度约 3.35 g/cm³，水合物密度略低；几乎不溶于水（25℃时溶解度仅约 1.1×10⁻⁵ g/L），也不溶于乙醇、丙酮等有机溶剂；可溶于强无机酸（如盐酸、硫酸），生成对应的铁盐和磷酸</w:t>
                  </w:r>
                  <w:r>
                    <w:rPr>
                      <w:rFonts w:hint="default" w:ascii="Times New Roman" w:hAnsi="Times New Roman" w:eastAsia="宋体" w:cs="Times New Roman"/>
                      <w:i w:val="0"/>
                      <w:iCs w:val="0"/>
                      <w:caps w:val="0"/>
                      <w:color w:val="000000"/>
                      <w:spacing w:val="0"/>
                      <w:sz w:val="19"/>
                      <w:szCs w:val="19"/>
                      <w:shd w:val="clear" w:fill="FFFFFF"/>
                      <w:lang w:eastAsia="zh-CN"/>
                    </w:rPr>
                    <w:t>。</w:t>
                  </w:r>
                </w:p>
              </w:tc>
            </w:tr>
            <w:tr w14:paraId="654DB488">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4754CE1D">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1B228661">
                  <w:pPr>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硫酸亚铁</w:t>
                  </w:r>
                </w:p>
              </w:tc>
              <w:tc>
                <w:tcPr>
                  <w:tcW w:w="6223" w:type="dxa"/>
                  <w:tcBorders>
                    <w:tl2br w:val="nil"/>
                    <w:tr2bl w:val="nil"/>
                  </w:tcBorders>
                  <w:shd w:val="clear" w:color="auto" w:fill="auto"/>
                  <w:vAlign w:val="center"/>
                </w:tcPr>
                <w:p w14:paraId="14B458F5">
                  <w:pPr>
                    <w:keepNext w:val="0"/>
                    <w:keepLines w:val="0"/>
                    <w:widowControl/>
                    <w:numPr>
                      <w:ilvl w:val="0"/>
                      <w:numId w:val="0"/>
                    </w:numPr>
                    <w:suppressLineNumbers w:val="0"/>
                    <w:pBdr>
                      <w:left w:val="none" w:color="auto" w:sz="0" w:space="0"/>
                    </w:pBdr>
                    <w:spacing w:before="0" w:beforeAutospacing="1" w:after="0" w:afterAutospacing="1"/>
                    <w:rPr>
                      <w:rFonts w:hint="default" w:ascii="Times New Roman" w:hAnsi="Times New Roman" w:eastAsia="宋体" w:cs="Times New Roman"/>
                      <w:i w:val="0"/>
                      <w:iCs w:val="0"/>
                      <w:caps w:val="0"/>
                      <w:color w:val="000000"/>
                      <w:spacing w:val="0"/>
                      <w:sz w:val="19"/>
                      <w:szCs w:val="19"/>
                      <w:shd w:val="clear" w:fill="FFFFFF"/>
                      <w:lang w:val="en-US" w:eastAsia="zh-CN"/>
                    </w:rPr>
                  </w:pPr>
                  <w:r>
                    <w:rPr>
                      <w:rFonts w:hint="default" w:ascii="Times New Roman" w:hAnsi="Times New Roman" w:eastAsia="宋体" w:cs="Times New Roman"/>
                      <w:i w:val="0"/>
                      <w:iCs w:val="0"/>
                      <w:caps w:val="0"/>
                      <w:color w:val="000000"/>
                      <w:spacing w:val="0"/>
                      <w:sz w:val="19"/>
                      <w:szCs w:val="19"/>
                      <w:shd w:val="clear" w:fill="FFFFFF"/>
                    </w:rPr>
                    <w:t xml:space="preserve">无水硫酸亚铁（FeSO₄）为白色粉末，暴露于空气中易氧化为黄褐色的碱式硫酸铁；七水合硫酸亚铁（FeSO₄・7H₂O）俗称 </w:t>
                  </w:r>
                  <w:r>
                    <w:rPr>
                      <w:rFonts w:hint="eastAsia" w:ascii="Times New Roman" w:hAnsi="Times New Roman" w:eastAsia="宋体" w:cs="Times New Roman"/>
                      <w:i w:val="0"/>
                      <w:iCs w:val="0"/>
                      <w:caps w:val="0"/>
                      <w:color w:val="000000"/>
                      <w:spacing w:val="0"/>
                      <w:sz w:val="19"/>
                      <w:szCs w:val="19"/>
                      <w:shd w:val="clear" w:fill="FFFFFF"/>
                      <w:lang w:eastAsia="zh-CN"/>
                    </w:rPr>
                    <w:t>“</w:t>
                  </w:r>
                  <w:r>
                    <w:rPr>
                      <w:rFonts w:hint="default" w:ascii="Times New Roman" w:hAnsi="Times New Roman" w:eastAsia="宋体" w:cs="Times New Roman"/>
                      <w:i w:val="0"/>
                      <w:iCs w:val="0"/>
                      <w:caps w:val="0"/>
                      <w:color w:val="000000"/>
                      <w:spacing w:val="0"/>
                      <w:sz w:val="19"/>
                      <w:szCs w:val="19"/>
                      <w:shd w:val="clear" w:fill="FFFFFF"/>
                    </w:rPr>
                    <w:t>绿矾</w:t>
                  </w:r>
                  <w:r>
                    <w:rPr>
                      <w:rFonts w:hint="eastAsia" w:ascii="Times New Roman" w:hAnsi="Times New Roman" w:eastAsia="宋体" w:cs="Times New Roman"/>
                      <w:i w:val="0"/>
                      <w:iCs w:val="0"/>
                      <w:caps w:val="0"/>
                      <w:color w:val="000000"/>
                      <w:spacing w:val="0"/>
                      <w:sz w:val="19"/>
                      <w:szCs w:val="19"/>
                      <w:shd w:val="clear" w:fill="FFFFFF"/>
                      <w:lang w:eastAsia="zh-CN"/>
                    </w:rPr>
                    <w:t>”</w:t>
                  </w:r>
                  <w:r>
                    <w:rPr>
                      <w:rFonts w:hint="default" w:ascii="Times New Roman" w:hAnsi="Times New Roman" w:eastAsia="宋体" w:cs="Times New Roman"/>
                      <w:i w:val="0"/>
                      <w:iCs w:val="0"/>
                      <w:caps w:val="0"/>
                      <w:color w:val="000000"/>
                      <w:spacing w:val="0"/>
                      <w:sz w:val="19"/>
                      <w:szCs w:val="19"/>
                      <w:shd w:val="clear" w:fill="FFFFFF"/>
                    </w:rPr>
                    <w:t>，呈蓝绿色晶体，晶体结构为三斜晶系，Fe²⁺与 H₂O、SO₄²⁻通过配位键和离子键结合。</w:t>
                  </w:r>
                </w:p>
              </w:tc>
            </w:tr>
            <w:tr w14:paraId="327F7313">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4223BCCC">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0D5BB694">
                  <w:pPr>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四氧化三锰</w:t>
                  </w:r>
                </w:p>
              </w:tc>
              <w:tc>
                <w:tcPr>
                  <w:tcW w:w="6223" w:type="dxa"/>
                  <w:tcBorders>
                    <w:tl2br w:val="nil"/>
                    <w:tr2bl w:val="nil"/>
                  </w:tcBorders>
                  <w:shd w:val="clear" w:color="auto" w:fill="auto"/>
                  <w:vAlign w:val="center"/>
                </w:tcPr>
                <w:p w14:paraId="193055CC">
                  <w:pPr>
                    <w:keepNext w:val="0"/>
                    <w:keepLines w:val="0"/>
                    <w:widowControl/>
                    <w:numPr>
                      <w:ilvl w:val="0"/>
                      <w:numId w:val="0"/>
                    </w:numPr>
                    <w:suppressLineNumbers w:val="0"/>
                    <w:pBdr>
                      <w:left w:val="none" w:color="auto" w:sz="0" w:space="0"/>
                    </w:pBdr>
                    <w:spacing w:before="0" w:beforeAutospacing="1" w:after="0" w:afterAutospacing="1"/>
                    <w:rPr>
                      <w:rFonts w:hint="default" w:ascii="Times New Roman" w:hAnsi="Times New Roman" w:eastAsia="宋体" w:cs="Times New Roman"/>
                      <w:i w:val="0"/>
                      <w:iCs w:val="0"/>
                      <w:caps w:val="0"/>
                      <w:color w:val="000000"/>
                      <w:spacing w:val="0"/>
                      <w:sz w:val="19"/>
                      <w:szCs w:val="19"/>
                      <w:shd w:val="clear" w:fill="FFFFFF"/>
                      <w:lang w:val="en-US" w:eastAsia="zh-CN"/>
                    </w:rPr>
                  </w:pPr>
                  <w:r>
                    <w:rPr>
                      <w:rFonts w:hint="default" w:ascii="Times New Roman" w:hAnsi="Times New Roman" w:eastAsia="宋体" w:cs="Times New Roman"/>
                      <w:i w:val="0"/>
                      <w:iCs w:val="0"/>
                      <w:caps w:val="0"/>
                      <w:color w:val="000000"/>
                      <w:spacing w:val="0"/>
                      <w:sz w:val="19"/>
                      <w:szCs w:val="19"/>
                      <w:shd w:val="clear" w:fill="FFFFFF"/>
                    </w:rPr>
                    <w:t>常温下为黑色或棕黑色粉末，粉末细腻，无光泽，在空气中稳定。密度：约 4.85 g/cm³（不同晶型略有差异）。莫氏硬度：约 5.5~6，属于中等硬度的无机化合物。熔点：约 1560℃（高温下可分解或与其他物质反应）。几乎不溶于水、稀酸（如稀硫酸、稀盐酸），但在浓酸或强氧化性酸中可缓慢溶解，生成相应的锰盐。不溶于有机溶剂（如乙醇、乙醚）。</w:t>
                  </w:r>
                </w:p>
              </w:tc>
            </w:tr>
            <w:tr w14:paraId="27E49187">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3FB4D925">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5C2571E0">
                  <w:pPr>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二氧化锰</w:t>
                  </w:r>
                </w:p>
              </w:tc>
              <w:tc>
                <w:tcPr>
                  <w:tcW w:w="6223" w:type="dxa"/>
                  <w:tcBorders>
                    <w:tl2br w:val="nil"/>
                    <w:tr2bl w:val="nil"/>
                  </w:tcBorders>
                  <w:shd w:val="clear" w:color="auto" w:fill="auto"/>
                  <w:vAlign w:val="center"/>
                </w:tcPr>
                <w:p w14:paraId="692CDBF5">
                  <w:pPr>
                    <w:keepNext w:val="0"/>
                    <w:keepLines w:val="0"/>
                    <w:widowControl/>
                    <w:numPr>
                      <w:ilvl w:val="0"/>
                      <w:numId w:val="0"/>
                    </w:numPr>
                    <w:suppressLineNumbers w:val="0"/>
                    <w:pBdr>
                      <w:left w:val="none" w:color="auto" w:sz="0" w:space="0"/>
                    </w:pBdr>
                    <w:spacing w:before="0" w:beforeAutospacing="1" w:after="0" w:afterAutospacing="1"/>
                    <w:rPr>
                      <w:rFonts w:hint="default" w:ascii="Times New Roman" w:hAnsi="Times New Roman" w:eastAsia="宋体" w:cs="Times New Roman"/>
                      <w:i w:val="0"/>
                      <w:iCs w:val="0"/>
                      <w:caps w:val="0"/>
                      <w:color w:val="000000"/>
                      <w:spacing w:val="0"/>
                      <w:sz w:val="19"/>
                      <w:szCs w:val="19"/>
                      <w:shd w:val="clear" w:fill="FFFFFF"/>
                      <w:lang w:val="en-US" w:eastAsia="zh-CN"/>
                    </w:rPr>
                  </w:pPr>
                  <w:r>
                    <w:rPr>
                      <w:rFonts w:hint="default" w:ascii="Times New Roman" w:hAnsi="Times New Roman" w:eastAsia="宋体" w:cs="Times New Roman"/>
                      <w:i w:val="0"/>
                      <w:iCs w:val="0"/>
                      <w:caps w:val="0"/>
                      <w:color w:val="000000"/>
                      <w:spacing w:val="0"/>
                      <w:sz w:val="19"/>
                      <w:szCs w:val="19"/>
                      <w:shd w:val="clear" w:fill="FFFFFF"/>
                      <w:lang w:val="en-US" w:eastAsia="zh-CN"/>
                    </w:rPr>
                    <w:t>常温下为黑色无定形粉末或晶体，密度：约 5.03 g/cm³，熔点：约 535℃（高温下分解，生成氧气和四氧化三锰 Mn₃O₄），实际分解温度因晶型和纯度不同略有变化。几乎不溶于水、稀酸（如稀硫酸、稀盐酸）和有机溶剂，但在浓酸或强还原性条件下可溶解。</w:t>
                  </w:r>
                </w:p>
              </w:tc>
            </w:tr>
            <w:tr w14:paraId="05589D30">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5151C353">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38D5E2BF">
                  <w:pPr>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聚偏氟乙烯</w:t>
                  </w:r>
                </w:p>
              </w:tc>
              <w:tc>
                <w:tcPr>
                  <w:tcW w:w="6223" w:type="dxa"/>
                  <w:tcBorders>
                    <w:tl2br w:val="nil"/>
                    <w:tr2bl w:val="nil"/>
                  </w:tcBorders>
                  <w:shd w:val="clear" w:color="auto" w:fill="auto"/>
                  <w:vAlign w:val="center"/>
                </w:tcPr>
                <w:p w14:paraId="2E44391F">
                  <w:pPr>
                    <w:keepNext w:val="0"/>
                    <w:keepLines w:val="0"/>
                    <w:widowControl/>
                    <w:numPr>
                      <w:ilvl w:val="0"/>
                      <w:numId w:val="0"/>
                    </w:numPr>
                    <w:suppressLineNumbers w:val="0"/>
                    <w:pBdr>
                      <w:left w:val="none" w:color="auto" w:sz="0" w:space="0"/>
                    </w:pBdr>
                    <w:spacing w:before="0" w:beforeAutospacing="1" w:after="0" w:afterAutospacing="1"/>
                    <w:rPr>
                      <w:rFonts w:hint="default" w:ascii="Times New Roman" w:hAnsi="Times New Roman" w:eastAsia="宋体" w:cs="Times New Roman"/>
                      <w:i w:val="0"/>
                      <w:iCs w:val="0"/>
                      <w:caps w:val="0"/>
                      <w:color w:val="000000"/>
                      <w:spacing w:val="0"/>
                      <w:sz w:val="19"/>
                      <w:szCs w:val="19"/>
                      <w:shd w:val="clear" w:fill="FFFFFF"/>
                      <w:lang w:val="en-US" w:eastAsia="zh-CN"/>
                    </w:rPr>
                  </w:pPr>
                  <w:r>
                    <w:rPr>
                      <w:rFonts w:hint="default" w:ascii="Times New Roman" w:hAnsi="Times New Roman" w:eastAsia="宋体" w:cs="Times New Roman"/>
                      <w:i w:val="0"/>
                      <w:iCs w:val="0"/>
                      <w:caps w:val="0"/>
                      <w:color w:val="000000"/>
                      <w:spacing w:val="0"/>
                      <w:sz w:val="19"/>
                      <w:szCs w:val="19"/>
                      <w:shd w:val="clear" w:fill="FFFFFF"/>
                      <w:lang w:val="en-US" w:eastAsia="zh-CN"/>
                    </w:rPr>
                    <w:t>聚偏氟乙烯树脂，化学式：(C2H2O2)n，白色粉末状结晶性聚合物，密度1.7-1.8g/cm3，玻璃化温度-39℃，脆化温度-62℃，熔点170℃，热分解温度350℃左右，长期使用温度-40～150℃。机械强度高，耐辐照性好。具有良好的化学稳定性，在室温下不被酸、碱、强氧化剂和卤素所腐蚀，发烟硫酸、强碱、酮、醚绵少数化学药品能使其溶胀或部分溶解。</w:t>
                  </w:r>
                </w:p>
              </w:tc>
            </w:tr>
            <w:tr w14:paraId="15119434">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20555B91">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5CE1A652">
                  <w:pPr>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金属锂片</w:t>
                  </w:r>
                </w:p>
              </w:tc>
              <w:tc>
                <w:tcPr>
                  <w:tcW w:w="6223" w:type="dxa"/>
                  <w:tcBorders>
                    <w:tl2br w:val="nil"/>
                    <w:tr2bl w:val="nil"/>
                  </w:tcBorders>
                  <w:shd w:val="clear" w:color="auto" w:fill="auto"/>
                  <w:vAlign w:val="center"/>
                </w:tcPr>
                <w:p w14:paraId="0AA3B758">
                  <w:pPr>
                    <w:keepNext w:val="0"/>
                    <w:keepLines w:val="0"/>
                    <w:widowControl/>
                    <w:numPr>
                      <w:ilvl w:val="0"/>
                      <w:numId w:val="0"/>
                    </w:numPr>
                    <w:suppressLineNumbers w:val="0"/>
                    <w:pBdr>
                      <w:left w:val="none" w:color="auto" w:sz="0" w:space="0"/>
                    </w:pBdr>
                    <w:spacing w:before="0" w:beforeAutospacing="1" w:after="0" w:afterAutospacing="1"/>
                    <w:rPr>
                      <w:rFonts w:hint="default" w:ascii="Times New Roman" w:hAnsi="Times New Roman" w:eastAsia="宋体" w:cs="Times New Roman"/>
                      <w:i w:val="0"/>
                      <w:iCs w:val="0"/>
                      <w:caps w:val="0"/>
                      <w:color w:val="000000"/>
                      <w:spacing w:val="0"/>
                      <w:sz w:val="19"/>
                      <w:szCs w:val="19"/>
                      <w:shd w:val="clear" w:fill="FFFFFF"/>
                      <w:lang w:val="en-US" w:eastAsia="zh-CN"/>
                    </w:rPr>
                  </w:pPr>
                  <w:r>
                    <w:rPr>
                      <w:rFonts w:hint="default" w:ascii="Times New Roman" w:hAnsi="Times New Roman" w:eastAsia="宋体" w:cs="Times New Roman"/>
                      <w:i w:val="0"/>
                      <w:iCs w:val="0"/>
                      <w:caps w:val="0"/>
                      <w:color w:val="000000"/>
                      <w:spacing w:val="0"/>
                      <w:sz w:val="19"/>
                      <w:szCs w:val="19"/>
                      <w:shd w:val="clear" w:fill="FFFFFF"/>
                    </w:rPr>
                    <w:t>银白色金属薄片，具有金属光泽，质地柔软（可用刀轻松切割），暴露在空气中易被氧化，表面迅速变暗生成灰色氧化层（Li₂O）。延展性良好，可压制成薄片；是优良的电和热导体（电导率约 1.1×10⁷ S/m）。密度：约 0.534 g/cm³，是密度最小的金属（比水轻，密度仅为水的 53%），常温下浮于煤油或石蜡油表面（需密封保存以防氧化）。</w:t>
                  </w:r>
                </w:p>
              </w:tc>
            </w:tr>
            <w:tr w14:paraId="721B9DBA">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645" w:type="dxa"/>
                  <w:tcBorders>
                    <w:tl2br w:val="nil"/>
                    <w:tr2bl w:val="nil"/>
                  </w:tcBorders>
                  <w:vAlign w:val="center"/>
                </w:tcPr>
                <w:p w14:paraId="314F8B78">
                  <w:pPr>
                    <w:numPr>
                      <w:ilvl w:val="0"/>
                      <w:numId w:val="26"/>
                    </w:numPr>
                    <w:tabs>
                      <w:tab w:val="left" w:pos="0"/>
                    </w:tabs>
                    <w:jc w:val="center"/>
                    <w:rPr>
                      <w:rFonts w:hint="default" w:ascii="Times New Roman" w:hAnsi="Times New Roman" w:eastAsia="宋体" w:cs="Times New Roman"/>
                      <w:bCs/>
                      <w:szCs w:val="21"/>
                      <w:highlight w:val="none"/>
                    </w:rPr>
                  </w:pPr>
                </w:p>
              </w:tc>
              <w:tc>
                <w:tcPr>
                  <w:tcW w:w="1096" w:type="dxa"/>
                  <w:tcBorders>
                    <w:tl2br w:val="nil"/>
                    <w:tr2bl w:val="nil"/>
                  </w:tcBorders>
                  <w:shd w:val="clear" w:color="auto" w:fill="auto"/>
                  <w:vAlign w:val="center"/>
                </w:tcPr>
                <w:p w14:paraId="3DCC5321">
                  <w:pPr>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环氧树脂</w:t>
                  </w:r>
                </w:p>
              </w:tc>
              <w:tc>
                <w:tcPr>
                  <w:tcW w:w="6223" w:type="dxa"/>
                  <w:tcBorders>
                    <w:tl2br w:val="nil"/>
                    <w:tr2bl w:val="nil"/>
                  </w:tcBorders>
                  <w:shd w:val="clear" w:color="auto" w:fill="auto"/>
                  <w:vAlign w:val="center"/>
                </w:tcPr>
                <w:p w14:paraId="624D1720">
                  <w:pPr>
                    <w:keepNext w:val="0"/>
                    <w:keepLines w:val="0"/>
                    <w:widowControl/>
                    <w:numPr>
                      <w:ilvl w:val="0"/>
                      <w:numId w:val="0"/>
                    </w:numPr>
                    <w:suppressLineNumbers w:val="0"/>
                    <w:pBdr>
                      <w:left w:val="none" w:color="auto" w:sz="0" w:space="0"/>
                    </w:pBdr>
                    <w:spacing w:before="0" w:beforeAutospacing="1" w:after="0" w:afterAutospacing="1"/>
                    <w:rPr>
                      <w:rFonts w:hint="default" w:ascii="Times New Roman" w:hAnsi="Times New Roman" w:eastAsia="宋体" w:cs="Times New Roman"/>
                      <w:i w:val="0"/>
                      <w:iCs w:val="0"/>
                      <w:caps w:val="0"/>
                      <w:color w:val="000000"/>
                      <w:spacing w:val="0"/>
                      <w:sz w:val="19"/>
                      <w:szCs w:val="19"/>
                      <w:shd w:val="clear" w:fill="FFFFFF"/>
                      <w:lang w:val="en-US" w:eastAsia="zh-CN"/>
                    </w:rPr>
                  </w:pPr>
                  <w:r>
                    <w:rPr>
                      <w:rFonts w:hint="default" w:ascii="Times New Roman" w:hAnsi="Times New Roman" w:eastAsia="宋体" w:cs="Times New Roman"/>
                      <w:i w:val="0"/>
                      <w:iCs w:val="0"/>
                      <w:caps w:val="0"/>
                      <w:color w:val="000000"/>
                      <w:spacing w:val="0"/>
                      <w:sz w:val="19"/>
                      <w:szCs w:val="19"/>
                      <w:shd w:val="clear" w:fill="FFFFFF"/>
                    </w:rPr>
                    <w:t>未固化树脂密度约 1.1-1.3 g/cm³，可耐受稀硫酸、盐酸（≤30% 浓度），但浓硝酸、浓硫酸会缓慢腐蚀。未固化树脂易溶于丙酮、甲苯、乙醇等有机溶剂，微溶于水；固化后形成三维网状结构，不溶于任何溶剂，仅能溶胀。</w:t>
                  </w:r>
                </w:p>
              </w:tc>
            </w:tr>
          </w:tbl>
          <w:p w14:paraId="6DF3A68E">
            <w:pPr>
              <w:adjustRightInd w:val="0"/>
              <w:snapToGrid w:val="0"/>
              <w:rPr>
                <w:rFonts w:hint="default" w:ascii="Times New Roman" w:hAnsi="Times New Roman" w:eastAsia="宋体" w:cs="Times New Roman"/>
                <w:b/>
                <w:bCs/>
                <w:sz w:val="24"/>
                <w:highlight w:val="none"/>
              </w:rPr>
            </w:pPr>
          </w:p>
          <w:p w14:paraId="4C5E8EAA">
            <w:pPr>
              <w:numPr>
                <w:ilvl w:val="0"/>
                <w:numId w:val="22"/>
              </w:numPr>
              <w:tabs>
                <w:tab w:val="left" w:pos="0"/>
              </w:tabs>
              <w:adjustRightInd w:val="0"/>
              <w:snapToGrid w:val="0"/>
              <w:spacing w:line="360" w:lineRule="auto"/>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水平衡分析</w:t>
            </w:r>
          </w:p>
          <w:p w14:paraId="6293EB3E">
            <w:pPr>
              <w:widowControl/>
              <w:spacing w:line="360" w:lineRule="auto"/>
              <w:ind w:firstLine="482" w:firstLineChars="200"/>
              <w:jc w:val="left"/>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（1）给水</w:t>
            </w:r>
          </w:p>
          <w:p w14:paraId="2FA10499">
            <w:pPr>
              <w:numPr>
                <w:ilvl w:val="0"/>
                <w:numId w:val="27"/>
              </w:numPr>
              <w:adjustRightInd w:val="0"/>
              <w:spacing w:line="360" w:lineRule="auto"/>
              <w:textAlignment w:val="baseline"/>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生活用水</w:t>
            </w:r>
          </w:p>
          <w:p w14:paraId="4F3A380C">
            <w:pPr>
              <w:widowControl/>
              <w:spacing w:line="360" w:lineRule="auto"/>
              <w:ind w:firstLine="480" w:firstLineChars="200"/>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本项目生活用水</w:t>
            </w:r>
            <w:r>
              <w:rPr>
                <w:rFonts w:hint="default" w:ascii="Times New Roman" w:hAnsi="Times New Roman" w:eastAsia="宋体" w:cs="Times New Roman"/>
                <w:bCs/>
                <w:sz w:val="24"/>
                <w:highlight w:val="none"/>
              </w:rPr>
              <w:t>由市政自来水管网提供，</w:t>
            </w:r>
            <w:r>
              <w:rPr>
                <w:rFonts w:hint="default" w:ascii="Times New Roman" w:hAnsi="Times New Roman" w:eastAsia="宋体" w:cs="Times New Roman"/>
                <w:sz w:val="24"/>
                <w:highlight w:val="none"/>
              </w:rPr>
              <w:t>根据《建筑给水排水设计标准》（GB50015-2019）</w:t>
            </w:r>
            <w:r>
              <w:rPr>
                <w:rFonts w:hint="eastAsia"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表3.2.2公共建筑生活用水定额及小时变化系数</w:t>
            </w:r>
            <w:r>
              <w:rPr>
                <w:rFonts w:hint="eastAsia"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中规定，坐班制办公每人每班最高生活用水定额为30L-50L，员工日常生活用水按50L/人▪d计。本项目设员工</w:t>
            </w:r>
            <w:r>
              <w:rPr>
                <w:rFonts w:hint="default" w:ascii="Times New Roman" w:hAnsi="Times New Roman" w:eastAsia="宋体" w:cs="Times New Roman"/>
                <w:sz w:val="24"/>
                <w:highlight w:val="none"/>
                <w:lang w:val="en-US" w:eastAsia="zh-CN"/>
              </w:rPr>
              <w:t>40</w:t>
            </w:r>
            <w:r>
              <w:rPr>
                <w:rFonts w:hint="default" w:ascii="Times New Roman" w:hAnsi="Times New Roman" w:eastAsia="宋体" w:cs="Times New Roman"/>
                <w:sz w:val="24"/>
                <w:highlight w:val="none"/>
              </w:rPr>
              <w:t>人、年工作250天，则生活用水量为</w:t>
            </w:r>
            <w:r>
              <w:rPr>
                <w:rFonts w:hint="default" w:ascii="Times New Roman" w:hAnsi="Times New Roman" w:eastAsia="宋体" w:cs="Times New Roman"/>
                <w:sz w:val="24"/>
                <w:highlight w:val="none"/>
                <w:lang w:val="en-US" w:eastAsia="zh-CN"/>
              </w:rPr>
              <w:t>500</w:t>
            </w:r>
            <w:r>
              <w:rPr>
                <w:rFonts w:hint="default" w:ascii="Times New Roman" w:hAnsi="Times New Roman" w:eastAsia="宋体" w:cs="Times New Roman"/>
                <w:bCs/>
                <w:sz w:val="24"/>
                <w:highlight w:val="none"/>
                <w:lang w:val="en-US" w:eastAsia="zh-CN"/>
              </w:rPr>
              <w:t>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sz w:val="24"/>
                <w:highlight w:val="none"/>
              </w:rPr>
              <w:t>/a。</w:t>
            </w:r>
          </w:p>
          <w:p w14:paraId="42564E74">
            <w:pPr>
              <w:numPr>
                <w:ilvl w:val="0"/>
                <w:numId w:val="27"/>
              </w:numPr>
              <w:adjustRightInd w:val="0"/>
              <w:spacing w:line="360" w:lineRule="auto"/>
              <w:rPr>
                <w:rFonts w:hint="default" w:ascii="Times New Roman" w:hAnsi="Times New Roman" w:eastAsia="宋体" w:cs="Times New Roman"/>
                <w:bCs/>
                <w:sz w:val="24"/>
                <w:highlight w:val="none"/>
              </w:rPr>
            </w:pPr>
            <w:r>
              <w:rPr>
                <w:rFonts w:hint="default" w:ascii="Times New Roman" w:hAnsi="Times New Roman" w:eastAsia="宋体" w:cs="Times New Roman"/>
                <w:b/>
                <w:bCs/>
                <w:sz w:val="24"/>
                <w:highlight w:val="none"/>
                <w:lang w:eastAsia="zh-CN"/>
              </w:rPr>
              <w:t>实验用水</w:t>
            </w:r>
          </w:p>
          <w:p w14:paraId="6BD24404">
            <w:pPr>
              <w:numPr>
                <w:ilvl w:val="0"/>
                <w:numId w:val="28"/>
              </w:numPr>
              <w:adjustRightInd w:val="0"/>
              <w:spacing w:line="360" w:lineRule="auto"/>
              <w:ind w:left="0" w:leftChars="0"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sz w:val="24"/>
                <w:highlight w:val="none"/>
              </w:rPr>
              <w:t>纯水制备用水</w:t>
            </w:r>
          </w:p>
          <w:p w14:paraId="2BFAD8E5">
            <w:pPr>
              <w:numPr>
                <w:ilvl w:val="0"/>
                <w:numId w:val="0"/>
              </w:numPr>
              <w:adjustRightInd w:val="0"/>
              <w:spacing w:line="360" w:lineRule="auto"/>
              <w:ind w:firstLine="480" w:firstLineChars="200"/>
              <w:rPr>
                <w:rFonts w:hint="default" w:ascii="Times New Roman" w:hAnsi="Times New Roman" w:eastAsia="宋体" w:cs="Times New Roman"/>
                <w:bCs/>
                <w:sz w:val="24"/>
                <w:highlight w:val="none"/>
                <w:lang w:val="en-US" w:eastAsia="zh-CN"/>
              </w:rPr>
            </w:pPr>
            <w:r>
              <w:rPr>
                <w:rFonts w:hint="default" w:ascii="Times New Roman" w:hAnsi="Times New Roman" w:eastAsia="宋体" w:cs="Times New Roman"/>
                <w:bCs/>
                <w:sz w:val="24"/>
                <w:highlight w:val="none"/>
                <w:lang w:val="en-US" w:eastAsia="zh-CN"/>
              </w:rPr>
              <w:t>电池材料沉淀反应、电池材料设备清洗、物性分析、其他实验设备清洗清洗（除电池材料实验外）、</w:t>
            </w:r>
            <w:r>
              <w:rPr>
                <w:rFonts w:hint="default" w:ascii="Times New Roman" w:hAnsi="Times New Roman" w:eastAsia="宋体" w:cs="Times New Roman"/>
                <w:sz w:val="24"/>
                <w:highlight w:val="none"/>
                <w:lang w:val="en-US" w:eastAsia="zh-CN"/>
              </w:rPr>
              <w:t>超声波</w:t>
            </w:r>
            <w:r>
              <w:rPr>
                <w:rFonts w:hint="default" w:ascii="Times New Roman" w:hAnsi="Times New Roman" w:eastAsia="宋体" w:cs="Times New Roman"/>
                <w:bCs/>
                <w:sz w:val="24"/>
                <w:highlight w:val="none"/>
                <w:lang w:val="en-US" w:eastAsia="zh-CN"/>
              </w:rPr>
              <w:t>清洗、喷雾干燥原料研磨用水为纯净水。</w:t>
            </w:r>
          </w:p>
          <w:p w14:paraId="7F906F90">
            <w:pPr>
              <w:numPr>
                <w:ilvl w:val="0"/>
                <w:numId w:val="0"/>
              </w:numPr>
              <w:adjustRightInd w:val="0"/>
              <w:spacing w:line="360" w:lineRule="auto"/>
              <w:ind w:firstLine="480" w:firstLineChars="200"/>
              <w:rPr>
                <w:rFonts w:hint="default" w:ascii="Times New Roman" w:hAnsi="Times New Roman" w:eastAsia="宋体" w:cs="Times New Roman"/>
                <w:bCs/>
                <w:sz w:val="24"/>
                <w:highlight w:val="none"/>
                <w:lang w:eastAsia="zh-CN"/>
              </w:rPr>
            </w:pPr>
            <w:r>
              <w:rPr>
                <w:rFonts w:hint="default" w:ascii="Times New Roman" w:hAnsi="Times New Roman" w:eastAsia="宋体" w:cs="Times New Roman"/>
                <w:bCs/>
                <w:sz w:val="24"/>
                <w:highlight w:val="none"/>
                <w:lang w:val="en-US" w:eastAsia="zh-CN"/>
              </w:rPr>
              <w:t>根据建设单位提供的资料电池材料沉淀反应用水16m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r>
              <w:rPr>
                <w:rFonts w:hint="default" w:ascii="Times New Roman" w:hAnsi="Times New Roman" w:eastAsia="宋体" w:cs="Times New Roman"/>
                <w:bCs/>
                <w:sz w:val="24"/>
                <w:highlight w:val="none"/>
                <w:lang w:eastAsia="zh-CN"/>
              </w:rPr>
              <w:t>；</w:t>
            </w:r>
          </w:p>
          <w:p w14:paraId="077FB941">
            <w:pPr>
              <w:numPr>
                <w:ilvl w:val="0"/>
                <w:numId w:val="0"/>
              </w:numPr>
              <w:adjustRightInd w:val="0"/>
              <w:spacing w:line="360" w:lineRule="auto"/>
              <w:ind w:firstLine="480" w:firstLineChars="200"/>
              <w:rPr>
                <w:rFonts w:hint="default" w:ascii="Times New Roman" w:hAnsi="Times New Roman" w:eastAsia="宋体" w:cs="Times New Roman"/>
                <w:bCs/>
                <w:sz w:val="24"/>
                <w:highlight w:val="none"/>
                <w:lang w:eastAsia="zh-CN"/>
              </w:rPr>
            </w:pPr>
            <w:r>
              <w:rPr>
                <w:rFonts w:hint="default" w:ascii="Times New Roman" w:hAnsi="Times New Roman" w:eastAsia="宋体" w:cs="Times New Roman"/>
                <w:bCs/>
                <w:sz w:val="24"/>
                <w:highlight w:val="none"/>
                <w:lang w:val="en-US" w:eastAsia="zh-CN"/>
              </w:rPr>
              <w:t>物性分析用水包括电池材料实验过程pH、碱度等的分析检测，金属材料实验过成元素分析检测，合计1m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r>
              <w:rPr>
                <w:rFonts w:hint="default" w:ascii="Times New Roman" w:hAnsi="Times New Roman" w:eastAsia="宋体" w:cs="Times New Roman"/>
                <w:bCs/>
                <w:sz w:val="24"/>
                <w:highlight w:val="none"/>
                <w:lang w:eastAsia="zh-CN"/>
              </w:rPr>
              <w:t>；</w:t>
            </w:r>
          </w:p>
          <w:p w14:paraId="781DD5C9">
            <w:pPr>
              <w:numPr>
                <w:ilvl w:val="0"/>
                <w:numId w:val="0"/>
              </w:numPr>
              <w:adjustRightInd w:val="0"/>
              <w:spacing w:line="360" w:lineRule="auto"/>
              <w:ind w:firstLine="480" w:firstLineChars="200"/>
              <w:rPr>
                <w:rFonts w:hint="default" w:ascii="Times New Roman" w:hAnsi="Times New Roman" w:eastAsia="宋体" w:cs="Times New Roman"/>
                <w:bCs/>
                <w:sz w:val="24"/>
                <w:highlight w:val="none"/>
                <w:lang w:eastAsia="zh-CN"/>
              </w:rPr>
            </w:pPr>
            <w:r>
              <w:rPr>
                <w:rFonts w:hint="default" w:ascii="Times New Roman" w:hAnsi="Times New Roman" w:eastAsia="宋体" w:cs="Times New Roman"/>
                <w:bCs/>
                <w:sz w:val="24"/>
                <w:highlight w:val="none"/>
                <w:lang w:val="en-US" w:eastAsia="zh-CN"/>
              </w:rPr>
              <w:t>电池材料设备清洗用水3m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r>
              <w:rPr>
                <w:rFonts w:hint="default" w:ascii="Times New Roman" w:hAnsi="Times New Roman" w:eastAsia="宋体" w:cs="Times New Roman"/>
                <w:bCs/>
                <w:sz w:val="24"/>
                <w:highlight w:val="none"/>
                <w:lang w:eastAsia="zh-CN"/>
              </w:rPr>
              <w:t>；</w:t>
            </w:r>
          </w:p>
          <w:p w14:paraId="155A7BEF">
            <w:pPr>
              <w:numPr>
                <w:ilvl w:val="0"/>
                <w:numId w:val="0"/>
              </w:numPr>
              <w:adjustRightInd w:val="0"/>
              <w:spacing w:line="360" w:lineRule="auto"/>
              <w:ind w:firstLine="480" w:firstLineChars="200"/>
              <w:rPr>
                <w:rFonts w:hint="default" w:ascii="Times New Roman" w:hAnsi="Times New Roman" w:eastAsia="宋体" w:cs="Times New Roman"/>
                <w:bCs/>
                <w:sz w:val="24"/>
                <w:highlight w:val="none"/>
                <w:lang w:eastAsia="zh-CN"/>
              </w:rPr>
            </w:pPr>
            <w:r>
              <w:rPr>
                <w:rFonts w:hint="default" w:ascii="Times New Roman" w:hAnsi="Times New Roman" w:eastAsia="宋体" w:cs="Times New Roman"/>
                <w:bCs/>
                <w:sz w:val="24"/>
                <w:highlight w:val="none"/>
                <w:lang w:val="en-US" w:eastAsia="zh-CN"/>
              </w:rPr>
              <w:t>其他实验设备清洗清洗（除电池材料实验外）用水2m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r>
              <w:rPr>
                <w:rFonts w:hint="default" w:ascii="Times New Roman" w:hAnsi="Times New Roman" w:eastAsia="宋体" w:cs="Times New Roman"/>
                <w:bCs/>
                <w:sz w:val="24"/>
                <w:highlight w:val="none"/>
                <w:lang w:eastAsia="zh-CN"/>
              </w:rPr>
              <w:t>；</w:t>
            </w:r>
          </w:p>
          <w:p w14:paraId="08B48481">
            <w:pPr>
              <w:numPr>
                <w:ilvl w:val="0"/>
                <w:numId w:val="0"/>
              </w:numPr>
              <w:adjustRightInd w:val="0"/>
              <w:spacing w:line="360" w:lineRule="auto"/>
              <w:ind w:firstLine="480" w:firstLineChars="200"/>
              <w:rPr>
                <w:rFonts w:hint="default" w:ascii="Times New Roman" w:hAnsi="Times New Roman" w:eastAsia="宋体" w:cs="Times New Roman"/>
                <w:bCs/>
                <w:sz w:val="24"/>
                <w:highlight w:val="none"/>
                <w:lang w:eastAsia="zh-CN"/>
              </w:rPr>
            </w:pPr>
            <w:r>
              <w:rPr>
                <w:rFonts w:hint="default" w:ascii="Times New Roman" w:hAnsi="Times New Roman" w:eastAsia="宋体" w:cs="Times New Roman"/>
                <w:bCs/>
                <w:sz w:val="24"/>
                <w:highlight w:val="none"/>
                <w:lang w:val="en-US" w:eastAsia="zh-CN"/>
              </w:rPr>
              <w:t>超声波清洗用水0.05m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r>
              <w:rPr>
                <w:rFonts w:hint="default" w:ascii="Times New Roman" w:hAnsi="Times New Roman" w:eastAsia="宋体" w:cs="Times New Roman"/>
                <w:bCs/>
                <w:sz w:val="24"/>
                <w:highlight w:val="none"/>
                <w:lang w:eastAsia="zh-CN"/>
              </w:rPr>
              <w:t>；</w:t>
            </w:r>
          </w:p>
          <w:p w14:paraId="761A713C">
            <w:pPr>
              <w:numPr>
                <w:ilvl w:val="0"/>
                <w:numId w:val="0"/>
              </w:numPr>
              <w:adjustRightInd w:val="0"/>
              <w:spacing w:line="360" w:lineRule="auto"/>
              <w:ind w:firstLine="480" w:firstLineChars="200"/>
              <w:rPr>
                <w:rFonts w:hint="default" w:ascii="Times New Roman" w:hAnsi="Times New Roman" w:eastAsia="宋体" w:cs="Times New Roman"/>
                <w:bCs/>
                <w:sz w:val="24"/>
                <w:highlight w:val="none"/>
                <w:lang w:eastAsia="zh-CN"/>
              </w:rPr>
            </w:pPr>
            <w:r>
              <w:rPr>
                <w:rFonts w:hint="default" w:ascii="Times New Roman" w:hAnsi="Times New Roman" w:eastAsia="宋体" w:cs="Times New Roman"/>
                <w:bCs/>
                <w:sz w:val="24"/>
                <w:highlight w:val="none"/>
                <w:lang w:val="en-US" w:eastAsia="zh-CN"/>
              </w:rPr>
              <w:t>喷雾干燥原料研磨实验过程用水0.1m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r>
              <w:rPr>
                <w:rFonts w:hint="default" w:ascii="Times New Roman" w:hAnsi="Times New Roman" w:eastAsia="宋体" w:cs="Times New Roman"/>
                <w:bCs/>
                <w:sz w:val="24"/>
                <w:highlight w:val="none"/>
                <w:lang w:eastAsia="zh-CN"/>
              </w:rPr>
              <w:t>；</w:t>
            </w:r>
          </w:p>
          <w:p w14:paraId="7816A8B2">
            <w:pPr>
              <w:numPr>
                <w:ilvl w:val="0"/>
                <w:numId w:val="0"/>
              </w:numPr>
              <w:adjustRightInd w:val="0"/>
              <w:spacing w:line="360" w:lineRule="auto"/>
              <w:ind w:firstLine="480" w:firstLineChars="200"/>
              <w:rPr>
                <w:rFonts w:hint="default" w:ascii="Times New Roman" w:hAnsi="Times New Roman" w:eastAsia="宋体" w:cs="Times New Roman"/>
                <w:bCs/>
                <w:sz w:val="24"/>
                <w:highlight w:val="none"/>
                <w:lang w:val="en-US" w:eastAsia="zh-CN"/>
              </w:rPr>
            </w:pPr>
            <w:r>
              <w:rPr>
                <w:rFonts w:hint="default" w:ascii="Times New Roman" w:hAnsi="Times New Roman" w:eastAsia="宋体" w:cs="Times New Roman"/>
                <w:bCs/>
                <w:sz w:val="24"/>
                <w:highlight w:val="none"/>
                <w:lang w:val="en-US" w:eastAsia="zh-CN"/>
              </w:rPr>
              <w:t>合计使用纯水22.15m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lang w:val="en-US" w:eastAsia="zh-CN"/>
              </w:rPr>
              <w:t>纯水由一台</w:t>
            </w:r>
            <w:r>
              <w:rPr>
                <w:rFonts w:hint="default" w:ascii="Times New Roman" w:hAnsi="Times New Roman" w:eastAsia="宋体" w:cs="Times New Roman"/>
                <w:sz w:val="24"/>
                <w:highlight w:val="none"/>
              </w:rPr>
              <w:t>纯水</w:t>
            </w:r>
            <w:r>
              <w:rPr>
                <w:rFonts w:hint="default" w:ascii="Times New Roman" w:hAnsi="Times New Roman" w:eastAsia="宋体" w:cs="Times New Roman"/>
                <w:bCs/>
                <w:sz w:val="24"/>
                <w:highlight w:val="none"/>
              </w:rPr>
              <w:t>机制</w:t>
            </w:r>
            <w:r>
              <w:rPr>
                <w:rFonts w:hint="default" w:ascii="Times New Roman" w:hAnsi="Times New Roman" w:eastAsia="宋体" w:cs="Times New Roman"/>
                <w:sz w:val="24"/>
                <w:highlight w:val="none"/>
              </w:rPr>
              <w:t>备，制水效率为</w:t>
            </w:r>
            <w:r>
              <w:rPr>
                <w:rFonts w:hint="default" w:ascii="Times New Roman" w:hAnsi="Times New Roman" w:eastAsia="宋体" w:cs="Times New Roman"/>
                <w:sz w:val="24"/>
                <w:highlight w:val="none"/>
                <w:lang w:val="en-US" w:eastAsia="zh-CN"/>
              </w:rPr>
              <w:t>7</w:t>
            </w:r>
            <w:r>
              <w:rPr>
                <w:rFonts w:hint="default" w:ascii="Times New Roman" w:hAnsi="Times New Roman" w:eastAsia="宋体" w:cs="Times New Roman"/>
                <w:sz w:val="24"/>
                <w:highlight w:val="none"/>
              </w:rPr>
              <w:t>0%</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则</w:t>
            </w:r>
            <w:r>
              <w:rPr>
                <w:rFonts w:hint="default" w:ascii="Times New Roman" w:hAnsi="Times New Roman" w:eastAsia="宋体" w:cs="Times New Roman"/>
                <w:bCs/>
                <w:sz w:val="24"/>
                <w:highlight w:val="none"/>
              </w:rPr>
              <w:t>纯水制备用水</w:t>
            </w:r>
            <w:r>
              <w:rPr>
                <w:rFonts w:hint="default" w:ascii="Times New Roman" w:hAnsi="Times New Roman" w:eastAsia="宋体" w:cs="Times New Roman"/>
                <w:bCs/>
                <w:sz w:val="24"/>
                <w:highlight w:val="none"/>
                <w:lang w:val="en-US" w:eastAsia="zh-CN"/>
              </w:rPr>
              <w:t>31.64m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p>
          <w:p w14:paraId="224BFBBA">
            <w:pPr>
              <w:numPr>
                <w:ilvl w:val="0"/>
                <w:numId w:val="28"/>
              </w:numPr>
              <w:adjustRightInd w:val="0"/>
              <w:spacing w:line="360" w:lineRule="auto"/>
              <w:ind w:left="0" w:leftChars="0"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lang w:val="en-US" w:eastAsia="zh-CN"/>
              </w:rPr>
              <w:t>喷淋塔用水</w:t>
            </w:r>
          </w:p>
          <w:p w14:paraId="63D28F36">
            <w:pPr>
              <w:widowControl/>
              <w:spacing w:line="360" w:lineRule="auto"/>
              <w:ind w:firstLine="480" w:firstLineChars="200"/>
              <w:jc w:val="left"/>
              <w:rPr>
                <w:rFonts w:hint="default" w:ascii="Times New Roman" w:hAnsi="Times New Roman" w:eastAsia="宋体" w:cs="Times New Roman"/>
                <w:bCs/>
                <w:sz w:val="24"/>
                <w:highlight w:val="none"/>
                <w:lang w:val="en-US" w:eastAsia="zh-CN"/>
              </w:rPr>
            </w:pPr>
            <w:r>
              <w:rPr>
                <w:rFonts w:hint="default" w:ascii="Times New Roman" w:hAnsi="Times New Roman" w:eastAsia="宋体" w:cs="Times New Roman"/>
                <w:bCs/>
                <w:sz w:val="24"/>
                <w:highlight w:val="none"/>
                <w:lang w:val="en-US" w:eastAsia="zh-CN"/>
              </w:rPr>
              <w:t>喷淋塔用水包括蒸发补水和定期排液补水，全部使用自来水。</w:t>
            </w:r>
          </w:p>
          <w:p w14:paraId="5804DE71">
            <w:pPr>
              <w:widowControl/>
              <w:spacing w:line="360" w:lineRule="auto"/>
              <w:ind w:firstLine="480" w:firstLineChars="200"/>
              <w:jc w:val="left"/>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lang w:val="en-US" w:eastAsia="zh-CN"/>
              </w:rPr>
              <w:t>根据工程设计，喷淋塔蒸发量一般为循环水量的5-10%，本项目取7.5%，循环水量为进气量与液气比的乘积，本项目进喷淋塔废气2000m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lang w:val="en-US" w:eastAsia="zh-CN"/>
              </w:rPr>
              <w:t>/h，液气比一般1-3L/m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lang w:val="en-US" w:eastAsia="zh-CN"/>
              </w:rPr>
              <w:t>，本项目取1.5L/m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lang w:val="en-US" w:eastAsia="zh-CN"/>
              </w:rPr>
              <w:t>，则循环水量为3m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lang w:val="en-US" w:eastAsia="zh-CN"/>
              </w:rPr>
              <w:t>/h（50L/min），蒸发量为0.225m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lang w:val="en-US" w:eastAsia="zh-CN"/>
              </w:rPr>
              <w:t>/h，本项目进喷淋塔废气年排放时间最大1773.3h，年蒸发补水量399.0m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p>
          <w:p w14:paraId="70633B58">
            <w:pPr>
              <w:widowControl/>
              <w:spacing w:line="360" w:lineRule="auto"/>
              <w:ind w:firstLine="480" w:firstLineChars="200"/>
              <w:jc w:val="left"/>
              <w:rPr>
                <w:rFonts w:hint="default" w:ascii="Times New Roman" w:hAnsi="Times New Roman" w:eastAsia="宋体" w:cs="Times New Roman"/>
                <w:bCs/>
                <w:sz w:val="24"/>
                <w:highlight w:val="none"/>
                <w:lang w:val="en-US" w:eastAsia="zh-CN"/>
              </w:rPr>
            </w:pPr>
            <w:r>
              <w:rPr>
                <w:rFonts w:hint="default" w:ascii="Times New Roman" w:hAnsi="Times New Roman" w:eastAsia="宋体" w:cs="Times New Roman"/>
                <w:bCs/>
                <w:sz w:val="24"/>
                <w:highlight w:val="none"/>
                <w:lang w:val="en-US" w:eastAsia="zh-CN"/>
              </w:rPr>
              <w:t>为确保喷淋塔吸收效果，每季度更换喷淋塔系统的全部水，根据工程设计，喷淋塔总水量为每分钟循环水量的10-20倍，本项目取15倍，则总水量为0.75m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vertAlign w:val="baseline"/>
                <w:lang w:val="en-US" w:eastAsia="zh-CN"/>
              </w:rPr>
              <w:t>，</w:t>
            </w:r>
            <w:r>
              <w:rPr>
                <w:rFonts w:hint="default" w:ascii="Times New Roman" w:hAnsi="Times New Roman" w:eastAsia="宋体" w:cs="Times New Roman"/>
                <w:bCs/>
                <w:sz w:val="24"/>
                <w:highlight w:val="none"/>
                <w:lang w:val="en-US" w:eastAsia="zh-CN"/>
              </w:rPr>
              <w:t>定期排液补水量为3m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p>
          <w:p w14:paraId="3FB2EEA8">
            <w:pPr>
              <w:widowControl/>
              <w:numPr>
                <w:ilvl w:val="0"/>
                <w:numId w:val="28"/>
              </w:numPr>
              <w:spacing w:line="360" w:lineRule="auto"/>
              <w:ind w:left="0" w:leftChars="0" w:firstLine="480" w:firstLineChars="200"/>
              <w:jc w:val="left"/>
              <w:rPr>
                <w:rFonts w:hint="default" w:ascii="Times New Roman" w:hAnsi="Times New Roman" w:eastAsia="宋体" w:cs="Times New Roman"/>
                <w:bCs/>
                <w:sz w:val="24"/>
                <w:highlight w:val="none"/>
              </w:rPr>
            </w:pPr>
            <w:r>
              <w:rPr>
                <w:rFonts w:hint="default" w:ascii="Times New Roman" w:hAnsi="Times New Roman" w:eastAsia="宋体" w:cs="Times New Roman"/>
                <w:sz w:val="24"/>
                <w:highlight w:val="none"/>
                <w:lang w:val="en-US" w:eastAsia="zh-CN"/>
              </w:rPr>
              <w:t>冷水补水</w:t>
            </w:r>
          </w:p>
          <w:p w14:paraId="3A0688DC">
            <w:pPr>
              <w:widowControl/>
              <w:numPr>
                <w:ilvl w:val="0"/>
                <w:numId w:val="0"/>
              </w:numPr>
              <w:spacing w:line="360" w:lineRule="auto"/>
              <w:ind w:firstLine="480" w:firstLineChars="200"/>
              <w:jc w:val="left"/>
              <w:rPr>
                <w:rFonts w:hint="default" w:ascii="Times New Roman" w:hAnsi="Times New Roman" w:eastAsia="宋体" w:cs="Times New Roman"/>
                <w:bCs/>
                <w:sz w:val="24"/>
                <w:highlight w:val="none"/>
              </w:rPr>
            </w:pPr>
            <w:r>
              <w:rPr>
                <w:rFonts w:hint="default" w:ascii="Times New Roman" w:hAnsi="Times New Roman" w:eastAsia="宋体" w:cs="Times New Roman"/>
                <w:sz w:val="24"/>
                <w:highlight w:val="none"/>
                <w:lang w:val="en-US" w:eastAsia="zh-CN"/>
              </w:rPr>
              <w:t>本项目部分设备需要冷水循环冷却</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冷水由一台制冷机提供，冷水闭路循环不排放，根据损耗定期补加，根据设备单位提供的资料，补水量为1</w:t>
            </w:r>
            <w:r>
              <w:rPr>
                <w:rFonts w:hint="default" w:ascii="Times New Roman" w:hAnsi="Times New Roman" w:eastAsia="宋体" w:cs="Times New Roman"/>
                <w:bCs/>
                <w:sz w:val="24"/>
                <w:highlight w:val="none"/>
                <w:lang w:val="en-US" w:eastAsia="zh-CN"/>
              </w:rPr>
              <w:t>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p>
          <w:p w14:paraId="6B45AC0B">
            <w:pPr>
              <w:adjustRightInd w:val="0"/>
              <w:spacing w:line="360" w:lineRule="auto"/>
              <w:ind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综上，本项目总用水量为</w:t>
            </w:r>
            <w:r>
              <w:rPr>
                <w:rFonts w:hint="default" w:ascii="Times New Roman" w:hAnsi="Times New Roman" w:eastAsia="宋体" w:cs="Times New Roman"/>
                <w:bCs/>
                <w:sz w:val="24"/>
                <w:highlight w:val="none"/>
                <w:lang w:val="en-US" w:eastAsia="zh-CN"/>
              </w:rPr>
              <w:t>934.64m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p>
          <w:p w14:paraId="6AE61FF3">
            <w:pPr>
              <w:widowControl/>
              <w:spacing w:line="360" w:lineRule="auto"/>
              <w:ind w:firstLine="482" w:firstLineChars="200"/>
              <w:jc w:val="left"/>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（2）排水</w:t>
            </w:r>
          </w:p>
          <w:p w14:paraId="19649428">
            <w:pPr>
              <w:numPr>
                <w:ilvl w:val="0"/>
                <w:numId w:val="29"/>
              </w:numPr>
              <w:adjustRightInd w:val="0"/>
              <w:spacing w:line="360" w:lineRule="auto"/>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生活污水</w:t>
            </w:r>
          </w:p>
          <w:p w14:paraId="42948525">
            <w:pPr>
              <w:adjustRightInd w:val="0"/>
              <w:spacing w:line="360" w:lineRule="auto"/>
              <w:ind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根据《排放源统计调查产排污核算方法和系数手册》中</w:t>
            </w:r>
            <w:r>
              <w:rPr>
                <w:rFonts w:hint="eastAsia"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rPr>
              <w:t>生活源产排污核算方法和系数手册</w:t>
            </w:r>
            <w:r>
              <w:rPr>
                <w:rFonts w:hint="eastAsia"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rPr>
              <w:t>，人均日生活用水量≤150 升/人·天时，折污系数取 0.8</w:t>
            </w:r>
            <w:r>
              <w:rPr>
                <w:rFonts w:hint="default" w:ascii="Times New Roman" w:hAnsi="Times New Roman" w:eastAsia="宋体" w:cs="Times New Roman"/>
                <w:bCs/>
                <w:sz w:val="24"/>
                <w:highlight w:val="none"/>
                <w:lang w:val="en-US" w:eastAsia="zh-CN"/>
              </w:rPr>
              <w:t>5</w:t>
            </w:r>
            <w:r>
              <w:rPr>
                <w:rFonts w:hint="default" w:ascii="Times New Roman" w:hAnsi="Times New Roman" w:eastAsia="宋体" w:cs="Times New Roman"/>
                <w:bCs/>
                <w:sz w:val="24"/>
                <w:highlight w:val="none"/>
              </w:rPr>
              <w:t>，则项目生活污水的产生量约为</w:t>
            </w:r>
            <w:r>
              <w:rPr>
                <w:rFonts w:hint="default" w:ascii="Times New Roman" w:hAnsi="Times New Roman" w:eastAsia="宋体" w:cs="Times New Roman"/>
                <w:bCs/>
                <w:sz w:val="24"/>
                <w:highlight w:val="none"/>
                <w:lang w:val="en-US" w:eastAsia="zh-CN"/>
              </w:rPr>
              <w:t>425m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p>
          <w:p w14:paraId="2F758E86">
            <w:pPr>
              <w:numPr>
                <w:ilvl w:val="0"/>
                <w:numId w:val="29"/>
              </w:numPr>
              <w:adjustRightInd w:val="0"/>
              <w:spacing w:line="360" w:lineRule="auto"/>
              <w:ind w:left="0" w:firstLine="425"/>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lang w:eastAsia="zh-CN"/>
              </w:rPr>
              <w:t>实验废水</w:t>
            </w:r>
          </w:p>
          <w:p w14:paraId="26BB6248">
            <w:pPr>
              <w:numPr>
                <w:ilvl w:val="0"/>
                <w:numId w:val="30"/>
              </w:numPr>
              <w:adjustRightInd w:val="0"/>
              <w:spacing w:line="360" w:lineRule="auto"/>
              <w:ind w:left="0" w:leftChars="0" w:firstLine="480" w:firstLineChars="200"/>
              <w:rPr>
                <w:rFonts w:hint="default" w:ascii="Times New Roman" w:hAnsi="Times New Roman" w:eastAsia="宋体" w:cs="Times New Roman"/>
                <w:bCs/>
                <w:sz w:val="24"/>
                <w:highlight w:val="none"/>
                <w:lang w:eastAsia="zh-CN"/>
              </w:rPr>
            </w:pPr>
            <w:r>
              <w:rPr>
                <w:rFonts w:hint="default" w:ascii="Times New Roman" w:hAnsi="Times New Roman" w:eastAsia="宋体" w:cs="Times New Roman"/>
                <w:bCs/>
                <w:sz w:val="24"/>
                <w:highlight w:val="none"/>
                <w:lang w:val="en-US" w:eastAsia="zh-CN"/>
              </w:rPr>
              <w:t>电池材料沉淀反应中水不参与反应，该过程排水包括实验过程添加的纯化水与氨水引入的水，25%氨水全年用量200L，氨水中含水0.15m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lang w:val="en-US" w:eastAsia="zh-CN"/>
              </w:rPr>
              <w:t>反应过程合计引入水16.15m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lang w:val="en-US" w:eastAsia="zh-CN"/>
              </w:rPr>
              <w:t>排水按用水的90%，排放反应废液14.54m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lang w:val="en-US" w:eastAsia="zh-CN"/>
              </w:rPr>
              <w:t>全部按危险废物收集处置</w:t>
            </w:r>
            <w:r>
              <w:rPr>
                <w:rFonts w:hint="default" w:ascii="Times New Roman" w:hAnsi="Times New Roman" w:eastAsia="宋体" w:cs="Times New Roman"/>
                <w:bCs/>
                <w:sz w:val="24"/>
                <w:highlight w:val="none"/>
                <w:lang w:eastAsia="zh-CN"/>
              </w:rPr>
              <w:t>；</w:t>
            </w:r>
          </w:p>
          <w:p w14:paraId="1A0790A8">
            <w:pPr>
              <w:numPr>
                <w:ilvl w:val="0"/>
                <w:numId w:val="30"/>
              </w:numPr>
              <w:adjustRightInd w:val="0"/>
              <w:spacing w:line="360" w:lineRule="auto"/>
              <w:ind w:left="0" w:leftChars="0" w:firstLine="480" w:firstLineChars="200"/>
              <w:rPr>
                <w:rFonts w:hint="default" w:ascii="Times New Roman" w:hAnsi="Times New Roman" w:eastAsia="宋体" w:cs="Times New Roman"/>
                <w:bCs/>
                <w:sz w:val="24"/>
                <w:highlight w:val="none"/>
                <w:lang w:eastAsia="zh-CN"/>
              </w:rPr>
            </w:pPr>
            <w:r>
              <w:rPr>
                <w:rFonts w:hint="default" w:ascii="Times New Roman" w:hAnsi="Times New Roman" w:eastAsia="宋体" w:cs="Times New Roman"/>
                <w:bCs/>
                <w:sz w:val="24"/>
                <w:highlight w:val="none"/>
                <w:lang w:val="en-US" w:eastAsia="zh-CN"/>
              </w:rPr>
              <w:t>物性分析排水按用水的90%，排放分析废液0.9m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lang w:val="en-US" w:eastAsia="zh-CN"/>
              </w:rPr>
              <w:t>全部按危险废物收集处置</w:t>
            </w:r>
            <w:r>
              <w:rPr>
                <w:rFonts w:hint="default" w:ascii="Times New Roman" w:hAnsi="Times New Roman" w:eastAsia="宋体" w:cs="Times New Roman"/>
                <w:bCs/>
                <w:sz w:val="24"/>
                <w:highlight w:val="none"/>
                <w:lang w:eastAsia="zh-CN"/>
              </w:rPr>
              <w:t>；</w:t>
            </w:r>
          </w:p>
          <w:p w14:paraId="4E57B06E">
            <w:pPr>
              <w:numPr>
                <w:ilvl w:val="0"/>
                <w:numId w:val="30"/>
              </w:numPr>
              <w:adjustRightInd w:val="0"/>
              <w:spacing w:line="360" w:lineRule="auto"/>
              <w:ind w:left="0" w:leftChars="0" w:firstLine="480" w:firstLineChars="200"/>
              <w:rPr>
                <w:rFonts w:hint="default" w:ascii="Times New Roman" w:hAnsi="Times New Roman" w:eastAsia="宋体" w:cs="Times New Roman"/>
                <w:bCs/>
                <w:sz w:val="24"/>
                <w:highlight w:val="none"/>
                <w:lang w:eastAsia="zh-CN"/>
              </w:rPr>
            </w:pPr>
            <w:r>
              <w:rPr>
                <w:rFonts w:hint="default" w:ascii="Times New Roman" w:hAnsi="Times New Roman" w:eastAsia="宋体" w:cs="Times New Roman"/>
                <w:bCs/>
                <w:sz w:val="24"/>
                <w:highlight w:val="none"/>
                <w:lang w:val="en-US" w:eastAsia="zh-CN"/>
              </w:rPr>
              <w:t>电池材料实验过程的设备清洗废液全部收集，按危险废物处置，排放量按用水量的90%，计2.7m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lang w:val="en-US" w:eastAsia="zh-CN"/>
              </w:rPr>
              <w:t>全部按危险废物收集处置</w:t>
            </w:r>
            <w:r>
              <w:rPr>
                <w:rFonts w:hint="default" w:ascii="Times New Roman" w:hAnsi="Times New Roman" w:eastAsia="宋体" w:cs="Times New Roman"/>
                <w:bCs/>
                <w:sz w:val="24"/>
                <w:highlight w:val="none"/>
                <w:lang w:eastAsia="zh-CN"/>
              </w:rPr>
              <w:t>；</w:t>
            </w:r>
          </w:p>
          <w:p w14:paraId="72BC7381">
            <w:pPr>
              <w:numPr>
                <w:ilvl w:val="0"/>
                <w:numId w:val="30"/>
              </w:numPr>
              <w:adjustRightInd w:val="0"/>
              <w:spacing w:line="360" w:lineRule="auto"/>
              <w:ind w:left="0" w:leftChars="0" w:firstLine="480" w:firstLineChars="200"/>
              <w:rPr>
                <w:rFonts w:hint="default" w:ascii="Times New Roman" w:hAnsi="Times New Roman" w:eastAsia="宋体" w:cs="Times New Roman"/>
                <w:bCs/>
                <w:sz w:val="24"/>
                <w:highlight w:val="none"/>
                <w:lang w:val="en-US" w:eastAsia="zh-CN"/>
              </w:rPr>
            </w:pPr>
            <w:r>
              <w:rPr>
                <w:rFonts w:hint="default" w:ascii="Times New Roman" w:hAnsi="Times New Roman" w:eastAsia="宋体" w:cs="Times New Roman"/>
                <w:bCs/>
                <w:sz w:val="24"/>
                <w:highlight w:val="none"/>
                <w:lang w:val="en-US" w:eastAsia="zh-CN"/>
              </w:rPr>
              <w:t>其他实验设备清洗清洗包括除电池材料实验外其他实验设备清洗，排放量按用水量的90%，计1.8m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lang w:val="en-US" w:eastAsia="zh-CN"/>
              </w:rPr>
              <w:t>其中第一二遍清洗废液0.5m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lang w:val="en-US" w:eastAsia="zh-CN"/>
              </w:rPr>
              <w:t>按危险废物收集处置，第三遍清洗废水1.3m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lang w:val="en-US" w:eastAsia="zh-CN"/>
              </w:rPr>
              <w:t>进化粪池预处理后经市政管网进污水处理厂进一步处理。</w:t>
            </w:r>
          </w:p>
          <w:p w14:paraId="17A672CB">
            <w:pPr>
              <w:numPr>
                <w:ilvl w:val="0"/>
                <w:numId w:val="30"/>
              </w:numPr>
              <w:adjustRightInd w:val="0"/>
              <w:spacing w:line="360" w:lineRule="auto"/>
              <w:ind w:left="0" w:leftChars="0" w:firstLine="480" w:firstLineChars="200"/>
              <w:rPr>
                <w:rFonts w:hint="default" w:ascii="Times New Roman" w:hAnsi="Times New Roman" w:eastAsia="宋体" w:cs="Times New Roman"/>
                <w:bCs/>
                <w:sz w:val="24"/>
                <w:highlight w:val="none"/>
                <w:lang w:eastAsia="zh-CN"/>
              </w:rPr>
            </w:pPr>
            <w:r>
              <w:rPr>
                <w:rFonts w:hint="default" w:ascii="Times New Roman" w:hAnsi="Times New Roman" w:eastAsia="宋体" w:cs="Times New Roman"/>
                <w:bCs/>
                <w:sz w:val="24"/>
                <w:highlight w:val="none"/>
                <w:lang w:val="en-US" w:eastAsia="zh-CN"/>
              </w:rPr>
              <w:t>超声波清洗对部分金属件、护盒表面的积尘使用纯化水清洗，不添加任何清洗剂，排放量按用水量的90%，计0.045m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lang w:val="en-US" w:eastAsia="zh-CN"/>
              </w:rPr>
              <w:t>进化粪池预处理后经市政管网进污水处理厂进一步处理。</w:t>
            </w:r>
          </w:p>
          <w:p w14:paraId="18EE2D8A">
            <w:pPr>
              <w:numPr>
                <w:ilvl w:val="0"/>
                <w:numId w:val="30"/>
              </w:numPr>
              <w:adjustRightInd w:val="0"/>
              <w:spacing w:line="360" w:lineRule="auto"/>
              <w:ind w:left="0" w:leftChars="0" w:firstLine="480" w:firstLineChars="200"/>
              <w:rPr>
                <w:rFonts w:hint="default" w:ascii="Times New Roman" w:hAnsi="Times New Roman" w:eastAsia="宋体" w:cs="Times New Roman"/>
                <w:bCs/>
                <w:sz w:val="24"/>
                <w:highlight w:val="none"/>
                <w:lang w:val="en-US" w:eastAsia="zh-CN"/>
              </w:rPr>
            </w:pPr>
            <w:r>
              <w:rPr>
                <w:rFonts w:hint="default" w:ascii="Times New Roman" w:hAnsi="Times New Roman" w:eastAsia="宋体" w:cs="Times New Roman"/>
                <w:bCs/>
                <w:sz w:val="24"/>
                <w:highlight w:val="none"/>
                <w:lang w:val="en-US" w:eastAsia="zh-CN"/>
              </w:rPr>
              <w:t>喷雾干燥过程水分全部挥发，不外排。</w:t>
            </w:r>
          </w:p>
          <w:p w14:paraId="22EF13D1">
            <w:pPr>
              <w:numPr>
                <w:ilvl w:val="0"/>
                <w:numId w:val="30"/>
              </w:numPr>
              <w:adjustRightInd w:val="0"/>
              <w:spacing w:line="360" w:lineRule="auto"/>
              <w:ind w:left="0" w:leftChars="0"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lang w:val="en-US" w:eastAsia="zh-CN"/>
              </w:rPr>
              <w:t>喷淋塔排水</w:t>
            </w:r>
          </w:p>
          <w:p w14:paraId="19C6B0E4">
            <w:pPr>
              <w:numPr>
                <w:ilvl w:val="0"/>
                <w:numId w:val="0"/>
              </w:numPr>
              <w:adjustRightInd w:val="0"/>
              <w:spacing w:line="360" w:lineRule="auto"/>
              <w:ind w:firstLine="480" w:firstLineChars="200"/>
              <w:rPr>
                <w:rFonts w:hint="default" w:ascii="Times New Roman" w:hAnsi="Times New Roman" w:eastAsia="宋体" w:cs="Times New Roman"/>
                <w:bCs/>
                <w:sz w:val="24"/>
                <w:highlight w:val="none"/>
                <w:lang w:val="en-US" w:eastAsia="zh-CN"/>
              </w:rPr>
            </w:pPr>
            <w:r>
              <w:rPr>
                <w:rFonts w:hint="default" w:ascii="Times New Roman" w:hAnsi="Times New Roman" w:eastAsia="宋体" w:cs="Times New Roman"/>
                <w:bCs/>
                <w:sz w:val="24"/>
                <w:highlight w:val="none"/>
                <w:lang w:val="en-US" w:eastAsia="zh-CN"/>
              </w:rPr>
              <w:t>喷淋塔蒸发补水全部蒸发掉，喷淋塔内总存在水量为0.75m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vertAlign w:val="baseline"/>
                <w:lang w:val="en-US" w:eastAsia="zh-CN"/>
              </w:rPr>
              <w:t>，为确保吸收效果，每季度更换一次，则喷淋塔排水3</w:t>
            </w:r>
            <w:r>
              <w:rPr>
                <w:rFonts w:hint="default" w:ascii="Times New Roman" w:hAnsi="Times New Roman" w:eastAsia="宋体" w:cs="Times New Roman"/>
                <w:bCs/>
                <w:sz w:val="24"/>
                <w:highlight w:val="none"/>
                <w:lang w:val="en-US" w:eastAsia="zh-CN"/>
              </w:rPr>
              <w:t>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lang w:val="en-US" w:eastAsia="zh-CN"/>
              </w:rPr>
              <w:t>全部作危险废物收集处理。</w:t>
            </w:r>
          </w:p>
          <w:p w14:paraId="4B41C45B">
            <w:pPr>
              <w:numPr>
                <w:ilvl w:val="0"/>
                <w:numId w:val="30"/>
              </w:numPr>
              <w:adjustRightInd w:val="0"/>
              <w:spacing w:line="360" w:lineRule="auto"/>
              <w:ind w:left="0" w:leftChars="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纯水制备废水</w:t>
            </w:r>
          </w:p>
          <w:p w14:paraId="3516A25D">
            <w:pPr>
              <w:numPr>
                <w:ilvl w:val="0"/>
                <w:numId w:val="0"/>
              </w:numPr>
              <w:adjustRightInd w:val="0"/>
              <w:spacing w:line="360" w:lineRule="auto"/>
              <w:ind w:firstLine="480" w:firstLineChars="200"/>
              <w:rPr>
                <w:rFonts w:hint="default" w:ascii="Times New Roman" w:hAnsi="Times New Roman" w:eastAsia="宋体" w:cs="Times New Roman"/>
                <w:bCs/>
                <w:sz w:val="24"/>
                <w:highlight w:val="none"/>
                <w:lang w:val="en-US" w:eastAsia="zh-CN"/>
              </w:rPr>
            </w:pPr>
            <w:r>
              <w:rPr>
                <w:rFonts w:hint="default" w:ascii="Times New Roman" w:hAnsi="Times New Roman" w:eastAsia="宋体" w:cs="Times New Roman"/>
                <w:bCs/>
                <w:sz w:val="24"/>
                <w:highlight w:val="none"/>
                <w:lang w:val="en-US" w:eastAsia="zh-CN"/>
              </w:rPr>
              <w:t>本项目纯水制备的过程中会产生纯水制备废水，产生量为9.49m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lang w:val="en-US" w:eastAsia="zh-CN"/>
              </w:rPr>
              <w:t>/a，与生活污水、其他设备第三次清洗废水、超声波清洗废水一起进化粪池，经市政管网进</w:t>
            </w:r>
            <w:r>
              <w:rPr>
                <w:rFonts w:hint="default" w:ascii="Times New Roman" w:hAnsi="Times New Roman" w:eastAsia="宋体" w:cs="Times New Roman"/>
                <w:bCs/>
                <w:sz w:val="24"/>
                <w:highlight w:val="none"/>
                <w:lang w:val="zh-CN" w:eastAsia="zh-CN"/>
              </w:rPr>
              <w:t>北京亦庄环境科技集团有限公司经开污水处理</w:t>
            </w:r>
            <w:r>
              <w:rPr>
                <w:rFonts w:hint="default" w:ascii="Times New Roman" w:hAnsi="Times New Roman" w:eastAsia="宋体" w:cs="Times New Roman"/>
                <w:bCs/>
                <w:sz w:val="24"/>
                <w:highlight w:val="none"/>
                <w:lang w:val="en-US" w:eastAsia="zh-CN"/>
              </w:rPr>
              <w:t>厂处理，本项目合计排放污水435.84m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rPr>
              <w:t>/a</w:t>
            </w:r>
            <w:r>
              <w:rPr>
                <w:rFonts w:hint="default" w:ascii="Times New Roman" w:hAnsi="Times New Roman" w:eastAsia="宋体" w:cs="Times New Roman"/>
                <w:bCs/>
                <w:sz w:val="24"/>
                <w:highlight w:val="none"/>
                <w:lang w:val="en-US" w:eastAsia="zh-CN"/>
              </w:rPr>
              <w:t>。</w:t>
            </w:r>
          </w:p>
          <w:p w14:paraId="4882BFC5">
            <w:pPr>
              <w:numPr>
                <w:ilvl w:val="0"/>
                <w:numId w:val="30"/>
              </w:numPr>
              <w:adjustRightInd w:val="0"/>
              <w:spacing w:line="360" w:lineRule="auto"/>
              <w:ind w:left="0" w:leftChars="0" w:firstLine="480" w:firstLineChars="200"/>
              <w:rPr>
                <w:rFonts w:hint="default" w:ascii="Times New Roman" w:hAnsi="Times New Roman" w:eastAsia="宋体" w:cs="Times New Roman"/>
                <w:bCs/>
                <w:sz w:val="24"/>
                <w:highlight w:val="none"/>
                <w:lang w:val="en-US" w:eastAsia="zh-CN"/>
              </w:rPr>
            </w:pPr>
            <w:r>
              <w:rPr>
                <w:rFonts w:hint="default" w:ascii="Times New Roman" w:hAnsi="Times New Roman" w:eastAsia="宋体" w:cs="Times New Roman"/>
                <w:bCs/>
                <w:sz w:val="24"/>
                <w:highlight w:val="none"/>
                <w:lang w:val="en-US" w:eastAsia="zh-CN"/>
              </w:rPr>
              <w:t>冷却水系统补水全部损耗，不外排。</w:t>
            </w:r>
          </w:p>
          <w:p w14:paraId="1C7C4BE9">
            <w:pPr>
              <w:adjustRightInd w:val="0"/>
              <w:spacing w:line="360" w:lineRule="auto"/>
              <w:ind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本项目水平衡详见下图。</w:t>
            </w:r>
          </w:p>
          <w:p w14:paraId="6778E044">
            <w:pPr>
              <w:adjustRightInd w:val="0"/>
              <w:spacing w:line="360" w:lineRule="auto"/>
              <w:jc w:val="center"/>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object>
                <v:shape id="_x0000_i1025" o:spt="75" type="#_x0000_t75" style="height:314.25pt;width:397.35pt;" o:ole="t" filled="f" o:preferrelative="t" stroked="f" coordsize="21600,21600">
                  <v:path/>
                  <v:fill on="f" focussize="0,0"/>
                  <v:stroke on="f"/>
                  <v:imagedata r:id="rId12" o:title=""/>
                  <o:lock v:ext="edit" aspectratio="f"/>
                  <w10:wrap type="none"/>
                  <w10:anchorlock/>
                </v:shape>
                <o:OLEObject Type="Embed" ProgID="Visio.Drawing.11" ShapeID="_x0000_i1025" DrawAspect="Content" ObjectID="_1468075725" r:id="rId11">
                  <o:LockedField>false</o:LockedField>
                </o:OLEObject>
              </w:object>
            </w:r>
          </w:p>
          <w:p w14:paraId="057612D3">
            <w:pPr>
              <w:numPr>
                <w:ilvl w:val="0"/>
                <w:numId w:val="31"/>
              </w:numPr>
              <w:adjustRightInd w:val="0"/>
              <w:spacing w:line="360" w:lineRule="auto"/>
              <w:jc w:val="center"/>
              <w:rPr>
                <w:rFonts w:hint="default" w:ascii="Times New Roman" w:hAnsi="Times New Roman" w:eastAsia="宋体" w:cs="Times New Roman"/>
                <w:sz w:val="24"/>
                <w:highlight w:val="none"/>
              </w:rPr>
            </w:pPr>
            <w:r>
              <w:rPr>
                <w:rFonts w:hint="default" w:ascii="Times New Roman" w:hAnsi="Times New Roman" w:eastAsia="宋体" w:cs="Times New Roman"/>
                <w:b/>
                <w:sz w:val="24"/>
                <w:highlight w:val="none"/>
              </w:rPr>
              <w:t xml:space="preserve"> </w:t>
            </w:r>
            <w:r>
              <w:rPr>
                <w:rFonts w:hint="default" w:ascii="Times New Roman" w:hAnsi="Times New Roman" w:eastAsia="宋体" w:cs="Times New Roman"/>
                <w:b/>
                <w:sz w:val="24"/>
                <w:highlight w:val="none"/>
                <w:lang w:eastAsia="zh-CN"/>
              </w:rPr>
              <w:t>本</w:t>
            </w:r>
            <w:r>
              <w:rPr>
                <w:rFonts w:hint="default" w:ascii="Times New Roman" w:hAnsi="Times New Roman" w:eastAsia="宋体" w:cs="Times New Roman"/>
                <w:b/>
                <w:sz w:val="24"/>
                <w:highlight w:val="none"/>
              </w:rPr>
              <w:t xml:space="preserve">项目水平衡图     </w:t>
            </w:r>
            <w:r>
              <w:rPr>
                <w:rFonts w:hint="eastAsia" w:ascii="Times New Roman" w:hAnsi="Times New Roman" w:eastAsia="宋体" w:cs="Times New Roman"/>
                <w:b/>
                <w:sz w:val="24"/>
                <w:highlight w:val="none"/>
                <w:lang w:eastAsia="zh-CN"/>
              </w:rPr>
              <w:t>“</w:t>
            </w:r>
            <w:r>
              <w:rPr>
                <w:rFonts w:hint="default" w:ascii="Times New Roman" w:hAnsi="Times New Roman" w:eastAsia="宋体" w:cs="Times New Roman"/>
                <w:b/>
                <w:sz w:val="24"/>
                <w:highlight w:val="none"/>
              </w:rPr>
              <w:object>
                <v:shape id="_x0000_i1026" o:spt="75" type="#_x0000_t75" style="height:18.25pt;width:30.95pt;" o:ole="t" filled="f" o:preferrelative="t" stroked="f" coordsize="21600,21600">
                  <v:path/>
                  <v:fill on="f" focussize="0,0"/>
                  <v:stroke on="f"/>
                  <v:imagedata r:id="rId14" o:title=""/>
                  <o:lock v:ext="edit" aspectratio="f"/>
                  <w10:wrap type="none"/>
                  <w10:anchorlock/>
                </v:shape>
                <o:OLEObject Type="Embed" ProgID="Visio.Drawing.11" ShapeID="_x0000_i1026" DrawAspect="Content" ObjectID="_1468075726" r:id="rId13">
                  <o:LockedField>false</o:LockedField>
                </o:OLEObject>
              </w:object>
            </w:r>
            <w:r>
              <w:rPr>
                <w:rFonts w:hint="eastAsia" w:ascii="Times New Roman" w:hAnsi="Times New Roman" w:eastAsia="宋体" w:cs="Times New Roman"/>
                <w:b/>
                <w:sz w:val="24"/>
                <w:highlight w:val="none"/>
                <w:lang w:eastAsia="zh-CN"/>
              </w:rPr>
              <w:t>”</w:t>
            </w:r>
            <w:r>
              <w:rPr>
                <w:rFonts w:hint="default" w:ascii="Times New Roman" w:hAnsi="Times New Roman" w:eastAsia="宋体" w:cs="Times New Roman"/>
                <w:b/>
                <w:sz w:val="24"/>
                <w:highlight w:val="none"/>
              </w:rPr>
              <w:t>消耗量</w:t>
            </w:r>
          </w:p>
        </w:tc>
      </w:tr>
    </w:tbl>
    <w:p w14:paraId="57BF289A">
      <w:pPr>
        <w:rPr>
          <w:rFonts w:hint="default" w:ascii="Times New Roman" w:hAnsi="Times New Roman" w:eastAsia="宋体" w:cs="Times New Roman"/>
          <w:highlight w:val="none"/>
        </w:rPr>
        <w:sectPr>
          <w:pgSz w:w="11906" w:h="16838"/>
          <w:pgMar w:top="1701" w:right="1531" w:bottom="1860" w:left="153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3"/>
        <w:gridCol w:w="8143"/>
        <w:gridCol w:w="18"/>
      </w:tblGrid>
      <w:tr w14:paraId="1BDDCD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3" w:type="dxa"/>
            <w:vAlign w:val="center"/>
          </w:tcPr>
          <w:p w14:paraId="0E6711DF">
            <w:pPr>
              <w:pStyle w:val="14"/>
              <w:adjustRightInd w:val="0"/>
              <w:snapToGrid w:val="0"/>
              <w:spacing w:before="0" w:beforeAutospacing="0" w:after="0" w:afterAutospacing="0"/>
              <w:jc w:val="center"/>
              <w:rPr>
                <w:rFonts w:hint="default" w:ascii="Times New Roman" w:hAnsi="Times New Roman" w:eastAsia="宋体" w:cs="Times New Roman"/>
                <w:szCs w:val="24"/>
                <w:highlight w:val="none"/>
                <w:lang w:eastAsia="zh-CN"/>
              </w:rPr>
            </w:pPr>
            <w:r>
              <w:rPr>
                <w:rFonts w:hint="default" w:ascii="Times New Roman" w:hAnsi="Times New Roman" w:eastAsia="宋体" w:cs="Times New Roman"/>
                <w:szCs w:val="24"/>
                <w:highlight w:val="none"/>
                <w:lang w:eastAsia="zh-CN"/>
              </w:rPr>
              <w:t>建设内容</w:t>
            </w:r>
          </w:p>
        </w:tc>
        <w:tc>
          <w:tcPr>
            <w:tcW w:w="8161" w:type="dxa"/>
            <w:gridSpan w:val="2"/>
          </w:tcPr>
          <w:p w14:paraId="4057DBA3">
            <w:pPr>
              <w:numPr>
                <w:ilvl w:val="0"/>
                <w:numId w:val="22"/>
              </w:numPr>
              <w:tabs>
                <w:tab w:val="left" w:pos="0"/>
              </w:tabs>
              <w:adjustRightInd w:val="0"/>
              <w:snapToGrid w:val="0"/>
              <w:spacing w:line="360" w:lineRule="auto"/>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劳动定员及工作制度</w:t>
            </w:r>
          </w:p>
          <w:p w14:paraId="2F1A3596">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项目</w:t>
            </w:r>
            <w:r>
              <w:rPr>
                <w:rFonts w:hint="default" w:ascii="Times New Roman" w:hAnsi="Times New Roman" w:eastAsia="宋体" w:cs="Times New Roman"/>
                <w:sz w:val="24"/>
                <w:highlight w:val="none"/>
                <w:lang w:val="en-US" w:eastAsia="zh-CN"/>
              </w:rPr>
              <w:t>劳动定员40人，夜间沉淀反应釜运行，夜间无人值班，其他实验夜间不运行，</w:t>
            </w:r>
            <w:r>
              <w:rPr>
                <w:rFonts w:hint="default" w:ascii="Times New Roman" w:hAnsi="Times New Roman" w:eastAsia="宋体" w:cs="Times New Roman"/>
                <w:sz w:val="24"/>
                <w:highlight w:val="none"/>
              </w:rPr>
              <w:t>工作250d/a。</w:t>
            </w:r>
          </w:p>
          <w:p w14:paraId="5B97A026">
            <w:pPr>
              <w:numPr>
                <w:ilvl w:val="0"/>
                <w:numId w:val="22"/>
              </w:numPr>
              <w:tabs>
                <w:tab w:val="left" w:pos="0"/>
              </w:tabs>
              <w:adjustRightInd w:val="0"/>
              <w:snapToGrid w:val="0"/>
              <w:spacing w:line="360" w:lineRule="auto"/>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lang w:val="en-US" w:eastAsia="zh-CN"/>
              </w:rPr>
              <w:t>地理位置、周边关系</w:t>
            </w:r>
          </w:p>
          <w:p w14:paraId="15F69AC7">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1、</w:t>
            </w:r>
            <w:r>
              <w:rPr>
                <w:rFonts w:hint="default" w:ascii="Times New Roman" w:hAnsi="Times New Roman" w:eastAsia="宋体" w:cs="Times New Roman"/>
                <w:sz w:val="24"/>
                <w:highlight w:val="none"/>
              </w:rPr>
              <w:t>地理位置</w:t>
            </w:r>
          </w:p>
          <w:p w14:paraId="3DF77720">
            <w:pPr>
              <w:adjustRightInd w:val="0"/>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本项目位于</w:t>
            </w:r>
            <w:r>
              <w:rPr>
                <w:rFonts w:hint="default" w:ascii="Times New Roman" w:hAnsi="Times New Roman" w:eastAsia="宋体" w:cs="Times New Roman"/>
                <w:color w:val="auto"/>
                <w:sz w:val="24"/>
                <w:highlight w:val="none"/>
                <w:lang w:val="en-US" w:eastAsia="zh-CN"/>
              </w:rPr>
              <w:t>北京经济技术开发区康定街15号前沿科技创新空港金田加速区5号楼1-2层</w:t>
            </w:r>
            <w:r>
              <w:rPr>
                <w:rFonts w:hint="default" w:ascii="Times New Roman" w:hAnsi="Times New Roman" w:eastAsia="宋体" w:cs="Times New Roman"/>
                <w:color w:val="auto"/>
                <w:sz w:val="24"/>
                <w:highlight w:val="none"/>
              </w:rPr>
              <w:t>，本项目地理位置图见附图1</w:t>
            </w:r>
            <w:r>
              <w:rPr>
                <w:rFonts w:hint="default" w:ascii="Times New Roman" w:hAnsi="Times New Roman" w:eastAsia="宋体" w:cs="Times New Roman"/>
                <w:color w:val="auto"/>
                <w:sz w:val="24"/>
                <w:highlight w:val="none"/>
                <w:lang w:eastAsia="zh-CN"/>
              </w:rPr>
              <w:t>。</w:t>
            </w:r>
          </w:p>
          <w:p w14:paraId="4B033E37">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2、</w:t>
            </w:r>
            <w:r>
              <w:rPr>
                <w:rFonts w:hint="default" w:ascii="Times New Roman" w:hAnsi="Times New Roman" w:eastAsia="宋体" w:cs="Times New Roman"/>
                <w:sz w:val="24"/>
                <w:highlight w:val="none"/>
              </w:rPr>
              <w:t>周边关系</w:t>
            </w:r>
          </w:p>
          <w:p w14:paraId="75F67316">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本项目所在建筑为5号楼，距离5号楼东侧13米为本园区4号楼，南侧44米为本园区6号楼，北侧18米为本园区2号楼，东南侧44米为本园区7号楼，东南侧24米为本园区3号楼。</w:t>
            </w:r>
          </w:p>
          <w:p w14:paraId="722C7CF5">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本项目所在园区前沿科技创新空港金田加速区南侧为主干道康定街，本项目距离康定街102米，西侧为同济南路。</w:t>
            </w:r>
          </w:p>
          <w:p w14:paraId="32CBC7B6">
            <w:pPr>
              <w:adjustRightIn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color w:val="auto"/>
                <w:sz w:val="24"/>
                <w:highlight w:val="none"/>
              </w:rPr>
              <w:t>本项目周边关系见附图2</w:t>
            </w:r>
            <w:r>
              <w:rPr>
                <w:rFonts w:hint="default" w:ascii="Times New Roman" w:hAnsi="Times New Roman" w:eastAsia="宋体" w:cs="Times New Roman"/>
                <w:color w:val="auto"/>
                <w:sz w:val="24"/>
                <w:highlight w:val="none"/>
                <w:lang w:eastAsia="zh-CN"/>
              </w:rPr>
              <w:t>。</w:t>
            </w:r>
          </w:p>
        </w:tc>
      </w:tr>
      <w:tr w14:paraId="60312D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8" w:type="dxa"/>
          <w:jc w:val="center"/>
        </w:trPr>
        <w:tc>
          <w:tcPr>
            <w:tcW w:w="823" w:type="dxa"/>
            <w:vAlign w:val="center"/>
          </w:tcPr>
          <w:p w14:paraId="6FA68E8E">
            <w:pPr>
              <w:pStyle w:val="14"/>
              <w:adjustRightInd w:val="0"/>
              <w:snapToGrid w:val="0"/>
              <w:spacing w:before="0" w:beforeAutospacing="0" w:after="0" w:afterAutospacing="0"/>
              <w:jc w:val="center"/>
              <w:rPr>
                <w:rFonts w:hint="default" w:ascii="Times New Roman" w:hAnsi="Times New Roman" w:eastAsia="宋体" w:cs="Times New Roman"/>
                <w:szCs w:val="24"/>
                <w:highlight w:val="none"/>
              </w:rPr>
            </w:pPr>
            <w:r>
              <w:rPr>
                <w:rFonts w:hint="default" w:ascii="Times New Roman" w:hAnsi="Times New Roman" w:eastAsia="宋体" w:cs="Times New Roman"/>
                <w:szCs w:val="24"/>
                <w:highlight w:val="none"/>
              </w:rPr>
              <w:t>工艺流程和产排污环节</w:t>
            </w:r>
          </w:p>
        </w:tc>
        <w:tc>
          <w:tcPr>
            <w:tcW w:w="8143" w:type="dxa"/>
            <w:vAlign w:val="center"/>
          </w:tcPr>
          <w:p w14:paraId="63B7C253">
            <w:pPr>
              <w:adjustRightInd w:val="0"/>
              <w:snapToGrid w:val="0"/>
              <w:spacing w:line="360" w:lineRule="auto"/>
              <w:ind w:firstLine="482" w:firstLineChars="200"/>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lang w:val="en-US" w:eastAsia="zh-CN"/>
              </w:rPr>
              <w:t>一、</w:t>
            </w:r>
            <w:r>
              <w:rPr>
                <w:rFonts w:hint="default" w:ascii="Times New Roman" w:hAnsi="Times New Roman" w:eastAsia="宋体" w:cs="Times New Roman"/>
                <w:b/>
                <w:bCs/>
                <w:sz w:val="24"/>
                <w:highlight w:val="none"/>
              </w:rPr>
              <w:t>施工期工程分析</w:t>
            </w:r>
          </w:p>
          <w:p w14:paraId="1BA6DF91">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本项目利用已建成房屋作为项目场所，施工期仅为厂房内简单装修和设备安装。主要污染物为施工噪声、施工人员生活污水，同时产生少量施工扬尘、施工固体废物（装修垃圾和生活垃圾）。随着施工期的结束，对环境的影响也随之消失。</w:t>
            </w:r>
          </w:p>
          <w:p w14:paraId="6BDB895A">
            <w:pPr>
              <w:numPr>
                <w:ilvl w:val="0"/>
                <w:numId w:val="31"/>
              </w:numPr>
              <w:adjustRightInd w:val="0"/>
              <w:spacing w:line="360" w:lineRule="auto"/>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drawing>
                <wp:anchor distT="0" distB="0" distL="114300" distR="114300" simplePos="0" relativeHeight="251662336" behindDoc="0" locked="0" layoutInCell="1" allowOverlap="1">
                  <wp:simplePos x="0" y="0"/>
                  <wp:positionH relativeFrom="column">
                    <wp:posOffset>304800</wp:posOffset>
                  </wp:positionH>
                  <wp:positionV relativeFrom="paragraph">
                    <wp:posOffset>5715</wp:posOffset>
                  </wp:positionV>
                  <wp:extent cx="4314825" cy="1774825"/>
                  <wp:effectExtent l="0" t="0" r="0" b="0"/>
                  <wp:wrapTopAndBottom/>
                  <wp:docPr id="150" name="ECB019B1-382A-4266-B25C-5B523AA43C14-1" descr="C:/Users/Administrator/AppData/Local/Temp/wps.sOBRPn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ECB019B1-382A-4266-B25C-5B523AA43C14-1" descr="C:/Users/Administrator/AppData/Local/Temp/wps.sOBRPnwps"/>
                          <pic:cNvPicPr>
                            <a:picLocks noChangeAspect="1"/>
                          </pic:cNvPicPr>
                        </pic:nvPicPr>
                        <pic:blipFill>
                          <a:blip r:embed="rId15"/>
                          <a:srcRect t="10967" b="5363"/>
                          <a:stretch>
                            <a:fillRect/>
                          </a:stretch>
                        </pic:blipFill>
                        <pic:spPr>
                          <a:xfrm>
                            <a:off x="0" y="0"/>
                            <a:ext cx="4314825" cy="1774825"/>
                          </a:xfrm>
                          <a:prstGeom prst="rect">
                            <a:avLst/>
                          </a:prstGeom>
                        </pic:spPr>
                      </pic:pic>
                    </a:graphicData>
                  </a:graphic>
                </wp:anchor>
              </w:drawing>
            </w:r>
            <w:r>
              <w:rPr>
                <w:rFonts w:hint="default" w:ascii="Times New Roman" w:hAnsi="Times New Roman" w:eastAsia="宋体" w:cs="Times New Roman"/>
                <w:b/>
                <w:bCs/>
                <w:sz w:val="24"/>
                <w:szCs w:val="32"/>
                <w:highlight w:val="none"/>
              </w:rPr>
              <w:t xml:space="preserve"> 项目施工期流程及产污节点图</w:t>
            </w:r>
          </w:p>
        </w:tc>
      </w:tr>
    </w:tbl>
    <w:p w14:paraId="599ACA41">
      <w:pPr>
        <w:pStyle w:val="14"/>
        <w:adjustRightInd w:val="0"/>
        <w:snapToGrid w:val="0"/>
        <w:spacing w:before="0" w:beforeAutospacing="0" w:after="0" w:afterAutospacing="0"/>
        <w:jc w:val="center"/>
        <w:rPr>
          <w:rFonts w:hint="default" w:ascii="Times New Roman" w:hAnsi="Times New Roman" w:eastAsia="宋体" w:cs="Times New Roman"/>
          <w:szCs w:val="24"/>
          <w:highlight w:val="none"/>
        </w:rPr>
      </w:pPr>
      <w:r>
        <w:rPr>
          <w:rFonts w:hint="default" w:ascii="Times New Roman" w:hAnsi="Times New Roman" w:eastAsia="宋体" w:cs="Times New Roman"/>
          <w:szCs w:val="24"/>
          <w:highlight w:val="none"/>
        </w:rPr>
        <w:br w:type="page"/>
      </w:r>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3"/>
        <w:gridCol w:w="8143"/>
      </w:tblGrid>
      <w:tr w14:paraId="081481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23" w:type="dxa"/>
            <w:vAlign w:val="center"/>
          </w:tcPr>
          <w:p w14:paraId="224DFABA">
            <w:pPr>
              <w:pStyle w:val="14"/>
              <w:adjustRightInd w:val="0"/>
              <w:snapToGrid w:val="0"/>
              <w:spacing w:before="0" w:beforeAutospacing="0" w:after="0" w:afterAutospacing="0"/>
              <w:jc w:val="center"/>
              <w:rPr>
                <w:rFonts w:hint="default" w:ascii="Times New Roman" w:hAnsi="Times New Roman" w:eastAsia="宋体" w:cs="Times New Roman"/>
                <w:szCs w:val="24"/>
                <w:highlight w:val="none"/>
              </w:rPr>
            </w:pPr>
            <w:r>
              <w:rPr>
                <w:rFonts w:hint="default" w:ascii="Times New Roman" w:hAnsi="Times New Roman" w:eastAsia="宋体" w:cs="Times New Roman"/>
                <w:szCs w:val="24"/>
                <w:highlight w:val="none"/>
              </w:rPr>
              <w:t>工艺流程和产排污环节</w:t>
            </w:r>
          </w:p>
        </w:tc>
        <w:tc>
          <w:tcPr>
            <w:tcW w:w="8143" w:type="dxa"/>
            <w:vAlign w:val="center"/>
          </w:tcPr>
          <w:p w14:paraId="2498869E">
            <w:pPr>
              <w:adjustRightInd w:val="0"/>
              <w:snapToGrid w:val="0"/>
              <w:spacing w:line="360" w:lineRule="auto"/>
              <w:ind w:firstLine="482" w:firstLineChars="200"/>
              <w:rPr>
                <w:rFonts w:hint="default" w:ascii="Times New Roman" w:hAnsi="Times New Roman" w:eastAsia="宋体" w:cs="Times New Roman"/>
                <w:b/>
                <w:bCs/>
                <w:sz w:val="24"/>
                <w:highlight w:val="none"/>
                <w:lang w:val="en-US" w:eastAsia="zh-CN"/>
              </w:rPr>
            </w:pPr>
            <w:r>
              <w:rPr>
                <w:rFonts w:hint="default" w:ascii="Times New Roman" w:hAnsi="Times New Roman" w:eastAsia="宋体" w:cs="Times New Roman"/>
                <w:b/>
                <w:bCs/>
                <w:sz w:val="24"/>
                <w:highlight w:val="none"/>
                <w:lang w:val="en-US" w:eastAsia="zh-CN"/>
              </w:rPr>
              <w:t>二、运营期工程分析</w:t>
            </w:r>
          </w:p>
          <w:p w14:paraId="2B39588A">
            <w:pPr>
              <w:adjustRightInd w:val="0"/>
              <w:spacing w:line="360" w:lineRule="auto"/>
              <w:ind w:firstLine="482" w:firstLineChars="200"/>
              <w:rPr>
                <w:rFonts w:hint="default" w:ascii="Times New Roman" w:hAnsi="Times New Roman" w:eastAsia="宋体" w:cs="Times New Roman"/>
                <w:b/>
                <w:bCs/>
                <w:sz w:val="24"/>
                <w:highlight w:val="none"/>
                <w:lang w:val="en-US" w:eastAsia="zh-CN"/>
              </w:rPr>
            </w:pPr>
            <w:r>
              <w:rPr>
                <w:rFonts w:hint="default" w:ascii="Times New Roman" w:hAnsi="Times New Roman" w:eastAsia="宋体" w:cs="Times New Roman"/>
                <w:b/>
                <w:bCs/>
                <w:sz w:val="24"/>
                <w:highlight w:val="none"/>
                <w:lang w:eastAsia="zh-CN"/>
              </w:rPr>
              <w:t>（</w:t>
            </w:r>
            <w:r>
              <w:rPr>
                <w:rFonts w:hint="default" w:ascii="Times New Roman" w:hAnsi="Times New Roman" w:eastAsia="宋体" w:cs="Times New Roman"/>
                <w:b/>
                <w:bCs/>
                <w:sz w:val="24"/>
                <w:highlight w:val="none"/>
                <w:lang w:val="en-US" w:eastAsia="zh-CN"/>
              </w:rPr>
              <w:t>1</w:t>
            </w:r>
            <w:r>
              <w:rPr>
                <w:rFonts w:hint="default" w:ascii="Times New Roman" w:hAnsi="Times New Roman" w:eastAsia="宋体" w:cs="Times New Roman"/>
                <w:b/>
                <w:bCs/>
                <w:sz w:val="24"/>
                <w:highlight w:val="none"/>
                <w:lang w:eastAsia="zh-CN"/>
              </w:rPr>
              <w:t>）</w:t>
            </w:r>
            <w:r>
              <w:rPr>
                <w:rFonts w:hint="default" w:ascii="Times New Roman" w:hAnsi="Times New Roman" w:eastAsia="宋体" w:cs="Times New Roman"/>
                <w:b/>
                <w:bCs/>
                <w:sz w:val="24"/>
                <w:highlight w:val="none"/>
                <w:lang w:val="en-US" w:eastAsia="zh-CN"/>
              </w:rPr>
              <w:t>金属材料实验</w:t>
            </w:r>
          </w:p>
          <w:p w14:paraId="54F7113F">
            <w:pPr>
              <w:adjustRightInd w:val="0"/>
              <w:spacing w:line="360" w:lineRule="auto"/>
              <w:ind w:firstLine="482" w:firstLineChars="200"/>
              <w:rPr>
                <w:rFonts w:hint="default" w:ascii="Times New Roman" w:hAnsi="Times New Roman" w:eastAsia="宋体" w:cs="Times New Roman"/>
                <w:b/>
                <w:bCs/>
                <w:sz w:val="24"/>
                <w:highlight w:val="none"/>
                <w:lang w:val="en-US" w:eastAsia="zh-CN"/>
              </w:rPr>
            </w:pPr>
          </w:p>
          <w:p w14:paraId="3D305B61">
            <w:pPr>
              <w:adjustRightInd w:val="0"/>
              <w:spacing w:line="360" w:lineRule="auto"/>
              <w:ind w:firstLine="482" w:firstLineChars="200"/>
              <w:rPr>
                <w:rFonts w:hint="default" w:ascii="Times New Roman" w:hAnsi="Times New Roman" w:eastAsia="宋体" w:cs="Times New Roman"/>
                <w:b/>
                <w:bCs/>
                <w:sz w:val="24"/>
                <w:highlight w:val="none"/>
                <w:lang w:val="en-US" w:eastAsia="zh-CN"/>
              </w:rPr>
            </w:pPr>
            <w:r>
              <w:rPr>
                <w:rFonts w:hint="default" w:ascii="Times New Roman" w:hAnsi="Times New Roman" w:eastAsia="宋体" w:cs="Times New Roman"/>
                <w:b/>
                <w:bCs/>
                <w:sz w:val="24"/>
                <w:highlight w:val="none"/>
                <w:lang w:val="en-US" w:eastAsia="zh-CN"/>
              </w:rPr>
              <w:object>
                <v:shape id="_x0000_i1027" o:spt="75" type="#_x0000_t75" style="height:103.5pt;width:354.7pt;" o:ole="t" filled="f" o:preferrelative="t" stroked="f" coordsize="21600,21600">
                  <v:path/>
                  <v:fill on="f" focussize="0,0"/>
                  <v:stroke on="f"/>
                  <v:imagedata r:id="rId17" o:title=""/>
                  <o:lock v:ext="edit" aspectratio="f"/>
                  <w10:wrap type="none"/>
                  <w10:anchorlock/>
                </v:shape>
                <o:OLEObject Type="Embed" ProgID="Visio.Drawing.11" ShapeID="_x0000_i1027" DrawAspect="Content" ObjectID="_1468075727" r:id="rId16">
                  <o:LockedField>false</o:LockedField>
                </o:OLEObject>
              </w:object>
            </w:r>
          </w:p>
          <w:p w14:paraId="2C26405C">
            <w:pPr>
              <w:numPr>
                <w:ilvl w:val="0"/>
                <w:numId w:val="32"/>
              </w:numPr>
              <w:adjustRightInd w:val="0"/>
              <w:spacing w:line="360" w:lineRule="auto"/>
              <w:ind w:left="425" w:leftChars="0" w:hanging="425" w:firstLineChars="0"/>
              <w:jc w:val="center"/>
              <w:rPr>
                <w:rFonts w:hint="default" w:ascii="Times New Roman" w:hAnsi="Times New Roman" w:eastAsia="宋体" w:cs="Times New Roman"/>
                <w:b/>
                <w:bCs/>
                <w:sz w:val="24"/>
                <w:highlight w:val="none"/>
                <w:lang w:val="en-US" w:eastAsia="zh-CN"/>
              </w:rPr>
            </w:pPr>
            <w:r>
              <w:rPr>
                <w:rFonts w:hint="default" w:ascii="Times New Roman" w:hAnsi="Times New Roman" w:eastAsia="宋体" w:cs="Times New Roman"/>
                <w:b/>
                <w:bCs/>
                <w:sz w:val="24"/>
                <w:highlight w:val="none"/>
                <w:lang w:val="en-US" w:eastAsia="zh-CN"/>
              </w:rPr>
              <w:t>金属材料实验流程图</w:t>
            </w:r>
          </w:p>
          <w:p w14:paraId="55E01CA7">
            <w:pPr>
              <w:numPr>
                <w:ilvl w:val="0"/>
                <w:numId w:val="33"/>
              </w:numPr>
              <w:adjustRightInd w:val="0"/>
              <w:spacing w:line="360" w:lineRule="auto"/>
              <w:ind w:left="0" w:leftChars="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样坯熔炼制备：在</w:t>
            </w:r>
            <w:r>
              <w:rPr>
                <w:rFonts w:hint="default" w:ascii="Times New Roman" w:hAnsi="Times New Roman" w:eastAsia="宋体" w:cs="Times New Roman"/>
                <w:sz w:val="24"/>
                <w:highlight w:val="none"/>
                <w:lang w:val="en-US" w:eastAsia="zh-CN"/>
              </w:rPr>
              <w:t>真空感应</w:t>
            </w:r>
            <w:r>
              <w:rPr>
                <w:rFonts w:hint="default" w:ascii="Times New Roman" w:hAnsi="Times New Roman" w:eastAsia="宋体" w:cs="Times New Roman"/>
                <w:sz w:val="24"/>
                <w:highlight w:val="none"/>
              </w:rPr>
              <w:t>炉或电弧炉中制备</w:t>
            </w:r>
            <w:r>
              <w:rPr>
                <w:rFonts w:hint="default" w:ascii="Times New Roman" w:hAnsi="Times New Roman" w:eastAsia="宋体" w:cs="Times New Roman"/>
                <w:sz w:val="24"/>
                <w:highlight w:val="none"/>
                <w:lang w:val="en-US" w:eastAsia="zh-CN"/>
              </w:rPr>
              <w:t>2</w:t>
            </w:r>
            <w:r>
              <w:rPr>
                <w:rFonts w:hint="default" w:ascii="Times New Roman" w:hAnsi="Times New Roman" w:eastAsia="宋体" w:cs="Times New Roman"/>
                <w:sz w:val="24"/>
                <w:highlight w:val="none"/>
              </w:rPr>
              <w:t>kg金属样坯，炉内为封闭真空环境，只进行熔化不进</w:t>
            </w:r>
            <w:r>
              <w:rPr>
                <w:rFonts w:hint="default" w:ascii="Times New Roman" w:hAnsi="Times New Roman" w:eastAsia="宋体" w:cs="Times New Roman"/>
                <w:color w:val="auto"/>
                <w:sz w:val="24"/>
                <w:highlight w:val="none"/>
              </w:rPr>
              <w:t>行变渣。</w:t>
            </w:r>
            <w:r>
              <w:rPr>
                <w:rFonts w:hint="default" w:ascii="Times New Roman" w:hAnsi="Times New Roman" w:eastAsia="宋体" w:cs="Times New Roman"/>
                <w:sz w:val="24"/>
                <w:highlight w:val="none"/>
              </w:rPr>
              <w:t>熔化结束后在封闭真空</w:t>
            </w:r>
            <w:r>
              <w:rPr>
                <w:rFonts w:hint="default" w:ascii="Times New Roman" w:hAnsi="Times New Roman" w:eastAsia="宋体" w:cs="Times New Roman"/>
                <w:sz w:val="24"/>
                <w:highlight w:val="none"/>
                <w:lang w:val="en-US" w:eastAsia="zh-CN"/>
              </w:rPr>
              <w:t>金属</w:t>
            </w:r>
            <w:r>
              <w:rPr>
                <w:rFonts w:hint="default" w:ascii="Times New Roman" w:hAnsi="Times New Roman" w:eastAsia="宋体" w:cs="Times New Roman"/>
                <w:sz w:val="24"/>
                <w:highlight w:val="none"/>
              </w:rPr>
              <w:t>铸模中进行浇铸成最终样坯。</w:t>
            </w:r>
          </w:p>
          <w:p w14:paraId="09019E37">
            <w:pPr>
              <w:numPr>
                <w:ilvl w:val="0"/>
                <w:numId w:val="0"/>
              </w:numPr>
              <w:adjustRightInd w:val="0"/>
              <w:spacing w:line="360" w:lineRule="auto"/>
              <w:ind w:leftChars="200"/>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lang w:val="en-US" w:eastAsia="zh-CN"/>
              </w:rPr>
              <w:t>该过程产生G1熔炼废气。</w:t>
            </w:r>
          </w:p>
          <w:p w14:paraId="11B8211E">
            <w:pPr>
              <w:numPr>
                <w:ilvl w:val="0"/>
                <w:numId w:val="33"/>
              </w:numPr>
              <w:adjustRightInd w:val="0"/>
              <w:spacing w:line="360" w:lineRule="auto"/>
              <w:ind w:left="0" w:leftChars="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样坯热处理：对熔铸的样坯在小型热处理炉中</w:t>
            </w:r>
            <w:r>
              <w:rPr>
                <w:rFonts w:hint="default" w:ascii="Times New Roman" w:hAnsi="Times New Roman" w:eastAsia="宋体" w:cs="Times New Roman"/>
                <w:color w:val="auto"/>
                <w:sz w:val="24"/>
                <w:highlight w:val="none"/>
              </w:rPr>
              <w:t>进行组织和成分均匀</w:t>
            </w:r>
            <w:r>
              <w:rPr>
                <w:rFonts w:hint="default" w:ascii="Times New Roman" w:hAnsi="Times New Roman" w:eastAsia="宋体" w:cs="Times New Roman"/>
                <w:sz w:val="24"/>
                <w:highlight w:val="none"/>
              </w:rPr>
              <w:t>化，以备后续检验分析</w:t>
            </w:r>
            <w:r>
              <w:rPr>
                <w:rFonts w:hint="default" w:ascii="Times New Roman" w:hAnsi="Times New Roman" w:eastAsia="宋体" w:cs="Times New Roman"/>
                <w:sz w:val="24"/>
                <w:highlight w:val="none"/>
                <w:lang w:eastAsia="zh-CN"/>
              </w:rPr>
              <w:t>。</w:t>
            </w:r>
          </w:p>
          <w:p w14:paraId="68CAA95C">
            <w:pPr>
              <w:numPr>
                <w:ilvl w:val="0"/>
                <w:numId w:val="33"/>
              </w:numPr>
              <w:adjustRightInd w:val="0"/>
              <w:spacing w:line="360" w:lineRule="auto"/>
              <w:ind w:left="0" w:leftChars="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试样</w:t>
            </w:r>
            <w:r>
              <w:rPr>
                <w:rFonts w:hint="default" w:ascii="Times New Roman" w:hAnsi="Times New Roman" w:eastAsia="宋体" w:cs="Times New Roman"/>
                <w:sz w:val="24"/>
                <w:highlight w:val="none"/>
                <w:lang w:val="en-US" w:eastAsia="zh-CN"/>
              </w:rPr>
              <w:t>及样品</w:t>
            </w:r>
            <w:r>
              <w:rPr>
                <w:rFonts w:hint="default" w:ascii="Times New Roman" w:hAnsi="Times New Roman" w:eastAsia="宋体" w:cs="Times New Roman"/>
                <w:sz w:val="24"/>
                <w:highlight w:val="none"/>
              </w:rPr>
              <w:t>制备：</w:t>
            </w:r>
          </w:p>
          <w:p w14:paraId="5FDB2555">
            <w:pPr>
              <w:numPr>
                <w:ilvl w:val="0"/>
                <w:numId w:val="0"/>
              </w:num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切割：</w:t>
            </w:r>
            <w:r>
              <w:rPr>
                <w:rFonts w:hint="default" w:ascii="Times New Roman" w:hAnsi="Times New Roman" w:eastAsia="宋体" w:cs="Times New Roman"/>
                <w:sz w:val="24"/>
                <w:highlight w:val="none"/>
              </w:rPr>
              <w:t>通过锯</w:t>
            </w:r>
            <w:r>
              <w:rPr>
                <w:rFonts w:hint="default" w:ascii="Times New Roman" w:hAnsi="Times New Roman" w:eastAsia="宋体" w:cs="Times New Roman"/>
                <w:sz w:val="24"/>
                <w:highlight w:val="none"/>
                <w:lang w:val="en-US" w:eastAsia="zh-CN"/>
              </w:rPr>
              <w:t>切割</w:t>
            </w:r>
            <w:r>
              <w:rPr>
                <w:rFonts w:hint="default" w:ascii="Times New Roman" w:hAnsi="Times New Roman" w:eastAsia="宋体" w:cs="Times New Roman"/>
                <w:sz w:val="24"/>
                <w:highlight w:val="none"/>
              </w:rPr>
              <w:t>、线切割和砂切打磨等工序使样坯成为进一步可热模拟和组织分析的试样</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该项操作使用切削液湿式操作</w:t>
            </w:r>
            <w:r>
              <w:rPr>
                <w:rFonts w:hint="default" w:ascii="Times New Roman" w:hAnsi="Times New Roman" w:eastAsia="宋体" w:cs="Times New Roman"/>
                <w:sz w:val="24"/>
                <w:highlight w:val="none"/>
              </w:rPr>
              <w:t>。</w:t>
            </w:r>
          </w:p>
          <w:p w14:paraId="0127BE49">
            <w:pPr>
              <w:numPr>
                <w:ilvl w:val="0"/>
                <w:numId w:val="0"/>
              </w:numPr>
              <w:adjustRightIn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擦拭：使用乙醇擦拭部分试样表面，待进一步观察分析。</w:t>
            </w:r>
          </w:p>
          <w:p w14:paraId="0C7E5EAC">
            <w:pPr>
              <w:numPr>
                <w:ilvl w:val="0"/>
                <w:numId w:val="0"/>
              </w:numPr>
              <w:adjustRightIn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color w:val="auto"/>
                <w:sz w:val="24"/>
                <w:highlight w:val="none"/>
              </w:rPr>
              <w:t>磨抛</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晶界腐蚀</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使用</w:t>
            </w:r>
            <w:r>
              <w:rPr>
                <w:rFonts w:hint="default" w:ascii="Times New Roman" w:hAnsi="Times New Roman" w:eastAsia="宋体" w:cs="Times New Roman"/>
                <w:color w:val="auto"/>
                <w:sz w:val="24"/>
                <w:highlight w:val="none"/>
              </w:rPr>
              <w:t>磨抛机</w:t>
            </w:r>
            <w:r>
              <w:rPr>
                <w:rFonts w:hint="default" w:ascii="Times New Roman" w:hAnsi="Times New Roman" w:eastAsia="宋体" w:cs="Times New Roman"/>
                <w:sz w:val="24"/>
                <w:highlight w:val="none"/>
                <w:lang w:val="en-US" w:eastAsia="zh-CN"/>
              </w:rPr>
              <w:t>对部分试样表面进行</w:t>
            </w:r>
            <w:r>
              <w:rPr>
                <w:rFonts w:hint="default" w:ascii="Times New Roman" w:hAnsi="Times New Roman" w:eastAsia="宋体" w:cs="Times New Roman"/>
                <w:color w:val="auto"/>
                <w:sz w:val="24"/>
                <w:highlight w:val="none"/>
              </w:rPr>
              <w:t>磨抛</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sz w:val="24"/>
                <w:highlight w:val="none"/>
                <w:lang w:val="en-US" w:eastAsia="zh-CN"/>
              </w:rPr>
              <w:t>使用硝酸、乙醇混合液对部分试样表面</w:t>
            </w:r>
            <w:r>
              <w:rPr>
                <w:rFonts w:hint="default" w:ascii="Times New Roman" w:hAnsi="Times New Roman" w:eastAsia="宋体" w:cs="Times New Roman"/>
                <w:color w:val="auto"/>
                <w:sz w:val="24"/>
                <w:highlight w:val="none"/>
              </w:rPr>
              <w:t>晶界腐蚀</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用于后续的显微分析</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磨抛</w:t>
            </w:r>
            <w:r>
              <w:rPr>
                <w:rFonts w:hint="default" w:ascii="Times New Roman" w:hAnsi="Times New Roman" w:eastAsia="宋体" w:cs="Times New Roman"/>
                <w:sz w:val="24"/>
                <w:highlight w:val="none"/>
                <w:lang w:val="en-US" w:eastAsia="zh-CN"/>
              </w:rPr>
              <w:t>使用切削液湿式操作</w:t>
            </w:r>
            <w:r>
              <w:rPr>
                <w:rFonts w:hint="default" w:ascii="Times New Roman" w:hAnsi="Times New Roman" w:eastAsia="宋体" w:cs="Times New Roman"/>
                <w:color w:val="auto"/>
                <w:sz w:val="24"/>
                <w:highlight w:val="none"/>
              </w:rPr>
              <w:t>。</w:t>
            </w:r>
          </w:p>
          <w:p w14:paraId="25136550">
            <w:pPr>
              <w:numPr>
                <w:ilvl w:val="0"/>
                <w:numId w:val="0"/>
              </w:numPr>
              <w:adjustRightIn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酸解：使用盐酸、硝酸混合液溶解金属样品，待进一步使用光谱仪进行元素分析。</w:t>
            </w:r>
          </w:p>
          <w:p w14:paraId="0A1B2972">
            <w:pPr>
              <w:numPr>
                <w:ilvl w:val="0"/>
                <w:numId w:val="0"/>
              </w:numPr>
              <w:adjustRightIn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color w:val="auto"/>
                <w:sz w:val="24"/>
                <w:highlight w:val="none"/>
              </w:rPr>
              <w:t>镶样</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sz w:val="24"/>
                <w:highlight w:val="none"/>
                <w:lang w:val="en-US" w:eastAsia="zh-CN"/>
              </w:rPr>
              <w:t>使用</w:t>
            </w:r>
            <w:r>
              <w:rPr>
                <w:rFonts w:hint="default" w:ascii="Times New Roman" w:hAnsi="Times New Roman" w:eastAsia="宋体" w:cs="Times New Roman"/>
                <w:color w:val="auto"/>
                <w:sz w:val="24"/>
                <w:highlight w:val="none"/>
              </w:rPr>
              <w:t>镶样机</w:t>
            </w:r>
            <w:r>
              <w:rPr>
                <w:rFonts w:hint="default" w:ascii="Times New Roman" w:hAnsi="Times New Roman" w:eastAsia="宋体" w:cs="Times New Roman"/>
                <w:color w:val="auto"/>
                <w:sz w:val="24"/>
                <w:highlight w:val="none"/>
                <w:lang w:val="en-US" w:eastAsia="zh-CN"/>
              </w:rPr>
              <w:t>将金</w:t>
            </w:r>
            <w:r>
              <w:rPr>
                <w:rFonts w:hint="default" w:ascii="Times New Roman" w:hAnsi="Times New Roman" w:eastAsia="宋体" w:cs="Times New Roman"/>
                <w:sz w:val="24"/>
                <w:highlight w:val="none"/>
                <w:lang w:val="en-US" w:eastAsia="zh-CN"/>
              </w:rPr>
              <w:t>属实验片固定在热固性树脂上，方便进一步观察分析。</w:t>
            </w:r>
          </w:p>
          <w:p w14:paraId="665E996A">
            <w:pPr>
              <w:numPr>
                <w:ilvl w:val="0"/>
                <w:numId w:val="0"/>
              </w:numPr>
              <w:adjustRightInd w:val="0"/>
              <w:spacing w:line="360" w:lineRule="auto"/>
              <w:ind w:firstLine="482" w:firstLineChars="200"/>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lang w:val="en-US" w:eastAsia="zh-CN"/>
              </w:rPr>
              <w:t>该过程产生G2挥发性有机物、G3挥发性无机废气、S1废金属边角料、S2废切削液。</w:t>
            </w:r>
          </w:p>
          <w:p w14:paraId="1E7165D4">
            <w:pPr>
              <w:numPr>
                <w:ilvl w:val="0"/>
                <w:numId w:val="33"/>
              </w:numPr>
              <w:adjustRightInd w:val="0"/>
              <w:spacing w:line="360" w:lineRule="auto"/>
              <w:ind w:left="0" w:leftChars="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试样</w:t>
            </w:r>
            <w:r>
              <w:rPr>
                <w:rFonts w:hint="default" w:ascii="Times New Roman" w:hAnsi="Times New Roman" w:eastAsia="宋体" w:cs="Times New Roman"/>
                <w:sz w:val="24"/>
                <w:highlight w:val="none"/>
                <w:lang w:val="en-US" w:eastAsia="zh-CN"/>
              </w:rPr>
              <w:t>及样品分析</w:t>
            </w:r>
          </w:p>
          <w:p w14:paraId="0EA1A147">
            <w:pPr>
              <w:numPr>
                <w:ilvl w:val="0"/>
                <w:numId w:val="0"/>
              </w:num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模拟实验：在热/力模拟</w:t>
            </w:r>
            <w:r>
              <w:rPr>
                <w:rFonts w:hint="default" w:ascii="Times New Roman" w:hAnsi="Times New Roman" w:eastAsia="宋体" w:cs="Times New Roman"/>
                <w:sz w:val="24"/>
                <w:highlight w:val="none"/>
                <w:lang w:eastAsia="zh-CN"/>
              </w:rPr>
              <w:t>实验</w:t>
            </w:r>
            <w:r>
              <w:rPr>
                <w:rFonts w:hint="default" w:ascii="Times New Roman" w:hAnsi="Times New Roman" w:eastAsia="宋体" w:cs="Times New Roman"/>
                <w:sz w:val="24"/>
                <w:highlight w:val="none"/>
              </w:rPr>
              <w:t>机上进行热、力、热力耦合等工艺模拟</w:t>
            </w:r>
            <w:r>
              <w:rPr>
                <w:rFonts w:hint="default" w:ascii="Times New Roman" w:hAnsi="Times New Roman" w:eastAsia="宋体" w:cs="Times New Roman"/>
                <w:sz w:val="24"/>
                <w:highlight w:val="none"/>
                <w:lang w:eastAsia="zh-CN"/>
              </w:rPr>
              <w:t>实验</w:t>
            </w:r>
            <w:r>
              <w:rPr>
                <w:rFonts w:hint="default" w:ascii="Times New Roman" w:hAnsi="Times New Roman" w:eastAsia="宋体" w:cs="Times New Roman"/>
                <w:sz w:val="24"/>
                <w:highlight w:val="none"/>
              </w:rPr>
              <w:t>，用于研究材料的工艺对组织、性能等的影响。</w:t>
            </w:r>
          </w:p>
          <w:p w14:paraId="7E497460">
            <w:pPr>
              <w:numPr>
                <w:ilvl w:val="0"/>
                <w:numId w:val="0"/>
              </w:num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显微分析：在电镜、光镜下对材料进行微观的组织、成分、晶相、位相等进行分析。</w:t>
            </w:r>
          </w:p>
          <w:p w14:paraId="4D95242C">
            <w:pPr>
              <w:numPr>
                <w:ilvl w:val="0"/>
                <w:numId w:val="0"/>
              </w:numPr>
              <w:adjustRightIn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光谱</w:t>
            </w:r>
            <w:r>
              <w:rPr>
                <w:rFonts w:hint="default" w:ascii="Times New Roman" w:hAnsi="Times New Roman" w:eastAsia="宋体" w:cs="Times New Roman"/>
                <w:sz w:val="24"/>
                <w:highlight w:val="none"/>
              </w:rPr>
              <w:t>分析</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使用光谱仪进行样品元素分析。</w:t>
            </w:r>
          </w:p>
          <w:p w14:paraId="5CF83EA9">
            <w:pPr>
              <w:numPr>
                <w:ilvl w:val="0"/>
                <w:numId w:val="0"/>
              </w:numPr>
              <w:adjustRightInd w:val="0"/>
              <w:spacing w:line="360" w:lineRule="auto"/>
              <w:ind w:leftChars="200"/>
              <w:rPr>
                <w:rFonts w:hint="default" w:ascii="Times New Roman" w:hAnsi="Times New Roman" w:eastAsia="宋体" w:cs="Times New Roman"/>
                <w:sz w:val="24"/>
                <w:highlight w:val="none"/>
              </w:rPr>
            </w:pPr>
            <w:r>
              <w:rPr>
                <w:rFonts w:hint="default" w:ascii="Times New Roman" w:hAnsi="Times New Roman" w:eastAsia="宋体" w:cs="Times New Roman"/>
                <w:b/>
                <w:bCs/>
                <w:sz w:val="24"/>
                <w:highlight w:val="none"/>
                <w:lang w:val="en-US" w:eastAsia="zh-CN"/>
              </w:rPr>
              <w:t>该过程产生G4检测废气、S3废树脂、S4废金属实验件、S5检测废液。</w:t>
            </w:r>
          </w:p>
          <w:p w14:paraId="705FD3F9">
            <w:pPr>
              <w:numPr>
                <w:ilvl w:val="0"/>
                <w:numId w:val="34"/>
              </w:numPr>
              <w:adjustRightInd w:val="0"/>
              <w:spacing w:line="360" w:lineRule="auto"/>
              <w:ind w:firstLine="482" w:firstLineChars="200"/>
              <w:rPr>
                <w:rFonts w:hint="default" w:ascii="Times New Roman" w:hAnsi="Times New Roman" w:eastAsia="宋体" w:cs="Times New Roman"/>
                <w:b/>
                <w:bCs/>
                <w:sz w:val="24"/>
                <w:highlight w:val="none"/>
                <w:lang w:val="en-US" w:eastAsia="zh-CN"/>
              </w:rPr>
            </w:pPr>
            <w:r>
              <w:rPr>
                <w:rFonts w:hint="default" w:ascii="Times New Roman" w:hAnsi="Times New Roman" w:eastAsia="宋体" w:cs="Times New Roman"/>
                <w:b/>
                <w:bCs/>
                <w:sz w:val="24"/>
                <w:highlight w:val="none"/>
                <w:lang w:val="en-US" w:eastAsia="zh-CN"/>
              </w:rPr>
              <w:t>电池材料实验</w:t>
            </w:r>
          </w:p>
          <w:p w14:paraId="03EC11F2">
            <w:pPr>
              <w:numPr>
                <w:ilvl w:val="0"/>
                <w:numId w:val="0"/>
              </w:numPr>
              <w:adjustRightInd w:val="0"/>
              <w:spacing w:line="360" w:lineRule="auto"/>
              <w:rPr>
                <w:rFonts w:hint="default" w:ascii="Times New Roman" w:hAnsi="Times New Roman" w:eastAsia="宋体" w:cs="Times New Roman"/>
                <w:b/>
                <w:bCs/>
                <w:sz w:val="24"/>
                <w:highlight w:val="none"/>
                <w:lang w:val="en-US" w:eastAsia="zh-CN"/>
              </w:rPr>
            </w:pPr>
            <w:r>
              <w:rPr>
                <w:rFonts w:hint="default" w:ascii="Times New Roman" w:hAnsi="Times New Roman" w:eastAsia="宋体" w:cs="Times New Roman"/>
                <w:b/>
                <w:bCs/>
                <w:sz w:val="24"/>
                <w:highlight w:val="none"/>
                <w:lang w:val="en-US" w:eastAsia="zh-CN"/>
              </w:rPr>
              <w:t xml:space="preserve">   </w:t>
            </w:r>
            <w:r>
              <w:rPr>
                <w:rFonts w:hint="default" w:ascii="Times New Roman" w:hAnsi="Times New Roman" w:eastAsia="宋体" w:cs="Times New Roman"/>
                <w:b/>
                <w:bCs/>
                <w:sz w:val="24"/>
                <w:highlight w:val="none"/>
                <w:lang w:val="en-US" w:eastAsia="zh-CN"/>
              </w:rPr>
              <w:object>
                <v:shape id="_x0000_i1028" o:spt="75" type="#_x0000_t75" style="height:155.05pt;width:372.7pt;" o:ole="t" filled="f" o:preferrelative="t" stroked="f" coordsize="21600,21600">
                  <v:path/>
                  <v:fill on="f" focussize="0,0"/>
                  <v:stroke on="f"/>
                  <v:imagedata r:id="rId19" o:title=""/>
                  <o:lock v:ext="edit" aspectratio="f"/>
                  <w10:wrap type="none"/>
                  <w10:anchorlock/>
                </v:shape>
                <o:OLEObject Type="Embed" ProgID="Visio.Drawing.11" ShapeID="_x0000_i1028" DrawAspect="Content" ObjectID="_1468075728" r:id="rId18">
                  <o:LockedField>false</o:LockedField>
                </o:OLEObject>
              </w:object>
            </w:r>
          </w:p>
          <w:p w14:paraId="2554CDA2">
            <w:pPr>
              <w:numPr>
                <w:ilvl w:val="0"/>
                <w:numId w:val="32"/>
              </w:numPr>
              <w:adjustRightInd w:val="0"/>
              <w:spacing w:line="360" w:lineRule="auto"/>
              <w:ind w:left="425" w:leftChars="0" w:hanging="425" w:firstLineChars="0"/>
              <w:jc w:val="center"/>
              <w:rPr>
                <w:rFonts w:hint="default" w:ascii="Times New Roman" w:hAnsi="Times New Roman" w:eastAsia="宋体" w:cs="Times New Roman"/>
                <w:b/>
                <w:bCs/>
                <w:sz w:val="24"/>
                <w:highlight w:val="none"/>
                <w:lang w:val="en-US" w:eastAsia="zh-CN"/>
              </w:rPr>
            </w:pPr>
            <w:r>
              <w:rPr>
                <w:rFonts w:hint="default" w:ascii="Times New Roman" w:hAnsi="Times New Roman" w:eastAsia="宋体" w:cs="Times New Roman"/>
                <w:b/>
                <w:bCs/>
                <w:sz w:val="24"/>
                <w:highlight w:val="none"/>
                <w:lang w:val="en-US" w:eastAsia="zh-CN"/>
              </w:rPr>
              <w:t>电池材料实验流程图</w:t>
            </w:r>
          </w:p>
          <w:p w14:paraId="4EC9A83E">
            <w:pPr>
              <w:numPr>
                <w:ilvl w:val="0"/>
                <w:numId w:val="35"/>
              </w:numPr>
              <w:adjustRightInd w:val="0"/>
              <w:spacing w:line="360" w:lineRule="auto"/>
              <w:ind w:left="0" w:leftChars="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液相沉淀：</w:t>
            </w:r>
          </w:p>
          <w:p w14:paraId="55735E6B">
            <w:pPr>
              <w:numPr>
                <w:ilvl w:val="0"/>
                <w:numId w:val="0"/>
              </w:num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在共沉淀反应釜中使用硫酸镍、硫酸钴、硫酸锰、氢氧化钠、硫酸铁、硝酸铁、氧化铌、氨水、氢氧化钠、磷酸等通过液相沉淀反应制备FePO</w:t>
            </w:r>
            <w:r>
              <w:rPr>
                <w:rFonts w:hint="default" w:ascii="Times New Roman" w:hAnsi="Times New Roman" w:eastAsia="宋体" w:cs="Times New Roman"/>
                <w:sz w:val="24"/>
                <w:highlight w:val="none"/>
                <w:vertAlign w:val="subscript"/>
                <w:lang w:val="en-US" w:eastAsia="zh-CN"/>
              </w:rPr>
              <w:t>4</w:t>
            </w:r>
            <w:r>
              <w:rPr>
                <w:rFonts w:hint="default" w:ascii="Times New Roman" w:hAnsi="Times New Roman" w:eastAsia="宋体" w:cs="Times New Roman"/>
                <w:sz w:val="24"/>
                <w:highlight w:val="none"/>
                <w:lang w:val="en-US" w:eastAsia="zh-CN"/>
              </w:rPr>
              <w:t>、NixCoyMn1-x-y(OH)</w:t>
            </w:r>
            <w:r>
              <w:rPr>
                <w:rFonts w:hint="default" w:ascii="Times New Roman" w:hAnsi="Times New Roman" w:eastAsia="宋体" w:cs="Times New Roman"/>
                <w:sz w:val="24"/>
                <w:highlight w:val="none"/>
                <w:vertAlign w:val="subscript"/>
                <w:lang w:val="en-US" w:eastAsia="zh-CN"/>
              </w:rPr>
              <w:t>2</w:t>
            </w:r>
            <w:r>
              <w:rPr>
                <w:rFonts w:hint="default" w:ascii="Times New Roman" w:hAnsi="Times New Roman" w:eastAsia="宋体" w:cs="Times New Roman"/>
                <w:sz w:val="24"/>
                <w:highlight w:val="none"/>
              </w:rPr>
              <w:t>或Nb(OH)</w:t>
            </w:r>
            <w:r>
              <w:rPr>
                <w:rFonts w:hint="default" w:ascii="Times New Roman" w:hAnsi="Times New Roman" w:eastAsia="宋体" w:cs="Times New Roman"/>
                <w:color w:val="auto"/>
                <w:sz w:val="24"/>
                <w:highlight w:val="none"/>
                <w:vertAlign w:val="subscript"/>
              </w:rPr>
              <w:t>5</w:t>
            </w:r>
            <w:r>
              <w:rPr>
                <w:rFonts w:hint="default" w:ascii="Times New Roman" w:hAnsi="Times New Roman" w:eastAsia="宋体" w:cs="Times New Roman"/>
                <w:sz w:val="24"/>
                <w:highlight w:val="none"/>
              </w:rPr>
              <w:t>前驱体。</w:t>
            </w:r>
          </w:p>
          <w:p w14:paraId="43239551">
            <w:pPr>
              <w:numPr>
                <w:ilvl w:val="0"/>
                <w:numId w:val="0"/>
              </w:numPr>
              <w:adjustRightInd w:val="0"/>
              <w:spacing w:line="360" w:lineRule="auto"/>
              <w:rPr>
                <w:rFonts w:hint="default" w:ascii="Times New Roman" w:hAnsi="Times New Roman" w:eastAsia="宋体" w:cs="Times New Roman"/>
                <w:sz w:val="24"/>
                <w:highlight w:val="none"/>
                <w:vertAlign w:val="baseline"/>
                <w:lang w:val="en-US" w:eastAsia="zh-CN"/>
              </w:rPr>
            </w:pPr>
            <w:r>
              <w:rPr>
                <w:rFonts w:hint="eastAsia" w:cs="Times New Roman"/>
                <w:sz w:val="24"/>
                <w:highlight w:val="none"/>
                <w:lang w:val="en-US" w:eastAsia="zh-CN"/>
              </w:rPr>
              <w:t xml:space="preserve">    用氢氟酸水溶液、</w:t>
            </w:r>
            <w:r>
              <w:rPr>
                <w:rFonts w:hint="default" w:ascii="Times New Roman" w:hAnsi="Times New Roman" w:eastAsia="宋体" w:cs="Times New Roman"/>
                <w:sz w:val="24"/>
                <w:highlight w:val="none"/>
              </w:rPr>
              <w:t>Nb(OH)</w:t>
            </w:r>
            <w:r>
              <w:rPr>
                <w:rFonts w:hint="default" w:ascii="Times New Roman" w:hAnsi="Times New Roman" w:eastAsia="宋体" w:cs="Times New Roman"/>
                <w:color w:val="auto"/>
                <w:sz w:val="24"/>
                <w:highlight w:val="none"/>
                <w:vertAlign w:val="subscript"/>
              </w:rPr>
              <w:t>5</w:t>
            </w:r>
            <w:r>
              <w:rPr>
                <w:rFonts w:hint="eastAsia" w:cs="Times New Roman"/>
                <w:color w:val="auto"/>
                <w:sz w:val="24"/>
                <w:highlight w:val="none"/>
                <w:vertAlign w:val="baseline"/>
                <w:lang w:val="en-US" w:eastAsia="zh-CN"/>
              </w:rPr>
              <w:t>反应制备氟铌酸（H</w:t>
            </w:r>
            <w:r>
              <w:rPr>
                <w:rFonts w:hint="eastAsia" w:cs="Times New Roman"/>
                <w:color w:val="auto"/>
                <w:sz w:val="24"/>
                <w:highlight w:val="none"/>
                <w:vertAlign w:val="subscript"/>
                <w:lang w:val="en-US" w:eastAsia="zh-CN"/>
              </w:rPr>
              <w:t>2</w:t>
            </w:r>
            <w:r>
              <w:rPr>
                <w:rFonts w:hint="eastAsia" w:cs="Times New Roman"/>
                <w:color w:val="auto"/>
                <w:sz w:val="24"/>
                <w:highlight w:val="none"/>
                <w:vertAlign w:val="baseline"/>
                <w:lang w:val="en-US" w:eastAsia="zh-CN"/>
              </w:rPr>
              <w:t>NbF</w:t>
            </w:r>
            <w:r>
              <w:rPr>
                <w:rFonts w:hint="eastAsia" w:cs="Times New Roman"/>
                <w:color w:val="auto"/>
                <w:sz w:val="24"/>
                <w:highlight w:val="none"/>
                <w:vertAlign w:val="subscript"/>
                <w:lang w:val="en-US" w:eastAsia="zh-CN"/>
              </w:rPr>
              <w:t>7</w:t>
            </w:r>
            <w:r>
              <w:rPr>
                <w:rFonts w:hint="eastAsia" w:cs="Times New Roman"/>
                <w:color w:val="auto"/>
                <w:sz w:val="24"/>
                <w:highlight w:val="none"/>
                <w:vertAlign w:val="baseline"/>
                <w:lang w:val="en-US" w:eastAsia="zh-CN"/>
              </w:rPr>
              <w:t>），再加入氨水沉淀反应制备</w:t>
            </w:r>
            <w:r>
              <w:rPr>
                <w:rFonts w:hint="default" w:ascii="Times New Roman" w:hAnsi="Times New Roman" w:eastAsia="宋体" w:cs="Times New Roman"/>
                <w:sz w:val="24"/>
                <w:highlight w:val="none"/>
              </w:rPr>
              <w:t>Nb(OH)</w:t>
            </w:r>
            <w:r>
              <w:rPr>
                <w:rFonts w:hint="default" w:ascii="Times New Roman" w:hAnsi="Times New Roman" w:eastAsia="宋体" w:cs="Times New Roman"/>
                <w:color w:val="auto"/>
                <w:sz w:val="24"/>
                <w:highlight w:val="none"/>
                <w:vertAlign w:val="subscript"/>
              </w:rPr>
              <w:t>5</w:t>
            </w:r>
            <w:r>
              <w:rPr>
                <w:rFonts w:hint="eastAsia" w:cs="Times New Roman"/>
                <w:color w:val="auto"/>
                <w:sz w:val="24"/>
                <w:highlight w:val="none"/>
                <w:vertAlign w:val="baseline"/>
                <w:lang w:eastAsia="zh-CN"/>
              </w:rPr>
              <w:t>，</w:t>
            </w:r>
            <w:r>
              <w:rPr>
                <w:rFonts w:hint="default" w:ascii="Times New Roman" w:hAnsi="Times New Roman" w:eastAsia="宋体" w:cs="Times New Roman"/>
                <w:sz w:val="24"/>
                <w:highlight w:val="none"/>
              </w:rPr>
              <w:t>Nb(OH)</w:t>
            </w:r>
            <w:r>
              <w:rPr>
                <w:rFonts w:hint="default" w:ascii="Times New Roman" w:hAnsi="Times New Roman" w:eastAsia="宋体" w:cs="Times New Roman"/>
                <w:color w:val="auto"/>
                <w:sz w:val="24"/>
                <w:highlight w:val="none"/>
                <w:vertAlign w:val="subscript"/>
              </w:rPr>
              <w:t>5</w:t>
            </w:r>
            <w:r>
              <w:rPr>
                <w:rFonts w:hint="eastAsia" w:cs="Times New Roman"/>
                <w:color w:val="auto"/>
                <w:sz w:val="24"/>
                <w:highlight w:val="none"/>
                <w:vertAlign w:val="baseline"/>
                <w:lang w:val="en-US" w:eastAsia="zh-CN"/>
              </w:rPr>
              <w:t>经过此反应转化后物性参数和晶体结构发生变化。</w:t>
            </w:r>
          </w:p>
          <w:p w14:paraId="37BCF355">
            <w:pPr>
              <w:numPr>
                <w:ilvl w:val="0"/>
                <w:numId w:val="0"/>
              </w:numPr>
              <w:adjustRightInd w:val="0"/>
              <w:spacing w:line="360" w:lineRule="auto"/>
              <w:ind w:leftChars="200"/>
              <w:rPr>
                <w:rFonts w:hint="default" w:ascii="Times New Roman" w:hAnsi="Times New Roman" w:eastAsia="宋体" w:cs="Times New Roman"/>
                <w:b/>
                <w:bCs/>
                <w:sz w:val="24"/>
                <w:highlight w:val="none"/>
                <w:lang w:val="en-US" w:eastAsia="zh-CN"/>
              </w:rPr>
            </w:pPr>
            <w:r>
              <w:rPr>
                <w:rFonts w:hint="default" w:ascii="Times New Roman" w:hAnsi="Times New Roman" w:eastAsia="宋体" w:cs="Times New Roman"/>
                <w:b/>
                <w:bCs/>
                <w:sz w:val="24"/>
                <w:highlight w:val="none"/>
                <w:lang w:val="en-US" w:eastAsia="zh-CN"/>
              </w:rPr>
              <w:t>该过程产生G5无机含氨</w:t>
            </w:r>
            <w:r>
              <w:rPr>
                <w:rFonts w:hint="eastAsia" w:cs="Times New Roman"/>
                <w:b/>
                <w:bCs/>
                <w:sz w:val="24"/>
                <w:highlight w:val="none"/>
                <w:lang w:val="en-US" w:eastAsia="zh-CN"/>
              </w:rPr>
              <w:t>含氟</w:t>
            </w:r>
            <w:r>
              <w:rPr>
                <w:rFonts w:hint="default" w:ascii="Times New Roman" w:hAnsi="Times New Roman" w:eastAsia="宋体" w:cs="Times New Roman"/>
                <w:b/>
                <w:bCs/>
                <w:sz w:val="24"/>
                <w:highlight w:val="none"/>
                <w:lang w:val="en-US" w:eastAsia="zh-CN"/>
              </w:rPr>
              <w:t>废气。</w:t>
            </w:r>
          </w:p>
          <w:p w14:paraId="45FA0D5B">
            <w:pPr>
              <w:numPr>
                <w:ilvl w:val="0"/>
                <w:numId w:val="35"/>
              </w:numPr>
              <w:adjustRightInd w:val="0"/>
              <w:spacing w:line="360" w:lineRule="auto"/>
              <w:ind w:left="0" w:leftChars="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固液分离</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使用正压式过滤器将以上反应产物固相</w:t>
            </w:r>
            <w:r>
              <w:rPr>
                <w:rFonts w:hint="default" w:ascii="Times New Roman" w:hAnsi="Times New Roman" w:eastAsia="宋体" w:cs="Times New Roman"/>
                <w:sz w:val="24"/>
                <w:highlight w:val="none"/>
              </w:rPr>
              <w:t>与液相分离</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固相使用纯化水冲洗3次转干燥，液相及冲洗液收集作危险废物处理</w:t>
            </w:r>
            <w:r>
              <w:rPr>
                <w:rFonts w:hint="default" w:ascii="Times New Roman" w:hAnsi="Times New Roman" w:eastAsia="宋体" w:cs="Times New Roman"/>
                <w:sz w:val="24"/>
                <w:highlight w:val="none"/>
              </w:rPr>
              <w:t>。</w:t>
            </w:r>
          </w:p>
          <w:p w14:paraId="116E0629">
            <w:pPr>
              <w:numPr>
                <w:ilvl w:val="0"/>
                <w:numId w:val="0"/>
              </w:numPr>
              <w:adjustRightInd w:val="0"/>
              <w:spacing w:line="360" w:lineRule="auto"/>
              <w:ind w:leftChars="200"/>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lang w:val="en-US" w:eastAsia="zh-CN"/>
              </w:rPr>
              <w:t>该过程产生S6电池材料实验废液。</w:t>
            </w:r>
          </w:p>
          <w:p w14:paraId="24DF37C6">
            <w:pPr>
              <w:numPr>
                <w:ilvl w:val="0"/>
                <w:numId w:val="35"/>
              </w:numPr>
              <w:adjustRightInd w:val="0"/>
              <w:spacing w:line="360" w:lineRule="auto"/>
              <w:ind w:left="0" w:leftChars="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干燥</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根据实验要求分别用烘箱或喷雾干燥机对以上前驱体干燥，烘箱适用于所有前驱体的干燥，喷雾干燥机适用于FePO</w:t>
            </w:r>
            <w:r>
              <w:rPr>
                <w:rFonts w:hint="default" w:ascii="Times New Roman" w:hAnsi="Times New Roman" w:eastAsia="宋体" w:cs="Times New Roman"/>
                <w:sz w:val="24"/>
                <w:highlight w:val="none"/>
                <w:vertAlign w:val="subscript"/>
                <w:lang w:val="en-US" w:eastAsia="zh-CN"/>
              </w:rPr>
              <w:t>4</w:t>
            </w:r>
            <w:r>
              <w:rPr>
                <w:rFonts w:hint="default" w:ascii="Times New Roman" w:hAnsi="Times New Roman" w:eastAsia="宋体" w:cs="Times New Roman"/>
                <w:sz w:val="24"/>
                <w:highlight w:val="none"/>
                <w:vertAlign w:val="baseline"/>
                <w:lang w:val="en-US" w:eastAsia="zh-CN"/>
              </w:rPr>
              <w:t>、碳酸锂</w:t>
            </w:r>
            <w:r>
              <w:rPr>
                <w:rFonts w:hint="default" w:ascii="Times New Roman" w:hAnsi="Times New Roman" w:eastAsia="宋体" w:cs="Times New Roman"/>
                <w:sz w:val="24"/>
                <w:highlight w:val="none"/>
                <w:lang w:val="en-US" w:eastAsia="zh-CN"/>
              </w:rPr>
              <w:t>前驱体的干燥，喷雾干燥前，待干燥样品要使用纳米砂磨机在水中进行研磨。</w:t>
            </w:r>
          </w:p>
          <w:p w14:paraId="4C590135">
            <w:pPr>
              <w:numPr>
                <w:ilvl w:val="0"/>
                <w:numId w:val="0"/>
              </w:numPr>
              <w:adjustRightInd w:val="0"/>
              <w:spacing w:line="360" w:lineRule="auto"/>
              <w:ind w:leftChars="200"/>
              <w:rPr>
                <w:rFonts w:hint="default" w:ascii="Times New Roman" w:hAnsi="Times New Roman" w:eastAsia="宋体" w:cs="Times New Roman"/>
                <w:sz w:val="24"/>
                <w:highlight w:val="none"/>
              </w:rPr>
            </w:pPr>
            <w:r>
              <w:rPr>
                <w:rFonts w:hint="default" w:ascii="Times New Roman" w:hAnsi="Times New Roman" w:eastAsia="宋体" w:cs="Times New Roman"/>
                <w:b/>
                <w:bCs/>
                <w:sz w:val="24"/>
                <w:highlight w:val="none"/>
                <w:lang w:val="en-US" w:eastAsia="zh-CN"/>
              </w:rPr>
              <w:t>该过程产生G6其他颗粒物。</w:t>
            </w:r>
          </w:p>
          <w:p w14:paraId="50490B94">
            <w:pPr>
              <w:numPr>
                <w:ilvl w:val="0"/>
                <w:numId w:val="35"/>
              </w:numPr>
              <w:adjustRightInd w:val="0"/>
              <w:spacing w:line="360" w:lineRule="auto"/>
              <w:ind w:left="0" w:leftChars="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混合</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将锂源</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碳酸锂、氢氧化锂</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、前驱体均匀混合在一起。</w:t>
            </w:r>
          </w:p>
          <w:p w14:paraId="1F22B9D0">
            <w:pPr>
              <w:numPr>
                <w:ilvl w:val="0"/>
                <w:numId w:val="0"/>
              </w:numPr>
              <w:adjustRightInd w:val="0"/>
              <w:spacing w:line="360" w:lineRule="auto"/>
              <w:ind w:leftChars="200"/>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lang w:val="en-US" w:eastAsia="zh-CN"/>
              </w:rPr>
              <w:t>该过程产生G7其他颗粒物、镍及其化合物。</w:t>
            </w:r>
          </w:p>
          <w:p w14:paraId="09C08625">
            <w:pPr>
              <w:numPr>
                <w:ilvl w:val="0"/>
                <w:numId w:val="35"/>
              </w:numPr>
              <w:adjustRightInd w:val="0"/>
              <w:spacing w:line="360" w:lineRule="auto"/>
              <w:ind w:left="0" w:leftChars="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高温固相反应</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使用气氛炉对</w:t>
            </w:r>
            <w:r>
              <w:rPr>
                <w:rFonts w:hint="default" w:ascii="Times New Roman" w:hAnsi="Times New Roman" w:eastAsia="宋体" w:cs="Times New Roman"/>
                <w:sz w:val="24"/>
                <w:highlight w:val="none"/>
              </w:rPr>
              <w:t>前驱体、锂源高温烧结，制备三元锂、磷酸铁锂等正极材料。</w:t>
            </w:r>
          </w:p>
          <w:p w14:paraId="6828BBA5">
            <w:pPr>
              <w:numPr>
                <w:ilvl w:val="0"/>
                <w:numId w:val="35"/>
              </w:numPr>
              <w:adjustRightInd w:val="0"/>
              <w:spacing w:line="360" w:lineRule="auto"/>
              <w:ind w:left="0" w:leftChars="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破碎</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通过鄂破机等将团聚在一起的固体颗粒破碎。</w:t>
            </w:r>
          </w:p>
          <w:p w14:paraId="4994C95F">
            <w:pPr>
              <w:numPr>
                <w:ilvl w:val="0"/>
                <w:numId w:val="0"/>
              </w:numPr>
              <w:adjustRightInd w:val="0"/>
              <w:spacing w:line="360" w:lineRule="auto"/>
              <w:ind w:leftChars="200"/>
              <w:rPr>
                <w:rFonts w:hint="default" w:ascii="Times New Roman" w:hAnsi="Times New Roman" w:eastAsia="宋体" w:cs="Times New Roman"/>
                <w:sz w:val="24"/>
                <w:highlight w:val="none"/>
              </w:rPr>
            </w:pPr>
            <w:r>
              <w:rPr>
                <w:rFonts w:hint="default" w:ascii="Times New Roman" w:hAnsi="Times New Roman" w:eastAsia="宋体" w:cs="Times New Roman"/>
                <w:b/>
                <w:bCs/>
                <w:sz w:val="24"/>
                <w:highlight w:val="none"/>
                <w:lang w:val="en-US" w:eastAsia="zh-CN"/>
              </w:rPr>
              <w:t>该过程产生G8其他颗粒物、镍及其化合物。</w:t>
            </w:r>
          </w:p>
          <w:p w14:paraId="5BC39BF6">
            <w:pPr>
              <w:numPr>
                <w:ilvl w:val="0"/>
                <w:numId w:val="35"/>
              </w:numPr>
              <w:adjustRightInd w:val="0"/>
              <w:spacing w:line="360" w:lineRule="auto"/>
              <w:ind w:left="0" w:leftChars="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电池组装：</w:t>
            </w:r>
            <w:r>
              <w:rPr>
                <w:rFonts w:hint="default" w:ascii="Times New Roman" w:hAnsi="Times New Roman" w:eastAsia="宋体" w:cs="Times New Roman"/>
                <w:sz w:val="24"/>
                <w:highlight w:val="none"/>
                <w:lang w:val="en-US" w:eastAsia="zh-CN"/>
              </w:rPr>
              <w:t>用</w:t>
            </w:r>
            <w:r>
              <w:rPr>
                <w:rFonts w:hint="default" w:ascii="Times New Roman" w:hAnsi="Times New Roman" w:eastAsia="宋体" w:cs="Times New Roman"/>
                <w:sz w:val="24"/>
                <w:highlight w:val="none"/>
              </w:rPr>
              <w:t>N-甲基吡咯烷酮（NMP）</w:t>
            </w:r>
            <w:r>
              <w:rPr>
                <w:rFonts w:hint="default" w:ascii="Times New Roman" w:hAnsi="Times New Roman" w:eastAsia="宋体" w:cs="Times New Roman"/>
                <w:sz w:val="24"/>
                <w:highlight w:val="none"/>
                <w:lang w:val="en-US" w:eastAsia="zh-CN"/>
              </w:rPr>
              <w:t>溶解</w:t>
            </w:r>
            <w:r>
              <w:rPr>
                <w:rFonts w:hint="default" w:ascii="Times New Roman" w:hAnsi="Times New Roman" w:eastAsia="宋体" w:cs="Times New Roman"/>
                <w:sz w:val="24"/>
                <w:highlight w:val="none"/>
              </w:rPr>
              <w:t>聚偏氟乙烯</w:t>
            </w:r>
            <w:r>
              <w:rPr>
                <w:rFonts w:hint="default" w:ascii="Times New Roman" w:hAnsi="Times New Roman" w:eastAsia="宋体" w:cs="Times New Roman"/>
                <w:sz w:val="24"/>
                <w:highlight w:val="none"/>
                <w:lang w:val="en-US" w:eastAsia="zh-CN"/>
              </w:rPr>
              <w:t>制备粘胶剂，在手套箱内，</w:t>
            </w:r>
            <w:r>
              <w:rPr>
                <w:rFonts w:hint="default" w:ascii="Times New Roman" w:hAnsi="Times New Roman" w:eastAsia="宋体" w:cs="Times New Roman"/>
                <w:sz w:val="24"/>
                <w:highlight w:val="none"/>
              </w:rPr>
              <w:t>将制备得到的正极与负极材料、电解液</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粘胶剂</w:t>
            </w:r>
            <w:r>
              <w:rPr>
                <w:rFonts w:hint="default" w:ascii="Times New Roman" w:hAnsi="Times New Roman" w:eastAsia="宋体" w:cs="Times New Roman"/>
                <w:sz w:val="24"/>
                <w:highlight w:val="none"/>
              </w:rPr>
              <w:t>一起组装成扣式半电池或者单片全电池。</w:t>
            </w:r>
          </w:p>
          <w:p w14:paraId="43E91DB5">
            <w:pPr>
              <w:numPr>
                <w:ilvl w:val="0"/>
                <w:numId w:val="0"/>
              </w:numPr>
              <w:adjustRightInd w:val="0"/>
              <w:spacing w:line="360" w:lineRule="auto"/>
              <w:ind w:leftChars="200"/>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lang w:val="en-US" w:eastAsia="zh-CN"/>
              </w:rPr>
              <w:t>该过程产生G9挥发性有机废气。</w:t>
            </w:r>
          </w:p>
          <w:p w14:paraId="277A4339">
            <w:pPr>
              <w:numPr>
                <w:ilvl w:val="0"/>
                <w:numId w:val="35"/>
              </w:numPr>
              <w:adjustRightInd w:val="0"/>
              <w:spacing w:line="360" w:lineRule="auto"/>
              <w:ind w:left="0" w:leftChars="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测试：使用充放电测试仪进行电池充放电实验，记录实验数据。</w:t>
            </w:r>
          </w:p>
          <w:p w14:paraId="100A6FD4">
            <w:pPr>
              <w:numPr>
                <w:ilvl w:val="0"/>
                <w:numId w:val="0"/>
              </w:numPr>
              <w:adjustRightInd w:val="0"/>
              <w:spacing w:line="360" w:lineRule="auto"/>
              <w:ind w:leftChars="200"/>
              <w:rPr>
                <w:rFonts w:hint="default" w:ascii="Times New Roman" w:hAnsi="Times New Roman" w:eastAsia="宋体" w:cs="Times New Roman"/>
                <w:b/>
                <w:bCs/>
                <w:sz w:val="24"/>
                <w:highlight w:val="none"/>
                <w:lang w:val="en-US" w:eastAsia="zh-CN"/>
              </w:rPr>
            </w:pPr>
            <w:r>
              <w:rPr>
                <w:rFonts w:hint="default" w:ascii="Times New Roman" w:hAnsi="Times New Roman" w:eastAsia="宋体" w:cs="Times New Roman"/>
                <w:b/>
                <w:bCs/>
                <w:sz w:val="24"/>
                <w:highlight w:val="none"/>
                <w:lang w:val="en-US" w:eastAsia="zh-CN"/>
              </w:rPr>
              <w:t>该过程产生S7废电池。</w:t>
            </w:r>
          </w:p>
          <w:p w14:paraId="638A59A2">
            <w:pPr>
              <w:numPr>
                <w:ilvl w:val="0"/>
                <w:numId w:val="0"/>
              </w:numPr>
              <w:adjustRightInd w:val="0"/>
              <w:spacing w:line="360" w:lineRule="auto"/>
              <w:ind w:firstLine="482" w:firstLineChars="200"/>
              <w:rPr>
                <w:rFonts w:hint="default" w:ascii="Times New Roman" w:hAnsi="Times New Roman" w:eastAsia="宋体" w:cs="Times New Roman"/>
                <w:b/>
                <w:bCs/>
                <w:sz w:val="24"/>
                <w:highlight w:val="none"/>
                <w:lang w:val="en-US" w:eastAsia="zh-CN"/>
              </w:rPr>
            </w:pPr>
            <w:r>
              <w:rPr>
                <w:rFonts w:hint="default" w:ascii="Times New Roman" w:hAnsi="Times New Roman" w:eastAsia="宋体" w:cs="Times New Roman"/>
                <w:b/>
                <w:bCs/>
                <w:sz w:val="24"/>
                <w:highlight w:val="none"/>
                <w:lang w:val="en-US" w:eastAsia="zh-CN"/>
              </w:rPr>
              <w:t>电池实验过程需要对部分半成品进行pH、碱度等进行物性分析，产生S8分析废液，实验设备清洗产生电池材料设备清洗废液S9。</w:t>
            </w:r>
          </w:p>
          <w:p w14:paraId="56D1E96B">
            <w:pPr>
              <w:numPr>
                <w:ilvl w:val="0"/>
                <w:numId w:val="34"/>
              </w:numPr>
              <w:adjustRightInd w:val="0"/>
              <w:spacing w:line="360" w:lineRule="auto"/>
              <w:ind w:left="0" w:leftChars="0"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纳米晶材料实验</w:t>
            </w:r>
          </w:p>
          <w:p w14:paraId="6CF4943B">
            <w:pPr>
              <w:numPr>
                <w:ilvl w:val="0"/>
                <w:numId w:val="0"/>
              </w:numPr>
              <w:adjustRightInd w:val="0"/>
              <w:spacing w:line="360" w:lineRule="auto"/>
              <w:ind w:leftChars="200"/>
              <w:rPr>
                <w:rFonts w:hint="default" w:ascii="Times New Roman" w:hAnsi="Times New Roman" w:eastAsia="宋体" w:cs="Times New Roman"/>
                <w:b/>
                <w:bCs/>
                <w:sz w:val="24"/>
                <w:lang w:eastAsia="zh-CN"/>
              </w:rPr>
            </w:pPr>
            <w:r>
              <w:rPr>
                <w:rFonts w:hint="default" w:ascii="Times New Roman" w:hAnsi="Times New Roman" w:eastAsia="宋体" w:cs="Times New Roman"/>
                <w:b/>
                <w:bCs/>
                <w:sz w:val="24"/>
                <w:lang w:eastAsia="zh-CN"/>
              </w:rPr>
              <w:object>
                <v:shape id="_x0000_i1029" o:spt="75" type="#_x0000_t75" style="height:171.2pt;width:344.85pt;" o:ole="t" filled="f" o:preferrelative="t" stroked="f" coordsize="21600,21600">
                  <v:path/>
                  <v:fill on="f" focussize="0,0"/>
                  <v:stroke on="f"/>
                  <v:imagedata r:id="rId21" o:title=""/>
                  <o:lock v:ext="edit" aspectratio="f"/>
                  <w10:wrap type="none"/>
                  <w10:anchorlock/>
                </v:shape>
                <o:OLEObject Type="Embed" ProgID="Visio.Drawing.11" ShapeID="_x0000_i1029" DrawAspect="Content" ObjectID="_1468075729" r:id="rId20">
                  <o:LockedField>false</o:LockedField>
                </o:OLEObject>
              </w:object>
            </w:r>
          </w:p>
          <w:p w14:paraId="0F6E5B54">
            <w:pPr>
              <w:numPr>
                <w:ilvl w:val="0"/>
                <w:numId w:val="32"/>
              </w:numPr>
              <w:adjustRightInd w:val="0"/>
              <w:spacing w:line="360" w:lineRule="auto"/>
              <w:ind w:left="425" w:leftChars="0" w:hanging="425" w:firstLineChars="0"/>
              <w:jc w:val="center"/>
              <w:rPr>
                <w:rFonts w:hint="default" w:ascii="Times New Roman" w:hAnsi="Times New Roman" w:eastAsia="宋体" w:cs="Times New Roman"/>
                <w:b/>
                <w:bCs/>
                <w:sz w:val="24"/>
                <w:lang w:eastAsia="zh-CN"/>
              </w:rPr>
            </w:pPr>
            <w:r>
              <w:rPr>
                <w:rFonts w:hint="default" w:ascii="Times New Roman" w:hAnsi="Times New Roman" w:eastAsia="宋体" w:cs="Times New Roman"/>
                <w:b/>
                <w:bCs/>
                <w:sz w:val="24"/>
                <w:highlight w:val="none"/>
                <w:lang w:val="en-US" w:eastAsia="zh-CN"/>
              </w:rPr>
              <w:t>纳米晶体材料实验流程图</w:t>
            </w:r>
          </w:p>
          <w:p w14:paraId="7192B141">
            <w:pPr>
              <w:numPr>
                <w:ilvl w:val="0"/>
                <w:numId w:val="36"/>
              </w:numPr>
              <w:adjustRightInd w:val="0"/>
              <w:spacing w:line="360" w:lineRule="auto"/>
              <w:ind w:left="0" w:leftChars="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铁芯卷绕：根据实验要求将金属带材分条，将金属带材卷绕为不同尺寸的铁芯。</w:t>
            </w:r>
          </w:p>
          <w:p w14:paraId="239BEB7E">
            <w:pPr>
              <w:numPr>
                <w:ilvl w:val="0"/>
                <w:numId w:val="36"/>
              </w:numPr>
              <w:adjustRightInd w:val="0"/>
              <w:spacing w:line="360" w:lineRule="auto"/>
              <w:ind w:left="0" w:leftChars="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热处理与晶化控制：在惰性气体保护下，在</w:t>
            </w:r>
            <w:r>
              <w:rPr>
                <w:rFonts w:hint="default" w:ascii="Times New Roman" w:hAnsi="Times New Roman" w:eastAsia="宋体" w:cs="Times New Roman"/>
                <w:sz w:val="24"/>
                <w:highlight w:val="none"/>
              </w:rPr>
              <w:t>小型热处理炉中</w:t>
            </w:r>
            <w:r>
              <w:rPr>
                <w:rFonts w:hint="default" w:ascii="Times New Roman" w:hAnsi="Times New Roman" w:eastAsia="宋体" w:cs="Times New Roman"/>
                <w:color w:val="auto"/>
                <w:sz w:val="24"/>
                <w:highlight w:val="none"/>
              </w:rPr>
              <w:t>进行</w:t>
            </w:r>
            <w:r>
              <w:rPr>
                <w:rFonts w:hint="default" w:ascii="Times New Roman" w:hAnsi="Times New Roman" w:eastAsia="宋体" w:cs="Times New Roman"/>
                <w:color w:val="auto"/>
                <w:sz w:val="24"/>
                <w:highlight w:val="none"/>
                <w:lang w:val="en-US" w:eastAsia="zh-CN"/>
              </w:rPr>
              <w:t>去应力退火、晶化退火、磁场退火</w:t>
            </w:r>
            <w:r>
              <w:rPr>
                <w:rFonts w:hint="default" w:ascii="Times New Roman" w:hAnsi="Times New Roman" w:eastAsia="宋体" w:cs="Times New Roman"/>
                <w:sz w:val="24"/>
                <w:highlight w:val="none"/>
                <w:lang w:eastAsia="zh-CN"/>
              </w:rPr>
              <w:t>。</w:t>
            </w:r>
          </w:p>
          <w:p w14:paraId="518E6299">
            <w:pPr>
              <w:numPr>
                <w:ilvl w:val="0"/>
                <w:numId w:val="36"/>
              </w:numPr>
              <w:adjustRightInd w:val="0"/>
              <w:spacing w:line="360" w:lineRule="auto"/>
              <w:ind w:left="0" w:leftChars="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浸树脂固化：在真空环境下向以上热处理与晶化后的铁芯浸环氧树脂，在120-150℃下程序固化2-4h。</w:t>
            </w:r>
          </w:p>
          <w:p w14:paraId="60157C79">
            <w:pPr>
              <w:numPr>
                <w:ilvl w:val="0"/>
                <w:numId w:val="0"/>
              </w:numPr>
              <w:adjustRightInd w:val="0"/>
              <w:spacing w:line="360" w:lineRule="auto"/>
              <w:ind w:leftChars="200"/>
              <w:rPr>
                <w:rFonts w:hint="default" w:ascii="Times New Roman" w:hAnsi="Times New Roman" w:eastAsia="宋体" w:cs="Times New Roman"/>
                <w:sz w:val="24"/>
                <w:highlight w:val="none"/>
              </w:rPr>
            </w:pPr>
            <w:r>
              <w:rPr>
                <w:rFonts w:hint="default" w:ascii="Times New Roman" w:hAnsi="Times New Roman" w:eastAsia="宋体" w:cs="Times New Roman"/>
                <w:b/>
                <w:bCs/>
                <w:sz w:val="24"/>
                <w:highlight w:val="none"/>
                <w:lang w:val="en-US" w:eastAsia="zh-CN"/>
              </w:rPr>
              <w:t>该过程产生G10挥发性有机废气。</w:t>
            </w:r>
          </w:p>
          <w:p w14:paraId="07163F08">
            <w:pPr>
              <w:numPr>
                <w:ilvl w:val="0"/>
                <w:numId w:val="36"/>
              </w:numPr>
              <w:adjustRightInd w:val="0"/>
              <w:spacing w:line="360" w:lineRule="auto"/>
              <w:ind w:left="0" w:leftChars="0"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护盒装配：使用热熔胶将以上固化的铁芯固定在铝镁合金的护盒内。</w:t>
            </w:r>
          </w:p>
          <w:p w14:paraId="51715128">
            <w:pPr>
              <w:numPr>
                <w:ilvl w:val="0"/>
                <w:numId w:val="0"/>
              </w:numPr>
              <w:adjustRightInd w:val="0"/>
              <w:spacing w:line="360" w:lineRule="auto"/>
              <w:ind w:leftChars="200"/>
              <w:rPr>
                <w:rFonts w:hint="default" w:ascii="Times New Roman" w:hAnsi="Times New Roman" w:eastAsia="宋体" w:cs="Times New Roman"/>
                <w:sz w:val="24"/>
                <w:highlight w:val="none"/>
              </w:rPr>
            </w:pPr>
            <w:r>
              <w:rPr>
                <w:rFonts w:hint="default" w:ascii="Times New Roman" w:hAnsi="Times New Roman" w:eastAsia="宋体" w:cs="Times New Roman"/>
                <w:b/>
                <w:bCs/>
                <w:sz w:val="24"/>
                <w:highlight w:val="none"/>
                <w:lang w:val="en-US" w:eastAsia="zh-CN"/>
              </w:rPr>
              <w:t>该过程产生G11挥发性有机废气。</w:t>
            </w:r>
          </w:p>
          <w:p w14:paraId="7B2D7F98">
            <w:pPr>
              <w:numPr>
                <w:ilvl w:val="0"/>
                <w:numId w:val="36"/>
              </w:numPr>
              <w:adjustRightInd w:val="0"/>
              <w:spacing w:line="360" w:lineRule="auto"/>
              <w:ind w:left="0" w:leftChars="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绕线：在护盒外缠绕一定匝数的利兹线或单股漆包线，线层间使用聚酰亚胺薄膜或绝缘纸绝缘。</w:t>
            </w:r>
          </w:p>
          <w:p w14:paraId="6259DBE8">
            <w:pPr>
              <w:numPr>
                <w:ilvl w:val="0"/>
                <w:numId w:val="36"/>
              </w:numPr>
              <w:adjustRightInd w:val="0"/>
              <w:spacing w:line="360" w:lineRule="auto"/>
              <w:ind w:left="0" w:leftChars="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测试：物理测试以上晶体材料的饱和磁感、高频损耗、初始磁导率、居里温度等参数，记录数据。</w:t>
            </w:r>
          </w:p>
          <w:p w14:paraId="1981D7A9">
            <w:pPr>
              <w:numPr>
                <w:ilvl w:val="0"/>
                <w:numId w:val="0"/>
              </w:numPr>
              <w:adjustRightInd w:val="0"/>
              <w:spacing w:line="360" w:lineRule="auto"/>
              <w:ind w:leftChars="200"/>
              <w:rPr>
                <w:rFonts w:hint="default" w:ascii="Times New Roman" w:hAnsi="Times New Roman" w:eastAsia="宋体" w:cs="Times New Roman"/>
                <w:sz w:val="24"/>
                <w:highlight w:val="none"/>
              </w:rPr>
            </w:pPr>
            <w:r>
              <w:rPr>
                <w:rFonts w:hint="default" w:ascii="Times New Roman" w:hAnsi="Times New Roman" w:eastAsia="宋体" w:cs="Times New Roman"/>
                <w:b/>
                <w:bCs/>
                <w:sz w:val="24"/>
                <w:highlight w:val="none"/>
                <w:lang w:val="en-US" w:eastAsia="zh-CN"/>
              </w:rPr>
              <w:t>该过程产生S10废树脂、S11废护盒、废铜线、废铁芯。</w:t>
            </w:r>
          </w:p>
          <w:p w14:paraId="367CB57F">
            <w:pPr>
              <w:adjustRightInd w:val="0"/>
              <w:spacing w:line="360" w:lineRule="auto"/>
              <w:ind w:firstLine="482" w:firstLineChars="200"/>
              <w:rPr>
                <w:rFonts w:hint="default" w:ascii="Times New Roman" w:hAnsi="Times New Roman" w:eastAsia="宋体" w:cs="Times New Roman"/>
                <w:b/>
                <w:bCs/>
                <w:sz w:val="24"/>
                <w:highlight w:val="none"/>
                <w:lang w:eastAsia="zh-CN"/>
              </w:rPr>
            </w:pPr>
            <w:r>
              <w:rPr>
                <w:rFonts w:hint="default" w:ascii="Times New Roman" w:hAnsi="Times New Roman" w:eastAsia="宋体" w:cs="Times New Roman"/>
                <w:b/>
                <w:bCs/>
                <w:sz w:val="24"/>
                <w:highlight w:val="none"/>
                <w:lang w:eastAsia="zh-CN"/>
              </w:rPr>
              <w:t>（</w:t>
            </w:r>
            <w:r>
              <w:rPr>
                <w:rFonts w:hint="default" w:ascii="Times New Roman" w:hAnsi="Times New Roman" w:eastAsia="宋体" w:cs="Times New Roman"/>
                <w:b/>
                <w:bCs/>
                <w:sz w:val="24"/>
                <w:highlight w:val="none"/>
                <w:lang w:val="en-US" w:eastAsia="zh-CN"/>
              </w:rPr>
              <w:t>4</w:t>
            </w:r>
            <w:r>
              <w:rPr>
                <w:rFonts w:hint="default" w:ascii="Times New Roman" w:hAnsi="Times New Roman" w:eastAsia="宋体" w:cs="Times New Roman"/>
                <w:b/>
                <w:bCs/>
                <w:sz w:val="24"/>
                <w:highlight w:val="none"/>
                <w:lang w:eastAsia="zh-CN"/>
              </w:rPr>
              <w:t>）仿真模拟实验</w:t>
            </w:r>
          </w:p>
          <w:p w14:paraId="65A42303">
            <w:pPr>
              <w:numPr>
                <w:ilvl w:val="0"/>
                <w:numId w:val="0"/>
              </w:numPr>
              <w:adjustRightInd w:val="0"/>
              <w:spacing w:line="360" w:lineRule="auto"/>
              <w:ind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仅通过计算机进行仿真模拟计算与分析</w:t>
            </w:r>
            <w:r>
              <w:rPr>
                <w:rFonts w:hint="default" w:ascii="Times New Roman" w:hAnsi="Times New Roman" w:eastAsia="宋体" w:cs="Times New Roman"/>
                <w:sz w:val="24"/>
                <w:lang w:eastAsia="zh-CN"/>
              </w:rPr>
              <w:t>。</w:t>
            </w:r>
          </w:p>
          <w:p w14:paraId="6F88FB56">
            <w:pPr>
              <w:numPr>
                <w:ilvl w:val="0"/>
                <w:numId w:val="0"/>
              </w:numPr>
              <w:adjustRightInd w:val="0"/>
              <w:snapToGrid w:val="0"/>
              <w:spacing w:line="360" w:lineRule="auto"/>
              <w:ind w:leftChars="200"/>
              <w:rPr>
                <w:rFonts w:hint="default" w:ascii="Times New Roman" w:hAnsi="Times New Roman" w:eastAsia="宋体" w:cs="Times New Roman"/>
                <w:b/>
                <w:sz w:val="24"/>
                <w:highlight w:val="none"/>
                <w:lang w:val="en-US" w:eastAsia="zh-CN"/>
              </w:rPr>
            </w:pPr>
            <w:r>
              <w:rPr>
                <w:rFonts w:hint="default" w:ascii="Times New Roman" w:hAnsi="Times New Roman" w:eastAsia="宋体" w:cs="Times New Roman"/>
                <w:b/>
                <w:sz w:val="24"/>
                <w:highlight w:val="none"/>
                <w:lang w:val="en-US" w:eastAsia="zh-CN"/>
              </w:rPr>
              <w:t>（5）其他公用工程工艺</w:t>
            </w:r>
          </w:p>
          <w:p w14:paraId="3B6C862B">
            <w:pPr>
              <w:numPr>
                <w:ilvl w:val="0"/>
                <w:numId w:val="0"/>
              </w:numPr>
              <w:adjustRightInd w:val="0"/>
              <w:snapToGrid w:val="0"/>
              <w:spacing w:line="360" w:lineRule="auto"/>
              <w:ind w:firstLine="480" w:firstLineChars="200"/>
              <w:rPr>
                <w:rFonts w:hint="default" w:ascii="Times New Roman" w:hAnsi="Times New Roman" w:eastAsia="宋体" w:cs="Times New Roman"/>
                <w:b w:val="0"/>
                <w:bCs/>
                <w:sz w:val="24"/>
                <w:highlight w:val="none"/>
                <w:lang w:val="en-US" w:eastAsia="zh-CN"/>
              </w:rPr>
            </w:pPr>
            <w:r>
              <w:rPr>
                <w:rFonts w:hint="default" w:ascii="Times New Roman" w:hAnsi="Times New Roman" w:eastAsia="宋体" w:cs="Times New Roman"/>
                <w:b w:val="0"/>
                <w:bCs/>
                <w:sz w:val="24"/>
                <w:highlight w:val="none"/>
                <w:lang w:val="en-US" w:eastAsia="zh-CN"/>
              </w:rPr>
              <w:t>冷水制冷：本项目部分设备需要冷水冷却，项目建设一台制冷机，制冷剂R401A，制冷机冷凝器安装在楼顶，采用空气降温方式。</w:t>
            </w:r>
          </w:p>
          <w:p w14:paraId="32A4AB45">
            <w:pPr>
              <w:numPr>
                <w:ilvl w:val="0"/>
                <w:numId w:val="0"/>
              </w:numPr>
              <w:adjustRightInd w:val="0"/>
              <w:snapToGrid w:val="0"/>
              <w:spacing w:line="360" w:lineRule="auto"/>
              <w:ind w:firstLine="480" w:firstLineChars="200"/>
              <w:rPr>
                <w:rFonts w:hint="default" w:ascii="Times New Roman" w:hAnsi="Times New Roman" w:eastAsia="宋体" w:cs="Times New Roman"/>
                <w:b w:val="0"/>
                <w:bCs/>
                <w:sz w:val="24"/>
                <w:highlight w:val="none"/>
                <w:lang w:val="en-US" w:eastAsia="zh-CN"/>
              </w:rPr>
            </w:pPr>
            <w:r>
              <w:rPr>
                <w:rFonts w:hint="default" w:ascii="Times New Roman" w:hAnsi="Times New Roman" w:eastAsia="宋体" w:cs="Times New Roman"/>
                <w:b w:val="0"/>
                <w:bCs/>
                <w:sz w:val="24"/>
                <w:highlight w:val="none"/>
                <w:lang w:val="en-US" w:eastAsia="zh-CN"/>
              </w:rPr>
              <w:t>空气干燥：本项目部分实验需要在干燥环境下进行，项目建设一台</w:t>
            </w:r>
            <w:r>
              <w:rPr>
                <w:rFonts w:hint="eastAsia" w:cs="Times New Roman"/>
                <w:b w:val="0"/>
                <w:bCs/>
                <w:sz w:val="24"/>
                <w:highlight w:val="none"/>
                <w:lang w:val="en-US" w:eastAsia="zh-CN"/>
              </w:rPr>
              <w:t>除湿</w:t>
            </w:r>
            <w:r>
              <w:rPr>
                <w:rFonts w:hint="default" w:ascii="Times New Roman" w:hAnsi="Times New Roman" w:eastAsia="宋体" w:cs="Times New Roman"/>
                <w:b w:val="0"/>
                <w:bCs/>
                <w:sz w:val="24"/>
                <w:highlight w:val="none"/>
                <w:lang w:val="en-US" w:eastAsia="zh-CN"/>
              </w:rPr>
              <w:t>机，使用分子筛吸附，分子筛装填量0.8吨，更换频次10年。</w:t>
            </w:r>
          </w:p>
          <w:p w14:paraId="7B1FFE5A">
            <w:pPr>
              <w:adjustRightInd w:val="0"/>
              <w:snapToGrid w:val="0"/>
              <w:spacing w:line="360" w:lineRule="auto"/>
              <w:ind w:firstLine="482" w:firstLineChars="200"/>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lang w:val="en-US" w:eastAsia="zh-CN"/>
              </w:rPr>
              <w:t>其他产污环节</w:t>
            </w:r>
            <w:r>
              <w:rPr>
                <w:rFonts w:hint="default" w:ascii="Times New Roman" w:hAnsi="Times New Roman" w:eastAsia="宋体" w:cs="Times New Roman"/>
                <w:b/>
                <w:sz w:val="24"/>
                <w:highlight w:val="none"/>
              </w:rPr>
              <w:t>：</w:t>
            </w:r>
          </w:p>
          <w:p w14:paraId="2DA45F0F">
            <w:pPr>
              <w:adjustRightInd w:val="0"/>
              <w:snapToGrid w:val="0"/>
              <w:spacing w:line="360" w:lineRule="auto"/>
              <w:ind w:firstLine="482"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
                <w:sz w:val="24"/>
                <w:highlight w:val="none"/>
              </w:rPr>
              <w:t>其它水污染物：</w:t>
            </w:r>
            <w:r>
              <w:rPr>
                <w:rFonts w:hint="default" w:ascii="Times New Roman" w:hAnsi="Times New Roman" w:eastAsia="宋体" w:cs="Times New Roman"/>
                <w:b w:val="0"/>
                <w:bCs/>
                <w:sz w:val="24"/>
                <w:highlight w:val="none"/>
              </w:rPr>
              <w:t>本项目纯水制备过程中会产生纯水制备废水</w:t>
            </w:r>
            <w:r>
              <w:rPr>
                <w:rFonts w:hint="default" w:ascii="Times New Roman" w:hAnsi="Times New Roman" w:eastAsia="宋体" w:cs="Times New Roman"/>
                <w:b w:val="0"/>
                <w:bCs/>
                <w:sz w:val="24"/>
                <w:highlight w:val="none"/>
                <w:lang w:val="en-US" w:eastAsia="zh-CN"/>
              </w:rPr>
              <w:t>W1</w:t>
            </w:r>
            <w:r>
              <w:rPr>
                <w:rFonts w:hint="default" w:ascii="Times New Roman" w:hAnsi="Times New Roman" w:eastAsia="宋体" w:cs="Times New Roman"/>
                <w:b w:val="0"/>
                <w:bCs/>
                <w:sz w:val="24"/>
                <w:highlight w:val="none"/>
              </w:rPr>
              <w:t>；</w:t>
            </w:r>
            <w:r>
              <w:rPr>
                <w:rFonts w:hint="default" w:ascii="Times New Roman" w:hAnsi="Times New Roman" w:eastAsia="宋体" w:cs="Times New Roman"/>
                <w:b w:val="0"/>
                <w:bCs/>
                <w:sz w:val="24"/>
                <w:highlight w:val="none"/>
                <w:lang w:val="en-US" w:eastAsia="zh-CN"/>
              </w:rPr>
              <w:t>设备清洗（电池材料实验外的其他实验）会产生W2清洗废水；超声波清洗会产生超声波清洗废水W3；</w:t>
            </w:r>
            <w:r>
              <w:rPr>
                <w:rFonts w:hint="default" w:ascii="Times New Roman" w:hAnsi="Times New Roman" w:eastAsia="宋体" w:cs="Times New Roman"/>
                <w:b w:val="0"/>
                <w:bCs/>
                <w:sz w:val="24"/>
                <w:highlight w:val="none"/>
              </w:rPr>
              <w:t>生活污水</w:t>
            </w:r>
            <w:r>
              <w:rPr>
                <w:rFonts w:hint="default" w:ascii="Times New Roman" w:hAnsi="Times New Roman" w:eastAsia="宋体" w:cs="Times New Roman"/>
                <w:b w:val="0"/>
                <w:bCs/>
                <w:sz w:val="24"/>
                <w:highlight w:val="none"/>
                <w:lang w:val="en-US" w:eastAsia="zh-CN"/>
              </w:rPr>
              <w:t>W4</w:t>
            </w:r>
            <w:r>
              <w:rPr>
                <w:rFonts w:hint="default" w:ascii="Times New Roman" w:hAnsi="Times New Roman" w:eastAsia="宋体" w:cs="Times New Roman"/>
                <w:b w:val="0"/>
                <w:bCs/>
                <w:sz w:val="24"/>
                <w:highlight w:val="none"/>
              </w:rPr>
              <w:t>。</w:t>
            </w:r>
          </w:p>
          <w:p w14:paraId="15DF7D59">
            <w:pPr>
              <w:adjustRightInd w:val="0"/>
              <w:snapToGrid w:val="0"/>
              <w:spacing w:line="360" w:lineRule="auto"/>
              <w:ind w:firstLine="482" w:firstLineChars="200"/>
              <w:rPr>
                <w:rFonts w:hint="default" w:ascii="Times New Roman" w:hAnsi="Times New Roman" w:eastAsia="宋体" w:cs="Times New Roman"/>
                <w:b w:val="0"/>
                <w:bCs w:val="0"/>
                <w:sz w:val="24"/>
                <w:highlight w:val="none"/>
              </w:rPr>
            </w:pPr>
            <w:r>
              <w:rPr>
                <w:rFonts w:hint="default" w:ascii="Times New Roman" w:hAnsi="Times New Roman" w:eastAsia="宋体" w:cs="Times New Roman"/>
                <w:b/>
                <w:bCs/>
                <w:sz w:val="24"/>
                <w:highlight w:val="none"/>
              </w:rPr>
              <w:t>其它固体废物：</w:t>
            </w:r>
            <w:r>
              <w:rPr>
                <w:rFonts w:hint="default" w:ascii="Times New Roman" w:hAnsi="Times New Roman" w:eastAsia="宋体" w:cs="Times New Roman"/>
                <w:b w:val="0"/>
                <w:bCs w:val="0"/>
                <w:sz w:val="24"/>
                <w:highlight w:val="none"/>
              </w:rPr>
              <w:t>新风系统采用过滤器过滤，会产生废滤芯</w:t>
            </w:r>
            <w:r>
              <w:rPr>
                <w:rFonts w:hint="default" w:ascii="Times New Roman" w:hAnsi="Times New Roman" w:eastAsia="宋体" w:cs="Times New Roman"/>
                <w:b w:val="0"/>
                <w:bCs w:val="0"/>
                <w:sz w:val="24"/>
                <w:highlight w:val="none"/>
                <w:lang w:val="en-US" w:eastAsia="zh-CN"/>
              </w:rPr>
              <w:t>S12</w:t>
            </w:r>
            <w:r>
              <w:rPr>
                <w:rFonts w:hint="default" w:ascii="Times New Roman" w:hAnsi="Times New Roman" w:eastAsia="宋体" w:cs="Times New Roman"/>
                <w:b w:val="0"/>
                <w:bCs w:val="0"/>
                <w:sz w:val="24"/>
                <w:highlight w:val="none"/>
              </w:rPr>
              <w:t>；纯水制备过程中会产生废反渗透膜</w:t>
            </w:r>
            <w:r>
              <w:rPr>
                <w:rFonts w:hint="default" w:ascii="Times New Roman" w:hAnsi="Times New Roman" w:eastAsia="宋体" w:cs="Times New Roman"/>
                <w:b w:val="0"/>
                <w:bCs w:val="0"/>
                <w:sz w:val="24"/>
                <w:highlight w:val="none"/>
                <w:lang w:val="en-US" w:eastAsia="zh-CN"/>
              </w:rPr>
              <w:t>S13</w:t>
            </w:r>
            <w:r>
              <w:rPr>
                <w:rFonts w:hint="default" w:ascii="Times New Roman" w:hAnsi="Times New Roman" w:eastAsia="宋体" w:cs="Times New Roman"/>
                <w:b w:val="0"/>
                <w:bCs w:val="0"/>
                <w:sz w:val="24"/>
                <w:highlight w:val="none"/>
              </w:rPr>
              <w:t>；废气治理设施运行过程中会产生废活性炭</w:t>
            </w:r>
            <w:r>
              <w:rPr>
                <w:rFonts w:hint="default" w:ascii="Times New Roman" w:hAnsi="Times New Roman" w:eastAsia="宋体" w:cs="Times New Roman"/>
                <w:b w:val="0"/>
                <w:bCs w:val="0"/>
                <w:sz w:val="24"/>
                <w:highlight w:val="none"/>
                <w:lang w:val="en-US" w:eastAsia="zh-CN"/>
              </w:rPr>
              <w:t>S14、喷淋废水S15</w:t>
            </w:r>
            <w:r>
              <w:rPr>
                <w:rFonts w:hint="default" w:ascii="Times New Roman" w:hAnsi="Times New Roman" w:eastAsia="宋体" w:cs="Times New Roman"/>
                <w:b w:val="0"/>
                <w:bCs w:val="0"/>
                <w:sz w:val="24"/>
                <w:highlight w:val="none"/>
              </w:rPr>
              <w:t>；</w:t>
            </w:r>
            <w:r>
              <w:rPr>
                <w:rFonts w:hint="default" w:ascii="Times New Roman" w:hAnsi="Times New Roman" w:eastAsia="宋体" w:cs="Times New Roman"/>
                <w:b w:val="0"/>
                <w:bCs w:val="0"/>
                <w:sz w:val="24"/>
                <w:highlight w:val="none"/>
                <w:lang w:val="en-US" w:eastAsia="zh-CN"/>
              </w:rPr>
              <w:t>化学品使用后会产生危险废物废包装物S16；原辅料包装会产生不沾染化学试剂的废包装物S17；空压机、压缩机等设备维护会产生废润滑油S18、废油桶S19、</w:t>
            </w:r>
            <w:r>
              <w:rPr>
                <w:rFonts w:hint="default" w:ascii="Times New Roman" w:hAnsi="Times New Roman" w:eastAsia="宋体" w:cs="Times New Roman"/>
                <w:b w:val="0"/>
                <w:bCs w:val="0"/>
                <w:sz w:val="24"/>
                <w:highlight w:val="none"/>
              </w:rPr>
              <w:t>员工生活会产生生活垃圾</w:t>
            </w:r>
            <w:r>
              <w:rPr>
                <w:rFonts w:hint="default" w:ascii="Times New Roman" w:hAnsi="Times New Roman" w:eastAsia="宋体" w:cs="Times New Roman"/>
                <w:b w:val="0"/>
                <w:bCs w:val="0"/>
                <w:sz w:val="24"/>
                <w:highlight w:val="none"/>
                <w:lang w:val="en-US" w:eastAsia="zh-CN"/>
              </w:rPr>
              <w:t>S20、干燥机运行会产生废分子筛S21</w:t>
            </w:r>
            <w:r>
              <w:rPr>
                <w:rFonts w:hint="default" w:ascii="Times New Roman" w:hAnsi="Times New Roman" w:eastAsia="宋体" w:cs="Times New Roman"/>
                <w:b w:val="0"/>
                <w:bCs w:val="0"/>
                <w:sz w:val="24"/>
                <w:highlight w:val="none"/>
              </w:rPr>
              <w:t>。</w:t>
            </w:r>
          </w:p>
          <w:p w14:paraId="3E98459C">
            <w:pPr>
              <w:adjustRightInd w:val="0"/>
              <w:snapToGrid w:val="0"/>
              <w:spacing w:line="360" w:lineRule="auto"/>
              <w:ind w:firstLine="482" w:firstLineChars="200"/>
              <w:rPr>
                <w:rFonts w:hint="default" w:ascii="Times New Roman" w:hAnsi="Times New Roman" w:eastAsia="宋体" w:cs="Times New Roman"/>
                <w:b w:val="0"/>
                <w:bCs w:val="0"/>
                <w:sz w:val="24"/>
                <w:highlight w:val="none"/>
                <w:lang w:val="en-US" w:eastAsia="zh-CN"/>
              </w:rPr>
            </w:pPr>
            <w:r>
              <w:rPr>
                <w:rFonts w:hint="default" w:ascii="Times New Roman" w:hAnsi="Times New Roman" w:eastAsia="宋体" w:cs="Times New Roman"/>
                <w:b/>
                <w:bCs/>
                <w:sz w:val="24"/>
                <w:highlight w:val="none"/>
                <w:lang w:val="en-US" w:eastAsia="zh-CN"/>
              </w:rPr>
              <w:t>噪声：</w:t>
            </w:r>
            <w:r>
              <w:rPr>
                <w:rFonts w:hint="default" w:ascii="Times New Roman" w:hAnsi="Times New Roman" w:eastAsia="宋体" w:cs="Times New Roman"/>
                <w:b w:val="0"/>
                <w:bCs w:val="0"/>
                <w:sz w:val="24"/>
                <w:highlight w:val="none"/>
                <w:lang w:val="en-US" w:eastAsia="zh-CN"/>
              </w:rPr>
              <w:t>本项目公用工程、实验设备、环保设施运行过会产生噪声。</w:t>
            </w:r>
          </w:p>
          <w:p w14:paraId="39D869F8">
            <w:pPr>
              <w:spacing w:line="360" w:lineRule="auto"/>
              <w:rPr>
                <w:rFonts w:hint="default" w:ascii="Times New Roman" w:hAnsi="Times New Roman" w:eastAsia="宋体" w:cs="Times New Roman"/>
                <w:b/>
                <w:sz w:val="24"/>
                <w:highlight w:val="none"/>
              </w:rPr>
            </w:pPr>
            <w:r>
              <w:rPr>
                <w:rFonts w:hint="default" w:ascii="Times New Roman" w:hAnsi="Times New Roman" w:eastAsia="宋体" w:cs="Times New Roman"/>
                <w:b/>
                <w:sz w:val="36"/>
                <w:szCs w:val="36"/>
                <w:highlight w:val="none"/>
              </w:rPr>
              <w:br w:type="page"/>
            </w:r>
            <w:r>
              <w:rPr>
                <w:rFonts w:hint="default" w:ascii="Times New Roman" w:hAnsi="Times New Roman" w:eastAsia="宋体" w:cs="Times New Roman"/>
                <w:b/>
                <w:sz w:val="24"/>
                <w:highlight w:val="none"/>
              </w:rPr>
              <w:t>主要污染工序：</w:t>
            </w:r>
          </w:p>
          <w:p w14:paraId="3E661022">
            <w:pPr>
              <w:adjustRightInd w:val="0"/>
              <w:spacing w:line="360" w:lineRule="auto"/>
              <w:ind w:firstLine="480" w:firstLineChars="200"/>
              <w:rPr>
                <w:rFonts w:hint="default" w:ascii="Times New Roman" w:hAnsi="Times New Roman" w:eastAsia="宋体" w:cs="Times New Roman"/>
                <w:sz w:val="24"/>
                <w:highlight w:val="none"/>
                <w:lang w:val="zh-CN"/>
              </w:rPr>
            </w:pPr>
            <w:r>
              <w:rPr>
                <w:rFonts w:hint="default" w:ascii="Times New Roman" w:hAnsi="Times New Roman" w:eastAsia="宋体" w:cs="Times New Roman"/>
                <w:sz w:val="24"/>
                <w:highlight w:val="none"/>
                <w:lang w:val="zh-CN"/>
              </w:rPr>
              <w:t>根据本项目的性质，运营期的主要污染源及污染因子识别见下表。</w:t>
            </w:r>
          </w:p>
          <w:p w14:paraId="6C85B54D">
            <w:pPr>
              <w:numPr>
                <w:ilvl w:val="0"/>
                <w:numId w:val="23"/>
              </w:numPr>
              <w:adjustRightInd w:val="0"/>
              <w:snapToGrid w:val="0"/>
              <w:spacing w:line="360" w:lineRule="auto"/>
              <w:jc w:val="center"/>
              <w:rPr>
                <w:rFonts w:hint="default" w:ascii="Times New Roman" w:hAnsi="Times New Roman" w:eastAsia="宋体" w:cs="Times New Roman"/>
                <w:b/>
                <w:sz w:val="24"/>
                <w:highlight w:val="none"/>
                <w:lang w:val="zh-CN"/>
              </w:rPr>
            </w:pPr>
            <w:r>
              <w:rPr>
                <w:rFonts w:hint="default" w:ascii="Times New Roman" w:hAnsi="Times New Roman" w:eastAsia="宋体" w:cs="Times New Roman"/>
                <w:b/>
                <w:sz w:val="24"/>
                <w:highlight w:val="none"/>
                <w:lang w:val="zh-CN"/>
              </w:rPr>
              <w:t>主要污染源及污染因子识别表</w:t>
            </w:r>
          </w:p>
          <w:tbl>
            <w:tblPr>
              <w:tblStyle w:val="17"/>
              <w:tblW w:w="7816"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134" w:type="dxa"/>
                <w:bottom w:w="0" w:type="dxa"/>
                <w:right w:w="1701" w:type="dxa"/>
              </w:tblCellMar>
            </w:tblPr>
            <w:tblGrid>
              <w:gridCol w:w="907"/>
              <w:gridCol w:w="933"/>
              <w:gridCol w:w="1800"/>
              <w:gridCol w:w="1793"/>
              <w:gridCol w:w="2383"/>
            </w:tblGrid>
            <w:tr w14:paraId="3D70633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406" w:hRule="atLeast"/>
                <w:jc w:val="center"/>
              </w:trPr>
              <w:tc>
                <w:tcPr>
                  <w:tcW w:w="907" w:type="dxa"/>
                  <w:tcBorders>
                    <w:tl2br w:val="nil"/>
                    <w:tr2bl w:val="nil"/>
                  </w:tcBorders>
                  <w:tcMar>
                    <w:top w:w="0" w:type="dxa"/>
                    <w:left w:w="113" w:type="dxa"/>
                    <w:bottom w:w="0" w:type="dxa"/>
                    <w:right w:w="113" w:type="dxa"/>
                  </w:tcMar>
                  <w:vAlign w:val="center"/>
                </w:tcPr>
                <w:p w14:paraId="608939B7">
                  <w:pPr>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lang w:val="zh-CN"/>
                    </w:rPr>
                    <w:t>污染物类别</w:t>
                  </w:r>
                </w:p>
              </w:tc>
              <w:tc>
                <w:tcPr>
                  <w:tcW w:w="2733" w:type="dxa"/>
                  <w:gridSpan w:val="2"/>
                  <w:tcBorders>
                    <w:tl2br w:val="nil"/>
                    <w:tr2bl w:val="nil"/>
                  </w:tcBorders>
                  <w:tcMar>
                    <w:top w:w="0" w:type="dxa"/>
                    <w:left w:w="113" w:type="dxa"/>
                    <w:bottom w:w="0" w:type="dxa"/>
                    <w:right w:w="113" w:type="dxa"/>
                  </w:tcMar>
                  <w:vAlign w:val="center"/>
                </w:tcPr>
                <w:p w14:paraId="0B780D4E">
                  <w:pPr>
                    <w:adjustRightInd w:val="0"/>
                    <w:snapToGrid w:val="0"/>
                    <w:jc w:val="center"/>
                    <w:rPr>
                      <w:rFonts w:hint="default" w:ascii="Times New Roman" w:hAnsi="Times New Roman" w:eastAsia="宋体" w:cs="Times New Roman"/>
                      <w:b/>
                      <w:bCs/>
                      <w:szCs w:val="21"/>
                      <w:highlight w:val="none"/>
                      <w:lang w:eastAsia="zh-CN"/>
                    </w:rPr>
                  </w:pPr>
                  <w:r>
                    <w:rPr>
                      <w:rFonts w:hint="default" w:ascii="Times New Roman" w:hAnsi="Times New Roman" w:eastAsia="宋体" w:cs="Times New Roman"/>
                      <w:b/>
                      <w:bCs/>
                      <w:szCs w:val="21"/>
                      <w:highlight w:val="none"/>
                      <w:lang w:val="en-US" w:eastAsia="zh-CN"/>
                    </w:rPr>
                    <w:t>排污节点</w:t>
                  </w:r>
                </w:p>
              </w:tc>
              <w:tc>
                <w:tcPr>
                  <w:tcW w:w="1793" w:type="dxa"/>
                  <w:tcBorders>
                    <w:tl2br w:val="nil"/>
                    <w:tr2bl w:val="nil"/>
                  </w:tcBorders>
                  <w:tcMar>
                    <w:top w:w="0" w:type="dxa"/>
                    <w:left w:w="113" w:type="dxa"/>
                    <w:bottom w:w="0" w:type="dxa"/>
                    <w:right w:w="113" w:type="dxa"/>
                  </w:tcMar>
                  <w:vAlign w:val="center"/>
                </w:tcPr>
                <w:p w14:paraId="17A32B6D">
                  <w:pPr>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污染物</w:t>
                  </w:r>
                </w:p>
              </w:tc>
              <w:tc>
                <w:tcPr>
                  <w:tcW w:w="2383" w:type="dxa"/>
                  <w:tcBorders>
                    <w:tl2br w:val="nil"/>
                    <w:tr2bl w:val="nil"/>
                  </w:tcBorders>
                  <w:tcMar>
                    <w:top w:w="0" w:type="dxa"/>
                    <w:left w:w="113" w:type="dxa"/>
                    <w:bottom w:w="0" w:type="dxa"/>
                    <w:right w:w="113" w:type="dxa"/>
                  </w:tcMar>
                  <w:vAlign w:val="center"/>
                </w:tcPr>
                <w:p w14:paraId="69C5B003">
                  <w:pPr>
                    <w:adjustRightInd w:val="0"/>
                    <w:snapToGrid w:val="0"/>
                    <w:jc w:val="center"/>
                    <w:rPr>
                      <w:rFonts w:hint="default" w:ascii="Times New Roman" w:hAnsi="Times New Roman" w:eastAsia="宋体" w:cs="Times New Roman"/>
                      <w:b/>
                      <w:bCs/>
                      <w:szCs w:val="21"/>
                      <w:highlight w:val="none"/>
                      <w:lang w:val="zh-CN" w:eastAsia="zh-CN"/>
                    </w:rPr>
                  </w:pPr>
                  <w:r>
                    <w:rPr>
                      <w:rFonts w:hint="default" w:ascii="Times New Roman" w:hAnsi="Times New Roman" w:eastAsia="宋体" w:cs="Times New Roman"/>
                      <w:b/>
                      <w:bCs/>
                      <w:szCs w:val="21"/>
                      <w:highlight w:val="none"/>
                      <w:lang w:val="en-US" w:eastAsia="zh-CN"/>
                    </w:rPr>
                    <w:t>治理措施</w:t>
                  </w:r>
                </w:p>
              </w:tc>
            </w:tr>
            <w:tr w14:paraId="0B3E86D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361" w:hRule="atLeast"/>
                <w:jc w:val="center"/>
              </w:trPr>
              <w:tc>
                <w:tcPr>
                  <w:tcW w:w="907" w:type="dxa"/>
                  <w:vMerge w:val="restart"/>
                  <w:tcBorders>
                    <w:tl2br w:val="nil"/>
                    <w:tr2bl w:val="nil"/>
                  </w:tcBorders>
                  <w:tcMar>
                    <w:top w:w="0" w:type="dxa"/>
                    <w:left w:w="113" w:type="dxa"/>
                    <w:bottom w:w="0" w:type="dxa"/>
                    <w:right w:w="113" w:type="dxa"/>
                  </w:tcMar>
                  <w:vAlign w:val="center"/>
                </w:tcPr>
                <w:p w14:paraId="1B9A9178">
                  <w:pPr>
                    <w:adjustRightInd w:val="0"/>
                    <w:snapToGrid w:val="0"/>
                    <w:jc w:val="center"/>
                    <w:rPr>
                      <w:rFonts w:hint="default" w:ascii="Times New Roman" w:hAnsi="Times New Roman" w:eastAsia="宋体" w:cs="Times New Roman"/>
                      <w:szCs w:val="21"/>
                      <w:highlight w:val="none"/>
                      <w:lang w:val="zh-CN" w:eastAsia="zh-CN"/>
                    </w:rPr>
                  </w:pPr>
                  <w:r>
                    <w:rPr>
                      <w:rFonts w:hint="default" w:ascii="Times New Roman" w:hAnsi="Times New Roman" w:eastAsia="宋体" w:cs="Times New Roman"/>
                      <w:szCs w:val="21"/>
                      <w:highlight w:val="none"/>
                      <w:lang w:val="en-US" w:eastAsia="zh-CN"/>
                    </w:rPr>
                    <w:t>废气</w:t>
                  </w:r>
                </w:p>
              </w:tc>
              <w:tc>
                <w:tcPr>
                  <w:tcW w:w="933" w:type="dxa"/>
                  <w:vMerge w:val="restart"/>
                  <w:tcBorders>
                    <w:tl2br w:val="nil"/>
                    <w:tr2bl w:val="nil"/>
                  </w:tcBorders>
                  <w:tcMar>
                    <w:top w:w="0" w:type="dxa"/>
                    <w:left w:w="113" w:type="dxa"/>
                    <w:bottom w:w="0" w:type="dxa"/>
                    <w:right w:w="113" w:type="dxa"/>
                  </w:tcMar>
                  <w:vAlign w:val="center"/>
                </w:tcPr>
                <w:p w14:paraId="13CB5853">
                  <w:pPr>
                    <w:keepNext w:val="0"/>
                    <w:keepLines w:val="0"/>
                    <w:widowControl/>
                    <w:suppressLineNumbers w:val="0"/>
                    <w:jc w:val="left"/>
                    <w:rPr>
                      <w:rFonts w:hint="default" w:ascii="Times New Roman" w:hAnsi="Times New Roman" w:eastAsia="宋体" w:cs="Times New Roman"/>
                      <w:color w:val="000000"/>
                      <w:kern w:val="0"/>
                      <w:sz w:val="21"/>
                      <w:szCs w:val="21"/>
                      <w:lang w:val="zh-CN" w:eastAsia="zh-CN" w:bidi="ar"/>
                    </w:rPr>
                  </w:pPr>
                  <w:r>
                    <w:rPr>
                      <w:rFonts w:hint="default" w:ascii="Times New Roman" w:hAnsi="Times New Roman" w:eastAsia="宋体" w:cs="Times New Roman"/>
                      <w:color w:val="000000"/>
                      <w:kern w:val="0"/>
                      <w:sz w:val="21"/>
                      <w:szCs w:val="21"/>
                      <w:lang w:val="en-US" w:eastAsia="zh-CN" w:bidi="ar"/>
                    </w:rPr>
                    <w:t>金属材料实验</w:t>
                  </w:r>
                </w:p>
              </w:tc>
              <w:tc>
                <w:tcPr>
                  <w:tcW w:w="1800" w:type="dxa"/>
                  <w:tcBorders>
                    <w:tl2br w:val="nil"/>
                    <w:tr2bl w:val="nil"/>
                  </w:tcBorders>
                  <w:tcMar>
                    <w:top w:w="0" w:type="dxa"/>
                    <w:left w:w="113" w:type="dxa"/>
                    <w:bottom w:w="0" w:type="dxa"/>
                    <w:right w:w="113" w:type="dxa"/>
                  </w:tcMar>
                  <w:vAlign w:val="center"/>
                </w:tcPr>
                <w:p w14:paraId="26B9E5A8">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G1熔炼废气</w:t>
                  </w:r>
                </w:p>
              </w:tc>
              <w:tc>
                <w:tcPr>
                  <w:tcW w:w="1793" w:type="dxa"/>
                  <w:tcBorders>
                    <w:tl2br w:val="nil"/>
                    <w:tr2bl w:val="nil"/>
                  </w:tcBorders>
                  <w:shd w:val="clear" w:color="auto" w:fill="auto"/>
                  <w:tcMar>
                    <w:top w:w="0" w:type="dxa"/>
                    <w:left w:w="113" w:type="dxa"/>
                    <w:bottom w:w="0" w:type="dxa"/>
                    <w:right w:w="113" w:type="dxa"/>
                  </w:tcMar>
                  <w:vAlign w:val="center"/>
                </w:tcPr>
                <w:p w14:paraId="230E903A">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颗粒物</w:t>
                  </w:r>
                </w:p>
              </w:tc>
              <w:tc>
                <w:tcPr>
                  <w:tcW w:w="2383" w:type="dxa"/>
                  <w:vMerge w:val="restart"/>
                  <w:tcBorders>
                    <w:tl2br w:val="nil"/>
                    <w:tr2bl w:val="nil"/>
                  </w:tcBorders>
                  <w:shd w:val="clear" w:color="auto" w:fill="auto"/>
                  <w:tcMar>
                    <w:top w:w="0" w:type="dxa"/>
                    <w:left w:w="113" w:type="dxa"/>
                    <w:bottom w:w="0" w:type="dxa"/>
                    <w:right w:w="113" w:type="dxa"/>
                  </w:tcMar>
                  <w:vAlign w:val="center"/>
                </w:tcPr>
                <w:p w14:paraId="5F7DAAB5">
                  <w:pPr>
                    <w:rPr>
                      <w:rFonts w:hint="default" w:ascii="Times New Roman" w:hAnsi="Times New Roman" w:eastAsia="宋体" w:cs="Times New Roman"/>
                      <w:color w:val="000000"/>
                      <w:kern w:val="0"/>
                      <w:sz w:val="21"/>
                      <w:szCs w:val="21"/>
                      <w:lang w:val="en-US" w:eastAsia="zh-CN" w:bidi="ar"/>
                    </w:rPr>
                  </w:pPr>
                </w:p>
                <w:p w14:paraId="7DF32D63">
                  <w:pPr>
                    <w:rPr>
                      <w:rFonts w:hint="default" w:ascii="Times New Roman" w:hAnsi="Times New Roman" w:eastAsia="宋体" w:cs="Times New Roman"/>
                      <w:color w:val="000000"/>
                      <w:kern w:val="0"/>
                      <w:sz w:val="21"/>
                      <w:szCs w:val="21"/>
                      <w:lang w:val="en-US" w:eastAsia="zh-CN" w:bidi="ar"/>
                    </w:rPr>
                  </w:pPr>
                </w:p>
                <w:p w14:paraId="10502C8C">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沉淀反应过程的含氨含氟废气、酸解及检测废气经集气罩收集后进喷淋塔吸收处理后经21.5m高排气筒排放；熔炼、混合粉碎产生的含尘废气经集气罩收集后进袋式除尘器过滤后经21.5m高排气筒排放；其他实验过程及危化品间、危废暂存间废气经干式过滤器过滤后经21.5m高排气筒排放；</w:t>
                  </w:r>
                  <w:r>
                    <w:rPr>
                      <w:rFonts w:hint="default" w:ascii="Times New Roman" w:hAnsi="Times New Roman" w:eastAsia="宋体" w:cs="Times New Roman"/>
                      <w:color w:val="000000"/>
                      <w:kern w:val="0"/>
                      <w:sz w:val="21"/>
                      <w:szCs w:val="21"/>
                      <w:lang w:val="en-US" w:eastAsia="zh-CN" w:bidi="ar"/>
                    </w:rPr>
                    <w:t>喷雾干燥废气经自带的旋风+布袋收集后无组织排放。</w:t>
                  </w:r>
                </w:p>
              </w:tc>
            </w:tr>
            <w:tr w14:paraId="314C9EE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361" w:hRule="atLeast"/>
                <w:jc w:val="center"/>
              </w:trPr>
              <w:tc>
                <w:tcPr>
                  <w:tcW w:w="907" w:type="dxa"/>
                  <w:vMerge w:val="continue"/>
                  <w:tcBorders>
                    <w:tl2br w:val="nil"/>
                    <w:tr2bl w:val="nil"/>
                  </w:tcBorders>
                  <w:tcMar>
                    <w:top w:w="0" w:type="dxa"/>
                    <w:left w:w="113" w:type="dxa"/>
                    <w:bottom w:w="0" w:type="dxa"/>
                    <w:right w:w="113" w:type="dxa"/>
                  </w:tcMar>
                  <w:vAlign w:val="center"/>
                </w:tcPr>
                <w:p w14:paraId="03915FDD">
                  <w:pPr>
                    <w:adjustRightInd w:val="0"/>
                    <w:snapToGrid w:val="0"/>
                    <w:jc w:val="center"/>
                    <w:rPr>
                      <w:rFonts w:hint="default" w:ascii="Times New Roman" w:hAnsi="Times New Roman" w:eastAsia="宋体" w:cs="Times New Roman"/>
                      <w:szCs w:val="21"/>
                      <w:highlight w:val="none"/>
                      <w:lang w:val="en-US" w:eastAsia="zh-CN"/>
                    </w:rPr>
                  </w:pPr>
                </w:p>
              </w:tc>
              <w:tc>
                <w:tcPr>
                  <w:tcW w:w="933" w:type="dxa"/>
                  <w:vMerge w:val="continue"/>
                  <w:tcBorders>
                    <w:tl2br w:val="nil"/>
                    <w:tr2bl w:val="nil"/>
                  </w:tcBorders>
                  <w:tcMar>
                    <w:top w:w="0" w:type="dxa"/>
                    <w:left w:w="113" w:type="dxa"/>
                    <w:bottom w:w="0" w:type="dxa"/>
                    <w:right w:w="113" w:type="dxa"/>
                  </w:tcMar>
                  <w:vAlign w:val="center"/>
                </w:tcPr>
                <w:p w14:paraId="16962B98">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c>
                <w:tcPr>
                  <w:tcW w:w="1800" w:type="dxa"/>
                  <w:tcBorders>
                    <w:tl2br w:val="nil"/>
                    <w:tr2bl w:val="nil"/>
                  </w:tcBorders>
                  <w:tcMar>
                    <w:top w:w="0" w:type="dxa"/>
                    <w:left w:w="113" w:type="dxa"/>
                    <w:bottom w:w="0" w:type="dxa"/>
                    <w:right w:w="113" w:type="dxa"/>
                  </w:tcMar>
                  <w:vAlign w:val="center"/>
                </w:tcPr>
                <w:p w14:paraId="0CBE3715">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G2挥发性有机废气（擦拭、晶界腐蚀）</w:t>
                  </w:r>
                </w:p>
              </w:tc>
              <w:tc>
                <w:tcPr>
                  <w:tcW w:w="1793" w:type="dxa"/>
                  <w:tcBorders>
                    <w:tl2br w:val="nil"/>
                    <w:tr2bl w:val="nil"/>
                  </w:tcBorders>
                  <w:shd w:val="clear" w:color="auto" w:fill="auto"/>
                  <w:tcMar>
                    <w:top w:w="0" w:type="dxa"/>
                    <w:left w:w="113" w:type="dxa"/>
                    <w:bottom w:w="0" w:type="dxa"/>
                    <w:right w:w="113" w:type="dxa"/>
                  </w:tcMar>
                  <w:vAlign w:val="center"/>
                </w:tcPr>
                <w:p w14:paraId="46C6A50E">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非甲烷总烃、氮氧化物</w:t>
                  </w:r>
                </w:p>
              </w:tc>
              <w:tc>
                <w:tcPr>
                  <w:tcW w:w="2383" w:type="dxa"/>
                  <w:vMerge w:val="continue"/>
                  <w:tcBorders>
                    <w:tl2br w:val="nil"/>
                    <w:tr2bl w:val="nil"/>
                  </w:tcBorders>
                  <w:shd w:val="clear" w:color="auto" w:fill="auto"/>
                  <w:tcMar>
                    <w:top w:w="0" w:type="dxa"/>
                    <w:left w:w="113" w:type="dxa"/>
                    <w:bottom w:w="0" w:type="dxa"/>
                    <w:right w:w="113" w:type="dxa"/>
                  </w:tcMar>
                  <w:vAlign w:val="center"/>
                </w:tcPr>
                <w:p w14:paraId="76FC015B">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1FC94AD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361" w:hRule="atLeast"/>
                <w:jc w:val="center"/>
              </w:trPr>
              <w:tc>
                <w:tcPr>
                  <w:tcW w:w="907" w:type="dxa"/>
                  <w:vMerge w:val="continue"/>
                  <w:tcBorders>
                    <w:tl2br w:val="nil"/>
                    <w:tr2bl w:val="nil"/>
                  </w:tcBorders>
                  <w:tcMar>
                    <w:top w:w="0" w:type="dxa"/>
                    <w:left w:w="113" w:type="dxa"/>
                    <w:bottom w:w="0" w:type="dxa"/>
                    <w:right w:w="113" w:type="dxa"/>
                  </w:tcMar>
                  <w:vAlign w:val="center"/>
                </w:tcPr>
                <w:p w14:paraId="66D74BB2">
                  <w:pPr>
                    <w:adjustRightInd w:val="0"/>
                    <w:snapToGrid w:val="0"/>
                    <w:jc w:val="center"/>
                    <w:rPr>
                      <w:rFonts w:hint="default" w:ascii="Times New Roman" w:hAnsi="Times New Roman" w:eastAsia="宋体" w:cs="Times New Roman"/>
                      <w:szCs w:val="21"/>
                      <w:highlight w:val="none"/>
                      <w:lang w:val="en-US" w:eastAsia="zh-CN"/>
                    </w:rPr>
                  </w:pPr>
                </w:p>
              </w:tc>
              <w:tc>
                <w:tcPr>
                  <w:tcW w:w="933" w:type="dxa"/>
                  <w:vMerge w:val="continue"/>
                  <w:tcBorders>
                    <w:tl2br w:val="nil"/>
                    <w:tr2bl w:val="nil"/>
                  </w:tcBorders>
                  <w:tcMar>
                    <w:top w:w="0" w:type="dxa"/>
                    <w:left w:w="113" w:type="dxa"/>
                    <w:bottom w:w="0" w:type="dxa"/>
                    <w:right w:w="113" w:type="dxa"/>
                  </w:tcMar>
                  <w:vAlign w:val="center"/>
                </w:tcPr>
                <w:p w14:paraId="3CF4EE6B">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c>
                <w:tcPr>
                  <w:tcW w:w="1800" w:type="dxa"/>
                  <w:tcBorders>
                    <w:tl2br w:val="nil"/>
                    <w:tr2bl w:val="nil"/>
                  </w:tcBorders>
                  <w:tcMar>
                    <w:top w:w="0" w:type="dxa"/>
                    <w:left w:w="113" w:type="dxa"/>
                    <w:bottom w:w="0" w:type="dxa"/>
                    <w:right w:w="113" w:type="dxa"/>
                  </w:tcMar>
                  <w:vAlign w:val="center"/>
                </w:tcPr>
                <w:p w14:paraId="70785C2B">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G3挥发性无机废气（酸解）</w:t>
                  </w:r>
                </w:p>
              </w:tc>
              <w:tc>
                <w:tcPr>
                  <w:tcW w:w="1793" w:type="dxa"/>
                  <w:tcBorders>
                    <w:tl2br w:val="nil"/>
                    <w:tr2bl w:val="nil"/>
                  </w:tcBorders>
                  <w:shd w:val="clear" w:color="auto" w:fill="auto"/>
                  <w:tcMar>
                    <w:top w:w="0" w:type="dxa"/>
                    <w:left w:w="113" w:type="dxa"/>
                    <w:bottom w:w="0" w:type="dxa"/>
                    <w:right w:w="113" w:type="dxa"/>
                  </w:tcMar>
                  <w:vAlign w:val="center"/>
                </w:tcPr>
                <w:p w14:paraId="2D56ACF8">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氯化氢、氮氧化物</w:t>
                  </w:r>
                </w:p>
              </w:tc>
              <w:tc>
                <w:tcPr>
                  <w:tcW w:w="2383" w:type="dxa"/>
                  <w:vMerge w:val="continue"/>
                  <w:tcBorders>
                    <w:tl2br w:val="nil"/>
                    <w:tr2bl w:val="nil"/>
                  </w:tcBorders>
                  <w:shd w:val="clear" w:color="auto" w:fill="auto"/>
                  <w:tcMar>
                    <w:top w:w="0" w:type="dxa"/>
                    <w:left w:w="113" w:type="dxa"/>
                    <w:bottom w:w="0" w:type="dxa"/>
                    <w:right w:w="113" w:type="dxa"/>
                  </w:tcMar>
                  <w:vAlign w:val="center"/>
                </w:tcPr>
                <w:p w14:paraId="7A375870">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330B00D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193" w:hRule="atLeast"/>
                <w:jc w:val="center"/>
              </w:trPr>
              <w:tc>
                <w:tcPr>
                  <w:tcW w:w="907" w:type="dxa"/>
                  <w:vMerge w:val="continue"/>
                  <w:tcBorders>
                    <w:tl2br w:val="nil"/>
                    <w:tr2bl w:val="nil"/>
                  </w:tcBorders>
                  <w:tcMar>
                    <w:top w:w="0" w:type="dxa"/>
                    <w:left w:w="113" w:type="dxa"/>
                    <w:bottom w:w="0" w:type="dxa"/>
                    <w:right w:w="113" w:type="dxa"/>
                  </w:tcMar>
                  <w:vAlign w:val="center"/>
                </w:tcPr>
                <w:p w14:paraId="20DB0F98">
                  <w:pPr>
                    <w:adjustRightInd w:val="0"/>
                    <w:snapToGrid w:val="0"/>
                    <w:jc w:val="center"/>
                    <w:rPr>
                      <w:rFonts w:hint="default" w:ascii="Times New Roman" w:hAnsi="Times New Roman" w:eastAsia="宋体" w:cs="Times New Roman"/>
                      <w:szCs w:val="21"/>
                      <w:highlight w:val="none"/>
                      <w:lang w:val="en-US" w:eastAsia="zh-CN"/>
                    </w:rPr>
                  </w:pPr>
                </w:p>
              </w:tc>
              <w:tc>
                <w:tcPr>
                  <w:tcW w:w="933" w:type="dxa"/>
                  <w:vMerge w:val="continue"/>
                  <w:tcBorders>
                    <w:tl2br w:val="nil"/>
                    <w:tr2bl w:val="nil"/>
                  </w:tcBorders>
                  <w:tcMar>
                    <w:top w:w="0" w:type="dxa"/>
                    <w:left w:w="113" w:type="dxa"/>
                    <w:bottom w:w="0" w:type="dxa"/>
                    <w:right w:w="113" w:type="dxa"/>
                  </w:tcMar>
                  <w:vAlign w:val="center"/>
                </w:tcPr>
                <w:p w14:paraId="62967488">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c>
                <w:tcPr>
                  <w:tcW w:w="1800" w:type="dxa"/>
                  <w:tcBorders>
                    <w:tl2br w:val="nil"/>
                    <w:tr2bl w:val="nil"/>
                  </w:tcBorders>
                  <w:tcMar>
                    <w:top w:w="0" w:type="dxa"/>
                    <w:left w:w="113" w:type="dxa"/>
                    <w:bottom w:w="0" w:type="dxa"/>
                    <w:right w:w="113" w:type="dxa"/>
                  </w:tcMar>
                  <w:vAlign w:val="center"/>
                </w:tcPr>
                <w:p w14:paraId="1E7AC94A">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G4检测废气</w:t>
                  </w:r>
                </w:p>
              </w:tc>
              <w:tc>
                <w:tcPr>
                  <w:tcW w:w="1793" w:type="dxa"/>
                  <w:tcBorders>
                    <w:tl2br w:val="nil"/>
                    <w:tr2bl w:val="nil"/>
                  </w:tcBorders>
                  <w:shd w:val="clear" w:color="auto" w:fill="auto"/>
                  <w:tcMar>
                    <w:top w:w="0" w:type="dxa"/>
                    <w:left w:w="113" w:type="dxa"/>
                    <w:bottom w:w="0" w:type="dxa"/>
                    <w:right w:w="113" w:type="dxa"/>
                  </w:tcMar>
                  <w:vAlign w:val="center"/>
                </w:tcPr>
                <w:p w14:paraId="01F16F05">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氯化氢</w:t>
                  </w:r>
                </w:p>
              </w:tc>
              <w:tc>
                <w:tcPr>
                  <w:tcW w:w="2383" w:type="dxa"/>
                  <w:vMerge w:val="continue"/>
                  <w:tcBorders>
                    <w:tl2br w:val="nil"/>
                    <w:tr2bl w:val="nil"/>
                  </w:tcBorders>
                  <w:shd w:val="clear" w:color="auto" w:fill="auto"/>
                  <w:tcMar>
                    <w:top w:w="0" w:type="dxa"/>
                    <w:left w:w="113" w:type="dxa"/>
                    <w:bottom w:w="0" w:type="dxa"/>
                    <w:right w:w="113" w:type="dxa"/>
                  </w:tcMar>
                  <w:vAlign w:val="center"/>
                </w:tcPr>
                <w:p w14:paraId="7A6AECD4">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720D7C5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301" w:hRule="atLeast"/>
                <w:jc w:val="center"/>
              </w:trPr>
              <w:tc>
                <w:tcPr>
                  <w:tcW w:w="907" w:type="dxa"/>
                  <w:vMerge w:val="continue"/>
                  <w:tcBorders>
                    <w:tl2br w:val="nil"/>
                    <w:tr2bl w:val="nil"/>
                  </w:tcBorders>
                  <w:tcMar>
                    <w:top w:w="0" w:type="dxa"/>
                    <w:left w:w="113" w:type="dxa"/>
                    <w:bottom w:w="0" w:type="dxa"/>
                    <w:right w:w="113" w:type="dxa"/>
                  </w:tcMar>
                  <w:vAlign w:val="center"/>
                </w:tcPr>
                <w:p w14:paraId="51BAB25D">
                  <w:pPr>
                    <w:adjustRightInd w:val="0"/>
                    <w:snapToGrid w:val="0"/>
                    <w:jc w:val="center"/>
                    <w:rPr>
                      <w:rFonts w:hint="default" w:ascii="Times New Roman" w:hAnsi="Times New Roman" w:eastAsia="宋体" w:cs="Times New Roman"/>
                      <w:szCs w:val="21"/>
                      <w:highlight w:val="none"/>
                      <w:lang w:val="en-US" w:eastAsia="zh-CN"/>
                    </w:rPr>
                  </w:pPr>
                </w:p>
              </w:tc>
              <w:tc>
                <w:tcPr>
                  <w:tcW w:w="933" w:type="dxa"/>
                  <w:vMerge w:val="restart"/>
                  <w:tcBorders>
                    <w:tl2br w:val="nil"/>
                    <w:tr2bl w:val="nil"/>
                  </w:tcBorders>
                  <w:tcMar>
                    <w:top w:w="0" w:type="dxa"/>
                    <w:left w:w="113" w:type="dxa"/>
                    <w:bottom w:w="0" w:type="dxa"/>
                    <w:right w:w="113" w:type="dxa"/>
                  </w:tcMar>
                  <w:vAlign w:val="center"/>
                </w:tcPr>
                <w:p w14:paraId="0B8CBAEE">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电池材料实验</w:t>
                  </w:r>
                </w:p>
              </w:tc>
              <w:tc>
                <w:tcPr>
                  <w:tcW w:w="1800" w:type="dxa"/>
                  <w:tcBorders>
                    <w:tl2br w:val="nil"/>
                    <w:tr2bl w:val="nil"/>
                  </w:tcBorders>
                  <w:tcMar>
                    <w:top w:w="0" w:type="dxa"/>
                    <w:left w:w="113" w:type="dxa"/>
                    <w:bottom w:w="0" w:type="dxa"/>
                    <w:right w:w="113" w:type="dxa"/>
                  </w:tcMar>
                  <w:vAlign w:val="center"/>
                </w:tcPr>
                <w:p w14:paraId="23E17F2F">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G5无机含氨</w:t>
                  </w:r>
                  <w:r>
                    <w:rPr>
                      <w:rFonts w:hint="eastAsia" w:cs="Times New Roman"/>
                      <w:color w:val="000000"/>
                      <w:kern w:val="0"/>
                      <w:sz w:val="21"/>
                      <w:szCs w:val="21"/>
                      <w:lang w:val="en-US" w:eastAsia="zh-CN" w:bidi="ar"/>
                    </w:rPr>
                    <w:t>含氟</w:t>
                  </w:r>
                  <w:r>
                    <w:rPr>
                      <w:rFonts w:hint="default" w:ascii="Times New Roman" w:hAnsi="Times New Roman" w:eastAsia="宋体" w:cs="Times New Roman"/>
                      <w:color w:val="000000"/>
                      <w:kern w:val="0"/>
                      <w:sz w:val="21"/>
                      <w:szCs w:val="21"/>
                      <w:lang w:val="en-US" w:eastAsia="zh-CN" w:bidi="ar"/>
                    </w:rPr>
                    <w:t>废气（沉淀反应）</w:t>
                  </w:r>
                </w:p>
              </w:tc>
              <w:tc>
                <w:tcPr>
                  <w:tcW w:w="1793" w:type="dxa"/>
                  <w:tcBorders>
                    <w:tl2br w:val="nil"/>
                    <w:tr2bl w:val="nil"/>
                  </w:tcBorders>
                  <w:shd w:val="clear" w:color="auto" w:fill="auto"/>
                  <w:tcMar>
                    <w:top w:w="0" w:type="dxa"/>
                    <w:left w:w="113" w:type="dxa"/>
                    <w:bottom w:w="0" w:type="dxa"/>
                    <w:right w:w="113" w:type="dxa"/>
                  </w:tcMar>
                  <w:vAlign w:val="center"/>
                </w:tcPr>
                <w:p w14:paraId="237EAA41">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氨</w:t>
                  </w:r>
                  <w:r>
                    <w:rPr>
                      <w:rFonts w:hint="eastAsia" w:cs="Times New Roman"/>
                      <w:color w:val="000000"/>
                      <w:kern w:val="0"/>
                      <w:sz w:val="21"/>
                      <w:szCs w:val="21"/>
                      <w:lang w:val="en-US" w:eastAsia="zh-CN" w:bidi="ar"/>
                    </w:rPr>
                    <w:t>、氟化物（以F计）</w:t>
                  </w:r>
                </w:p>
              </w:tc>
              <w:tc>
                <w:tcPr>
                  <w:tcW w:w="2383" w:type="dxa"/>
                  <w:vMerge w:val="continue"/>
                  <w:tcBorders>
                    <w:tl2br w:val="nil"/>
                    <w:tr2bl w:val="nil"/>
                  </w:tcBorders>
                  <w:shd w:val="clear" w:color="auto" w:fill="auto"/>
                  <w:tcMar>
                    <w:top w:w="0" w:type="dxa"/>
                    <w:left w:w="113" w:type="dxa"/>
                    <w:bottom w:w="0" w:type="dxa"/>
                    <w:right w:w="113" w:type="dxa"/>
                  </w:tcMar>
                  <w:vAlign w:val="center"/>
                </w:tcPr>
                <w:p w14:paraId="42078301">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2CBA7F0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301" w:hRule="atLeast"/>
                <w:jc w:val="center"/>
              </w:trPr>
              <w:tc>
                <w:tcPr>
                  <w:tcW w:w="907" w:type="dxa"/>
                  <w:vMerge w:val="continue"/>
                  <w:tcBorders>
                    <w:tl2br w:val="nil"/>
                    <w:tr2bl w:val="nil"/>
                  </w:tcBorders>
                  <w:tcMar>
                    <w:top w:w="0" w:type="dxa"/>
                    <w:left w:w="113" w:type="dxa"/>
                    <w:bottom w:w="0" w:type="dxa"/>
                    <w:right w:w="113" w:type="dxa"/>
                  </w:tcMar>
                  <w:vAlign w:val="center"/>
                </w:tcPr>
                <w:p w14:paraId="164D214E">
                  <w:pPr>
                    <w:adjustRightInd w:val="0"/>
                    <w:snapToGrid w:val="0"/>
                    <w:jc w:val="center"/>
                    <w:rPr>
                      <w:rFonts w:hint="default" w:ascii="Times New Roman" w:hAnsi="Times New Roman" w:eastAsia="宋体" w:cs="Times New Roman"/>
                      <w:szCs w:val="21"/>
                      <w:highlight w:val="none"/>
                      <w:lang w:val="en-US" w:eastAsia="zh-CN"/>
                    </w:rPr>
                  </w:pPr>
                </w:p>
              </w:tc>
              <w:tc>
                <w:tcPr>
                  <w:tcW w:w="933" w:type="dxa"/>
                  <w:vMerge w:val="continue"/>
                  <w:tcBorders>
                    <w:tl2br w:val="nil"/>
                    <w:tr2bl w:val="nil"/>
                  </w:tcBorders>
                  <w:tcMar>
                    <w:top w:w="0" w:type="dxa"/>
                    <w:left w:w="113" w:type="dxa"/>
                    <w:bottom w:w="0" w:type="dxa"/>
                    <w:right w:w="113" w:type="dxa"/>
                  </w:tcMar>
                  <w:vAlign w:val="center"/>
                </w:tcPr>
                <w:p w14:paraId="6B3C9134">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c>
                <w:tcPr>
                  <w:tcW w:w="1800" w:type="dxa"/>
                  <w:tcBorders>
                    <w:tl2br w:val="nil"/>
                    <w:tr2bl w:val="nil"/>
                  </w:tcBorders>
                  <w:tcMar>
                    <w:top w:w="0" w:type="dxa"/>
                    <w:left w:w="113" w:type="dxa"/>
                    <w:bottom w:w="0" w:type="dxa"/>
                    <w:right w:w="113" w:type="dxa"/>
                  </w:tcMar>
                  <w:vAlign w:val="center"/>
                </w:tcPr>
                <w:p w14:paraId="3B589D05">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G6其他颗粒物（喷雾干燥）</w:t>
                  </w:r>
                </w:p>
              </w:tc>
              <w:tc>
                <w:tcPr>
                  <w:tcW w:w="1793" w:type="dxa"/>
                  <w:tcBorders>
                    <w:tl2br w:val="nil"/>
                    <w:tr2bl w:val="nil"/>
                  </w:tcBorders>
                  <w:shd w:val="clear" w:color="auto" w:fill="auto"/>
                  <w:tcMar>
                    <w:top w:w="0" w:type="dxa"/>
                    <w:left w:w="113" w:type="dxa"/>
                    <w:bottom w:w="0" w:type="dxa"/>
                    <w:right w:w="113" w:type="dxa"/>
                  </w:tcMar>
                  <w:vAlign w:val="center"/>
                </w:tcPr>
                <w:p w14:paraId="1857105B">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其他颗粒物</w:t>
                  </w:r>
                </w:p>
              </w:tc>
              <w:tc>
                <w:tcPr>
                  <w:tcW w:w="2383" w:type="dxa"/>
                  <w:vMerge w:val="continue"/>
                  <w:tcBorders>
                    <w:tl2br w:val="nil"/>
                    <w:tr2bl w:val="nil"/>
                  </w:tcBorders>
                  <w:shd w:val="clear" w:color="auto" w:fill="auto"/>
                  <w:tcMar>
                    <w:top w:w="0" w:type="dxa"/>
                    <w:left w:w="113" w:type="dxa"/>
                    <w:bottom w:w="0" w:type="dxa"/>
                    <w:right w:w="113" w:type="dxa"/>
                  </w:tcMar>
                  <w:vAlign w:val="center"/>
                </w:tcPr>
                <w:p w14:paraId="37DEF98A">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29C0AD6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301" w:hRule="atLeast"/>
                <w:jc w:val="center"/>
              </w:trPr>
              <w:tc>
                <w:tcPr>
                  <w:tcW w:w="907" w:type="dxa"/>
                  <w:vMerge w:val="continue"/>
                  <w:tcBorders>
                    <w:tl2br w:val="nil"/>
                    <w:tr2bl w:val="nil"/>
                  </w:tcBorders>
                  <w:tcMar>
                    <w:top w:w="0" w:type="dxa"/>
                    <w:left w:w="113" w:type="dxa"/>
                    <w:bottom w:w="0" w:type="dxa"/>
                    <w:right w:w="113" w:type="dxa"/>
                  </w:tcMar>
                  <w:vAlign w:val="center"/>
                </w:tcPr>
                <w:p w14:paraId="2A058BCF">
                  <w:pPr>
                    <w:adjustRightInd w:val="0"/>
                    <w:snapToGrid w:val="0"/>
                    <w:jc w:val="center"/>
                    <w:rPr>
                      <w:rFonts w:hint="default" w:ascii="Times New Roman" w:hAnsi="Times New Roman" w:eastAsia="宋体" w:cs="Times New Roman"/>
                      <w:szCs w:val="21"/>
                      <w:highlight w:val="none"/>
                      <w:lang w:val="en-US" w:eastAsia="zh-CN"/>
                    </w:rPr>
                  </w:pPr>
                </w:p>
              </w:tc>
              <w:tc>
                <w:tcPr>
                  <w:tcW w:w="933" w:type="dxa"/>
                  <w:vMerge w:val="continue"/>
                  <w:tcBorders>
                    <w:tl2br w:val="nil"/>
                    <w:tr2bl w:val="nil"/>
                  </w:tcBorders>
                  <w:tcMar>
                    <w:top w:w="0" w:type="dxa"/>
                    <w:left w:w="113" w:type="dxa"/>
                    <w:bottom w:w="0" w:type="dxa"/>
                    <w:right w:w="113" w:type="dxa"/>
                  </w:tcMar>
                  <w:vAlign w:val="center"/>
                </w:tcPr>
                <w:p w14:paraId="4B4303DD">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c>
                <w:tcPr>
                  <w:tcW w:w="1800" w:type="dxa"/>
                  <w:tcBorders>
                    <w:tl2br w:val="nil"/>
                    <w:tr2bl w:val="nil"/>
                  </w:tcBorders>
                  <w:tcMar>
                    <w:top w:w="0" w:type="dxa"/>
                    <w:left w:w="113" w:type="dxa"/>
                    <w:bottom w:w="0" w:type="dxa"/>
                    <w:right w:w="113" w:type="dxa"/>
                  </w:tcMar>
                  <w:vAlign w:val="center"/>
                </w:tcPr>
                <w:p w14:paraId="7886639E">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G7其他颗粒物、镍及其化合物</w:t>
                  </w:r>
                </w:p>
                <w:p w14:paraId="6DE05DA5">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（锂源、前驱体混合）</w:t>
                  </w:r>
                </w:p>
              </w:tc>
              <w:tc>
                <w:tcPr>
                  <w:tcW w:w="1793" w:type="dxa"/>
                  <w:tcBorders>
                    <w:tl2br w:val="nil"/>
                    <w:tr2bl w:val="nil"/>
                  </w:tcBorders>
                  <w:shd w:val="clear" w:color="auto" w:fill="auto"/>
                  <w:tcMar>
                    <w:top w:w="0" w:type="dxa"/>
                    <w:left w:w="113" w:type="dxa"/>
                    <w:bottom w:w="0" w:type="dxa"/>
                    <w:right w:w="113" w:type="dxa"/>
                  </w:tcMar>
                  <w:vAlign w:val="center"/>
                </w:tcPr>
                <w:p w14:paraId="6F7C0250">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其他颗粒物、镍及其化合物</w:t>
                  </w:r>
                </w:p>
                <w:p w14:paraId="0D4EFB28">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c>
                <w:tcPr>
                  <w:tcW w:w="2383" w:type="dxa"/>
                  <w:vMerge w:val="continue"/>
                  <w:tcBorders>
                    <w:tl2br w:val="nil"/>
                    <w:tr2bl w:val="nil"/>
                  </w:tcBorders>
                  <w:shd w:val="clear" w:color="auto" w:fill="auto"/>
                  <w:tcMar>
                    <w:top w:w="0" w:type="dxa"/>
                    <w:left w:w="113" w:type="dxa"/>
                    <w:bottom w:w="0" w:type="dxa"/>
                    <w:right w:w="113" w:type="dxa"/>
                  </w:tcMar>
                  <w:vAlign w:val="center"/>
                </w:tcPr>
                <w:p w14:paraId="5AAA20F9">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0A0E26D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301" w:hRule="atLeast"/>
                <w:jc w:val="center"/>
              </w:trPr>
              <w:tc>
                <w:tcPr>
                  <w:tcW w:w="907" w:type="dxa"/>
                  <w:vMerge w:val="continue"/>
                  <w:tcBorders>
                    <w:tl2br w:val="nil"/>
                    <w:tr2bl w:val="nil"/>
                  </w:tcBorders>
                  <w:tcMar>
                    <w:top w:w="0" w:type="dxa"/>
                    <w:left w:w="113" w:type="dxa"/>
                    <w:bottom w:w="0" w:type="dxa"/>
                    <w:right w:w="113" w:type="dxa"/>
                  </w:tcMar>
                  <w:vAlign w:val="center"/>
                </w:tcPr>
                <w:p w14:paraId="6CDE3DE1">
                  <w:pPr>
                    <w:adjustRightInd w:val="0"/>
                    <w:snapToGrid w:val="0"/>
                    <w:jc w:val="center"/>
                    <w:rPr>
                      <w:rFonts w:hint="default" w:ascii="Times New Roman" w:hAnsi="Times New Roman" w:eastAsia="宋体" w:cs="Times New Roman"/>
                      <w:szCs w:val="21"/>
                      <w:highlight w:val="none"/>
                      <w:lang w:val="en-US" w:eastAsia="zh-CN"/>
                    </w:rPr>
                  </w:pPr>
                </w:p>
              </w:tc>
              <w:tc>
                <w:tcPr>
                  <w:tcW w:w="933" w:type="dxa"/>
                  <w:vMerge w:val="continue"/>
                  <w:tcBorders>
                    <w:tl2br w:val="nil"/>
                    <w:tr2bl w:val="nil"/>
                  </w:tcBorders>
                  <w:tcMar>
                    <w:top w:w="0" w:type="dxa"/>
                    <w:left w:w="113" w:type="dxa"/>
                    <w:bottom w:w="0" w:type="dxa"/>
                    <w:right w:w="113" w:type="dxa"/>
                  </w:tcMar>
                  <w:vAlign w:val="center"/>
                </w:tcPr>
                <w:p w14:paraId="450121BD">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c>
                <w:tcPr>
                  <w:tcW w:w="1800" w:type="dxa"/>
                  <w:tcBorders>
                    <w:tl2br w:val="nil"/>
                    <w:tr2bl w:val="nil"/>
                  </w:tcBorders>
                  <w:tcMar>
                    <w:top w:w="0" w:type="dxa"/>
                    <w:left w:w="113" w:type="dxa"/>
                    <w:bottom w:w="0" w:type="dxa"/>
                    <w:right w:w="113" w:type="dxa"/>
                  </w:tcMar>
                  <w:vAlign w:val="center"/>
                </w:tcPr>
                <w:p w14:paraId="0159EB03">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G8其他颗粒物、镍及其化合物</w:t>
                  </w:r>
                </w:p>
                <w:p w14:paraId="69EE8650">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（破碎）</w:t>
                  </w:r>
                </w:p>
              </w:tc>
              <w:tc>
                <w:tcPr>
                  <w:tcW w:w="1793" w:type="dxa"/>
                  <w:tcBorders>
                    <w:tl2br w:val="nil"/>
                    <w:tr2bl w:val="nil"/>
                  </w:tcBorders>
                  <w:shd w:val="clear" w:color="auto" w:fill="auto"/>
                  <w:tcMar>
                    <w:top w:w="0" w:type="dxa"/>
                    <w:left w:w="113" w:type="dxa"/>
                    <w:bottom w:w="0" w:type="dxa"/>
                    <w:right w:w="113" w:type="dxa"/>
                  </w:tcMar>
                  <w:vAlign w:val="center"/>
                </w:tcPr>
                <w:p w14:paraId="3EECE25D">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其他颗粒物、镍及其化合物</w:t>
                  </w:r>
                </w:p>
              </w:tc>
              <w:tc>
                <w:tcPr>
                  <w:tcW w:w="2383" w:type="dxa"/>
                  <w:vMerge w:val="continue"/>
                  <w:tcBorders>
                    <w:tl2br w:val="nil"/>
                    <w:tr2bl w:val="nil"/>
                  </w:tcBorders>
                  <w:shd w:val="clear" w:color="auto" w:fill="auto"/>
                  <w:tcMar>
                    <w:top w:w="0" w:type="dxa"/>
                    <w:left w:w="113" w:type="dxa"/>
                    <w:bottom w:w="0" w:type="dxa"/>
                    <w:right w:w="113" w:type="dxa"/>
                  </w:tcMar>
                  <w:vAlign w:val="center"/>
                </w:tcPr>
                <w:p w14:paraId="19D09F12">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2483081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253" w:hRule="atLeast"/>
                <w:jc w:val="center"/>
              </w:trPr>
              <w:tc>
                <w:tcPr>
                  <w:tcW w:w="907" w:type="dxa"/>
                  <w:vMerge w:val="continue"/>
                  <w:tcBorders>
                    <w:tl2br w:val="nil"/>
                    <w:tr2bl w:val="nil"/>
                  </w:tcBorders>
                  <w:tcMar>
                    <w:top w:w="0" w:type="dxa"/>
                    <w:left w:w="113" w:type="dxa"/>
                    <w:bottom w:w="0" w:type="dxa"/>
                    <w:right w:w="113" w:type="dxa"/>
                  </w:tcMar>
                  <w:vAlign w:val="center"/>
                </w:tcPr>
                <w:p w14:paraId="655DAA3C">
                  <w:pPr>
                    <w:adjustRightInd w:val="0"/>
                    <w:snapToGrid w:val="0"/>
                    <w:jc w:val="center"/>
                    <w:rPr>
                      <w:rFonts w:hint="default" w:ascii="Times New Roman" w:hAnsi="Times New Roman" w:eastAsia="宋体" w:cs="Times New Roman"/>
                      <w:szCs w:val="21"/>
                      <w:highlight w:val="none"/>
                      <w:lang w:val="en-US" w:eastAsia="zh-CN"/>
                    </w:rPr>
                  </w:pPr>
                </w:p>
              </w:tc>
              <w:tc>
                <w:tcPr>
                  <w:tcW w:w="933" w:type="dxa"/>
                  <w:vMerge w:val="continue"/>
                  <w:tcBorders>
                    <w:tl2br w:val="nil"/>
                    <w:tr2bl w:val="nil"/>
                  </w:tcBorders>
                  <w:tcMar>
                    <w:top w:w="0" w:type="dxa"/>
                    <w:left w:w="113" w:type="dxa"/>
                    <w:bottom w:w="0" w:type="dxa"/>
                    <w:right w:w="113" w:type="dxa"/>
                  </w:tcMar>
                  <w:vAlign w:val="center"/>
                </w:tcPr>
                <w:p w14:paraId="38EAD600">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c>
                <w:tcPr>
                  <w:tcW w:w="1800" w:type="dxa"/>
                  <w:tcBorders>
                    <w:tl2br w:val="nil"/>
                    <w:tr2bl w:val="nil"/>
                  </w:tcBorders>
                  <w:tcMar>
                    <w:top w:w="0" w:type="dxa"/>
                    <w:left w:w="113" w:type="dxa"/>
                    <w:bottom w:w="0" w:type="dxa"/>
                    <w:right w:w="113" w:type="dxa"/>
                  </w:tcMar>
                  <w:vAlign w:val="center"/>
                </w:tcPr>
                <w:p w14:paraId="556DC314">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G9挥发性有机废气（电池组装）</w:t>
                  </w:r>
                </w:p>
              </w:tc>
              <w:tc>
                <w:tcPr>
                  <w:tcW w:w="1793" w:type="dxa"/>
                  <w:tcBorders>
                    <w:tl2br w:val="nil"/>
                    <w:tr2bl w:val="nil"/>
                  </w:tcBorders>
                  <w:shd w:val="clear" w:color="auto" w:fill="auto"/>
                  <w:tcMar>
                    <w:top w:w="0" w:type="dxa"/>
                    <w:left w:w="113" w:type="dxa"/>
                    <w:bottom w:w="0" w:type="dxa"/>
                    <w:right w:w="113" w:type="dxa"/>
                  </w:tcMar>
                  <w:vAlign w:val="center"/>
                </w:tcPr>
                <w:p w14:paraId="1CCC6E1A">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非甲烷总烃</w:t>
                  </w:r>
                </w:p>
              </w:tc>
              <w:tc>
                <w:tcPr>
                  <w:tcW w:w="2383" w:type="dxa"/>
                  <w:vMerge w:val="continue"/>
                  <w:tcBorders>
                    <w:tl2br w:val="nil"/>
                    <w:tr2bl w:val="nil"/>
                  </w:tcBorders>
                  <w:shd w:val="clear" w:color="auto" w:fill="auto"/>
                  <w:tcMar>
                    <w:top w:w="0" w:type="dxa"/>
                    <w:left w:w="113" w:type="dxa"/>
                    <w:bottom w:w="0" w:type="dxa"/>
                    <w:right w:w="113" w:type="dxa"/>
                  </w:tcMar>
                  <w:vAlign w:val="center"/>
                </w:tcPr>
                <w:p w14:paraId="7D7502B5">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4A35DED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295" w:hRule="atLeast"/>
                <w:jc w:val="center"/>
              </w:trPr>
              <w:tc>
                <w:tcPr>
                  <w:tcW w:w="907" w:type="dxa"/>
                  <w:vMerge w:val="continue"/>
                  <w:tcBorders>
                    <w:tl2br w:val="nil"/>
                    <w:tr2bl w:val="nil"/>
                  </w:tcBorders>
                  <w:tcMar>
                    <w:top w:w="0" w:type="dxa"/>
                    <w:left w:w="113" w:type="dxa"/>
                    <w:bottom w:w="0" w:type="dxa"/>
                    <w:right w:w="113" w:type="dxa"/>
                  </w:tcMar>
                  <w:vAlign w:val="center"/>
                </w:tcPr>
                <w:p w14:paraId="7D4900AD">
                  <w:pPr>
                    <w:adjustRightInd w:val="0"/>
                    <w:snapToGrid w:val="0"/>
                    <w:jc w:val="center"/>
                    <w:rPr>
                      <w:rFonts w:hint="default" w:ascii="Times New Roman" w:hAnsi="Times New Roman" w:eastAsia="宋体" w:cs="Times New Roman"/>
                      <w:szCs w:val="21"/>
                      <w:highlight w:val="none"/>
                      <w:lang w:val="en-US" w:eastAsia="zh-CN"/>
                    </w:rPr>
                  </w:pPr>
                </w:p>
              </w:tc>
              <w:tc>
                <w:tcPr>
                  <w:tcW w:w="933" w:type="dxa"/>
                  <w:vMerge w:val="restart"/>
                  <w:tcBorders>
                    <w:tl2br w:val="nil"/>
                    <w:tr2bl w:val="nil"/>
                  </w:tcBorders>
                  <w:tcMar>
                    <w:top w:w="0" w:type="dxa"/>
                    <w:left w:w="113" w:type="dxa"/>
                    <w:bottom w:w="0" w:type="dxa"/>
                    <w:right w:w="113" w:type="dxa"/>
                  </w:tcMar>
                  <w:vAlign w:val="center"/>
                </w:tcPr>
                <w:p w14:paraId="5C4AEE08">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纳米晶材料实验</w:t>
                  </w:r>
                </w:p>
              </w:tc>
              <w:tc>
                <w:tcPr>
                  <w:tcW w:w="1800" w:type="dxa"/>
                  <w:tcBorders>
                    <w:tl2br w:val="nil"/>
                    <w:tr2bl w:val="nil"/>
                  </w:tcBorders>
                  <w:shd w:val="clear" w:color="auto" w:fill="auto"/>
                  <w:tcMar>
                    <w:top w:w="0" w:type="dxa"/>
                    <w:left w:w="113" w:type="dxa"/>
                    <w:bottom w:w="0" w:type="dxa"/>
                    <w:right w:w="113" w:type="dxa"/>
                  </w:tcMar>
                  <w:vAlign w:val="center"/>
                </w:tcPr>
                <w:p w14:paraId="77446AAD">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G10挥发性有机废气（浸树脂）</w:t>
                  </w:r>
                </w:p>
              </w:tc>
              <w:tc>
                <w:tcPr>
                  <w:tcW w:w="1793" w:type="dxa"/>
                  <w:tcBorders>
                    <w:tl2br w:val="nil"/>
                    <w:tr2bl w:val="nil"/>
                  </w:tcBorders>
                  <w:shd w:val="clear" w:color="auto" w:fill="auto"/>
                  <w:tcMar>
                    <w:top w:w="0" w:type="dxa"/>
                    <w:left w:w="113" w:type="dxa"/>
                    <w:bottom w:w="0" w:type="dxa"/>
                    <w:right w:w="113" w:type="dxa"/>
                  </w:tcMar>
                  <w:vAlign w:val="center"/>
                </w:tcPr>
                <w:p w14:paraId="7BC3DD52">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非甲烷总烃</w:t>
                  </w:r>
                </w:p>
              </w:tc>
              <w:tc>
                <w:tcPr>
                  <w:tcW w:w="2383" w:type="dxa"/>
                  <w:vMerge w:val="continue"/>
                  <w:tcBorders>
                    <w:tl2br w:val="nil"/>
                    <w:tr2bl w:val="nil"/>
                  </w:tcBorders>
                  <w:shd w:val="clear" w:color="auto" w:fill="auto"/>
                  <w:tcMar>
                    <w:top w:w="0" w:type="dxa"/>
                    <w:left w:w="113" w:type="dxa"/>
                    <w:bottom w:w="0" w:type="dxa"/>
                    <w:right w:w="113" w:type="dxa"/>
                  </w:tcMar>
                  <w:vAlign w:val="center"/>
                </w:tcPr>
                <w:p w14:paraId="2BA65336">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007B585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259" w:hRule="atLeast"/>
                <w:jc w:val="center"/>
              </w:trPr>
              <w:tc>
                <w:tcPr>
                  <w:tcW w:w="907" w:type="dxa"/>
                  <w:vMerge w:val="continue"/>
                  <w:tcBorders>
                    <w:tl2br w:val="nil"/>
                    <w:tr2bl w:val="nil"/>
                  </w:tcBorders>
                  <w:tcMar>
                    <w:top w:w="0" w:type="dxa"/>
                    <w:left w:w="113" w:type="dxa"/>
                    <w:bottom w:w="0" w:type="dxa"/>
                    <w:right w:w="113" w:type="dxa"/>
                  </w:tcMar>
                  <w:vAlign w:val="center"/>
                </w:tcPr>
                <w:p w14:paraId="1A6A0AF2">
                  <w:pPr>
                    <w:adjustRightInd w:val="0"/>
                    <w:snapToGrid w:val="0"/>
                    <w:jc w:val="center"/>
                    <w:rPr>
                      <w:rFonts w:hint="default" w:ascii="Times New Roman" w:hAnsi="Times New Roman" w:eastAsia="宋体" w:cs="Times New Roman"/>
                      <w:szCs w:val="21"/>
                      <w:highlight w:val="none"/>
                      <w:lang w:val="en-US" w:eastAsia="zh-CN"/>
                    </w:rPr>
                  </w:pPr>
                </w:p>
              </w:tc>
              <w:tc>
                <w:tcPr>
                  <w:tcW w:w="933" w:type="dxa"/>
                  <w:vMerge w:val="continue"/>
                  <w:tcBorders>
                    <w:tl2br w:val="nil"/>
                    <w:tr2bl w:val="nil"/>
                  </w:tcBorders>
                  <w:tcMar>
                    <w:top w:w="0" w:type="dxa"/>
                    <w:left w:w="113" w:type="dxa"/>
                    <w:bottom w:w="0" w:type="dxa"/>
                    <w:right w:w="113" w:type="dxa"/>
                  </w:tcMar>
                  <w:vAlign w:val="center"/>
                </w:tcPr>
                <w:p w14:paraId="7AEAB5C0">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c>
                <w:tcPr>
                  <w:tcW w:w="1800" w:type="dxa"/>
                  <w:tcBorders>
                    <w:tl2br w:val="nil"/>
                    <w:tr2bl w:val="nil"/>
                  </w:tcBorders>
                  <w:shd w:val="clear" w:color="auto" w:fill="auto"/>
                  <w:tcMar>
                    <w:top w:w="0" w:type="dxa"/>
                    <w:left w:w="113" w:type="dxa"/>
                    <w:bottom w:w="0" w:type="dxa"/>
                    <w:right w:w="113" w:type="dxa"/>
                  </w:tcMar>
                  <w:vAlign w:val="center"/>
                </w:tcPr>
                <w:p w14:paraId="2664DA1E">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G11挥发性有机废气（护盒装配）</w:t>
                  </w:r>
                </w:p>
              </w:tc>
              <w:tc>
                <w:tcPr>
                  <w:tcW w:w="1793" w:type="dxa"/>
                  <w:tcBorders>
                    <w:tl2br w:val="nil"/>
                    <w:tr2bl w:val="nil"/>
                  </w:tcBorders>
                  <w:shd w:val="clear" w:color="auto" w:fill="auto"/>
                  <w:tcMar>
                    <w:top w:w="0" w:type="dxa"/>
                    <w:left w:w="113" w:type="dxa"/>
                    <w:bottom w:w="0" w:type="dxa"/>
                    <w:right w:w="113" w:type="dxa"/>
                  </w:tcMar>
                  <w:vAlign w:val="center"/>
                </w:tcPr>
                <w:p w14:paraId="043E4AF1">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非甲烷总烃</w:t>
                  </w:r>
                </w:p>
              </w:tc>
              <w:tc>
                <w:tcPr>
                  <w:tcW w:w="2383" w:type="dxa"/>
                  <w:vMerge w:val="continue"/>
                  <w:tcBorders>
                    <w:tl2br w:val="nil"/>
                    <w:tr2bl w:val="nil"/>
                  </w:tcBorders>
                  <w:shd w:val="clear" w:color="auto" w:fill="auto"/>
                  <w:tcMar>
                    <w:top w:w="0" w:type="dxa"/>
                    <w:left w:w="113" w:type="dxa"/>
                    <w:bottom w:w="0" w:type="dxa"/>
                    <w:right w:w="113" w:type="dxa"/>
                  </w:tcMar>
                  <w:vAlign w:val="center"/>
                </w:tcPr>
                <w:p w14:paraId="2711EB9D">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7BA657D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519" w:hRule="atLeast"/>
                <w:jc w:val="center"/>
              </w:trPr>
              <w:tc>
                <w:tcPr>
                  <w:tcW w:w="907" w:type="dxa"/>
                  <w:vMerge w:val="restart"/>
                  <w:tcBorders>
                    <w:tl2br w:val="nil"/>
                    <w:tr2bl w:val="nil"/>
                  </w:tcBorders>
                  <w:tcMar>
                    <w:top w:w="0" w:type="dxa"/>
                    <w:left w:w="113" w:type="dxa"/>
                    <w:bottom w:w="0" w:type="dxa"/>
                    <w:right w:w="113" w:type="dxa"/>
                  </w:tcMar>
                  <w:vAlign w:val="center"/>
                </w:tcPr>
                <w:p w14:paraId="66DA2C16">
                  <w:pPr>
                    <w:adjustRightInd w:val="0"/>
                    <w:snapToGrid w:val="0"/>
                    <w:jc w:val="center"/>
                    <w:rPr>
                      <w:rFonts w:hint="default" w:ascii="Times New Roman" w:hAnsi="Times New Roman" w:eastAsia="宋体" w:cs="Times New Roman"/>
                      <w:szCs w:val="21"/>
                      <w:highlight w:val="none"/>
                      <w:lang w:val="zh-CN" w:eastAsia="zh-CN"/>
                    </w:rPr>
                  </w:pPr>
                  <w:r>
                    <w:rPr>
                      <w:rFonts w:hint="default" w:ascii="Times New Roman" w:hAnsi="Times New Roman" w:eastAsia="宋体" w:cs="Times New Roman"/>
                      <w:szCs w:val="21"/>
                      <w:highlight w:val="none"/>
                      <w:lang w:val="en-US" w:eastAsia="zh-CN"/>
                    </w:rPr>
                    <w:t>废水</w:t>
                  </w:r>
                </w:p>
              </w:tc>
              <w:tc>
                <w:tcPr>
                  <w:tcW w:w="2733" w:type="dxa"/>
                  <w:gridSpan w:val="2"/>
                  <w:tcBorders>
                    <w:tl2br w:val="nil"/>
                    <w:tr2bl w:val="nil"/>
                  </w:tcBorders>
                  <w:tcMar>
                    <w:top w:w="0" w:type="dxa"/>
                    <w:left w:w="113" w:type="dxa"/>
                    <w:bottom w:w="0" w:type="dxa"/>
                    <w:right w:w="113" w:type="dxa"/>
                  </w:tcMar>
                  <w:vAlign w:val="center"/>
                </w:tcPr>
                <w:p w14:paraId="5ADA43FF">
                  <w:pPr>
                    <w:adjustRightInd w:val="0"/>
                    <w:snapToGrid w:val="0"/>
                    <w:jc w:val="center"/>
                    <w:rPr>
                      <w:rFonts w:hint="default" w:ascii="Times New Roman" w:hAnsi="Times New Roman" w:eastAsia="宋体" w:cs="Times New Roman"/>
                      <w:szCs w:val="21"/>
                      <w:highlight w:val="none"/>
                      <w:lang w:val="zh-CN"/>
                    </w:rPr>
                  </w:pPr>
                  <w:r>
                    <w:rPr>
                      <w:rFonts w:hint="default" w:ascii="Times New Roman" w:hAnsi="Times New Roman" w:eastAsia="宋体" w:cs="Times New Roman"/>
                      <w:szCs w:val="21"/>
                      <w:highlight w:val="none"/>
                      <w:lang w:val="zh-CN"/>
                    </w:rPr>
                    <w:t>生活污水</w:t>
                  </w:r>
                </w:p>
              </w:tc>
              <w:tc>
                <w:tcPr>
                  <w:tcW w:w="1793" w:type="dxa"/>
                  <w:tcBorders>
                    <w:tl2br w:val="nil"/>
                    <w:tr2bl w:val="nil"/>
                  </w:tcBorders>
                  <w:tcMar>
                    <w:top w:w="0" w:type="dxa"/>
                    <w:left w:w="113" w:type="dxa"/>
                    <w:bottom w:w="0" w:type="dxa"/>
                    <w:right w:w="113" w:type="dxa"/>
                  </w:tcMar>
                  <w:vAlign w:val="center"/>
                </w:tcPr>
                <w:p w14:paraId="026F7F15">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pH、CODCr</w:t>
                  </w:r>
                  <w:r>
                    <w:rPr>
                      <w:rFonts w:hint="default" w:ascii="Times New Roman" w:hAnsi="Times New Roman" w:eastAsia="宋体" w:cs="Times New Roman"/>
                      <w:color w:val="000000"/>
                      <w:kern w:val="0"/>
                      <w:sz w:val="21"/>
                      <w:szCs w:val="21"/>
                      <w:lang w:val="zh-CN" w:eastAsia="zh-CN" w:bidi="ar"/>
                    </w:rPr>
                    <w:t>、</w:t>
                  </w:r>
                  <w:r>
                    <w:rPr>
                      <w:rFonts w:hint="default" w:ascii="Times New Roman" w:hAnsi="Times New Roman" w:eastAsia="宋体" w:cs="Times New Roman"/>
                      <w:color w:val="000000"/>
                      <w:kern w:val="0"/>
                      <w:sz w:val="21"/>
                      <w:szCs w:val="21"/>
                      <w:lang w:val="en-US" w:eastAsia="zh-CN" w:bidi="ar"/>
                    </w:rPr>
                    <w:t>BOD</w:t>
                  </w:r>
                  <w:r>
                    <w:rPr>
                      <w:rFonts w:hint="default" w:ascii="Times New Roman" w:hAnsi="Times New Roman" w:eastAsia="宋体" w:cs="Times New Roman"/>
                      <w:color w:val="000000"/>
                      <w:kern w:val="0"/>
                      <w:sz w:val="21"/>
                      <w:szCs w:val="21"/>
                      <w:vertAlign w:val="subscript"/>
                      <w:lang w:val="en-US" w:eastAsia="zh-CN" w:bidi="ar"/>
                    </w:rPr>
                    <w:t>5</w:t>
                  </w:r>
                  <w:r>
                    <w:rPr>
                      <w:rFonts w:hint="default" w:ascii="Times New Roman" w:hAnsi="Times New Roman" w:eastAsia="宋体" w:cs="Times New Roman"/>
                      <w:color w:val="000000"/>
                      <w:kern w:val="0"/>
                      <w:sz w:val="21"/>
                      <w:szCs w:val="21"/>
                      <w:lang w:val="zh-CN" w:eastAsia="zh-CN" w:bidi="ar"/>
                    </w:rPr>
                    <w:t>、</w:t>
                  </w:r>
                  <w:r>
                    <w:rPr>
                      <w:rFonts w:hint="default" w:ascii="Times New Roman" w:hAnsi="Times New Roman" w:eastAsia="宋体" w:cs="Times New Roman"/>
                      <w:color w:val="000000"/>
                      <w:kern w:val="0"/>
                      <w:sz w:val="21"/>
                      <w:szCs w:val="21"/>
                      <w:lang w:val="en-US" w:eastAsia="zh-CN" w:bidi="ar"/>
                    </w:rPr>
                    <w:t>SS、氨氮</w:t>
                  </w:r>
                </w:p>
              </w:tc>
              <w:tc>
                <w:tcPr>
                  <w:tcW w:w="2383" w:type="dxa"/>
                  <w:vMerge w:val="restart"/>
                  <w:tcBorders>
                    <w:tl2br w:val="nil"/>
                    <w:tr2bl w:val="nil"/>
                  </w:tcBorders>
                  <w:tcMar>
                    <w:top w:w="0" w:type="dxa"/>
                    <w:left w:w="113" w:type="dxa"/>
                    <w:bottom w:w="0" w:type="dxa"/>
                    <w:right w:w="113" w:type="dxa"/>
                  </w:tcMar>
                  <w:vAlign w:val="center"/>
                </w:tcPr>
                <w:p w14:paraId="0A6AFC42">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经园区内化粪池预处理后，经市政管网进入北京亦庄环境科技集团有限公司经开污水处理厂进行处理。</w:t>
                  </w:r>
                </w:p>
              </w:tc>
            </w:tr>
            <w:tr w14:paraId="0BDCA6E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519" w:hRule="atLeast"/>
                <w:jc w:val="center"/>
              </w:trPr>
              <w:tc>
                <w:tcPr>
                  <w:tcW w:w="907" w:type="dxa"/>
                  <w:vMerge w:val="continue"/>
                  <w:tcBorders>
                    <w:tl2br w:val="nil"/>
                    <w:tr2bl w:val="nil"/>
                  </w:tcBorders>
                  <w:tcMar>
                    <w:top w:w="0" w:type="dxa"/>
                    <w:left w:w="113" w:type="dxa"/>
                    <w:bottom w:w="0" w:type="dxa"/>
                    <w:right w:w="113" w:type="dxa"/>
                  </w:tcMar>
                  <w:vAlign w:val="center"/>
                </w:tcPr>
                <w:p w14:paraId="7BDD3AB6">
                  <w:pPr>
                    <w:adjustRightInd w:val="0"/>
                    <w:snapToGrid w:val="0"/>
                    <w:jc w:val="center"/>
                    <w:rPr>
                      <w:rFonts w:hint="default" w:ascii="Times New Roman" w:hAnsi="Times New Roman" w:eastAsia="宋体" w:cs="Times New Roman"/>
                      <w:szCs w:val="21"/>
                      <w:highlight w:val="none"/>
                      <w:lang w:val="zh-CN"/>
                    </w:rPr>
                  </w:pPr>
                </w:p>
              </w:tc>
              <w:tc>
                <w:tcPr>
                  <w:tcW w:w="2733" w:type="dxa"/>
                  <w:gridSpan w:val="2"/>
                  <w:tcBorders>
                    <w:tl2br w:val="nil"/>
                    <w:tr2bl w:val="nil"/>
                  </w:tcBorders>
                  <w:shd w:val="clear" w:color="auto" w:fill="auto"/>
                  <w:tcMar>
                    <w:top w:w="0" w:type="dxa"/>
                    <w:left w:w="113" w:type="dxa"/>
                    <w:bottom w:w="0" w:type="dxa"/>
                    <w:right w:w="113" w:type="dxa"/>
                  </w:tcMar>
                  <w:vAlign w:val="center"/>
                </w:tcPr>
                <w:p w14:paraId="55B1CED0">
                  <w:pPr>
                    <w:keepNext w:val="0"/>
                    <w:keepLines w:val="0"/>
                    <w:widowControl/>
                    <w:suppressLineNumbers w:val="0"/>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color w:val="000000"/>
                      <w:kern w:val="0"/>
                      <w:sz w:val="21"/>
                      <w:szCs w:val="21"/>
                      <w:lang w:val="en-US" w:eastAsia="zh-CN" w:bidi="ar"/>
                    </w:rPr>
                    <w:t>第三次实验器具清洗废水</w:t>
                  </w:r>
                </w:p>
              </w:tc>
              <w:tc>
                <w:tcPr>
                  <w:tcW w:w="1793" w:type="dxa"/>
                  <w:tcBorders>
                    <w:tl2br w:val="nil"/>
                    <w:tr2bl w:val="nil"/>
                  </w:tcBorders>
                  <w:shd w:val="clear" w:color="auto" w:fill="auto"/>
                  <w:tcMar>
                    <w:top w:w="0" w:type="dxa"/>
                    <w:left w:w="113" w:type="dxa"/>
                    <w:bottom w:w="0" w:type="dxa"/>
                    <w:right w:w="113" w:type="dxa"/>
                  </w:tcMar>
                  <w:vAlign w:val="center"/>
                </w:tcPr>
                <w:p w14:paraId="1A7129CD">
                  <w:pPr>
                    <w:keepNext w:val="0"/>
                    <w:keepLines w:val="0"/>
                    <w:widowControl/>
                    <w:suppressLineNumbers w:val="0"/>
                    <w:jc w:val="left"/>
                    <w:rPr>
                      <w:rFonts w:hint="default" w:ascii="Times New Roman" w:hAnsi="Times New Roman" w:eastAsia="宋体" w:cs="Times New Roman"/>
                      <w:color w:val="000000"/>
                      <w:kern w:val="0"/>
                      <w:sz w:val="21"/>
                      <w:szCs w:val="21"/>
                      <w:lang w:val="zh-CN" w:eastAsia="zh-CN" w:bidi="ar"/>
                    </w:rPr>
                  </w:pPr>
                  <w:r>
                    <w:rPr>
                      <w:rFonts w:hint="default" w:ascii="Times New Roman" w:hAnsi="Times New Roman" w:eastAsia="宋体" w:cs="Times New Roman"/>
                      <w:color w:val="000000"/>
                      <w:kern w:val="0"/>
                      <w:sz w:val="21"/>
                      <w:szCs w:val="21"/>
                      <w:lang w:val="en-US" w:eastAsia="zh-CN" w:bidi="ar"/>
                    </w:rPr>
                    <w:t>pH、CODCr</w:t>
                  </w:r>
                  <w:r>
                    <w:rPr>
                      <w:rFonts w:hint="default" w:ascii="Times New Roman" w:hAnsi="Times New Roman" w:eastAsia="宋体" w:cs="Times New Roman"/>
                      <w:color w:val="000000"/>
                      <w:kern w:val="0"/>
                      <w:sz w:val="21"/>
                      <w:szCs w:val="21"/>
                      <w:lang w:val="zh-CN" w:eastAsia="zh-CN" w:bidi="ar"/>
                    </w:rPr>
                    <w:t>、</w:t>
                  </w:r>
                  <w:r>
                    <w:rPr>
                      <w:rFonts w:hint="default" w:ascii="Times New Roman" w:hAnsi="Times New Roman" w:eastAsia="宋体" w:cs="Times New Roman"/>
                      <w:color w:val="000000"/>
                      <w:kern w:val="0"/>
                      <w:sz w:val="21"/>
                      <w:szCs w:val="21"/>
                      <w:lang w:val="en-US" w:eastAsia="zh-CN" w:bidi="ar"/>
                    </w:rPr>
                    <w:t>BOD</w:t>
                  </w:r>
                  <w:r>
                    <w:rPr>
                      <w:rFonts w:hint="default" w:ascii="Times New Roman" w:hAnsi="Times New Roman" w:eastAsia="宋体" w:cs="Times New Roman"/>
                      <w:color w:val="000000"/>
                      <w:kern w:val="0"/>
                      <w:sz w:val="21"/>
                      <w:szCs w:val="21"/>
                      <w:vertAlign w:val="subscript"/>
                      <w:lang w:val="en-US" w:eastAsia="zh-CN" w:bidi="ar"/>
                    </w:rPr>
                    <w:t>5</w:t>
                  </w:r>
                  <w:r>
                    <w:rPr>
                      <w:rFonts w:hint="default" w:ascii="Times New Roman" w:hAnsi="Times New Roman" w:eastAsia="宋体" w:cs="Times New Roman"/>
                      <w:color w:val="000000"/>
                      <w:kern w:val="0"/>
                      <w:sz w:val="21"/>
                      <w:szCs w:val="21"/>
                      <w:lang w:val="zh-CN" w:eastAsia="zh-CN" w:bidi="ar"/>
                    </w:rPr>
                    <w:t>、</w:t>
                  </w:r>
                  <w:r>
                    <w:rPr>
                      <w:rFonts w:hint="default" w:ascii="Times New Roman" w:hAnsi="Times New Roman" w:eastAsia="宋体" w:cs="Times New Roman"/>
                      <w:color w:val="000000"/>
                      <w:kern w:val="0"/>
                      <w:sz w:val="21"/>
                      <w:szCs w:val="21"/>
                      <w:lang w:val="en-US" w:eastAsia="zh-CN" w:bidi="ar"/>
                    </w:rPr>
                    <w:t>SS、氨氮</w:t>
                  </w:r>
                </w:p>
              </w:tc>
              <w:tc>
                <w:tcPr>
                  <w:tcW w:w="2383" w:type="dxa"/>
                  <w:vMerge w:val="continue"/>
                  <w:tcBorders>
                    <w:tl2br w:val="nil"/>
                    <w:tr2bl w:val="nil"/>
                  </w:tcBorders>
                  <w:shd w:val="clear" w:color="auto" w:fill="auto"/>
                  <w:tcMar>
                    <w:top w:w="0" w:type="dxa"/>
                    <w:left w:w="113" w:type="dxa"/>
                    <w:bottom w:w="0" w:type="dxa"/>
                    <w:right w:w="113" w:type="dxa"/>
                  </w:tcMar>
                  <w:vAlign w:val="center"/>
                </w:tcPr>
                <w:p w14:paraId="770AE750">
                  <w:pPr>
                    <w:keepNext w:val="0"/>
                    <w:keepLines w:val="0"/>
                    <w:widowControl/>
                    <w:suppressLineNumbers w:val="0"/>
                    <w:jc w:val="left"/>
                    <w:rPr>
                      <w:rFonts w:hint="default" w:ascii="Times New Roman" w:hAnsi="Times New Roman" w:eastAsia="宋体" w:cs="Times New Roman"/>
                      <w:color w:val="000000"/>
                      <w:kern w:val="0"/>
                      <w:sz w:val="21"/>
                      <w:szCs w:val="21"/>
                      <w:lang w:val="zh-CN" w:eastAsia="zh-CN" w:bidi="ar"/>
                    </w:rPr>
                  </w:pPr>
                </w:p>
              </w:tc>
            </w:tr>
            <w:tr w14:paraId="31213AA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264" w:hRule="atLeast"/>
                <w:jc w:val="center"/>
              </w:trPr>
              <w:tc>
                <w:tcPr>
                  <w:tcW w:w="907" w:type="dxa"/>
                  <w:vMerge w:val="continue"/>
                  <w:tcBorders>
                    <w:tl2br w:val="nil"/>
                    <w:tr2bl w:val="nil"/>
                  </w:tcBorders>
                  <w:tcMar>
                    <w:top w:w="0" w:type="dxa"/>
                    <w:left w:w="113" w:type="dxa"/>
                    <w:bottom w:w="0" w:type="dxa"/>
                    <w:right w:w="113" w:type="dxa"/>
                  </w:tcMar>
                  <w:vAlign w:val="center"/>
                </w:tcPr>
                <w:p w14:paraId="458CA3D3">
                  <w:pPr>
                    <w:adjustRightInd w:val="0"/>
                    <w:snapToGrid w:val="0"/>
                    <w:jc w:val="center"/>
                    <w:rPr>
                      <w:rFonts w:hint="default" w:ascii="Times New Roman" w:hAnsi="Times New Roman" w:eastAsia="宋体" w:cs="Times New Roman"/>
                      <w:highlight w:val="none"/>
                    </w:rPr>
                  </w:pPr>
                </w:p>
              </w:tc>
              <w:tc>
                <w:tcPr>
                  <w:tcW w:w="2733" w:type="dxa"/>
                  <w:gridSpan w:val="2"/>
                  <w:tcBorders>
                    <w:tl2br w:val="nil"/>
                    <w:tr2bl w:val="nil"/>
                  </w:tcBorders>
                  <w:shd w:val="clear" w:color="auto" w:fill="auto"/>
                  <w:tcMar>
                    <w:top w:w="0" w:type="dxa"/>
                    <w:left w:w="113" w:type="dxa"/>
                    <w:bottom w:w="0" w:type="dxa"/>
                    <w:right w:w="113" w:type="dxa"/>
                  </w:tcMar>
                  <w:vAlign w:val="center"/>
                </w:tcPr>
                <w:p w14:paraId="03E3C7CE">
                  <w:pPr>
                    <w:adjustRightInd w:val="0"/>
                    <w:snapToGrid w:val="0"/>
                    <w:jc w:val="center"/>
                    <w:rPr>
                      <w:rFonts w:hint="default" w:ascii="Times New Roman" w:hAnsi="Times New Roman" w:eastAsia="宋体" w:cs="Times New Roman"/>
                      <w:szCs w:val="21"/>
                      <w:highlight w:val="none"/>
                      <w:lang w:val="zh-CN"/>
                    </w:rPr>
                  </w:pPr>
                  <w:r>
                    <w:rPr>
                      <w:rFonts w:hint="default" w:ascii="Times New Roman" w:hAnsi="Times New Roman" w:eastAsia="宋体" w:cs="Times New Roman"/>
                      <w:szCs w:val="21"/>
                      <w:highlight w:val="none"/>
                      <w:lang w:val="zh-CN"/>
                    </w:rPr>
                    <w:t>纯水制备</w:t>
                  </w:r>
                </w:p>
              </w:tc>
              <w:tc>
                <w:tcPr>
                  <w:tcW w:w="1793" w:type="dxa"/>
                  <w:tcBorders>
                    <w:tl2br w:val="nil"/>
                    <w:tr2bl w:val="nil"/>
                  </w:tcBorders>
                  <w:shd w:val="clear" w:color="auto" w:fill="auto"/>
                  <w:tcMar>
                    <w:top w:w="0" w:type="dxa"/>
                    <w:left w:w="113" w:type="dxa"/>
                    <w:bottom w:w="0" w:type="dxa"/>
                    <w:right w:w="113" w:type="dxa"/>
                  </w:tcMar>
                  <w:vAlign w:val="center"/>
                </w:tcPr>
                <w:p w14:paraId="5474D033">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pH、CODCr</w:t>
                  </w:r>
                  <w:r>
                    <w:rPr>
                      <w:rFonts w:hint="default" w:ascii="Times New Roman" w:hAnsi="Times New Roman" w:eastAsia="宋体" w:cs="Times New Roman"/>
                      <w:color w:val="000000"/>
                      <w:kern w:val="0"/>
                      <w:sz w:val="21"/>
                      <w:szCs w:val="21"/>
                      <w:lang w:val="zh-CN" w:eastAsia="zh-CN" w:bidi="ar"/>
                    </w:rPr>
                    <w:t>、</w:t>
                  </w:r>
                  <w:r>
                    <w:rPr>
                      <w:rFonts w:hint="default" w:ascii="Times New Roman" w:hAnsi="Times New Roman" w:eastAsia="宋体" w:cs="Times New Roman"/>
                      <w:color w:val="000000"/>
                      <w:kern w:val="0"/>
                      <w:sz w:val="21"/>
                      <w:szCs w:val="21"/>
                      <w:lang w:val="en-US" w:eastAsia="zh-CN" w:bidi="ar"/>
                    </w:rPr>
                    <w:t>BOD</w:t>
                  </w:r>
                  <w:r>
                    <w:rPr>
                      <w:rFonts w:hint="default" w:ascii="Times New Roman" w:hAnsi="Times New Roman" w:eastAsia="宋体" w:cs="Times New Roman"/>
                      <w:color w:val="000000"/>
                      <w:kern w:val="0"/>
                      <w:sz w:val="21"/>
                      <w:szCs w:val="21"/>
                      <w:vertAlign w:val="subscript"/>
                      <w:lang w:val="en-US" w:eastAsia="zh-CN" w:bidi="ar"/>
                    </w:rPr>
                    <w:t>5</w:t>
                  </w:r>
                  <w:r>
                    <w:rPr>
                      <w:rFonts w:hint="default" w:ascii="Times New Roman" w:hAnsi="Times New Roman" w:eastAsia="宋体" w:cs="Times New Roman"/>
                      <w:color w:val="000000"/>
                      <w:kern w:val="0"/>
                      <w:sz w:val="21"/>
                      <w:szCs w:val="21"/>
                      <w:lang w:val="zh-CN" w:eastAsia="zh-CN" w:bidi="ar"/>
                    </w:rPr>
                    <w:t>、</w:t>
                  </w:r>
                  <w:r>
                    <w:rPr>
                      <w:rFonts w:hint="default" w:ascii="Times New Roman" w:hAnsi="Times New Roman" w:eastAsia="宋体" w:cs="Times New Roman"/>
                      <w:color w:val="000000"/>
                      <w:kern w:val="0"/>
                      <w:sz w:val="21"/>
                      <w:szCs w:val="21"/>
                      <w:lang w:val="en-US" w:eastAsia="zh-CN" w:bidi="ar"/>
                    </w:rPr>
                    <w:t>SS、氨氮、可溶性总固体</w:t>
                  </w:r>
                </w:p>
              </w:tc>
              <w:tc>
                <w:tcPr>
                  <w:tcW w:w="2383" w:type="dxa"/>
                  <w:vMerge w:val="continue"/>
                  <w:tcBorders>
                    <w:tl2br w:val="nil"/>
                    <w:tr2bl w:val="nil"/>
                  </w:tcBorders>
                  <w:shd w:val="clear" w:color="auto" w:fill="auto"/>
                  <w:tcMar>
                    <w:top w:w="0" w:type="dxa"/>
                    <w:left w:w="113" w:type="dxa"/>
                    <w:bottom w:w="0" w:type="dxa"/>
                    <w:right w:w="113" w:type="dxa"/>
                  </w:tcMar>
                  <w:vAlign w:val="center"/>
                </w:tcPr>
                <w:p w14:paraId="20640E5E">
                  <w:pPr>
                    <w:keepNext w:val="0"/>
                    <w:keepLines w:val="0"/>
                    <w:widowControl/>
                    <w:suppressLineNumbers w:val="0"/>
                    <w:jc w:val="left"/>
                    <w:rPr>
                      <w:rFonts w:hint="default" w:ascii="Times New Roman" w:hAnsi="Times New Roman" w:eastAsia="宋体" w:cs="Times New Roman"/>
                      <w:color w:val="000000"/>
                      <w:kern w:val="0"/>
                      <w:sz w:val="21"/>
                      <w:szCs w:val="21"/>
                      <w:lang w:val="zh-CN" w:eastAsia="zh-CN" w:bidi="ar"/>
                    </w:rPr>
                  </w:pPr>
                </w:p>
              </w:tc>
            </w:tr>
            <w:tr w14:paraId="04C1234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519" w:hRule="atLeast"/>
                <w:jc w:val="center"/>
              </w:trPr>
              <w:tc>
                <w:tcPr>
                  <w:tcW w:w="907" w:type="dxa"/>
                  <w:tcBorders>
                    <w:tl2br w:val="nil"/>
                    <w:tr2bl w:val="nil"/>
                  </w:tcBorders>
                  <w:tcMar>
                    <w:top w:w="0" w:type="dxa"/>
                    <w:left w:w="113" w:type="dxa"/>
                    <w:bottom w:w="0" w:type="dxa"/>
                    <w:right w:w="113" w:type="dxa"/>
                  </w:tcMar>
                  <w:vAlign w:val="center"/>
                </w:tcPr>
                <w:p w14:paraId="11D26D93">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zh-CN"/>
                    </w:rPr>
                    <w:t>噪声</w:t>
                  </w:r>
                </w:p>
              </w:tc>
              <w:tc>
                <w:tcPr>
                  <w:tcW w:w="2733" w:type="dxa"/>
                  <w:gridSpan w:val="2"/>
                  <w:tcBorders>
                    <w:tl2br w:val="nil"/>
                    <w:tr2bl w:val="nil"/>
                  </w:tcBorders>
                  <w:tcMar>
                    <w:top w:w="0" w:type="dxa"/>
                    <w:left w:w="113" w:type="dxa"/>
                    <w:bottom w:w="0" w:type="dxa"/>
                    <w:right w:w="113" w:type="dxa"/>
                  </w:tcMar>
                  <w:vAlign w:val="center"/>
                </w:tcPr>
                <w:p w14:paraId="50C24BEF">
                  <w:pPr>
                    <w:adjustRightInd w:val="0"/>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实验、公用工程、环保设施运行</w:t>
                  </w:r>
                </w:p>
              </w:tc>
              <w:tc>
                <w:tcPr>
                  <w:tcW w:w="1793" w:type="dxa"/>
                  <w:tcBorders>
                    <w:tl2br w:val="nil"/>
                    <w:tr2bl w:val="nil"/>
                  </w:tcBorders>
                  <w:tcMar>
                    <w:top w:w="0" w:type="dxa"/>
                    <w:left w:w="113" w:type="dxa"/>
                    <w:bottom w:w="0" w:type="dxa"/>
                    <w:right w:w="113" w:type="dxa"/>
                  </w:tcMar>
                  <w:vAlign w:val="center"/>
                </w:tcPr>
                <w:p w14:paraId="48E7FE1E">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等效连续A声级</w:t>
                  </w:r>
                </w:p>
              </w:tc>
              <w:tc>
                <w:tcPr>
                  <w:tcW w:w="2383" w:type="dxa"/>
                  <w:tcBorders>
                    <w:tl2br w:val="nil"/>
                    <w:tr2bl w:val="nil"/>
                  </w:tcBorders>
                  <w:tcMar>
                    <w:top w:w="0" w:type="dxa"/>
                    <w:left w:w="113" w:type="dxa"/>
                    <w:bottom w:w="0" w:type="dxa"/>
                    <w:right w:w="113" w:type="dxa"/>
                  </w:tcMar>
                  <w:vAlign w:val="center"/>
                </w:tcPr>
                <w:p w14:paraId="070CAD21">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选用低噪声设备、厂房隔声、设置隔声罩、减振垫等措施。</w:t>
                  </w:r>
                </w:p>
              </w:tc>
            </w:tr>
            <w:tr w14:paraId="4360B3B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519" w:hRule="atLeast"/>
                <w:jc w:val="center"/>
              </w:trPr>
              <w:tc>
                <w:tcPr>
                  <w:tcW w:w="907" w:type="dxa"/>
                  <w:vMerge w:val="restart"/>
                  <w:tcBorders>
                    <w:tl2br w:val="nil"/>
                    <w:tr2bl w:val="nil"/>
                  </w:tcBorders>
                  <w:tcMar>
                    <w:top w:w="0" w:type="dxa"/>
                    <w:left w:w="113" w:type="dxa"/>
                    <w:bottom w:w="0" w:type="dxa"/>
                    <w:right w:w="113" w:type="dxa"/>
                  </w:tcMar>
                  <w:vAlign w:val="center"/>
                </w:tcPr>
                <w:p w14:paraId="0073243A">
                  <w:pPr>
                    <w:adjustRightInd w:val="0"/>
                    <w:snapToGrid w:val="0"/>
                    <w:jc w:val="center"/>
                    <w:rPr>
                      <w:rFonts w:hint="default" w:ascii="Times New Roman" w:hAnsi="Times New Roman" w:eastAsia="宋体" w:cs="Times New Roman"/>
                      <w:szCs w:val="21"/>
                      <w:highlight w:val="none"/>
                      <w:lang w:val="zh-CN"/>
                    </w:rPr>
                  </w:pPr>
                  <w:r>
                    <w:rPr>
                      <w:rFonts w:hint="default" w:ascii="Times New Roman" w:hAnsi="Times New Roman" w:eastAsia="宋体" w:cs="Times New Roman"/>
                      <w:szCs w:val="21"/>
                      <w:highlight w:val="none"/>
                      <w:lang w:val="zh-CN"/>
                    </w:rPr>
                    <w:t>固体废物</w:t>
                  </w:r>
                </w:p>
              </w:tc>
              <w:tc>
                <w:tcPr>
                  <w:tcW w:w="2733" w:type="dxa"/>
                  <w:gridSpan w:val="2"/>
                  <w:tcBorders>
                    <w:tl2br w:val="nil"/>
                    <w:tr2bl w:val="nil"/>
                  </w:tcBorders>
                  <w:tcMar>
                    <w:top w:w="0" w:type="dxa"/>
                    <w:left w:w="113" w:type="dxa"/>
                    <w:bottom w:w="0" w:type="dxa"/>
                    <w:right w:w="113" w:type="dxa"/>
                  </w:tcMar>
                  <w:vAlign w:val="center"/>
                </w:tcPr>
                <w:p w14:paraId="5C4178D8">
                  <w:pPr>
                    <w:adjustRightInd w:val="0"/>
                    <w:snapToGrid w:val="0"/>
                    <w:jc w:val="center"/>
                    <w:rPr>
                      <w:rFonts w:hint="default" w:ascii="Times New Roman" w:hAnsi="Times New Roman" w:eastAsia="宋体" w:cs="Times New Roman"/>
                      <w:szCs w:val="21"/>
                      <w:highlight w:val="none"/>
                      <w:lang w:val="zh-CN"/>
                    </w:rPr>
                  </w:pPr>
                  <w:r>
                    <w:rPr>
                      <w:rFonts w:hint="default" w:ascii="Times New Roman" w:hAnsi="Times New Roman" w:eastAsia="宋体" w:cs="Times New Roman"/>
                      <w:szCs w:val="21"/>
                      <w:highlight w:val="none"/>
                      <w:lang w:val="zh-CN"/>
                    </w:rPr>
                    <w:t>员工生活</w:t>
                  </w:r>
                </w:p>
              </w:tc>
              <w:tc>
                <w:tcPr>
                  <w:tcW w:w="1793" w:type="dxa"/>
                  <w:tcBorders>
                    <w:tl2br w:val="nil"/>
                    <w:tr2bl w:val="nil"/>
                  </w:tcBorders>
                  <w:shd w:val="clear" w:color="auto" w:fill="auto"/>
                  <w:tcMar>
                    <w:top w:w="0" w:type="dxa"/>
                    <w:left w:w="113" w:type="dxa"/>
                    <w:bottom w:w="0" w:type="dxa"/>
                    <w:right w:w="113" w:type="dxa"/>
                  </w:tcMar>
                  <w:vAlign w:val="center"/>
                </w:tcPr>
                <w:p w14:paraId="56C5E404">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zh-CN"/>
                    </w:rPr>
                    <w:t>生活垃圾</w:t>
                  </w:r>
                </w:p>
              </w:tc>
              <w:tc>
                <w:tcPr>
                  <w:tcW w:w="2383" w:type="dxa"/>
                  <w:tcBorders>
                    <w:tl2br w:val="nil"/>
                    <w:tr2bl w:val="nil"/>
                  </w:tcBorders>
                  <w:shd w:val="clear" w:color="auto" w:fill="auto"/>
                  <w:tcMar>
                    <w:top w:w="0" w:type="dxa"/>
                    <w:left w:w="113" w:type="dxa"/>
                    <w:bottom w:w="0" w:type="dxa"/>
                    <w:right w:w="113" w:type="dxa"/>
                  </w:tcMar>
                  <w:vAlign w:val="center"/>
                </w:tcPr>
                <w:p w14:paraId="00C941D4">
                  <w:pPr>
                    <w:keepNext w:val="0"/>
                    <w:keepLines w:val="0"/>
                    <w:widowControl/>
                    <w:suppressLineNumbers w:val="0"/>
                    <w:jc w:val="left"/>
                    <w:rPr>
                      <w:rFonts w:hint="default" w:ascii="Times New Roman" w:hAnsi="Times New Roman" w:eastAsia="宋体" w:cs="Times New Roman"/>
                      <w:szCs w:val="21"/>
                      <w:highlight w:val="none"/>
                    </w:rPr>
                  </w:pPr>
                  <w:r>
                    <w:rPr>
                      <w:rFonts w:hint="default" w:ascii="Times New Roman" w:hAnsi="Times New Roman" w:eastAsia="宋体" w:cs="Times New Roman"/>
                      <w:color w:val="000000"/>
                      <w:kern w:val="0"/>
                      <w:sz w:val="21"/>
                      <w:szCs w:val="21"/>
                      <w:lang w:val="en-US" w:eastAsia="zh-CN" w:bidi="ar"/>
                    </w:rPr>
                    <w:t>分类收集后由当地环卫部门清运</w:t>
                  </w:r>
                </w:p>
              </w:tc>
            </w:tr>
            <w:tr w14:paraId="630E124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264" w:hRule="atLeast"/>
                <w:jc w:val="center"/>
              </w:trPr>
              <w:tc>
                <w:tcPr>
                  <w:tcW w:w="907" w:type="dxa"/>
                  <w:vMerge w:val="continue"/>
                  <w:tcBorders>
                    <w:tl2br w:val="nil"/>
                    <w:tr2bl w:val="nil"/>
                  </w:tcBorders>
                  <w:tcMar>
                    <w:top w:w="0" w:type="dxa"/>
                    <w:left w:w="113" w:type="dxa"/>
                    <w:bottom w:w="0" w:type="dxa"/>
                    <w:right w:w="113" w:type="dxa"/>
                  </w:tcMar>
                  <w:vAlign w:val="center"/>
                </w:tcPr>
                <w:p w14:paraId="6FDC64B9">
                  <w:pPr>
                    <w:adjustRightInd w:val="0"/>
                    <w:snapToGrid w:val="0"/>
                    <w:jc w:val="center"/>
                    <w:rPr>
                      <w:rFonts w:hint="default" w:ascii="Times New Roman" w:hAnsi="Times New Roman" w:eastAsia="宋体" w:cs="Times New Roman"/>
                      <w:szCs w:val="21"/>
                      <w:highlight w:val="none"/>
                      <w:lang w:val="zh-CN"/>
                    </w:rPr>
                  </w:pPr>
                </w:p>
              </w:tc>
              <w:tc>
                <w:tcPr>
                  <w:tcW w:w="2733" w:type="dxa"/>
                  <w:gridSpan w:val="2"/>
                  <w:tcBorders>
                    <w:tl2br w:val="nil"/>
                    <w:tr2bl w:val="nil"/>
                  </w:tcBorders>
                  <w:shd w:val="clear" w:color="auto" w:fill="auto"/>
                  <w:tcMar>
                    <w:top w:w="0" w:type="dxa"/>
                    <w:left w:w="113" w:type="dxa"/>
                    <w:bottom w:w="0" w:type="dxa"/>
                    <w:right w:w="113" w:type="dxa"/>
                  </w:tcMar>
                  <w:vAlign w:val="center"/>
                </w:tcPr>
                <w:p w14:paraId="75111234">
                  <w:pPr>
                    <w:adjustRightInd w:val="0"/>
                    <w:snapToGrid w:val="0"/>
                    <w:jc w:val="center"/>
                    <w:rPr>
                      <w:rFonts w:hint="default" w:ascii="Times New Roman" w:hAnsi="Times New Roman" w:eastAsia="宋体" w:cs="Times New Roman"/>
                      <w:szCs w:val="21"/>
                      <w:highlight w:val="none"/>
                      <w:lang w:val="zh-CN" w:eastAsia="zh-CN"/>
                    </w:rPr>
                  </w:pPr>
                  <w:r>
                    <w:rPr>
                      <w:rFonts w:hint="default" w:ascii="Times New Roman" w:hAnsi="Times New Roman" w:eastAsia="宋体" w:cs="Times New Roman"/>
                      <w:szCs w:val="21"/>
                      <w:highlight w:val="none"/>
                      <w:lang w:val="en-US" w:eastAsia="zh-CN"/>
                    </w:rPr>
                    <w:t>一般固体废物</w:t>
                  </w:r>
                </w:p>
              </w:tc>
              <w:tc>
                <w:tcPr>
                  <w:tcW w:w="1793" w:type="dxa"/>
                  <w:tcBorders>
                    <w:tl2br w:val="nil"/>
                    <w:tr2bl w:val="nil"/>
                  </w:tcBorders>
                  <w:shd w:val="clear" w:color="auto" w:fill="auto"/>
                  <w:tcMar>
                    <w:top w:w="0" w:type="dxa"/>
                    <w:left w:w="113" w:type="dxa"/>
                    <w:bottom w:w="0" w:type="dxa"/>
                    <w:right w:w="113" w:type="dxa"/>
                  </w:tcMar>
                  <w:vAlign w:val="center"/>
                </w:tcPr>
                <w:p w14:paraId="2910C94D">
                  <w:pPr>
                    <w:keepNext w:val="0"/>
                    <w:keepLines w:val="0"/>
                    <w:widowControl/>
                    <w:suppressLineNumbers w:val="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废金属边角料、</w:t>
                  </w:r>
                </w:p>
                <w:p w14:paraId="2AF43E9E">
                  <w:pPr>
                    <w:keepNext w:val="0"/>
                    <w:keepLines w:val="0"/>
                    <w:widowControl/>
                    <w:suppressLineNumbers w:val="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废金属实验件、废护盒、废铜线、废铁芯、废滤芯、废反渗透膜、废包装物、生活垃圾、废分子筛。</w:t>
                  </w:r>
                </w:p>
              </w:tc>
              <w:tc>
                <w:tcPr>
                  <w:tcW w:w="2383" w:type="dxa"/>
                  <w:tcBorders>
                    <w:tl2br w:val="nil"/>
                    <w:tr2bl w:val="nil"/>
                  </w:tcBorders>
                  <w:shd w:val="clear" w:color="auto" w:fill="auto"/>
                  <w:tcMar>
                    <w:top w:w="0" w:type="dxa"/>
                    <w:left w:w="113" w:type="dxa"/>
                    <w:bottom w:w="0" w:type="dxa"/>
                    <w:right w:w="113" w:type="dxa"/>
                  </w:tcMar>
                  <w:vAlign w:val="center"/>
                </w:tcPr>
                <w:p w14:paraId="7712F243">
                  <w:pPr>
                    <w:keepNext w:val="0"/>
                    <w:keepLines w:val="0"/>
                    <w:widowControl/>
                    <w:suppressLineNumbers w:val="0"/>
                    <w:jc w:val="left"/>
                    <w:rPr>
                      <w:rFonts w:hint="default" w:ascii="Times New Roman" w:hAnsi="Times New Roman" w:eastAsia="宋体" w:cs="Times New Roman"/>
                      <w:szCs w:val="21"/>
                      <w:highlight w:val="none"/>
                      <w:lang w:val="en-US"/>
                    </w:rPr>
                  </w:pPr>
                  <w:r>
                    <w:rPr>
                      <w:rFonts w:hint="default" w:ascii="Times New Roman" w:hAnsi="Times New Roman" w:eastAsia="宋体" w:cs="Times New Roman"/>
                      <w:szCs w:val="21"/>
                      <w:highlight w:val="none"/>
                      <w:lang w:val="en-US" w:eastAsia="zh-CN"/>
                    </w:rPr>
                    <w:t>统一收集在一般固废间暂存，未沾染化学试剂的</w:t>
                  </w:r>
                  <w:r>
                    <w:rPr>
                      <w:rFonts w:hint="default" w:ascii="Times New Roman" w:hAnsi="Times New Roman" w:eastAsia="宋体" w:cs="Times New Roman"/>
                      <w:szCs w:val="21"/>
                      <w:highlight w:val="none"/>
                    </w:rPr>
                    <w:t>废包装材料</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lang w:val="en-US" w:eastAsia="zh-CN"/>
                    </w:rPr>
                    <w:t>废金属材料件、废金属边角料、废护盒、废铜线、废铁芯由物资回收部门回收；废空气滤芯、纯水制备废滤芯、废分子筛由厂家回收。</w:t>
                  </w:r>
                </w:p>
              </w:tc>
            </w:tr>
            <w:tr w14:paraId="335A2F3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397" w:hRule="atLeast"/>
                <w:jc w:val="center"/>
              </w:trPr>
              <w:tc>
                <w:tcPr>
                  <w:tcW w:w="907" w:type="dxa"/>
                  <w:vMerge w:val="continue"/>
                  <w:tcBorders>
                    <w:tl2br w:val="nil"/>
                    <w:tr2bl w:val="nil"/>
                  </w:tcBorders>
                  <w:tcMar>
                    <w:top w:w="0" w:type="dxa"/>
                    <w:left w:w="0" w:type="dxa"/>
                    <w:bottom w:w="0" w:type="dxa"/>
                    <w:right w:w="0" w:type="dxa"/>
                  </w:tcMar>
                  <w:vAlign w:val="center"/>
                </w:tcPr>
                <w:p w14:paraId="2A109E2B">
                  <w:pPr>
                    <w:adjustRightInd w:val="0"/>
                    <w:snapToGrid w:val="0"/>
                    <w:jc w:val="center"/>
                    <w:rPr>
                      <w:rFonts w:hint="default" w:ascii="Times New Roman" w:hAnsi="Times New Roman" w:eastAsia="宋体" w:cs="Times New Roman"/>
                      <w:szCs w:val="21"/>
                      <w:highlight w:val="none"/>
                      <w:lang w:val="zh-CN"/>
                    </w:rPr>
                  </w:pPr>
                </w:p>
              </w:tc>
              <w:tc>
                <w:tcPr>
                  <w:tcW w:w="2733" w:type="dxa"/>
                  <w:gridSpan w:val="2"/>
                  <w:tcBorders>
                    <w:tl2br w:val="nil"/>
                    <w:tr2bl w:val="nil"/>
                  </w:tcBorders>
                  <w:tcMar>
                    <w:top w:w="0" w:type="dxa"/>
                    <w:left w:w="0" w:type="dxa"/>
                    <w:bottom w:w="0" w:type="dxa"/>
                    <w:right w:w="0" w:type="dxa"/>
                  </w:tcMar>
                  <w:vAlign w:val="center"/>
                </w:tcPr>
                <w:p w14:paraId="5A909177">
                  <w:pPr>
                    <w:adjustRightInd w:val="0"/>
                    <w:snapToGrid w:val="0"/>
                    <w:jc w:val="center"/>
                    <w:rPr>
                      <w:rFonts w:hint="default" w:ascii="Times New Roman" w:hAnsi="Times New Roman" w:eastAsia="宋体" w:cs="Times New Roman"/>
                      <w:szCs w:val="21"/>
                      <w:highlight w:val="none"/>
                      <w:lang w:val="zh-CN"/>
                    </w:rPr>
                  </w:pPr>
                  <w:r>
                    <w:rPr>
                      <w:rFonts w:hint="default" w:ascii="Times New Roman" w:hAnsi="Times New Roman" w:eastAsia="宋体" w:cs="Times New Roman"/>
                      <w:szCs w:val="21"/>
                      <w:highlight w:val="none"/>
                      <w:lang w:val="zh-CN"/>
                    </w:rPr>
                    <w:t>危险废物</w:t>
                  </w:r>
                </w:p>
              </w:tc>
              <w:tc>
                <w:tcPr>
                  <w:tcW w:w="1793" w:type="dxa"/>
                  <w:tcBorders>
                    <w:tl2br w:val="nil"/>
                    <w:tr2bl w:val="nil"/>
                  </w:tcBorders>
                  <w:shd w:val="clear" w:color="auto" w:fill="auto"/>
                  <w:tcMar>
                    <w:top w:w="0" w:type="dxa"/>
                    <w:left w:w="0" w:type="dxa"/>
                    <w:bottom w:w="0" w:type="dxa"/>
                    <w:right w:w="0" w:type="dxa"/>
                  </w:tcMar>
                  <w:vAlign w:val="center"/>
                </w:tcPr>
                <w:p w14:paraId="3DFCAA82">
                  <w:pPr>
                    <w:keepNext w:val="0"/>
                    <w:keepLines w:val="0"/>
                    <w:widowControl/>
                    <w:suppressLineNumbers w:val="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废切削液、废树脂、检测废液、废电池、电池材料实验废液、</w:t>
                  </w:r>
                  <w:r>
                    <w:rPr>
                      <w:rFonts w:hint="eastAsia" w:cs="Times New Roman"/>
                      <w:szCs w:val="21"/>
                      <w:highlight w:val="none"/>
                      <w:lang w:val="en-US" w:eastAsia="zh-CN"/>
                    </w:rPr>
                    <w:t>含氟废液、</w:t>
                  </w:r>
                  <w:r>
                    <w:rPr>
                      <w:rFonts w:hint="default" w:ascii="Times New Roman" w:hAnsi="Times New Roman" w:eastAsia="宋体" w:cs="Times New Roman"/>
                      <w:szCs w:val="21"/>
                      <w:highlight w:val="none"/>
                      <w:lang w:val="en-US" w:eastAsia="zh-CN"/>
                    </w:rPr>
                    <w:t>电池材料设备清洗废液、废活性炭、</w:t>
                  </w:r>
                  <w:r>
                    <w:rPr>
                      <w:rFonts w:hint="eastAsia" w:cs="Times New Roman"/>
                      <w:szCs w:val="21"/>
                      <w:highlight w:val="none"/>
                      <w:lang w:val="en-US" w:eastAsia="zh-CN"/>
                    </w:rPr>
                    <w:t>废布袋、废吸附剂、</w:t>
                  </w:r>
                  <w:r>
                    <w:rPr>
                      <w:rFonts w:hint="default" w:ascii="Times New Roman" w:hAnsi="Times New Roman" w:eastAsia="宋体" w:cs="Times New Roman"/>
                      <w:szCs w:val="21"/>
                      <w:highlight w:val="none"/>
                      <w:lang w:val="en-US" w:eastAsia="zh-CN"/>
                    </w:rPr>
                    <w:t>喷淋废水、废包装物、废润滑油、废油桶。</w:t>
                  </w:r>
                </w:p>
              </w:tc>
              <w:tc>
                <w:tcPr>
                  <w:tcW w:w="2383" w:type="dxa"/>
                  <w:tcBorders>
                    <w:tl2br w:val="nil"/>
                    <w:tr2bl w:val="nil"/>
                  </w:tcBorders>
                  <w:tcMar>
                    <w:top w:w="0" w:type="dxa"/>
                    <w:left w:w="0" w:type="dxa"/>
                    <w:bottom w:w="0" w:type="dxa"/>
                    <w:right w:w="0" w:type="dxa"/>
                  </w:tcMar>
                  <w:vAlign w:val="center"/>
                </w:tcPr>
                <w:p w14:paraId="3B537A0E">
                  <w:pPr>
                    <w:keepNext w:val="0"/>
                    <w:keepLines w:val="0"/>
                    <w:widowControl/>
                    <w:suppressLineNumbers w:val="0"/>
                    <w:jc w:val="left"/>
                    <w:rPr>
                      <w:rFonts w:hint="default" w:ascii="Times New Roman" w:hAnsi="Times New Roman" w:eastAsia="宋体" w:cs="Times New Roman"/>
                    </w:rPr>
                  </w:pPr>
                  <w:r>
                    <w:rPr>
                      <w:rFonts w:hint="default" w:ascii="Times New Roman" w:hAnsi="Times New Roman" w:eastAsia="宋体" w:cs="Times New Roman"/>
                      <w:color w:val="000000"/>
                      <w:kern w:val="0"/>
                      <w:sz w:val="21"/>
                      <w:szCs w:val="21"/>
                      <w:lang w:val="en-US" w:eastAsia="zh-CN" w:bidi="ar"/>
                    </w:rPr>
                    <w:t>暂存在危废暂存间，定期交由有资质单位处置。</w:t>
                  </w:r>
                </w:p>
                <w:p w14:paraId="0A0B6136">
                  <w:pPr>
                    <w:adjustRightInd w:val="0"/>
                    <w:snapToGrid w:val="0"/>
                    <w:jc w:val="center"/>
                    <w:rPr>
                      <w:rFonts w:hint="default" w:ascii="Times New Roman" w:hAnsi="Times New Roman" w:eastAsia="宋体" w:cs="Times New Roman"/>
                      <w:szCs w:val="21"/>
                      <w:highlight w:val="none"/>
                    </w:rPr>
                  </w:pPr>
                </w:p>
              </w:tc>
            </w:tr>
          </w:tbl>
          <w:p w14:paraId="3B2448FE">
            <w:pPr>
              <w:pStyle w:val="33"/>
              <w:spacing w:after="0" w:line="360" w:lineRule="auto"/>
              <w:ind w:firstLine="0" w:firstLineChars="0"/>
              <w:rPr>
                <w:rFonts w:hint="default" w:ascii="Times New Roman" w:hAnsi="Times New Roman" w:eastAsia="宋体" w:cs="Times New Roman"/>
                <w:sz w:val="24"/>
                <w:szCs w:val="24"/>
                <w:highlight w:val="none"/>
              </w:rPr>
            </w:pPr>
          </w:p>
        </w:tc>
      </w:tr>
      <w:tr w14:paraId="40F451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3" w:type="dxa"/>
            <w:vAlign w:val="center"/>
          </w:tcPr>
          <w:p w14:paraId="15BD326A">
            <w:pPr>
              <w:pStyle w:val="14"/>
              <w:adjustRightInd w:val="0"/>
              <w:snapToGrid w:val="0"/>
              <w:spacing w:before="0" w:beforeAutospacing="0" w:after="0" w:afterAutospacing="0"/>
              <w:jc w:val="center"/>
              <w:rPr>
                <w:rFonts w:hint="default" w:ascii="Times New Roman" w:hAnsi="Times New Roman" w:eastAsia="宋体" w:cs="Times New Roman"/>
                <w:szCs w:val="24"/>
                <w:highlight w:val="none"/>
              </w:rPr>
            </w:pPr>
            <w:r>
              <w:rPr>
                <w:rFonts w:hint="default" w:ascii="Times New Roman" w:hAnsi="Times New Roman" w:eastAsia="宋体" w:cs="Times New Roman"/>
                <w:bCs/>
                <w:kern w:val="2"/>
                <w:szCs w:val="24"/>
                <w:highlight w:val="none"/>
              </w:rPr>
              <w:t>与项目有关的原有环境污染问题</w:t>
            </w:r>
          </w:p>
        </w:tc>
        <w:tc>
          <w:tcPr>
            <w:tcW w:w="8143" w:type="dxa"/>
            <w:vAlign w:val="top"/>
          </w:tcPr>
          <w:p w14:paraId="2115F3F1">
            <w:pPr>
              <w:keepNext w:val="0"/>
              <w:keepLines w:val="0"/>
              <w:widowControl/>
              <w:suppressLineNumbers w:val="0"/>
              <w:spacing w:line="360" w:lineRule="auto"/>
              <w:ind w:firstLine="480" w:firstLineChars="200"/>
              <w:jc w:val="left"/>
              <w:rPr>
                <w:rFonts w:hint="default" w:ascii="Times New Roman" w:hAnsi="Times New Roman" w:eastAsia="宋体" w:cs="Times New Roman"/>
              </w:rPr>
            </w:pPr>
            <w:r>
              <w:rPr>
                <w:rFonts w:hint="default" w:ascii="Times New Roman" w:hAnsi="Times New Roman" w:eastAsia="宋体" w:cs="Times New Roman"/>
                <w:color w:val="000000"/>
                <w:kern w:val="0"/>
                <w:sz w:val="24"/>
                <w:szCs w:val="24"/>
                <w:lang w:val="en-US" w:eastAsia="zh-CN" w:bidi="ar"/>
              </w:rPr>
              <w:t>本项目为新建项目，租用现有闲置用房，无原有污染问题。</w:t>
            </w:r>
          </w:p>
          <w:p w14:paraId="6188CBE8">
            <w:pPr>
              <w:spacing w:line="360" w:lineRule="auto"/>
              <w:ind w:firstLine="0" w:firstLineChars="0"/>
              <w:jc w:val="both"/>
              <w:rPr>
                <w:rFonts w:hint="default" w:ascii="Times New Roman" w:hAnsi="Times New Roman" w:eastAsia="宋体" w:cs="Times New Roman"/>
                <w:kern w:val="0"/>
                <w:sz w:val="24"/>
                <w:highlight w:val="none"/>
                <w:lang w:eastAsia="zh-CN" w:bidi="ar"/>
              </w:rPr>
            </w:pPr>
            <w:r>
              <w:rPr>
                <w:rFonts w:hint="default" w:ascii="Times New Roman" w:hAnsi="Times New Roman" w:eastAsia="宋体" w:cs="Times New Roman"/>
                <w:kern w:val="0"/>
                <w:sz w:val="24"/>
                <w:highlight w:val="none"/>
                <w:lang w:val="en-US" w:eastAsia="zh-CN" w:bidi="ar"/>
              </w:rPr>
              <w:t xml:space="preserve"> </w:t>
            </w:r>
            <w:r>
              <w:rPr>
                <w:rFonts w:hint="default" w:ascii="Times New Roman" w:hAnsi="Times New Roman" w:eastAsia="宋体" w:cs="Times New Roman"/>
                <w:kern w:val="0"/>
                <w:sz w:val="24"/>
                <w:highlight w:val="none"/>
                <w:lang w:eastAsia="zh-CN" w:bidi="ar"/>
              </w:rPr>
              <w:drawing>
                <wp:inline distT="0" distB="0" distL="114300" distR="114300">
                  <wp:extent cx="2294890" cy="1721485"/>
                  <wp:effectExtent l="0" t="0" r="6350" b="635"/>
                  <wp:docPr id="10" name="图片 10" descr="6edf5ce5b6d72ce87a27432053f0a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6edf5ce5b6d72ce87a27432053f0ad2"/>
                          <pic:cNvPicPr>
                            <a:picLocks noChangeAspect="1"/>
                          </pic:cNvPicPr>
                        </pic:nvPicPr>
                        <pic:blipFill>
                          <a:blip r:embed="rId22"/>
                          <a:stretch>
                            <a:fillRect/>
                          </a:stretch>
                        </pic:blipFill>
                        <pic:spPr>
                          <a:xfrm>
                            <a:off x="0" y="0"/>
                            <a:ext cx="2294890" cy="1721485"/>
                          </a:xfrm>
                          <a:prstGeom prst="rect">
                            <a:avLst/>
                          </a:prstGeom>
                        </pic:spPr>
                      </pic:pic>
                    </a:graphicData>
                  </a:graphic>
                </wp:inline>
              </w:drawing>
            </w:r>
            <w:r>
              <w:rPr>
                <w:rFonts w:hint="default" w:ascii="Times New Roman" w:hAnsi="Times New Roman" w:eastAsia="宋体" w:cs="Times New Roman"/>
                <w:kern w:val="0"/>
                <w:sz w:val="24"/>
                <w:highlight w:val="none"/>
                <w:lang w:eastAsia="zh-CN" w:bidi="ar"/>
              </w:rPr>
              <w:drawing>
                <wp:inline distT="0" distB="0" distL="114300" distR="114300">
                  <wp:extent cx="2276475" cy="1708150"/>
                  <wp:effectExtent l="0" t="0" r="9525" b="13970"/>
                  <wp:docPr id="13" name="图片 13" descr="ad58f98dffaf7c2cdb81be2dfb71b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ad58f98dffaf7c2cdb81be2dfb71be5"/>
                          <pic:cNvPicPr>
                            <a:picLocks noChangeAspect="1"/>
                          </pic:cNvPicPr>
                        </pic:nvPicPr>
                        <pic:blipFill>
                          <a:blip r:embed="rId23"/>
                          <a:stretch>
                            <a:fillRect/>
                          </a:stretch>
                        </pic:blipFill>
                        <pic:spPr>
                          <a:xfrm>
                            <a:off x="0" y="0"/>
                            <a:ext cx="2276475" cy="1708150"/>
                          </a:xfrm>
                          <a:prstGeom prst="rect">
                            <a:avLst/>
                          </a:prstGeom>
                        </pic:spPr>
                      </pic:pic>
                    </a:graphicData>
                  </a:graphic>
                </wp:inline>
              </w:drawing>
            </w:r>
          </w:p>
          <w:p w14:paraId="59D95088">
            <w:pPr>
              <w:numPr>
                <w:ilvl w:val="0"/>
                <w:numId w:val="32"/>
              </w:numPr>
              <w:adjustRightInd w:val="0"/>
              <w:spacing w:line="360" w:lineRule="auto"/>
              <w:ind w:left="425" w:leftChars="0" w:hanging="425" w:firstLineChars="0"/>
              <w:jc w:val="center"/>
              <w:rPr>
                <w:rFonts w:hint="default" w:ascii="Times New Roman" w:hAnsi="Times New Roman" w:eastAsia="宋体" w:cs="Times New Roman"/>
                <w:kern w:val="0"/>
                <w:sz w:val="24"/>
                <w:highlight w:val="none"/>
                <w:lang w:eastAsia="zh-CN" w:bidi="ar"/>
              </w:rPr>
            </w:pPr>
            <w:r>
              <w:rPr>
                <w:rFonts w:hint="default" w:ascii="Times New Roman" w:hAnsi="Times New Roman" w:eastAsia="宋体" w:cs="Times New Roman"/>
                <w:b/>
                <w:bCs/>
                <w:color w:val="000000"/>
                <w:kern w:val="0"/>
                <w:sz w:val="24"/>
                <w:szCs w:val="24"/>
                <w:lang w:val="en-US" w:eastAsia="zh-CN" w:bidi="ar"/>
              </w:rPr>
              <w:t>租赁厂房现状照片</w:t>
            </w:r>
          </w:p>
        </w:tc>
      </w:tr>
    </w:tbl>
    <w:p w14:paraId="77DF0AC6">
      <w:pPr>
        <w:rPr>
          <w:rFonts w:hint="default" w:ascii="Times New Roman" w:hAnsi="Times New Roman" w:eastAsia="宋体" w:cs="Times New Roman"/>
          <w:sz w:val="24"/>
          <w:szCs w:val="32"/>
          <w:highlight w:val="none"/>
        </w:rPr>
      </w:pPr>
      <w:r>
        <w:rPr>
          <w:rFonts w:hint="default" w:ascii="Times New Roman" w:hAnsi="Times New Roman" w:eastAsia="宋体" w:cs="Times New Roman"/>
          <w:sz w:val="24"/>
          <w:szCs w:val="32"/>
          <w:highlight w:val="none"/>
        </w:rPr>
        <w:br w:type="page"/>
      </w:r>
    </w:p>
    <w:p w14:paraId="42AD430B">
      <w:pPr>
        <w:pStyle w:val="2"/>
        <w:jc w:val="center"/>
        <w:rPr>
          <w:rFonts w:hint="default" w:ascii="Times New Roman" w:hAnsi="Times New Roman" w:eastAsia="宋体" w:cs="Times New Roman"/>
          <w:color w:val="auto"/>
          <w:sz w:val="36"/>
          <w:szCs w:val="36"/>
          <w:highlight w:val="none"/>
        </w:rPr>
      </w:pPr>
      <w:r>
        <w:rPr>
          <w:rFonts w:hint="default" w:ascii="Times New Roman" w:hAnsi="Times New Roman" w:eastAsia="宋体" w:cs="Times New Roman"/>
          <w:b w:val="0"/>
          <w:bCs w:val="0"/>
          <w:color w:val="auto"/>
          <w:sz w:val="36"/>
          <w:szCs w:val="36"/>
          <w:highlight w:val="none"/>
        </w:rPr>
        <w:t>三、区域环境质量现状、环境保护目标及评价标准</w:t>
      </w:r>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47"/>
      </w:tblGrid>
      <w:tr w14:paraId="2429DC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800" w:type="dxa"/>
            <w:vAlign w:val="center"/>
          </w:tcPr>
          <w:p w14:paraId="0BF1D33E">
            <w:pPr>
              <w:adjustRightInd w:val="0"/>
              <w:snapToGrid w:val="0"/>
              <w:jc w:val="center"/>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区域环境质量现状</w:t>
            </w:r>
          </w:p>
        </w:tc>
        <w:tc>
          <w:tcPr>
            <w:tcW w:w="8147" w:type="dxa"/>
            <w:vAlign w:val="center"/>
          </w:tcPr>
          <w:p w14:paraId="5741A79F">
            <w:pPr>
              <w:pStyle w:val="14"/>
              <w:numPr>
                <w:ilvl w:val="0"/>
                <w:numId w:val="37"/>
              </w:numPr>
              <w:adjustRightInd w:val="0"/>
              <w:snapToGrid w:val="0"/>
              <w:spacing w:before="0" w:beforeAutospacing="0" w:after="0" w:afterAutospacing="0" w:line="360" w:lineRule="auto"/>
              <w:rPr>
                <w:rFonts w:hint="default" w:ascii="Times New Roman" w:hAnsi="Times New Roman" w:eastAsia="宋体" w:cs="Times New Roman"/>
                <w:b/>
                <w:bCs/>
                <w:szCs w:val="24"/>
                <w:highlight w:val="none"/>
              </w:rPr>
            </w:pPr>
            <w:r>
              <w:rPr>
                <w:rFonts w:hint="default" w:ascii="Times New Roman" w:hAnsi="Times New Roman" w:eastAsia="宋体" w:cs="Times New Roman"/>
                <w:b/>
                <w:bCs/>
                <w:szCs w:val="24"/>
                <w:highlight w:val="none"/>
              </w:rPr>
              <w:t>大气环境</w:t>
            </w:r>
          </w:p>
          <w:p w14:paraId="0CC85E26">
            <w:pPr>
              <w:spacing w:line="360" w:lineRule="auto"/>
              <w:ind w:firstLine="480" w:firstLineChars="200"/>
              <w:rPr>
                <w:rFonts w:hint="default" w:ascii="Times New Roman" w:hAnsi="Times New Roman" w:eastAsia="宋体" w:cs="Times New Roman"/>
                <w:sz w:val="24"/>
                <w:szCs w:val="32"/>
                <w:highlight w:val="none"/>
              </w:rPr>
            </w:pPr>
            <w:r>
              <w:rPr>
                <w:rFonts w:hint="default" w:ascii="Times New Roman" w:hAnsi="Times New Roman" w:eastAsia="宋体" w:cs="Times New Roman"/>
                <w:sz w:val="24"/>
                <w:highlight w:val="none"/>
              </w:rPr>
              <w:t>本项目本项目所在区域为二类环境空气功能区，环境空气质量执行《环境空气质量标准》（GB3095-2012）及其修改单中的二级浓度限值。</w:t>
            </w:r>
          </w:p>
          <w:p w14:paraId="7DD0940B">
            <w:pPr>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根据北京202</w:t>
            </w:r>
            <w:r>
              <w:rPr>
                <w:rFonts w:hint="default" w:ascii="Times New Roman" w:hAnsi="Times New Roman" w:eastAsia="宋体" w:cs="Times New Roman"/>
                <w:sz w:val="24"/>
                <w:highlight w:val="none"/>
                <w:lang w:val="en-US" w:eastAsia="zh-CN"/>
              </w:rPr>
              <w:t>5</w:t>
            </w:r>
            <w:r>
              <w:rPr>
                <w:rFonts w:hint="default" w:ascii="Times New Roman" w:hAnsi="Times New Roman" w:eastAsia="宋体" w:cs="Times New Roman"/>
                <w:sz w:val="24"/>
                <w:highlight w:val="none"/>
              </w:rPr>
              <w:t>年5月北京市生态环境局发布的《202</w:t>
            </w:r>
            <w:r>
              <w:rPr>
                <w:rFonts w:hint="default" w:ascii="Times New Roman" w:hAnsi="Times New Roman" w:eastAsia="宋体" w:cs="Times New Roman"/>
                <w:sz w:val="24"/>
                <w:highlight w:val="none"/>
                <w:lang w:val="en-US" w:eastAsia="zh-CN"/>
              </w:rPr>
              <w:t>4</w:t>
            </w:r>
            <w:r>
              <w:rPr>
                <w:rFonts w:hint="default" w:ascii="Times New Roman" w:hAnsi="Times New Roman" w:eastAsia="宋体" w:cs="Times New Roman"/>
                <w:sz w:val="24"/>
                <w:highlight w:val="none"/>
              </w:rPr>
              <w:t>年北京市生态环境状况公报》中的空气质量数据，对项目所在区域</w:t>
            </w:r>
            <w:r>
              <w:rPr>
                <w:rFonts w:hint="default" w:ascii="Times New Roman" w:hAnsi="Times New Roman" w:eastAsia="宋体" w:cs="Times New Roman"/>
                <w:sz w:val="24"/>
                <w:highlight w:val="none"/>
                <w:lang w:val="en-US" w:eastAsia="zh-CN"/>
              </w:rPr>
              <w:t>及北京市</w:t>
            </w:r>
            <w:r>
              <w:rPr>
                <w:rFonts w:hint="default" w:ascii="Times New Roman" w:hAnsi="Times New Roman" w:eastAsia="宋体" w:cs="Times New Roman"/>
                <w:sz w:val="24"/>
                <w:highlight w:val="none"/>
              </w:rPr>
              <w:t>空气质量进行评价，统计数据见下表。</w:t>
            </w:r>
          </w:p>
          <w:p w14:paraId="364B4A5E">
            <w:pPr>
              <w:numPr>
                <w:ilvl w:val="0"/>
                <w:numId w:val="38"/>
              </w:numPr>
              <w:spacing w:line="360" w:lineRule="auto"/>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北京经济技术开发区202</w:t>
            </w:r>
            <w:r>
              <w:rPr>
                <w:rFonts w:hint="default" w:ascii="Times New Roman" w:hAnsi="Times New Roman" w:eastAsia="宋体" w:cs="Times New Roman"/>
                <w:b/>
                <w:bCs/>
                <w:sz w:val="24"/>
                <w:highlight w:val="none"/>
                <w:lang w:val="en-US" w:eastAsia="zh-CN"/>
              </w:rPr>
              <w:t>4</w:t>
            </w:r>
            <w:r>
              <w:rPr>
                <w:rFonts w:hint="default" w:ascii="Times New Roman" w:hAnsi="Times New Roman" w:eastAsia="宋体" w:cs="Times New Roman"/>
                <w:b/>
                <w:bCs/>
                <w:sz w:val="24"/>
                <w:highlight w:val="none"/>
              </w:rPr>
              <w:t>年环境空气质量数据</w:t>
            </w:r>
          </w:p>
          <w:tbl>
            <w:tblPr>
              <w:tblStyle w:val="44"/>
              <w:tblW w:w="8058" w:type="dxa"/>
              <w:jc w:val="center"/>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1611"/>
              <w:gridCol w:w="1611"/>
              <w:gridCol w:w="1611"/>
              <w:gridCol w:w="1611"/>
              <w:gridCol w:w="1614"/>
            </w:tblGrid>
            <w:tr w14:paraId="22DDF1F0">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jc w:val="center"/>
              </w:trPr>
              <w:tc>
                <w:tcPr>
                  <w:tcW w:w="1611" w:type="dxa"/>
                  <w:tcBorders>
                    <w:tl2br w:val="nil"/>
                    <w:tr2bl w:val="nil"/>
                  </w:tcBorders>
                  <w:vAlign w:val="center"/>
                </w:tcPr>
                <w:p w14:paraId="1172D559">
                  <w:pPr>
                    <w:pStyle w:val="43"/>
                    <w:spacing w:before="37" w:line="215" w:lineRule="auto"/>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pacing w:val="2"/>
                      <w:sz w:val="21"/>
                      <w:szCs w:val="21"/>
                      <w:highlight w:val="none"/>
                      <w:lang w:eastAsia="zh-CN"/>
                    </w:rPr>
                    <w:t>项目</w:t>
                  </w:r>
                </w:p>
              </w:tc>
              <w:tc>
                <w:tcPr>
                  <w:tcW w:w="1611" w:type="dxa"/>
                  <w:tcBorders>
                    <w:tl2br w:val="nil"/>
                    <w:tr2bl w:val="nil"/>
                  </w:tcBorders>
                  <w:vAlign w:val="center"/>
                </w:tcPr>
                <w:p w14:paraId="7A725BAB">
                  <w:pPr>
                    <w:pStyle w:val="43"/>
                    <w:spacing w:before="37" w:line="215" w:lineRule="auto"/>
                    <w:ind w:left="113"/>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t>SO</w:t>
                  </w:r>
                  <w:r>
                    <w:rPr>
                      <w:rFonts w:hint="default" w:ascii="Times New Roman" w:hAnsi="Times New Roman" w:eastAsia="宋体" w:cs="Times New Roman"/>
                      <w:b/>
                      <w:bCs/>
                      <w:spacing w:val="6"/>
                      <w:position w:val="-1"/>
                      <w:sz w:val="21"/>
                      <w:szCs w:val="21"/>
                      <w:highlight w:val="none"/>
                      <w:vertAlign w:val="subscript"/>
                      <w:lang w:eastAsia="zh-CN"/>
                    </w:rPr>
                    <w:t>2</w:t>
                  </w:r>
                  <w:r>
                    <w:rPr>
                      <w:rFonts w:hint="default" w:ascii="Times New Roman" w:hAnsi="Times New Roman" w:eastAsia="宋体" w:cs="Times New Roman"/>
                      <w:b/>
                      <w:bCs/>
                      <w:spacing w:val="2"/>
                      <w:sz w:val="21"/>
                      <w:szCs w:val="21"/>
                      <w:highlight w:val="none"/>
                      <w:lang w:eastAsia="zh-CN"/>
                    </w:rPr>
                    <w:t>(</w:t>
                  </w:r>
                  <w:r>
                    <w:rPr>
                      <w:rFonts w:hint="default" w:ascii="Times New Roman" w:hAnsi="Times New Roman" w:eastAsia="宋体" w:cs="Times New Roman"/>
                      <w:b/>
                      <w:bCs/>
                      <w:spacing w:val="2"/>
                      <w:sz w:val="21"/>
                      <w:szCs w:val="21"/>
                      <w:highlight w:val="none"/>
                    </w:rPr>
                    <w:t>μ</w:t>
                  </w:r>
                  <w:r>
                    <w:rPr>
                      <w:rFonts w:hint="default" w:ascii="Times New Roman" w:hAnsi="Times New Roman" w:eastAsia="宋体" w:cs="Times New Roman"/>
                      <w:b/>
                      <w:bCs/>
                      <w:spacing w:val="2"/>
                      <w:sz w:val="21"/>
                      <w:szCs w:val="21"/>
                      <w:highlight w:val="none"/>
                      <w:lang w:eastAsia="zh-CN"/>
                    </w:rPr>
                    <w:t>g/m</w:t>
                  </w:r>
                  <w:r>
                    <w:rPr>
                      <w:rFonts w:hint="default" w:ascii="Times New Roman" w:hAnsi="Times New Roman" w:eastAsia="宋体" w:cs="Times New Roman"/>
                      <w:b/>
                      <w:bCs/>
                      <w:sz w:val="21"/>
                      <w:szCs w:val="21"/>
                      <w:highlight w:val="none"/>
                      <w:vertAlign w:val="superscript"/>
                      <w:lang w:eastAsia="zh-CN"/>
                    </w:rPr>
                    <w:t>3</w:t>
                  </w:r>
                  <w:r>
                    <w:rPr>
                      <w:rFonts w:hint="default" w:ascii="Times New Roman" w:hAnsi="Times New Roman" w:eastAsia="宋体" w:cs="Times New Roman"/>
                      <w:b/>
                      <w:bCs/>
                      <w:spacing w:val="2"/>
                      <w:sz w:val="21"/>
                      <w:szCs w:val="21"/>
                      <w:highlight w:val="none"/>
                      <w:lang w:eastAsia="zh-CN"/>
                    </w:rPr>
                    <w:t>）</w:t>
                  </w:r>
                </w:p>
              </w:tc>
              <w:tc>
                <w:tcPr>
                  <w:tcW w:w="1611" w:type="dxa"/>
                  <w:tcBorders>
                    <w:tl2br w:val="nil"/>
                    <w:tr2bl w:val="nil"/>
                  </w:tcBorders>
                  <w:vAlign w:val="center"/>
                </w:tcPr>
                <w:p w14:paraId="1DFE62F8">
                  <w:pPr>
                    <w:pStyle w:val="43"/>
                    <w:spacing w:before="37" w:line="215" w:lineRule="auto"/>
                    <w:ind w:left="84"/>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t>NO</w:t>
                  </w:r>
                  <w:r>
                    <w:rPr>
                      <w:rFonts w:hint="default" w:ascii="Times New Roman" w:hAnsi="Times New Roman" w:eastAsia="宋体" w:cs="Times New Roman"/>
                      <w:b/>
                      <w:bCs/>
                      <w:spacing w:val="14"/>
                      <w:position w:val="-1"/>
                      <w:sz w:val="21"/>
                      <w:szCs w:val="21"/>
                      <w:highlight w:val="none"/>
                      <w:vertAlign w:val="subscript"/>
                      <w:lang w:eastAsia="zh-CN"/>
                    </w:rPr>
                    <w:t>2</w:t>
                  </w:r>
                  <w:r>
                    <w:rPr>
                      <w:rFonts w:hint="default" w:ascii="Times New Roman" w:hAnsi="Times New Roman" w:eastAsia="宋体" w:cs="Times New Roman"/>
                      <w:b/>
                      <w:bCs/>
                      <w:spacing w:val="1"/>
                      <w:sz w:val="21"/>
                      <w:szCs w:val="21"/>
                      <w:highlight w:val="none"/>
                      <w:lang w:eastAsia="zh-CN"/>
                    </w:rPr>
                    <w:t>(</w:t>
                  </w:r>
                  <w:r>
                    <w:rPr>
                      <w:rFonts w:hint="default" w:ascii="Times New Roman" w:hAnsi="Times New Roman" w:eastAsia="宋体" w:cs="Times New Roman"/>
                      <w:b/>
                      <w:bCs/>
                      <w:spacing w:val="1"/>
                      <w:sz w:val="21"/>
                      <w:szCs w:val="21"/>
                      <w:highlight w:val="none"/>
                    </w:rPr>
                    <w:t>μ</w:t>
                  </w:r>
                  <w:r>
                    <w:rPr>
                      <w:rFonts w:hint="default" w:ascii="Times New Roman" w:hAnsi="Times New Roman" w:eastAsia="宋体" w:cs="Times New Roman"/>
                      <w:b/>
                      <w:bCs/>
                      <w:spacing w:val="1"/>
                      <w:sz w:val="21"/>
                      <w:szCs w:val="21"/>
                      <w:highlight w:val="none"/>
                      <w:lang w:eastAsia="zh-CN"/>
                    </w:rPr>
                    <w:t>g/m</w:t>
                  </w:r>
                  <w:r>
                    <w:rPr>
                      <w:rFonts w:hint="default" w:ascii="Times New Roman" w:hAnsi="Times New Roman" w:eastAsia="宋体" w:cs="Times New Roman"/>
                      <w:b/>
                      <w:bCs/>
                      <w:sz w:val="21"/>
                      <w:szCs w:val="21"/>
                      <w:highlight w:val="none"/>
                      <w:vertAlign w:val="superscript"/>
                      <w:lang w:eastAsia="zh-CN"/>
                    </w:rPr>
                    <w:t>3</w:t>
                  </w:r>
                  <w:r>
                    <w:rPr>
                      <w:rFonts w:hint="default" w:ascii="Times New Roman" w:hAnsi="Times New Roman" w:eastAsia="宋体" w:cs="Times New Roman"/>
                      <w:b/>
                      <w:bCs/>
                      <w:spacing w:val="1"/>
                      <w:sz w:val="21"/>
                      <w:szCs w:val="21"/>
                      <w:highlight w:val="none"/>
                      <w:lang w:eastAsia="zh-CN"/>
                    </w:rPr>
                    <w:t>）</w:t>
                  </w:r>
                </w:p>
              </w:tc>
              <w:tc>
                <w:tcPr>
                  <w:tcW w:w="1611" w:type="dxa"/>
                  <w:tcBorders>
                    <w:tl2br w:val="nil"/>
                    <w:tr2bl w:val="nil"/>
                  </w:tcBorders>
                  <w:vAlign w:val="center"/>
                </w:tcPr>
                <w:p w14:paraId="4FC1B28F">
                  <w:pPr>
                    <w:pStyle w:val="43"/>
                    <w:spacing w:before="37" w:line="215" w:lineRule="auto"/>
                    <w:ind w:left="105"/>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t>PM</w:t>
                  </w:r>
                  <w:r>
                    <w:rPr>
                      <w:rFonts w:hint="default" w:ascii="Times New Roman" w:hAnsi="Times New Roman" w:eastAsia="宋体" w:cs="Times New Roman"/>
                      <w:b/>
                      <w:bCs/>
                      <w:spacing w:val="3"/>
                      <w:position w:val="-1"/>
                      <w:sz w:val="21"/>
                      <w:szCs w:val="21"/>
                      <w:highlight w:val="none"/>
                      <w:vertAlign w:val="subscript"/>
                      <w:lang w:eastAsia="zh-CN"/>
                    </w:rPr>
                    <w:t>10</w:t>
                  </w:r>
                  <w:r>
                    <w:rPr>
                      <w:rFonts w:hint="default" w:ascii="Times New Roman" w:hAnsi="Times New Roman" w:eastAsia="宋体" w:cs="Times New Roman"/>
                      <w:b/>
                      <w:bCs/>
                      <w:spacing w:val="3"/>
                      <w:sz w:val="21"/>
                      <w:szCs w:val="21"/>
                      <w:highlight w:val="none"/>
                      <w:lang w:eastAsia="zh-CN"/>
                    </w:rPr>
                    <w:t>(</w:t>
                  </w:r>
                  <w:r>
                    <w:rPr>
                      <w:rFonts w:hint="default" w:ascii="Times New Roman" w:hAnsi="Times New Roman" w:eastAsia="宋体" w:cs="Times New Roman"/>
                      <w:b/>
                      <w:bCs/>
                      <w:spacing w:val="3"/>
                      <w:sz w:val="21"/>
                      <w:szCs w:val="21"/>
                      <w:highlight w:val="none"/>
                    </w:rPr>
                    <w:t>μ</w:t>
                  </w:r>
                  <w:r>
                    <w:rPr>
                      <w:rFonts w:hint="default" w:ascii="Times New Roman" w:hAnsi="Times New Roman" w:eastAsia="宋体" w:cs="Times New Roman"/>
                      <w:b/>
                      <w:bCs/>
                      <w:spacing w:val="3"/>
                      <w:sz w:val="21"/>
                      <w:szCs w:val="21"/>
                      <w:highlight w:val="none"/>
                      <w:lang w:eastAsia="zh-CN"/>
                    </w:rPr>
                    <w:t>g/m</w:t>
                  </w:r>
                  <w:r>
                    <w:rPr>
                      <w:rFonts w:hint="default" w:ascii="Times New Roman" w:hAnsi="Times New Roman" w:eastAsia="宋体" w:cs="Times New Roman"/>
                      <w:b/>
                      <w:bCs/>
                      <w:sz w:val="21"/>
                      <w:szCs w:val="21"/>
                      <w:highlight w:val="none"/>
                      <w:vertAlign w:val="superscript"/>
                      <w:lang w:eastAsia="zh-CN"/>
                    </w:rPr>
                    <w:t>3</w:t>
                  </w:r>
                  <w:r>
                    <w:rPr>
                      <w:rFonts w:hint="default" w:ascii="Times New Roman" w:hAnsi="Times New Roman" w:eastAsia="宋体" w:cs="Times New Roman"/>
                      <w:b/>
                      <w:bCs/>
                      <w:spacing w:val="3"/>
                      <w:sz w:val="21"/>
                      <w:szCs w:val="21"/>
                      <w:highlight w:val="none"/>
                      <w:lang w:eastAsia="zh-CN"/>
                    </w:rPr>
                    <w:t>）</w:t>
                  </w:r>
                </w:p>
              </w:tc>
              <w:tc>
                <w:tcPr>
                  <w:tcW w:w="1614" w:type="dxa"/>
                  <w:tcBorders>
                    <w:tl2br w:val="nil"/>
                    <w:tr2bl w:val="nil"/>
                  </w:tcBorders>
                  <w:vAlign w:val="center"/>
                </w:tcPr>
                <w:p w14:paraId="45B1C25A">
                  <w:pPr>
                    <w:pStyle w:val="43"/>
                    <w:spacing w:before="37" w:line="215" w:lineRule="auto"/>
                    <w:ind w:left="86"/>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t>PM</w:t>
                  </w:r>
                  <w:r>
                    <w:rPr>
                      <w:rFonts w:hint="default" w:ascii="Times New Roman" w:hAnsi="Times New Roman" w:eastAsia="宋体" w:cs="Times New Roman"/>
                      <w:b/>
                      <w:bCs/>
                      <w:spacing w:val="3"/>
                      <w:position w:val="-1"/>
                      <w:sz w:val="21"/>
                      <w:szCs w:val="21"/>
                      <w:highlight w:val="none"/>
                      <w:vertAlign w:val="subscript"/>
                      <w:lang w:eastAsia="zh-CN"/>
                    </w:rPr>
                    <w:t>2.5</w:t>
                  </w:r>
                  <w:r>
                    <w:rPr>
                      <w:rFonts w:hint="default" w:ascii="Times New Roman" w:hAnsi="Times New Roman" w:eastAsia="宋体" w:cs="Times New Roman"/>
                      <w:b/>
                      <w:bCs/>
                      <w:spacing w:val="3"/>
                      <w:sz w:val="21"/>
                      <w:szCs w:val="21"/>
                      <w:highlight w:val="none"/>
                      <w:lang w:eastAsia="zh-CN"/>
                    </w:rPr>
                    <w:t>(</w:t>
                  </w:r>
                  <w:r>
                    <w:rPr>
                      <w:rFonts w:hint="default" w:ascii="Times New Roman" w:hAnsi="Times New Roman" w:eastAsia="宋体" w:cs="Times New Roman"/>
                      <w:b/>
                      <w:bCs/>
                      <w:spacing w:val="3"/>
                      <w:sz w:val="21"/>
                      <w:szCs w:val="21"/>
                      <w:highlight w:val="none"/>
                    </w:rPr>
                    <w:t>μ</w:t>
                  </w:r>
                  <w:r>
                    <w:rPr>
                      <w:rFonts w:hint="default" w:ascii="Times New Roman" w:hAnsi="Times New Roman" w:eastAsia="宋体" w:cs="Times New Roman"/>
                      <w:b/>
                      <w:bCs/>
                      <w:spacing w:val="3"/>
                      <w:sz w:val="21"/>
                      <w:szCs w:val="21"/>
                      <w:highlight w:val="none"/>
                      <w:lang w:eastAsia="zh-CN"/>
                    </w:rPr>
                    <w:t>g/m</w:t>
                  </w:r>
                  <w:r>
                    <w:rPr>
                      <w:rFonts w:hint="default" w:ascii="Times New Roman" w:hAnsi="Times New Roman" w:eastAsia="宋体" w:cs="Times New Roman"/>
                      <w:b/>
                      <w:bCs/>
                      <w:sz w:val="21"/>
                      <w:szCs w:val="21"/>
                      <w:highlight w:val="none"/>
                      <w:vertAlign w:val="superscript"/>
                      <w:lang w:eastAsia="zh-CN"/>
                    </w:rPr>
                    <w:t>3</w:t>
                  </w:r>
                  <w:r>
                    <w:rPr>
                      <w:rFonts w:hint="default" w:ascii="Times New Roman" w:hAnsi="Times New Roman" w:eastAsia="宋体" w:cs="Times New Roman"/>
                      <w:b/>
                      <w:bCs/>
                      <w:spacing w:val="3"/>
                      <w:sz w:val="21"/>
                      <w:szCs w:val="21"/>
                      <w:highlight w:val="none"/>
                      <w:lang w:eastAsia="zh-CN"/>
                    </w:rPr>
                    <w:t>）</w:t>
                  </w:r>
                </w:p>
              </w:tc>
            </w:tr>
            <w:tr w14:paraId="27AAE8D7">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611" w:type="dxa"/>
                  <w:tcBorders>
                    <w:tl2br w:val="nil"/>
                    <w:tr2bl w:val="nil"/>
                  </w:tcBorders>
                  <w:vAlign w:val="center"/>
                </w:tcPr>
                <w:p w14:paraId="37EB2CE6">
                  <w:pPr>
                    <w:pStyle w:val="43"/>
                    <w:spacing w:before="33" w:line="216" w:lineRule="auto"/>
                    <w:jc w:val="center"/>
                    <w:rPr>
                      <w:rFonts w:hint="default" w:ascii="Times New Roman" w:hAnsi="Times New Roman" w:eastAsia="宋体" w:cs="Times New Roman"/>
                      <w:b w:val="0"/>
                      <w:bCs w:val="0"/>
                      <w:sz w:val="21"/>
                      <w:szCs w:val="21"/>
                      <w:highlight w:val="none"/>
                      <w:lang w:eastAsia="zh-CN"/>
                    </w:rPr>
                  </w:pPr>
                  <w:r>
                    <w:rPr>
                      <w:rFonts w:hint="default" w:ascii="Times New Roman" w:hAnsi="Times New Roman" w:eastAsia="宋体" w:cs="Times New Roman"/>
                      <w:b w:val="0"/>
                      <w:bCs w:val="0"/>
                      <w:spacing w:val="6"/>
                      <w:sz w:val="21"/>
                      <w:szCs w:val="21"/>
                      <w:highlight w:val="none"/>
                      <w:lang w:val="en-US" w:eastAsia="zh-CN"/>
                    </w:rPr>
                    <w:t>现状</w:t>
                  </w:r>
                  <w:r>
                    <w:rPr>
                      <w:rFonts w:hint="default" w:ascii="Times New Roman" w:hAnsi="Times New Roman" w:eastAsia="宋体" w:cs="Times New Roman"/>
                      <w:b w:val="0"/>
                      <w:bCs w:val="0"/>
                      <w:spacing w:val="6"/>
                      <w:sz w:val="21"/>
                      <w:szCs w:val="21"/>
                      <w:highlight w:val="none"/>
                      <w:lang w:eastAsia="zh-CN"/>
                    </w:rPr>
                    <w:t>浓度</w:t>
                  </w:r>
                </w:p>
              </w:tc>
              <w:tc>
                <w:tcPr>
                  <w:tcW w:w="1611" w:type="dxa"/>
                  <w:tcBorders>
                    <w:tl2br w:val="nil"/>
                    <w:tr2bl w:val="nil"/>
                  </w:tcBorders>
                  <w:vAlign w:val="center"/>
                </w:tcPr>
                <w:p w14:paraId="6B544503">
                  <w:pPr>
                    <w:spacing w:before="68" w:line="195" w:lineRule="auto"/>
                    <w:jc w:val="center"/>
                    <w:rPr>
                      <w:rFonts w:hint="default" w:ascii="Times New Roman" w:hAnsi="Times New Roman" w:eastAsia="宋体" w:cs="Times New Roman"/>
                      <w:b w:val="0"/>
                      <w:bCs w:val="0"/>
                      <w:szCs w:val="21"/>
                      <w:highlight w:val="none"/>
                      <w:lang w:eastAsia="zh-CN"/>
                    </w:rPr>
                  </w:pPr>
                  <w:r>
                    <w:rPr>
                      <w:rFonts w:hint="default" w:ascii="Times New Roman" w:hAnsi="Times New Roman" w:eastAsia="宋体" w:cs="Times New Roman"/>
                      <w:b w:val="0"/>
                      <w:bCs w:val="0"/>
                      <w:szCs w:val="21"/>
                      <w:highlight w:val="none"/>
                      <w:lang w:val="en-US" w:eastAsia="zh-CN"/>
                    </w:rPr>
                    <w:t>2</w:t>
                  </w:r>
                </w:p>
              </w:tc>
              <w:tc>
                <w:tcPr>
                  <w:tcW w:w="1611" w:type="dxa"/>
                  <w:tcBorders>
                    <w:tl2br w:val="nil"/>
                    <w:tr2bl w:val="nil"/>
                  </w:tcBorders>
                  <w:vAlign w:val="center"/>
                </w:tcPr>
                <w:p w14:paraId="6A4EA0E2">
                  <w:pPr>
                    <w:spacing w:before="68" w:line="195" w:lineRule="auto"/>
                    <w:jc w:val="center"/>
                    <w:rPr>
                      <w:rFonts w:hint="default" w:ascii="Times New Roman" w:hAnsi="Times New Roman" w:eastAsia="宋体" w:cs="Times New Roman"/>
                      <w:b w:val="0"/>
                      <w:bCs w:val="0"/>
                      <w:szCs w:val="21"/>
                      <w:highlight w:val="none"/>
                      <w:lang w:val="en-US" w:eastAsia="zh-CN"/>
                    </w:rPr>
                  </w:pPr>
                  <w:r>
                    <w:rPr>
                      <w:rFonts w:hint="default" w:ascii="Times New Roman" w:hAnsi="Times New Roman" w:eastAsia="宋体" w:cs="Times New Roman"/>
                      <w:b w:val="0"/>
                      <w:bCs w:val="0"/>
                      <w:szCs w:val="21"/>
                      <w:highlight w:val="none"/>
                      <w:lang w:val="en-US" w:eastAsia="zh-CN"/>
                    </w:rPr>
                    <w:t>31</w:t>
                  </w:r>
                </w:p>
              </w:tc>
              <w:tc>
                <w:tcPr>
                  <w:tcW w:w="1611" w:type="dxa"/>
                  <w:tcBorders>
                    <w:tl2br w:val="nil"/>
                    <w:tr2bl w:val="nil"/>
                  </w:tcBorders>
                  <w:vAlign w:val="center"/>
                </w:tcPr>
                <w:p w14:paraId="6D6459C7">
                  <w:pPr>
                    <w:spacing w:before="68" w:line="195" w:lineRule="auto"/>
                    <w:jc w:val="center"/>
                    <w:rPr>
                      <w:rFonts w:hint="default" w:ascii="Times New Roman" w:hAnsi="Times New Roman" w:eastAsia="宋体" w:cs="Times New Roman"/>
                      <w:b w:val="0"/>
                      <w:bCs w:val="0"/>
                      <w:szCs w:val="21"/>
                      <w:highlight w:val="none"/>
                      <w:lang w:val="en-US" w:eastAsia="zh-CN"/>
                    </w:rPr>
                  </w:pPr>
                  <w:r>
                    <w:rPr>
                      <w:rFonts w:hint="default" w:ascii="Times New Roman" w:hAnsi="Times New Roman" w:eastAsia="宋体" w:cs="Times New Roman"/>
                      <w:b w:val="0"/>
                      <w:bCs w:val="0"/>
                      <w:szCs w:val="21"/>
                      <w:highlight w:val="none"/>
                      <w:lang w:val="en-US" w:eastAsia="zh-CN"/>
                    </w:rPr>
                    <w:t>57</w:t>
                  </w:r>
                </w:p>
              </w:tc>
              <w:tc>
                <w:tcPr>
                  <w:tcW w:w="1614" w:type="dxa"/>
                  <w:tcBorders>
                    <w:tl2br w:val="nil"/>
                    <w:tr2bl w:val="nil"/>
                  </w:tcBorders>
                  <w:vAlign w:val="center"/>
                </w:tcPr>
                <w:p w14:paraId="4A64486D">
                  <w:pPr>
                    <w:spacing w:before="68" w:line="195" w:lineRule="auto"/>
                    <w:jc w:val="center"/>
                    <w:rPr>
                      <w:rFonts w:hint="default" w:ascii="Times New Roman" w:hAnsi="Times New Roman" w:eastAsia="宋体" w:cs="Times New Roman"/>
                      <w:b w:val="0"/>
                      <w:bCs w:val="0"/>
                      <w:szCs w:val="21"/>
                      <w:highlight w:val="none"/>
                      <w:lang w:val="en-US" w:eastAsia="zh-CN"/>
                    </w:rPr>
                  </w:pPr>
                  <w:r>
                    <w:rPr>
                      <w:rFonts w:hint="default" w:ascii="Times New Roman" w:hAnsi="Times New Roman" w:eastAsia="宋体" w:cs="Times New Roman"/>
                      <w:b w:val="0"/>
                      <w:bCs w:val="0"/>
                      <w:szCs w:val="21"/>
                      <w:highlight w:val="none"/>
                    </w:rPr>
                    <w:t>3</w:t>
                  </w:r>
                  <w:r>
                    <w:rPr>
                      <w:rFonts w:hint="default" w:ascii="Times New Roman" w:hAnsi="Times New Roman" w:eastAsia="宋体" w:cs="Times New Roman"/>
                      <w:b w:val="0"/>
                      <w:bCs w:val="0"/>
                      <w:szCs w:val="21"/>
                      <w:highlight w:val="none"/>
                      <w:lang w:val="en-US" w:eastAsia="zh-CN"/>
                    </w:rPr>
                    <w:t>2.6</w:t>
                  </w:r>
                </w:p>
              </w:tc>
            </w:tr>
            <w:tr w14:paraId="6242348D">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0" w:hRule="atLeast"/>
                <w:jc w:val="center"/>
              </w:trPr>
              <w:tc>
                <w:tcPr>
                  <w:tcW w:w="1611" w:type="dxa"/>
                  <w:tcBorders>
                    <w:tl2br w:val="nil"/>
                    <w:tr2bl w:val="nil"/>
                  </w:tcBorders>
                  <w:vAlign w:val="center"/>
                </w:tcPr>
                <w:p w14:paraId="0944C9BD">
                  <w:pPr>
                    <w:pStyle w:val="43"/>
                    <w:spacing w:before="33" w:line="216" w:lineRule="auto"/>
                    <w:jc w:val="center"/>
                    <w:rPr>
                      <w:rFonts w:hint="default" w:ascii="Times New Roman" w:hAnsi="Times New Roman" w:eastAsia="宋体" w:cs="Times New Roman"/>
                      <w:b w:val="0"/>
                      <w:bCs w:val="0"/>
                      <w:spacing w:val="6"/>
                      <w:sz w:val="21"/>
                      <w:szCs w:val="21"/>
                      <w:highlight w:val="none"/>
                      <w:lang w:val="en-US" w:eastAsia="zh-CN"/>
                    </w:rPr>
                  </w:pPr>
                  <w:r>
                    <w:rPr>
                      <w:rFonts w:hint="default" w:ascii="Times New Roman" w:hAnsi="Times New Roman" w:eastAsia="宋体" w:cs="Times New Roman"/>
                      <w:b w:val="0"/>
                      <w:bCs w:val="0"/>
                      <w:szCs w:val="21"/>
                      <w:highlight w:val="none"/>
                      <w:lang w:val="en-US" w:eastAsia="zh-CN"/>
                    </w:rPr>
                    <w:t>平均时间</w:t>
                  </w:r>
                </w:p>
              </w:tc>
              <w:tc>
                <w:tcPr>
                  <w:tcW w:w="1611" w:type="dxa"/>
                  <w:tcBorders>
                    <w:tl2br w:val="nil"/>
                    <w:tr2bl w:val="nil"/>
                  </w:tcBorders>
                  <w:vAlign w:val="center"/>
                </w:tcPr>
                <w:p w14:paraId="000ABF8D">
                  <w:pPr>
                    <w:spacing w:before="68" w:line="195" w:lineRule="auto"/>
                    <w:jc w:val="center"/>
                    <w:rPr>
                      <w:rFonts w:hint="default" w:ascii="Times New Roman" w:hAnsi="Times New Roman" w:eastAsia="宋体" w:cs="Times New Roman"/>
                      <w:b w:val="0"/>
                      <w:bCs w:val="0"/>
                      <w:szCs w:val="21"/>
                      <w:highlight w:val="none"/>
                      <w:lang w:val="en-US" w:eastAsia="zh-CN"/>
                    </w:rPr>
                  </w:pPr>
                  <w:r>
                    <w:rPr>
                      <w:rFonts w:hint="default" w:ascii="Times New Roman" w:hAnsi="Times New Roman" w:eastAsia="宋体" w:cs="Times New Roman"/>
                      <w:b w:val="0"/>
                      <w:bCs w:val="0"/>
                      <w:szCs w:val="21"/>
                      <w:highlight w:val="none"/>
                    </w:rPr>
                    <w:t>年均值</w:t>
                  </w:r>
                </w:p>
              </w:tc>
              <w:tc>
                <w:tcPr>
                  <w:tcW w:w="1611" w:type="dxa"/>
                  <w:tcBorders>
                    <w:tl2br w:val="nil"/>
                    <w:tr2bl w:val="nil"/>
                  </w:tcBorders>
                  <w:vAlign w:val="center"/>
                </w:tcPr>
                <w:p w14:paraId="756468AB">
                  <w:pPr>
                    <w:spacing w:before="68" w:line="195" w:lineRule="auto"/>
                    <w:jc w:val="center"/>
                    <w:rPr>
                      <w:rFonts w:hint="default" w:ascii="Times New Roman" w:hAnsi="Times New Roman" w:eastAsia="宋体" w:cs="Times New Roman"/>
                      <w:b w:val="0"/>
                      <w:bCs w:val="0"/>
                      <w:szCs w:val="21"/>
                      <w:highlight w:val="none"/>
                      <w:lang w:val="en-US" w:eastAsia="zh-CN"/>
                    </w:rPr>
                  </w:pPr>
                  <w:r>
                    <w:rPr>
                      <w:rFonts w:hint="default" w:ascii="Times New Roman" w:hAnsi="Times New Roman" w:eastAsia="宋体" w:cs="Times New Roman"/>
                      <w:b w:val="0"/>
                      <w:bCs w:val="0"/>
                      <w:szCs w:val="21"/>
                      <w:highlight w:val="none"/>
                    </w:rPr>
                    <w:t>年均值</w:t>
                  </w:r>
                </w:p>
              </w:tc>
              <w:tc>
                <w:tcPr>
                  <w:tcW w:w="1611" w:type="dxa"/>
                  <w:tcBorders>
                    <w:tl2br w:val="nil"/>
                    <w:tr2bl w:val="nil"/>
                  </w:tcBorders>
                  <w:vAlign w:val="center"/>
                </w:tcPr>
                <w:p w14:paraId="46919B0B">
                  <w:pPr>
                    <w:spacing w:before="68" w:line="195" w:lineRule="auto"/>
                    <w:jc w:val="center"/>
                    <w:rPr>
                      <w:rFonts w:hint="default" w:ascii="Times New Roman" w:hAnsi="Times New Roman" w:eastAsia="宋体" w:cs="Times New Roman"/>
                      <w:b w:val="0"/>
                      <w:bCs w:val="0"/>
                      <w:szCs w:val="21"/>
                      <w:highlight w:val="none"/>
                      <w:lang w:val="en-US" w:eastAsia="zh-CN"/>
                    </w:rPr>
                  </w:pPr>
                  <w:r>
                    <w:rPr>
                      <w:rFonts w:hint="default" w:ascii="Times New Roman" w:hAnsi="Times New Roman" w:eastAsia="宋体" w:cs="Times New Roman"/>
                      <w:b w:val="0"/>
                      <w:bCs w:val="0"/>
                      <w:spacing w:val="2"/>
                      <w:szCs w:val="21"/>
                      <w:highlight w:val="none"/>
                      <w:lang w:val="en-US" w:eastAsia="zh-CN"/>
                    </w:rPr>
                    <w:t>24小时平均</w:t>
                  </w:r>
                </w:p>
              </w:tc>
              <w:tc>
                <w:tcPr>
                  <w:tcW w:w="1614" w:type="dxa"/>
                  <w:tcBorders>
                    <w:tl2br w:val="nil"/>
                    <w:tr2bl w:val="nil"/>
                  </w:tcBorders>
                  <w:vAlign w:val="center"/>
                </w:tcPr>
                <w:p w14:paraId="0B9E428A">
                  <w:pPr>
                    <w:spacing w:before="68" w:line="195" w:lineRule="auto"/>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pacing w:val="2"/>
                      <w:szCs w:val="21"/>
                      <w:highlight w:val="none"/>
                      <w:lang w:val="en-US" w:eastAsia="zh-CN"/>
                    </w:rPr>
                    <w:t>24小时平均</w:t>
                  </w:r>
                </w:p>
              </w:tc>
            </w:tr>
            <w:tr w14:paraId="4777F29F">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79" w:hRule="atLeast"/>
                <w:jc w:val="center"/>
              </w:trPr>
              <w:tc>
                <w:tcPr>
                  <w:tcW w:w="1611" w:type="dxa"/>
                  <w:tcBorders>
                    <w:tl2br w:val="nil"/>
                    <w:tr2bl w:val="nil"/>
                  </w:tcBorders>
                  <w:vAlign w:val="center"/>
                </w:tcPr>
                <w:p w14:paraId="2948021E">
                  <w:pPr>
                    <w:pStyle w:val="43"/>
                    <w:spacing w:before="34" w:line="214" w:lineRule="auto"/>
                    <w:jc w:val="center"/>
                    <w:rPr>
                      <w:rFonts w:hint="default" w:ascii="Times New Roman" w:hAnsi="Times New Roman" w:eastAsia="宋体" w:cs="Times New Roman"/>
                      <w:b w:val="0"/>
                      <w:bCs w:val="0"/>
                      <w:sz w:val="21"/>
                      <w:szCs w:val="21"/>
                      <w:highlight w:val="none"/>
                      <w:lang w:eastAsia="zh-CN"/>
                    </w:rPr>
                  </w:pPr>
                  <w:r>
                    <w:rPr>
                      <w:rFonts w:hint="default" w:ascii="Times New Roman" w:hAnsi="Times New Roman" w:eastAsia="宋体" w:cs="Times New Roman"/>
                      <w:b w:val="0"/>
                      <w:bCs w:val="0"/>
                      <w:spacing w:val="6"/>
                      <w:sz w:val="21"/>
                      <w:szCs w:val="21"/>
                      <w:highlight w:val="none"/>
                      <w:lang w:eastAsia="zh-CN"/>
                    </w:rPr>
                    <w:t>标准值</w:t>
                  </w:r>
                </w:p>
              </w:tc>
              <w:tc>
                <w:tcPr>
                  <w:tcW w:w="1611" w:type="dxa"/>
                  <w:tcBorders>
                    <w:tl2br w:val="nil"/>
                    <w:tr2bl w:val="nil"/>
                  </w:tcBorders>
                  <w:vAlign w:val="center"/>
                </w:tcPr>
                <w:p w14:paraId="4400BC4D">
                  <w:pPr>
                    <w:spacing w:before="70" w:line="195" w:lineRule="auto"/>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zCs w:val="21"/>
                      <w:highlight w:val="none"/>
                    </w:rPr>
                    <w:t>60</w:t>
                  </w:r>
                </w:p>
              </w:tc>
              <w:tc>
                <w:tcPr>
                  <w:tcW w:w="1611" w:type="dxa"/>
                  <w:tcBorders>
                    <w:tl2br w:val="nil"/>
                    <w:tr2bl w:val="nil"/>
                  </w:tcBorders>
                  <w:vAlign w:val="center"/>
                </w:tcPr>
                <w:p w14:paraId="5D89B6AC">
                  <w:pPr>
                    <w:spacing w:before="70" w:line="195" w:lineRule="auto"/>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pacing w:val="3"/>
                      <w:szCs w:val="21"/>
                      <w:highlight w:val="none"/>
                    </w:rPr>
                    <w:t>40</w:t>
                  </w:r>
                </w:p>
              </w:tc>
              <w:tc>
                <w:tcPr>
                  <w:tcW w:w="1611" w:type="dxa"/>
                  <w:tcBorders>
                    <w:tl2br w:val="nil"/>
                    <w:tr2bl w:val="nil"/>
                  </w:tcBorders>
                  <w:vAlign w:val="center"/>
                </w:tcPr>
                <w:p w14:paraId="443C8AD5">
                  <w:pPr>
                    <w:spacing w:before="70" w:line="195" w:lineRule="auto"/>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pacing w:val="1"/>
                      <w:szCs w:val="21"/>
                      <w:highlight w:val="none"/>
                    </w:rPr>
                    <w:t>70</w:t>
                  </w:r>
                </w:p>
              </w:tc>
              <w:tc>
                <w:tcPr>
                  <w:tcW w:w="1614" w:type="dxa"/>
                  <w:tcBorders>
                    <w:tl2br w:val="nil"/>
                    <w:tr2bl w:val="nil"/>
                  </w:tcBorders>
                  <w:vAlign w:val="center"/>
                </w:tcPr>
                <w:p w14:paraId="49689C3B">
                  <w:pPr>
                    <w:spacing w:before="70" w:line="195" w:lineRule="auto"/>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zCs w:val="21"/>
                      <w:highlight w:val="none"/>
                    </w:rPr>
                    <w:t>35</w:t>
                  </w:r>
                </w:p>
              </w:tc>
            </w:tr>
            <w:tr w14:paraId="7087835C">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611" w:type="dxa"/>
                  <w:tcBorders>
                    <w:tl2br w:val="nil"/>
                    <w:tr2bl w:val="nil"/>
                  </w:tcBorders>
                  <w:vAlign w:val="center"/>
                </w:tcPr>
                <w:p w14:paraId="44D061EA">
                  <w:pPr>
                    <w:pStyle w:val="43"/>
                    <w:spacing w:before="36" w:line="216" w:lineRule="auto"/>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pacing w:val="7"/>
                      <w:sz w:val="21"/>
                      <w:szCs w:val="21"/>
                      <w:highlight w:val="none"/>
                      <w:lang w:val="en-US" w:eastAsia="zh-CN"/>
                    </w:rPr>
                    <w:t>达标情况</w:t>
                  </w:r>
                </w:p>
              </w:tc>
              <w:tc>
                <w:tcPr>
                  <w:tcW w:w="1611" w:type="dxa"/>
                  <w:tcBorders>
                    <w:tl2br w:val="nil"/>
                    <w:tr2bl w:val="nil"/>
                  </w:tcBorders>
                  <w:vAlign w:val="center"/>
                </w:tcPr>
                <w:p w14:paraId="2C76A57D">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zCs w:val="21"/>
                      <w:highlight w:val="none"/>
                      <w:lang w:val="en-US" w:eastAsia="zh-CN"/>
                    </w:rPr>
                    <w:t>达标</w:t>
                  </w:r>
                </w:p>
              </w:tc>
              <w:tc>
                <w:tcPr>
                  <w:tcW w:w="1611" w:type="dxa"/>
                  <w:tcBorders>
                    <w:tl2br w:val="nil"/>
                    <w:tr2bl w:val="nil"/>
                  </w:tcBorders>
                  <w:vAlign w:val="center"/>
                </w:tcPr>
                <w:p w14:paraId="5C043DE4">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zCs w:val="21"/>
                      <w:highlight w:val="none"/>
                      <w:lang w:val="en-US" w:eastAsia="zh-CN"/>
                    </w:rPr>
                    <w:t>达标</w:t>
                  </w:r>
                </w:p>
              </w:tc>
              <w:tc>
                <w:tcPr>
                  <w:tcW w:w="1611" w:type="dxa"/>
                  <w:tcBorders>
                    <w:tl2br w:val="nil"/>
                    <w:tr2bl w:val="nil"/>
                  </w:tcBorders>
                  <w:vAlign w:val="center"/>
                </w:tcPr>
                <w:p w14:paraId="16C9DA67">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zCs w:val="21"/>
                      <w:highlight w:val="none"/>
                      <w:lang w:val="en-US" w:eastAsia="zh-CN"/>
                    </w:rPr>
                    <w:t>达标</w:t>
                  </w:r>
                </w:p>
              </w:tc>
              <w:tc>
                <w:tcPr>
                  <w:tcW w:w="1614" w:type="dxa"/>
                  <w:tcBorders>
                    <w:tl2br w:val="nil"/>
                    <w:tr2bl w:val="nil"/>
                  </w:tcBorders>
                  <w:vAlign w:val="center"/>
                </w:tcPr>
                <w:p w14:paraId="0A242263">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zCs w:val="21"/>
                      <w:highlight w:val="none"/>
                      <w:lang w:val="en-US" w:eastAsia="zh-CN"/>
                    </w:rPr>
                    <w:t>达标</w:t>
                  </w:r>
                </w:p>
              </w:tc>
            </w:tr>
          </w:tbl>
          <w:p w14:paraId="757675FB">
            <w:pPr>
              <w:numPr>
                <w:ilvl w:val="0"/>
                <w:numId w:val="0"/>
              </w:numPr>
              <w:ind w:leftChars="0"/>
              <w:jc w:val="both"/>
              <w:rPr>
                <w:rFonts w:hint="default" w:ascii="Times New Roman" w:hAnsi="Times New Roman" w:eastAsia="宋体" w:cs="Times New Roman"/>
                <w:b/>
                <w:bCs/>
                <w:sz w:val="24"/>
                <w:highlight w:val="none"/>
              </w:rPr>
            </w:pPr>
          </w:p>
          <w:p w14:paraId="45CC6BB2">
            <w:pPr>
              <w:numPr>
                <w:ilvl w:val="0"/>
                <w:numId w:val="38"/>
              </w:numPr>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北京市202</w:t>
            </w:r>
            <w:r>
              <w:rPr>
                <w:rFonts w:hint="default" w:ascii="Times New Roman" w:hAnsi="Times New Roman" w:eastAsia="宋体" w:cs="Times New Roman"/>
                <w:b/>
                <w:bCs/>
                <w:sz w:val="24"/>
                <w:highlight w:val="none"/>
                <w:lang w:val="en-US" w:eastAsia="zh-CN"/>
              </w:rPr>
              <w:t>4</w:t>
            </w:r>
            <w:r>
              <w:rPr>
                <w:rFonts w:hint="default" w:ascii="Times New Roman" w:hAnsi="Times New Roman" w:eastAsia="宋体" w:cs="Times New Roman"/>
                <w:b/>
                <w:bCs/>
                <w:sz w:val="24"/>
                <w:highlight w:val="none"/>
              </w:rPr>
              <w:t>年环境空气质量数据</w:t>
            </w:r>
          </w:p>
          <w:tbl>
            <w:tblPr>
              <w:tblStyle w:val="44"/>
              <w:tblW w:w="8008" w:type="dxa"/>
              <w:tblInd w:w="4" w:type="dxa"/>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1021"/>
              <w:gridCol w:w="949"/>
              <w:gridCol w:w="1080"/>
              <w:gridCol w:w="1003"/>
              <w:gridCol w:w="1157"/>
              <w:gridCol w:w="1631"/>
              <w:gridCol w:w="1167"/>
            </w:tblGrid>
            <w:tr w14:paraId="6DFCBCDD">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1021" w:type="dxa"/>
                  <w:tcBorders>
                    <w:tl2br w:val="nil"/>
                    <w:tr2bl w:val="nil"/>
                  </w:tcBorders>
                  <w:vAlign w:val="center"/>
                </w:tcPr>
                <w:p w14:paraId="4E4C75B0">
                  <w:pPr>
                    <w:pStyle w:val="43"/>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pacing w:val="2"/>
                      <w:sz w:val="21"/>
                      <w:szCs w:val="21"/>
                      <w:highlight w:val="none"/>
                    </w:rPr>
                    <w:t>项目</w:t>
                  </w:r>
                </w:p>
              </w:tc>
              <w:tc>
                <w:tcPr>
                  <w:tcW w:w="949" w:type="dxa"/>
                  <w:tcBorders>
                    <w:tl2br w:val="nil"/>
                    <w:tr2bl w:val="nil"/>
                  </w:tcBorders>
                  <w:vAlign w:val="center"/>
                </w:tcPr>
                <w:p w14:paraId="664BBB99">
                  <w:pPr>
                    <w:jc w:val="center"/>
                    <w:rPr>
                      <w:rFonts w:hint="default" w:ascii="Times New Roman" w:hAnsi="Times New Roman" w:eastAsia="宋体" w:cs="Times New Roman"/>
                      <w:b/>
                      <w:bCs/>
                      <w:spacing w:val="6"/>
                      <w:position w:val="-1"/>
                      <w:szCs w:val="21"/>
                      <w:highlight w:val="none"/>
                    </w:rPr>
                  </w:pPr>
                  <w:r>
                    <w:rPr>
                      <w:rFonts w:hint="default" w:ascii="Times New Roman" w:hAnsi="Times New Roman" w:eastAsia="宋体" w:cs="Times New Roman"/>
                      <w:b/>
                      <w:bCs/>
                      <w:szCs w:val="21"/>
                      <w:highlight w:val="none"/>
                    </w:rPr>
                    <w:t>SO</w:t>
                  </w:r>
                  <w:r>
                    <w:rPr>
                      <w:rFonts w:hint="default" w:ascii="Times New Roman" w:hAnsi="Times New Roman" w:eastAsia="宋体" w:cs="Times New Roman"/>
                      <w:b/>
                      <w:bCs/>
                      <w:spacing w:val="6"/>
                      <w:position w:val="-1"/>
                      <w:szCs w:val="21"/>
                      <w:highlight w:val="none"/>
                      <w:vertAlign w:val="subscript"/>
                    </w:rPr>
                    <w:t>2</w:t>
                  </w:r>
                </w:p>
                <w:p w14:paraId="0268D48C">
                  <w:pPr>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pacing w:val="3"/>
                      <w:szCs w:val="21"/>
                      <w:highlight w:val="none"/>
                    </w:rPr>
                    <w:t>(μg/m</w:t>
                  </w:r>
                  <w:r>
                    <w:rPr>
                      <w:rFonts w:hint="default" w:ascii="Times New Roman" w:hAnsi="Times New Roman" w:eastAsia="宋体" w:cs="Times New Roman"/>
                      <w:b/>
                      <w:bCs/>
                      <w:szCs w:val="21"/>
                      <w:highlight w:val="none"/>
                      <w:vertAlign w:val="superscript"/>
                    </w:rPr>
                    <w:t>3</w:t>
                  </w:r>
                  <w:r>
                    <w:rPr>
                      <w:rFonts w:hint="default" w:ascii="Times New Roman" w:hAnsi="Times New Roman" w:eastAsia="宋体" w:cs="Times New Roman"/>
                      <w:b/>
                      <w:bCs/>
                      <w:spacing w:val="3"/>
                      <w:szCs w:val="21"/>
                      <w:highlight w:val="none"/>
                    </w:rPr>
                    <w:t>)</w:t>
                  </w:r>
                </w:p>
              </w:tc>
              <w:tc>
                <w:tcPr>
                  <w:tcW w:w="1080" w:type="dxa"/>
                  <w:tcBorders>
                    <w:tl2br w:val="nil"/>
                    <w:tr2bl w:val="nil"/>
                  </w:tcBorders>
                  <w:vAlign w:val="center"/>
                </w:tcPr>
                <w:p w14:paraId="0AAEAAEC">
                  <w:pPr>
                    <w:jc w:val="center"/>
                    <w:rPr>
                      <w:rFonts w:hint="default" w:ascii="Times New Roman" w:hAnsi="Times New Roman" w:eastAsia="宋体" w:cs="Times New Roman"/>
                      <w:b/>
                      <w:bCs/>
                      <w:spacing w:val="14"/>
                      <w:position w:val="-1"/>
                      <w:szCs w:val="21"/>
                      <w:highlight w:val="none"/>
                    </w:rPr>
                  </w:pPr>
                  <w:r>
                    <w:rPr>
                      <w:rFonts w:hint="default" w:ascii="Times New Roman" w:hAnsi="Times New Roman" w:eastAsia="宋体" w:cs="Times New Roman"/>
                      <w:b/>
                      <w:bCs/>
                      <w:szCs w:val="21"/>
                      <w:highlight w:val="none"/>
                    </w:rPr>
                    <w:t>NO</w:t>
                  </w:r>
                  <w:r>
                    <w:rPr>
                      <w:rFonts w:hint="default" w:ascii="Times New Roman" w:hAnsi="Times New Roman" w:eastAsia="宋体" w:cs="Times New Roman"/>
                      <w:b/>
                      <w:bCs/>
                      <w:spacing w:val="14"/>
                      <w:position w:val="-1"/>
                      <w:szCs w:val="21"/>
                      <w:highlight w:val="none"/>
                      <w:vertAlign w:val="subscript"/>
                    </w:rPr>
                    <w:t>2</w:t>
                  </w:r>
                </w:p>
                <w:p w14:paraId="69DFCBB8">
                  <w:pPr>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pacing w:val="2"/>
                      <w:szCs w:val="21"/>
                      <w:highlight w:val="none"/>
                    </w:rPr>
                    <w:t>(μg/m</w:t>
                  </w:r>
                  <w:r>
                    <w:rPr>
                      <w:rFonts w:hint="default" w:ascii="Times New Roman" w:hAnsi="Times New Roman" w:eastAsia="宋体" w:cs="Times New Roman"/>
                      <w:b/>
                      <w:bCs/>
                      <w:szCs w:val="21"/>
                      <w:highlight w:val="none"/>
                      <w:vertAlign w:val="superscript"/>
                    </w:rPr>
                    <w:t>3</w:t>
                  </w:r>
                  <w:r>
                    <w:rPr>
                      <w:rFonts w:hint="default" w:ascii="Times New Roman" w:hAnsi="Times New Roman" w:eastAsia="宋体" w:cs="Times New Roman"/>
                      <w:b/>
                      <w:bCs/>
                      <w:spacing w:val="2"/>
                      <w:szCs w:val="21"/>
                      <w:highlight w:val="none"/>
                    </w:rPr>
                    <w:t>)</w:t>
                  </w:r>
                </w:p>
              </w:tc>
              <w:tc>
                <w:tcPr>
                  <w:tcW w:w="1003" w:type="dxa"/>
                  <w:tcBorders>
                    <w:tl2br w:val="nil"/>
                    <w:tr2bl w:val="nil"/>
                  </w:tcBorders>
                  <w:vAlign w:val="center"/>
                </w:tcPr>
                <w:p w14:paraId="49973437">
                  <w:pPr>
                    <w:pStyle w:val="43"/>
                    <w:jc w:val="center"/>
                    <w:rPr>
                      <w:rFonts w:hint="default" w:ascii="Times New Roman" w:hAnsi="Times New Roman" w:eastAsia="宋体" w:cs="Times New Roman"/>
                      <w:b/>
                      <w:bCs/>
                      <w:spacing w:val="9"/>
                      <w:position w:val="-1"/>
                      <w:sz w:val="21"/>
                      <w:szCs w:val="21"/>
                      <w:highlight w:val="none"/>
                    </w:rPr>
                  </w:pPr>
                  <w:r>
                    <w:rPr>
                      <w:rFonts w:hint="default" w:ascii="Times New Roman" w:hAnsi="Times New Roman" w:eastAsia="宋体" w:cs="Times New Roman"/>
                      <w:b/>
                      <w:bCs/>
                      <w:sz w:val="21"/>
                      <w:szCs w:val="21"/>
                      <w:highlight w:val="none"/>
                    </w:rPr>
                    <w:t>PM</w:t>
                  </w:r>
                  <w:r>
                    <w:rPr>
                      <w:rFonts w:hint="default" w:ascii="Times New Roman" w:hAnsi="Times New Roman" w:eastAsia="宋体" w:cs="Times New Roman"/>
                      <w:b/>
                      <w:bCs/>
                      <w:spacing w:val="9"/>
                      <w:position w:val="-1"/>
                      <w:sz w:val="21"/>
                      <w:szCs w:val="21"/>
                      <w:highlight w:val="none"/>
                      <w:vertAlign w:val="subscript"/>
                    </w:rPr>
                    <w:t>10</w:t>
                  </w:r>
                </w:p>
                <w:p w14:paraId="48BAFF7E">
                  <w:pPr>
                    <w:pStyle w:val="43"/>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(μg/m</w:t>
                  </w:r>
                  <w:r>
                    <w:rPr>
                      <w:rFonts w:hint="default" w:ascii="Times New Roman" w:hAnsi="Times New Roman" w:eastAsia="宋体" w:cs="Times New Roman"/>
                      <w:b/>
                      <w:bCs/>
                      <w:sz w:val="21"/>
                      <w:szCs w:val="21"/>
                      <w:highlight w:val="none"/>
                      <w:vertAlign w:val="superscript"/>
                      <w:lang w:eastAsia="zh-CN"/>
                    </w:rPr>
                    <w:t>3</w:t>
                  </w:r>
                  <w:r>
                    <w:rPr>
                      <w:rFonts w:hint="default" w:ascii="Times New Roman" w:hAnsi="Times New Roman" w:eastAsia="宋体" w:cs="Times New Roman"/>
                      <w:b/>
                      <w:bCs/>
                      <w:sz w:val="21"/>
                      <w:szCs w:val="21"/>
                      <w:highlight w:val="none"/>
                    </w:rPr>
                    <w:t>）</w:t>
                  </w:r>
                </w:p>
              </w:tc>
              <w:tc>
                <w:tcPr>
                  <w:tcW w:w="1157" w:type="dxa"/>
                  <w:tcBorders>
                    <w:tl2br w:val="nil"/>
                    <w:tr2bl w:val="nil"/>
                  </w:tcBorders>
                  <w:vAlign w:val="center"/>
                </w:tcPr>
                <w:p w14:paraId="48E852A0">
                  <w:pPr>
                    <w:pStyle w:val="43"/>
                    <w:jc w:val="center"/>
                    <w:rPr>
                      <w:rFonts w:hint="default" w:ascii="Times New Roman" w:hAnsi="Times New Roman" w:eastAsia="宋体" w:cs="Times New Roman"/>
                      <w:b/>
                      <w:bCs/>
                      <w:spacing w:val="6"/>
                      <w:position w:val="-1"/>
                      <w:sz w:val="21"/>
                      <w:szCs w:val="21"/>
                      <w:highlight w:val="none"/>
                    </w:rPr>
                  </w:pPr>
                  <w:r>
                    <w:rPr>
                      <w:rFonts w:hint="default" w:ascii="Times New Roman" w:hAnsi="Times New Roman" w:eastAsia="宋体" w:cs="Times New Roman"/>
                      <w:b/>
                      <w:bCs/>
                      <w:sz w:val="21"/>
                      <w:szCs w:val="21"/>
                      <w:highlight w:val="none"/>
                    </w:rPr>
                    <w:t>PM</w:t>
                  </w:r>
                  <w:r>
                    <w:rPr>
                      <w:rFonts w:hint="default" w:ascii="Times New Roman" w:hAnsi="Times New Roman" w:eastAsia="宋体" w:cs="Times New Roman"/>
                      <w:b/>
                      <w:bCs/>
                      <w:spacing w:val="6"/>
                      <w:position w:val="-1"/>
                      <w:sz w:val="21"/>
                      <w:szCs w:val="21"/>
                      <w:highlight w:val="none"/>
                      <w:vertAlign w:val="subscript"/>
                    </w:rPr>
                    <w:t>2.5</w:t>
                  </w:r>
                </w:p>
                <w:p w14:paraId="13B69367">
                  <w:pPr>
                    <w:pStyle w:val="43"/>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(μg/m</w:t>
                  </w:r>
                  <w:r>
                    <w:rPr>
                      <w:rFonts w:hint="default" w:ascii="Times New Roman" w:hAnsi="Times New Roman" w:eastAsia="宋体" w:cs="Times New Roman"/>
                      <w:b/>
                      <w:bCs/>
                      <w:sz w:val="21"/>
                      <w:szCs w:val="21"/>
                      <w:highlight w:val="none"/>
                      <w:vertAlign w:val="superscript"/>
                      <w:lang w:eastAsia="zh-CN"/>
                    </w:rPr>
                    <w:t>3</w:t>
                  </w:r>
                  <w:r>
                    <w:rPr>
                      <w:rFonts w:hint="default" w:ascii="Times New Roman" w:hAnsi="Times New Roman" w:eastAsia="宋体" w:cs="Times New Roman"/>
                      <w:b/>
                      <w:bCs/>
                      <w:sz w:val="21"/>
                      <w:szCs w:val="21"/>
                      <w:highlight w:val="none"/>
                    </w:rPr>
                    <w:t>）</w:t>
                  </w:r>
                </w:p>
              </w:tc>
              <w:tc>
                <w:tcPr>
                  <w:tcW w:w="1631" w:type="dxa"/>
                  <w:tcBorders>
                    <w:tl2br w:val="nil"/>
                    <w:tr2bl w:val="nil"/>
                  </w:tcBorders>
                  <w:vAlign w:val="center"/>
                </w:tcPr>
                <w:p w14:paraId="5E4190A3">
                  <w:pPr>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CO</w:t>
                  </w:r>
                  <w:r>
                    <w:rPr>
                      <w:rFonts w:hint="default" w:ascii="Times New Roman" w:hAnsi="Times New Roman" w:eastAsia="宋体" w:cs="Times New Roman"/>
                      <w:b/>
                      <w:bCs/>
                      <w:spacing w:val="7"/>
                      <w:szCs w:val="21"/>
                      <w:highlight w:val="none"/>
                    </w:rPr>
                    <w:t>-24h-95</w:t>
                  </w:r>
                  <w:r>
                    <w:rPr>
                      <w:rFonts w:hint="default" w:ascii="Times New Roman" w:hAnsi="Times New Roman" w:eastAsia="宋体" w:cs="Times New Roman"/>
                      <w:b/>
                      <w:bCs/>
                      <w:szCs w:val="21"/>
                      <w:highlight w:val="none"/>
                    </w:rPr>
                    <w:t>per</w:t>
                  </w:r>
                </w:p>
                <w:p w14:paraId="14569C3A">
                  <w:pPr>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pacing w:val="1"/>
                      <w:szCs w:val="21"/>
                      <w:highlight w:val="none"/>
                    </w:rPr>
                    <w:t>(μg/m</w:t>
                  </w:r>
                  <w:r>
                    <w:rPr>
                      <w:rFonts w:hint="default" w:ascii="Times New Roman" w:hAnsi="Times New Roman" w:eastAsia="宋体" w:cs="Times New Roman"/>
                      <w:b/>
                      <w:bCs/>
                      <w:szCs w:val="21"/>
                      <w:highlight w:val="none"/>
                      <w:vertAlign w:val="superscript"/>
                    </w:rPr>
                    <w:t>3</w:t>
                  </w:r>
                  <w:r>
                    <w:rPr>
                      <w:rFonts w:hint="default" w:ascii="Times New Roman" w:hAnsi="Times New Roman" w:eastAsia="宋体" w:cs="Times New Roman"/>
                      <w:b/>
                      <w:bCs/>
                      <w:spacing w:val="1"/>
                      <w:szCs w:val="21"/>
                      <w:highlight w:val="none"/>
                    </w:rPr>
                    <w:t>）</w:t>
                  </w:r>
                </w:p>
              </w:tc>
              <w:tc>
                <w:tcPr>
                  <w:tcW w:w="1167" w:type="dxa"/>
                  <w:tcBorders>
                    <w:tl2br w:val="nil"/>
                    <w:tr2bl w:val="nil"/>
                  </w:tcBorders>
                  <w:vAlign w:val="center"/>
                </w:tcPr>
                <w:p w14:paraId="59B41CD5">
                  <w:pPr>
                    <w:pStyle w:val="43"/>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pacing w:val="5"/>
                      <w:sz w:val="21"/>
                      <w:szCs w:val="21"/>
                      <w:highlight w:val="none"/>
                      <w:lang w:eastAsia="zh-CN"/>
                    </w:rPr>
                    <w:t>O</w:t>
                  </w:r>
                  <w:r>
                    <w:rPr>
                      <w:rFonts w:hint="default" w:ascii="Times New Roman" w:hAnsi="Times New Roman" w:eastAsia="宋体" w:cs="Times New Roman"/>
                      <w:b/>
                      <w:bCs/>
                      <w:spacing w:val="5"/>
                      <w:sz w:val="21"/>
                      <w:szCs w:val="21"/>
                      <w:highlight w:val="none"/>
                      <w:vertAlign w:val="subscript"/>
                      <w:lang w:eastAsia="zh-CN"/>
                    </w:rPr>
                    <w:t>3</w:t>
                  </w:r>
                  <w:r>
                    <w:rPr>
                      <w:rFonts w:hint="default" w:ascii="Times New Roman" w:hAnsi="Times New Roman" w:eastAsia="宋体" w:cs="Times New Roman"/>
                      <w:b/>
                      <w:bCs/>
                      <w:spacing w:val="5"/>
                      <w:sz w:val="21"/>
                      <w:szCs w:val="21"/>
                      <w:highlight w:val="none"/>
                      <w:lang w:eastAsia="zh-CN"/>
                    </w:rPr>
                    <w:t>-8h-90</w:t>
                  </w:r>
                  <w:r>
                    <w:rPr>
                      <w:rFonts w:hint="default" w:ascii="Times New Roman" w:hAnsi="Times New Roman" w:eastAsia="宋体" w:cs="Times New Roman"/>
                      <w:b/>
                      <w:bCs/>
                      <w:sz w:val="21"/>
                      <w:szCs w:val="21"/>
                      <w:highlight w:val="none"/>
                      <w:lang w:eastAsia="zh-CN"/>
                    </w:rPr>
                    <w:t>per</w:t>
                  </w:r>
                </w:p>
                <w:p w14:paraId="6DC30752">
                  <w:pPr>
                    <w:pStyle w:val="43"/>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pacing w:val="1"/>
                      <w:sz w:val="21"/>
                      <w:szCs w:val="21"/>
                      <w:highlight w:val="none"/>
                      <w:lang w:eastAsia="zh-CN"/>
                    </w:rPr>
                    <w:t>(</w:t>
                  </w:r>
                  <w:r>
                    <w:rPr>
                      <w:rFonts w:hint="default" w:ascii="Times New Roman" w:hAnsi="Times New Roman" w:eastAsia="宋体" w:cs="Times New Roman"/>
                      <w:b/>
                      <w:bCs/>
                      <w:spacing w:val="1"/>
                      <w:sz w:val="21"/>
                      <w:szCs w:val="21"/>
                      <w:highlight w:val="none"/>
                    </w:rPr>
                    <w:t>μ</w:t>
                  </w:r>
                  <w:r>
                    <w:rPr>
                      <w:rFonts w:hint="default" w:ascii="Times New Roman" w:hAnsi="Times New Roman" w:eastAsia="宋体" w:cs="Times New Roman"/>
                      <w:b/>
                      <w:bCs/>
                      <w:spacing w:val="1"/>
                      <w:sz w:val="21"/>
                      <w:szCs w:val="21"/>
                      <w:highlight w:val="none"/>
                      <w:lang w:eastAsia="zh-CN"/>
                    </w:rPr>
                    <w:t>g/m</w:t>
                  </w:r>
                  <w:r>
                    <w:rPr>
                      <w:rFonts w:hint="default" w:ascii="Times New Roman" w:hAnsi="Times New Roman" w:eastAsia="宋体" w:cs="Times New Roman"/>
                      <w:b/>
                      <w:bCs/>
                      <w:sz w:val="21"/>
                      <w:szCs w:val="21"/>
                      <w:highlight w:val="none"/>
                      <w:vertAlign w:val="superscript"/>
                      <w:lang w:eastAsia="zh-CN"/>
                    </w:rPr>
                    <w:t>3</w:t>
                  </w:r>
                  <w:r>
                    <w:rPr>
                      <w:rFonts w:hint="default" w:ascii="Times New Roman" w:hAnsi="Times New Roman" w:eastAsia="宋体" w:cs="Times New Roman"/>
                      <w:b/>
                      <w:bCs/>
                      <w:spacing w:val="1"/>
                      <w:sz w:val="21"/>
                      <w:szCs w:val="21"/>
                      <w:highlight w:val="none"/>
                      <w:lang w:eastAsia="zh-CN"/>
                    </w:rPr>
                    <w:t>）</w:t>
                  </w:r>
                </w:p>
              </w:tc>
            </w:tr>
            <w:tr w14:paraId="5D5C6A57">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1021" w:type="dxa"/>
                  <w:tcBorders>
                    <w:tl2br w:val="nil"/>
                    <w:tr2bl w:val="nil"/>
                  </w:tcBorders>
                  <w:vAlign w:val="center"/>
                </w:tcPr>
                <w:p w14:paraId="13E64FAB">
                  <w:pPr>
                    <w:jc w:val="center"/>
                    <w:rPr>
                      <w:rFonts w:hint="default" w:ascii="Times New Roman" w:hAnsi="Times New Roman" w:eastAsia="宋体" w:cs="Times New Roman"/>
                      <w:b w:val="0"/>
                      <w:bCs w:val="0"/>
                      <w:szCs w:val="21"/>
                      <w:highlight w:val="none"/>
                      <w:lang w:val="en-US" w:eastAsia="zh-CN"/>
                    </w:rPr>
                  </w:pPr>
                  <w:r>
                    <w:rPr>
                      <w:rFonts w:hint="default" w:ascii="Times New Roman" w:hAnsi="Times New Roman" w:eastAsia="宋体" w:cs="Times New Roman"/>
                      <w:b w:val="0"/>
                      <w:bCs w:val="0"/>
                      <w:szCs w:val="21"/>
                      <w:highlight w:val="none"/>
                      <w:lang w:val="en-US" w:eastAsia="zh-CN"/>
                    </w:rPr>
                    <w:t>现状浓度</w:t>
                  </w:r>
                </w:p>
              </w:tc>
              <w:tc>
                <w:tcPr>
                  <w:tcW w:w="949" w:type="dxa"/>
                  <w:tcBorders>
                    <w:tl2br w:val="nil"/>
                    <w:tr2bl w:val="nil"/>
                  </w:tcBorders>
                  <w:vAlign w:val="center"/>
                </w:tcPr>
                <w:p w14:paraId="058AFD76">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zCs w:val="21"/>
                      <w:highlight w:val="none"/>
                    </w:rPr>
                    <w:t>3</w:t>
                  </w:r>
                </w:p>
              </w:tc>
              <w:tc>
                <w:tcPr>
                  <w:tcW w:w="1080" w:type="dxa"/>
                  <w:tcBorders>
                    <w:tl2br w:val="nil"/>
                    <w:tr2bl w:val="nil"/>
                  </w:tcBorders>
                  <w:vAlign w:val="center"/>
                </w:tcPr>
                <w:p w14:paraId="402A3D08">
                  <w:pPr>
                    <w:jc w:val="center"/>
                    <w:rPr>
                      <w:rFonts w:hint="default" w:ascii="Times New Roman" w:hAnsi="Times New Roman" w:eastAsia="宋体" w:cs="Times New Roman"/>
                      <w:b w:val="0"/>
                      <w:bCs w:val="0"/>
                      <w:szCs w:val="21"/>
                      <w:highlight w:val="none"/>
                      <w:lang w:val="en-US" w:eastAsia="zh-CN"/>
                    </w:rPr>
                  </w:pPr>
                  <w:r>
                    <w:rPr>
                      <w:rFonts w:hint="default" w:ascii="Times New Roman" w:hAnsi="Times New Roman" w:eastAsia="宋体" w:cs="Times New Roman"/>
                      <w:b w:val="0"/>
                      <w:bCs w:val="0"/>
                      <w:spacing w:val="2"/>
                      <w:szCs w:val="21"/>
                      <w:highlight w:val="none"/>
                    </w:rPr>
                    <w:t>2</w:t>
                  </w:r>
                  <w:r>
                    <w:rPr>
                      <w:rFonts w:hint="default" w:ascii="Times New Roman" w:hAnsi="Times New Roman" w:eastAsia="宋体" w:cs="Times New Roman"/>
                      <w:b w:val="0"/>
                      <w:bCs w:val="0"/>
                      <w:spacing w:val="2"/>
                      <w:szCs w:val="21"/>
                      <w:highlight w:val="none"/>
                      <w:lang w:val="en-US" w:eastAsia="zh-CN"/>
                    </w:rPr>
                    <w:t>4</w:t>
                  </w:r>
                </w:p>
              </w:tc>
              <w:tc>
                <w:tcPr>
                  <w:tcW w:w="1003" w:type="dxa"/>
                  <w:tcBorders>
                    <w:tl2br w:val="nil"/>
                    <w:tr2bl w:val="nil"/>
                  </w:tcBorders>
                  <w:vAlign w:val="center"/>
                </w:tcPr>
                <w:p w14:paraId="2F743958">
                  <w:pPr>
                    <w:jc w:val="center"/>
                    <w:rPr>
                      <w:rFonts w:hint="default" w:ascii="Times New Roman" w:hAnsi="Times New Roman" w:eastAsia="宋体" w:cs="Times New Roman"/>
                      <w:b w:val="0"/>
                      <w:bCs w:val="0"/>
                      <w:szCs w:val="21"/>
                      <w:highlight w:val="none"/>
                      <w:lang w:val="en-US" w:eastAsia="zh-CN"/>
                    </w:rPr>
                  </w:pPr>
                  <w:r>
                    <w:rPr>
                      <w:rFonts w:hint="default" w:ascii="Times New Roman" w:hAnsi="Times New Roman" w:eastAsia="宋体" w:cs="Times New Roman"/>
                      <w:b w:val="0"/>
                      <w:bCs w:val="0"/>
                      <w:szCs w:val="21"/>
                      <w:highlight w:val="none"/>
                      <w:lang w:val="en-US" w:eastAsia="zh-CN"/>
                    </w:rPr>
                    <w:t>54</w:t>
                  </w:r>
                </w:p>
              </w:tc>
              <w:tc>
                <w:tcPr>
                  <w:tcW w:w="1157" w:type="dxa"/>
                  <w:tcBorders>
                    <w:tl2br w:val="nil"/>
                    <w:tr2bl w:val="nil"/>
                  </w:tcBorders>
                  <w:vAlign w:val="center"/>
                </w:tcPr>
                <w:p w14:paraId="18C8ABDB">
                  <w:pPr>
                    <w:jc w:val="center"/>
                    <w:rPr>
                      <w:rFonts w:hint="default" w:ascii="Times New Roman" w:hAnsi="Times New Roman" w:eastAsia="宋体" w:cs="Times New Roman"/>
                      <w:b w:val="0"/>
                      <w:bCs w:val="0"/>
                      <w:szCs w:val="21"/>
                      <w:highlight w:val="none"/>
                      <w:lang w:val="en-US" w:eastAsia="zh-CN"/>
                    </w:rPr>
                  </w:pPr>
                  <w:r>
                    <w:rPr>
                      <w:rFonts w:hint="default" w:ascii="Times New Roman" w:hAnsi="Times New Roman" w:eastAsia="宋体" w:cs="Times New Roman"/>
                      <w:b w:val="0"/>
                      <w:bCs w:val="0"/>
                      <w:szCs w:val="21"/>
                      <w:highlight w:val="none"/>
                    </w:rPr>
                    <w:t>3</w:t>
                  </w:r>
                  <w:r>
                    <w:rPr>
                      <w:rFonts w:hint="default" w:ascii="Times New Roman" w:hAnsi="Times New Roman" w:eastAsia="宋体" w:cs="Times New Roman"/>
                      <w:b w:val="0"/>
                      <w:bCs w:val="0"/>
                      <w:szCs w:val="21"/>
                      <w:highlight w:val="none"/>
                      <w:lang w:val="en-US" w:eastAsia="zh-CN"/>
                    </w:rPr>
                    <w:t>0.5</w:t>
                  </w:r>
                </w:p>
              </w:tc>
              <w:tc>
                <w:tcPr>
                  <w:tcW w:w="1631" w:type="dxa"/>
                  <w:tcBorders>
                    <w:tl2br w:val="nil"/>
                    <w:tr2bl w:val="nil"/>
                  </w:tcBorders>
                  <w:vAlign w:val="center"/>
                </w:tcPr>
                <w:p w14:paraId="65759D97">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pacing w:val="2"/>
                      <w:szCs w:val="21"/>
                      <w:highlight w:val="none"/>
                    </w:rPr>
                    <w:t>900</w:t>
                  </w:r>
                </w:p>
              </w:tc>
              <w:tc>
                <w:tcPr>
                  <w:tcW w:w="1167" w:type="dxa"/>
                  <w:tcBorders>
                    <w:tl2br w:val="nil"/>
                    <w:tr2bl w:val="nil"/>
                  </w:tcBorders>
                  <w:vAlign w:val="center"/>
                </w:tcPr>
                <w:p w14:paraId="6C2B8A10">
                  <w:pPr>
                    <w:jc w:val="center"/>
                    <w:rPr>
                      <w:rFonts w:hint="default" w:ascii="Times New Roman" w:hAnsi="Times New Roman" w:eastAsia="宋体" w:cs="Times New Roman"/>
                      <w:b w:val="0"/>
                      <w:bCs w:val="0"/>
                      <w:szCs w:val="21"/>
                      <w:highlight w:val="none"/>
                      <w:lang w:val="en-US" w:eastAsia="zh-CN"/>
                    </w:rPr>
                  </w:pPr>
                  <w:r>
                    <w:rPr>
                      <w:rFonts w:hint="default" w:ascii="Times New Roman" w:hAnsi="Times New Roman" w:eastAsia="宋体" w:cs="Times New Roman"/>
                      <w:b w:val="0"/>
                      <w:bCs w:val="0"/>
                      <w:spacing w:val="-3"/>
                      <w:szCs w:val="21"/>
                      <w:highlight w:val="none"/>
                    </w:rPr>
                    <w:t>17</w:t>
                  </w:r>
                  <w:r>
                    <w:rPr>
                      <w:rFonts w:hint="default" w:ascii="Times New Roman" w:hAnsi="Times New Roman" w:eastAsia="宋体" w:cs="Times New Roman"/>
                      <w:b w:val="0"/>
                      <w:bCs w:val="0"/>
                      <w:spacing w:val="-3"/>
                      <w:szCs w:val="21"/>
                      <w:highlight w:val="none"/>
                      <w:lang w:val="en-US" w:eastAsia="zh-CN"/>
                    </w:rPr>
                    <w:t>1</w:t>
                  </w:r>
                </w:p>
              </w:tc>
            </w:tr>
            <w:tr w14:paraId="57E532F0">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1021" w:type="dxa"/>
                  <w:tcBorders>
                    <w:tl2br w:val="nil"/>
                    <w:tr2bl w:val="nil"/>
                  </w:tcBorders>
                  <w:vAlign w:val="center"/>
                </w:tcPr>
                <w:p w14:paraId="10893302">
                  <w:pPr>
                    <w:jc w:val="center"/>
                    <w:rPr>
                      <w:rFonts w:hint="default" w:ascii="Times New Roman" w:hAnsi="Times New Roman" w:eastAsia="宋体" w:cs="Times New Roman"/>
                      <w:b w:val="0"/>
                      <w:bCs w:val="0"/>
                      <w:szCs w:val="21"/>
                      <w:highlight w:val="none"/>
                      <w:lang w:val="en-US" w:eastAsia="zh-CN"/>
                    </w:rPr>
                  </w:pPr>
                  <w:r>
                    <w:rPr>
                      <w:rFonts w:hint="default" w:ascii="Times New Roman" w:hAnsi="Times New Roman" w:eastAsia="宋体" w:cs="Times New Roman"/>
                      <w:b w:val="0"/>
                      <w:bCs w:val="0"/>
                      <w:szCs w:val="21"/>
                      <w:highlight w:val="none"/>
                      <w:lang w:val="en-US" w:eastAsia="zh-CN"/>
                    </w:rPr>
                    <w:t>平均时间</w:t>
                  </w:r>
                </w:p>
              </w:tc>
              <w:tc>
                <w:tcPr>
                  <w:tcW w:w="2029" w:type="dxa"/>
                  <w:gridSpan w:val="2"/>
                  <w:tcBorders>
                    <w:tl2br w:val="nil"/>
                    <w:tr2bl w:val="nil"/>
                  </w:tcBorders>
                  <w:vAlign w:val="center"/>
                </w:tcPr>
                <w:p w14:paraId="1961369D">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zCs w:val="21"/>
                      <w:highlight w:val="none"/>
                    </w:rPr>
                    <w:t>年均值</w:t>
                  </w:r>
                </w:p>
              </w:tc>
              <w:tc>
                <w:tcPr>
                  <w:tcW w:w="2160" w:type="dxa"/>
                  <w:gridSpan w:val="2"/>
                  <w:tcBorders>
                    <w:tl2br w:val="nil"/>
                    <w:tr2bl w:val="nil"/>
                  </w:tcBorders>
                  <w:vAlign w:val="center"/>
                </w:tcPr>
                <w:p w14:paraId="3330F065">
                  <w:pPr>
                    <w:jc w:val="center"/>
                    <w:rPr>
                      <w:rFonts w:hint="default" w:ascii="Times New Roman" w:hAnsi="Times New Roman" w:eastAsia="宋体" w:cs="Times New Roman"/>
                      <w:b w:val="0"/>
                      <w:bCs w:val="0"/>
                      <w:spacing w:val="2"/>
                      <w:szCs w:val="21"/>
                      <w:highlight w:val="none"/>
                      <w:lang w:val="en-US" w:eastAsia="zh-CN"/>
                    </w:rPr>
                  </w:pPr>
                  <w:r>
                    <w:rPr>
                      <w:rFonts w:hint="default" w:ascii="Times New Roman" w:hAnsi="Times New Roman" w:eastAsia="宋体" w:cs="Times New Roman"/>
                      <w:b w:val="0"/>
                      <w:bCs w:val="0"/>
                      <w:spacing w:val="2"/>
                      <w:szCs w:val="21"/>
                      <w:highlight w:val="none"/>
                      <w:lang w:val="en-US" w:eastAsia="zh-CN"/>
                    </w:rPr>
                    <w:t>24小时平均</w:t>
                  </w:r>
                </w:p>
              </w:tc>
              <w:tc>
                <w:tcPr>
                  <w:tcW w:w="2798" w:type="dxa"/>
                  <w:gridSpan w:val="2"/>
                  <w:tcBorders>
                    <w:tl2br w:val="nil"/>
                    <w:tr2bl w:val="nil"/>
                  </w:tcBorders>
                  <w:vAlign w:val="center"/>
                </w:tcPr>
                <w:p w14:paraId="0C8A87C9">
                  <w:pPr>
                    <w:jc w:val="center"/>
                    <w:rPr>
                      <w:rFonts w:hint="default" w:ascii="Times New Roman" w:hAnsi="Times New Roman" w:eastAsia="宋体" w:cs="Times New Roman"/>
                      <w:b w:val="0"/>
                      <w:bCs w:val="0"/>
                      <w:spacing w:val="-3"/>
                      <w:szCs w:val="21"/>
                      <w:highlight w:val="none"/>
                      <w:lang w:val="en-US" w:eastAsia="zh-CN"/>
                    </w:rPr>
                  </w:pPr>
                  <w:r>
                    <w:rPr>
                      <w:rFonts w:hint="default" w:ascii="Times New Roman" w:hAnsi="Times New Roman" w:eastAsia="宋体" w:cs="Times New Roman"/>
                      <w:b w:val="0"/>
                      <w:bCs w:val="0"/>
                      <w:spacing w:val="-3"/>
                      <w:szCs w:val="21"/>
                      <w:highlight w:val="none"/>
                      <w:lang w:val="en-US" w:eastAsia="zh-CN"/>
                    </w:rPr>
                    <w:t>日最大8小时平均</w:t>
                  </w:r>
                </w:p>
              </w:tc>
            </w:tr>
            <w:tr w14:paraId="1F60BB4B">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1021" w:type="dxa"/>
                  <w:tcBorders>
                    <w:tl2br w:val="nil"/>
                    <w:tr2bl w:val="nil"/>
                  </w:tcBorders>
                  <w:vAlign w:val="center"/>
                </w:tcPr>
                <w:p w14:paraId="3D68866A">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zCs w:val="21"/>
                      <w:highlight w:val="none"/>
                    </w:rPr>
                    <w:t>标准值</w:t>
                  </w:r>
                </w:p>
              </w:tc>
              <w:tc>
                <w:tcPr>
                  <w:tcW w:w="949" w:type="dxa"/>
                  <w:tcBorders>
                    <w:tl2br w:val="nil"/>
                    <w:tr2bl w:val="nil"/>
                  </w:tcBorders>
                  <w:vAlign w:val="center"/>
                </w:tcPr>
                <w:p w14:paraId="6DF95F2E">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zCs w:val="21"/>
                      <w:highlight w:val="none"/>
                    </w:rPr>
                    <w:t>60</w:t>
                  </w:r>
                </w:p>
              </w:tc>
              <w:tc>
                <w:tcPr>
                  <w:tcW w:w="1080" w:type="dxa"/>
                  <w:tcBorders>
                    <w:tl2br w:val="nil"/>
                    <w:tr2bl w:val="nil"/>
                  </w:tcBorders>
                  <w:vAlign w:val="center"/>
                </w:tcPr>
                <w:p w14:paraId="12C55D47">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pacing w:val="3"/>
                      <w:szCs w:val="21"/>
                      <w:highlight w:val="none"/>
                    </w:rPr>
                    <w:t>40</w:t>
                  </w:r>
                </w:p>
              </w:tc>
              <w:tc>
                <w:tcPr>
                  <w:tcW w:w="1003" w:type="dxa"/>
                  <w:tcBorders>
                    <w:tl2br w:val="nil"/>
                    <w:tr2bl w:val="nil"/>
                  </w:tcBorders>
                  <w:vAlign w:val="center"/>
                </w:tcPr>
                <w:p w14:paraId="3898201F">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pacing w:val="1"/>
                      <w:szCs w:val="21"/>
                      <w:highlight w:val="none"/>
                    </w:rPr>
                    <w:t>70</w:t>
                  </w:r>
                </w:p>
              </w:tc>
              <w:tc>
                <w:tcPr>
                  <w:tcW w:w="1157" w:type="dxa"/>
                  <w:tcBorders>
                    <w:tl2br w:val="nil"/>
                    <w:tr2bl w:val="nil"/>
                  </w:tcBorders>
                  <w:vAlign w:val="center"/>
                </w:tcPr>
                <w:p w14:paraId="3F1508FF">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zCs w:val="21"/>
                      <w:highlight w:val="none"/>
                    </w:rPr>
                    <w:t>35</w:t>
                  </w:r>
                </w:p>
              </w:tc>
              <w:tc>
                <w:tcPr>
                  <w:tcW w:w="1631" w:type="dxa"/>
                  <w:tcBorders>
                    <w:tl2br w:val="nil"/>
                    <w:tr2bl w:val="nil"/>
                  </w:tcBorders>
                  <w:vAlign w:val="center"/>
                </w:tcPr>
                <w:p w14:paraId="25070045">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pacing w:val="4"/>
                      <w:szCs w:val="21"/>
                      <w:highlight w:val="none"/>
                    </w:rPr>
                    <w:t>4000</w:t>
                  </w:r>
                </w:p>
              </w:tc>
              <w:tc>
                <w:tcPr>
                  <w:tcW w:w="1167" w:type="dxa"/>
                  <w:tcBorders>
                    <w:tl2br w:val="nil"/>
                    <w:tr2bl w:val="nil"/>
                  </w:tcBorders>
                  <w:vAlign w:val="center"/>
                </w:tcPr>
                <w:p w14:paraId="18A2248C">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pacing w:val="-3"/>
                      <w:szCs w:val="21"/>
                      <w:highlight w:val="none"/>
                    </w:rPr>
                    <w:t>160</w:t>
                  </w:r>
                </w:p>
              </w:tc>
            </w:tr>
            <w:tr w14:paraId="4B48F169">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021" w:type="dxa"/>
                  <w:tcBorders>
                    <w:tl2br w:val="nil"/>
                    <w:tr2bl w:val="nil"/>
                  </w:tcBorders>
                  <w:vAlign w:val="center"/>
                </w:tcPr>
                <w:p w14:paraId="093D33FC">
                  <w:pPr>
                    <w:jc w:val="center"/>
                    <w:rPr>
                      <w:rFonts w:hint="default" w:ascii="Times New Roman" w:hAnsi="Times New Roman" w:eastAsia="宋体" w:cs="Times New Roman"/>
                      <w:b w:val="0"/>
                      <w:bCs w:val="0"/>
                      <w:szCs w:val="21"/>
                      <w:highlight w:val="none"/>
                      <w:lang w:eastAsia="zh-CN"/>
                    </w:rPr>
                  </w:pPr>
                  <w:r>
                    <w:rPr>
                      <w:rFonts w:hint="default" w:ascii="Times New Roman" w:hAnsi="Times New Roman" w:eastAsia="宋体" w:cs="Times New Roman"/>
                      <w:b w:val="0"/>
                      <w:bCs w:val="0"/>
                      <w:szCs w:val="21"/>
                      <w:highlight w:val="none"/>
                      <w:lang w:val="en-US" w:eastAsia="zh-CN"/>
                    </w:rPr>
                    <w:t>达标情况</w:t>
                  </w:r>
                </w:p>
              </w:tc>
              <w:tc>
                <w:tcPr>
                  <w:tcW w:w="949" w:type="dxa"/>
                  <w:tcBorders>
                    <w:tl2br w:val="nil"/>
                    <w:tr2bl w:val="nil"/>
                  </w:tcBorders>
                  <w:vAlign w:val="center"/>
                </w:tcPr>
                <w:p w14:paraId="0BFFF389">
                  <w:pPr>
                    <w:jc w:val="center"/>
                    <w:rPr>
                      <w:rFonts w:hint="default" w:ascii="Times New Roman" w:hAnsi="Times New Roman" w:eastAsia="宋体" w:cs="Times New Roman"/>
                      <w:b w:val="0"/>
                      <w:bCs w:val="0"/>
                      <w:szCs w:val="21"/>
                      <w:highlight w:val="none"/>
                      <w:lang w:eastAsia="zh-CN"/>
                    </w:rPr>
                  </w:pPr>
                  <w:r>
                    <w:rPr>
                      <w:rFonts w:hint="default" w:ascii="Times New Roman" w:hAnsi="Times New Roman" w:eastAsia="宋体" w:cs="Times New Roman"/>
                      <w:b w:val="0"/>
                      <w:bCs w:val="0"/>
                      <w:szCs w:val="21"/>
                      <w:highlight w:val="none"/>
                      <w:lang w:val="en-US" w:eastAsia="zh-CN"/>
                    </w:rPr>
                    <w:t>达标</w:t>
                  </w:r>
                </w:p>
              </w:tc>
              <w:tc>
                <w:tcPr>
                  <w:tcW w:w="1080" w:type="dxa"/>
                  <w:tcBorders>
                    <w:tl2br w:val="nil"/>
                    <w:tr2bl w:val="nil"/>
                  </w:tcBorders>
                  <w:vAlign w:val="center"/>
                </w:tcPr>
                <w:p w14:paraId="752E8FF4">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zCs w:val="21"/>
                      <w:highlight w:val="none"/>
                      <w:lang w:val="en-US" w:eastAsia="zh-CN"/>
                    </w:rPr>
                    <w:t>达标</w:t>
                  </w:r>
                </w:p>
              </w:tc>
              <w:tc>
                <w:tcPr>
                  <w:tcW w:w="1003" w:type="dxa"/>
                  <w:tcBorders>
                    <w:tl2br w:val="nil"/>
                    <w:tr2bl w:val="nil"/>
                  </w:tcBorders>
                  <w:vAlign w:val="center"/>
                </w:tcPr>
                <w:p w14:paraId="165584E5">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zCs w:val="21"/>
                      <w:highlight w:val="none"/>
                      <w:lang w:val="en-US" w:eastAsia="zh-CN"/>
                    </w:rPr>
                    <w:t>达标</w:t>
                  </w:r>
                </w:p>
              </w:tc>
              <w:tc>
                <w:tcPr>
                  <w:tcW w:w="1157" w:type="dxa"/>
                  <w:tcBorders>
                    <w:tl2br w:val="nil"/>
                    <w:tr2bl w:val="nil"/>
                  </w:tcBorders>
                  <w:vAlign w:val="center"/>
                </w:tcPr>
                <w:p w14:paraId="69D80567">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zCs w:val="21"/>
                      <w:highlight w:val="none"/>
                      <w:lang w:val="en-US" w:eastAsia="zh-CN"/>
                    </w:rPr>
                    <w:t>达标</w:t>
                  </w:r>
                </w:p>
              </w:tc>
              <w:tc>
                <w:tcPr>
                  <w:tcW w:w="1631" w:type="dxa"/>
                  <w:tcBorders>
                    <w:tl2br w:val="nil"/>
                    <w:tr2bl w:val="nil"/>
                  </w:tcBorders>
                  <w:vAlign w:val="center"/>
                </w:tcPr>
                <w:p w14:paraId="1F5433CF">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zCs w:val="21"/>
                      <w:highlight w:val="none"/>
                      <w:lang w:val="en-US" w:eastAsia="zh-CN"/>
                    </w:rPr>
                    <w:t>达标</w:t>
                  </w:r>
                </w:p>
              </w:tc>
              <w:tc>
                <w:tcPr>
                  <w:tcW w:w="1167" w:type="dxa"/>
                  <w:tcBorders>
                    <w:tl2br w:val="nil"/>
                    <w:tr2bl w:val="nil"/>
                  </w:tcBorders>
                  <w:vAlign w:val="center"/>
                </w:tcPr>
                <w:p w14:paraId="7C545B8C">
                  <w:pPr>
                    <w:jc w:val="center"/>
                    <w:rPr>
                      <w:rFonts w:hint="default" w:ascii="Times New Roman" w:hAnsi="Times New Roman" w:eastAsia="宋体" w:cs="Times New Roman"/>
                      <w:b w:val="0"/>
                      <w:bCs w:val="0"/>
                      <w:szCs w:val="21"/>
                      <w:highlight w:val="none"/>
                    </w:rPr>
                  </w:pPr>
                  <w:r>
                    <w:rPr>
                      <w:rFonts w:hint="default" w:ascii="Times New Roman" w:hAnsi="Times New Roman" w:eastAsia="宋体" w:cs="Times New Roman"/>
                      <w:b w:val="0"/>
                      <w:bCs w:val="0"/>
                      <w:szCs w:val="21"/>
                      <w:highlight w:val="none"/>
                      <w:lang w:val="en-US" w:eastAsia="zh-CN"/>
                    </w:rPr>
                    <w:t>不达标</w:t>
                  </w:r>
                </w:p>
              </w:tc>
            </w:tr>
          </w:tbl>
          <w:p w14:paraId="218031B0">
            <w:pPr>
              <w:pStyle w:val="14"/>
              <w:numPr>
                <w:ilvl w:val="0"/>
                <w:numId w:val="0"/>
              </w:numPr>
              <w:adjustRightInd w:val="0"/>
              <w:snapToGrid w:val="0"/>
              <w:spacing w:before="0" w:beforeAutospacing="0" w:after="0" w:afterAutospacing="0"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根据</w:t>
            </w:r>
            <w:r>
              <w:rPr>
                <w:rFonts w:hint="default" w:ascii="Times New Roman" w:hAnsi="Times New Roman" w:eastAsia="宋体" w:cs="Times New Roman"/>
                <w:sz w:val="24"/>
                <w:highlight w:val="none"/>
                <w:lang w:val="en-US" w:eastAsia="zh-CN"/>
              </w:rPr>
              <w:t>以上分析</w:t>
            </w:r>
            <w:r>
              <w:rPr>
                <w:rFonts w:hint="default" w:ascii="Times New Roman" w:hAnsi="Times New Roman" w:eastAsia="宋体" w:cs="Times New Roman"/>
                <w:sz w:val="24"/>
                <w:highlight w:val="none"/>
              </w:rPr>
              <w:t>可知，2024年北京经济技术开发区各污染物浓度均达到《环境空气质量标准》(GB3095-2012)限值要求，北京市</w:t>
            </w:r>
            <w:r>
              <w:rPr>
                <w:rFonts w:hint="default" w:ascii="Times New Roman" w:hAnsi="Times New Roman" w:eastAsia="宋体" w:cs="Times New Roman"/>
                <w:sz w:val="24"/>
                <w:highlight w:val="none"/>
                <w:lang w:val="en-US" w:eastAsia="zh-CN"/>
              </w:rPr>
              <w:t>O</w:t>
            </w:r>
            <w:r>
              <w:rPr>
                <w:rFonts w:hint="default" w:ascii="Times New Roman" w:hAnsi="Times New Roman" w:eastAsia="宋体" w:cs="Times New Roman"/>
                <w:sz w:val="24"/>
                <w:highlight w:val="none"/>
                <w:vertAlign w:val="subscript"/>
                <w:lang w:val="en-US" w:eastAsia="zh-CN"/>
              </w:rPr>
              <w:t>3</w:t>
            </w:r>
            <w:r>
              <w:rPr>
                <w:rFonts w:hint="default" w:ascii="Times New Roman" w:hAnsi="Times New Roman" w:eastAsia="宋体" w:cs="Times New Roman"/>
                <w:sz w:val="24"/>
                <w:highlight w:val="none"/>
              </w:rPr>
              <w:t>日最大8小时平均浓度未能达到《环境空气质量标准》(GB3095-2012)限值要求，其他污染物现状浓度达到上述标准要求，判定项目</w:t>
            </w:r>
            <w:r>
              <w:rPr>
                <w:rFonts w:hint="default" w:ascii="Times New Roman" w:hAnsi="Times New Roman" w:eastAsia="宋体" w:cs="Times New Roman"/>
                <w:sz w:val="24"/>
                <w:highlight w:val="none"/>
                <w:lang w:val="en-US" w:eastAsia="zh-CN"/>
              </w:rPr>
              <w:t>所在地</w:t>
            </w:r>
            <w:r>
              <w:rPr>
                <w:rFonts w:hint="default" w:ascii="Times New Roman" w:hAnsi="Times New Roman" w:eastAsia="宋体" w:cs="Times New Roman"/>
                <w:sz w:val="24"/>
                <w:highlight w:val="none"/>
              </w:rPr>
              <w:t>为环境空气质量不达标区。</w:t>
            </w:r>
          </w:p>
          <w:p w14:paraId="77D1B795">
            <w:pPr>
              <w:pStyle w:val="14"/>
              <w:numPr>
                <w:ilvl w:val="0"/>
                <w:numId w:val="37"/>
              </w:numPr>
              <w:adjustRightInd w:val="0"/>
              <w:snapToGrid w:val="0"/>
              <w:spacing w:before="0" w:beforeAutospacing="0" w:after="0" w:afterAutospacing="0" w:line="360" w:lineRule="auto"/>
              <w:rPr>
                <w:rFonts w:hint="default" w:ascii="Times New Roman" w:hAnsi="Times New Roman" w:eastAsia="宋体" w:cs="Times New Roman"/>
                <w:b/>
                <w:bCs/>
                <w:szCs w:val="24"/>
                <w:highlight w:val="none"/>
              </w:rPr>
            </w:pPr>
            <w:r>
              <w:rPr>
                <w:rFonts w:hint="default" w:ascii="Times New Roman" w:hAnsi="Times New Roman" w:eastAsia="宋体" w:cs="Times New Roman"/>
                <w:b/>
                <w:bCs/>
                <w:szCs w:val="24"/>
                <w:highlight w:val="none"/>
              </w:rPr>
              <w:t>地表水环境</w:t>
            </w:r>
          </w:p>
          <w:p w14:paraId="437CC25E">
            <w:pPr>
              <w:adjustRightInd w:val="0"/>
              <w:spacing w:line="360" w:lineRule="auto"/>
              <w:ind w:firstLine="480" w:firstLineChars="200"/>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项目所在地附近地表水为凉水河中下段，位于项</w:t>
            </w:r>
            <w:r>
              <w:rPr>
                <w:rFonts w:hint="default" w:ascii="Times New Roman" w:hAnsi="Times New Roman" w:eastAsia="宋体" w:cs="Times New Roman"/>
                <w:color w:val="auto"/>
                <w:sz w:val="24"/>
                <w:highlight w:val="none"/>
              </w:rPr>
              <w:t>目</w:t>
            </w:r>
            <w:r>
              <w:rPr>
                <w:rFonts w:hint="default" w:ascii="Times New Roman" w:hAnsi="Times New Roman" w:eastAsia="宋体" w:cs="Times New Roman"/>
                <w:color w:val="auto"/>
                <w:sz w:val="24"/>
                <w:szCs w:val="32"/>
                <w:highlight w:val="none"/>
              </w:rPr>
              <w:t>南侧</w:t>
            </w:r>
            <w:r>
              <w:rPr>
                <w:rFonts w:hint="default" w:ascii="Times New Roman" w:hAnsi="Times New Roman" w:eastAsia="宋体" w:cs="Times New Roman"/>
                <w:color w:val="auto"/>
                <w:sz w:val="24"/>
                <w:szCs w:val="32"/>
                <w:highlight w:val="none"/>
                <w:lang w:val="en-US" w:eastAsia="zh-CN"/>
              </w:rPr>
              <w:t>1150</w:t>
            </w:r>
            <w:r>
              <w:rPr>
                <w:rFonts w:hint="default" w:ascii="Times New Roman" w:hAnsi="Times New Roman" w:eastAsia="宋体" w:cs="Times New Roman"/>
                <w:color w:val="auto"/>
                <w:sz w:val="24"/>
                <w:szCs w:val="32"/>
                <w:highlight w:val="none"/>
              </w:rPr>
              <w:t>m</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sz w:val="24"/>
                <w:highlight w:val="none"/>
              </w:rPr>
              <w:t>根据北京市五大水系各河流、水库水体功能划分与水质分类，凉水河中下段为Ⅴ类功能水体（农业用水区及一般景观要求水域），执行《地表水环境质量标准》（GB3838-2002）中的Ⅴ类标准。</w:t>
            </w:r>
          </w:p>
          <w:p w14:paraId="24397813">
            <w:pPr>
              <w:adjustRightInd w:val="0"/>
              <w:spacing w:line="360" w:lineRule="auto"/>
              <w:ind w:firstLine="480" w:firstLineChars="200"/>
              <w:jc w:val="left"/>
              <w:rPr>
                <w:rFonts w:hint="default" w:ascii="Times New Roman" w:hAnsi="Times New Roman" w:eastAsia="宋体" w:cs="Times New Roman"/>
                <w:b/>
                <w:bCs/>
                <w:sz w:val="24"/>
                <w:highlight w:val="none"/>
              </w:rPr>
            </w:pPr>
            <w:r>
              <w:rPr>
                <w:rFonts w:hint="default" w:ascii="Times New Roman" w:hAnsi="Times New Roman" w:eastAsia="宋体" w:cs="Times New Roman"/>
                <w:sz w:val="24"/>
                <w:highlight w:val="none"/>
              </w:rPr>
              <w:t>根据北京市生态环境局网站公布的2024年</w:t>
            </w:r>
            <w:r>
              <w:rPr>
                <w:rFonts w:hint="eastAsia" w:cs="Times New Roman"/>
                <w:sz w:val="24"/>
                <w:highlight w:val="none"/>
                <w:lang w:val="en-US" w:eastAsia="zh-CN"/>
              </w:rPr>
              <w:t>6</w:t>
            </w:r>
            <w:r>
              <w:rPr>
                <w:rFonts w:hint="default" w:ascii="Times New Roman" w:hAnsi="Times New Roman" w:eastAsia="宋体" w:cs="Times New Roman"/>
                <w:sz w:val="24"/>
                <w:highlight w:val="none"/>
                <w:lang w:val="en-US" w:eastAsia="zh-CN"/>
              </w:rPr>
              <w:t>月至2025年</w:t>
            </w:r>
            <w:r>
              <w:rPr>
                <w:rFonts w:hint="eastAsia" w:cs="Times New Roman"/>
                <w:sz w:val="24"/>
                <w:highlight w:val="none"/>
                <w:lang w:val="en-US" w:eastAsia="zh-CN"/>
              </w:rPr>
              <w:t>5</w:t>
            </w:r>
            <w:r>
              <w:rPr>
                <w:rFonts w:hint="default" w:ascii="Times New Roman" w:hAnsi="Times New Roman" w:eastAsia="宋体" w:cs="Times New Roman"/>
                <w:sz w:val="24"/>
                <w:highlight w:val="none"/>
                <w:lang w:val="en-US" w:eastAsia="zh-CN"/>
              </w:rPr>
              <w:t>月</w:t>
            </w:r>
            <w:r>
              <w:rPr>
                <w:rFonts w:hint="default" w:ascii="Times New Roman" w:hAnsi="Times New Roman" w:eastAsia="宋体" w:cs="Times New Roman"/>
                <w:sz w:val="24"/>
                <w:highlight w:val="none"/>
              </w:rPr>
              <w:t>河流水质状况，凉水河中下段水质均能达到《地表水环境质量标准》（GB3838-2002）中的Ⅴ类水质标准要求。具体统计结果见下表。</w:t>
            </w:r>
          </w:p>
          <w:p w14:paraId="4BC04845">
            <w:pPr>
              <w:numPr>
                <w:ilvl w:val="0"/>
                <w:numId w:val="38"/>
              </w:numPr>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凉水河中下段水质状况一览表</w:t>
            </w:r>
          </w:p>
          <w:tbl>
            <w:tblPr>
              <w:tblStyle w:val="17"/>
              <w:tblW w:w="4989" w:type="pct"/>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59"/>
              <w:gridCol w:w="659"/>
              <w:gridCol w:w="659"/>
              <w:gridCol w:w="659"/>
              <w:gridCol w:w="659"/>
              <w:gridCol w:w="659"/>
              <w:gridCol w:w="660"/>
              <w:gridCol w:w="660"/>
              <w:gridCol w:w="660"/>
              <w:gridCol w:w="660"/>
              <w:gridCol w:w="660"/>
              <w:gridCol w:w="660"/>
            </w:tblGrid>
            <w:tr w14:paraId="5DD837D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41" w:hRule="atLeast"/>
              </w:trPr>
              <w:tc>
                <w:tcPr>
                  <w:tcW w:w="4614" w:type="dxa"/>
                  <w:gridSpan w:val="7"/>
                  <w:tcBorders>
                    <w:tl2br w:val="nil"/>
                    <w:tr2bl w:val="nil"/>
                  </w:tcBorders>
                  <w:vAlign w:val="center"/>
                </w:tcPr>
                <w:p w14:paraId="17B01C2A">
                  <w:pPr>
                    <w:adjustRightInd w:val="0"/>
                    <w:snapToGrid w:val="0"/>
                    <w:jc w:val="center"/>
                    <w:rPr>
                      <w:rFonts w:hint="default" w:ascii="Times New Roman" w:hAnsi="Times New Roman" w:eastAsia="宋体" w:cs="Times New Roman"/>
                      <w:b/>
                      <w:szCs w:val="21"/>
                      <w:highlight w:val="none"/>
                      <w:lang w:val="en-US" w:eastAsia="zh-CN"/>
                    </w:rPr>
                  </w:pPr>
                  <w:r>
                    <w:rPr>
                      <w:rFonts w:hint="default" w:ascii="Times New Roman" w:hAnsi="Times New Roman" w:eastAsia="宋体" w:cs="Times New Roman"/>
                      <w:b/>
                      <w:szCs w:val="21"/>
                      <w:highlight w:val="none"/>
                    </w:rPr>
                    <w:t>2024年</w:t>
                  </w:r>
                </w:p>
              </w:tc>
              <w:tc>
                <w:tcPr>
                  <w:tcW w:w="3300" w:type="dxa"/>
                  <w:gridSpan w:val="5"/>
                  <w:tcBorders>
                    <w:tl2br w:val="nil"/>
                    <w:tr2bl w:val="nil"/>
                  </w:tcBorders>
                  <w:vAlign w:val="center"/>
                </w:tcPr>
                <w:p w14:paraId="16F707A6">
                  <w:pPr>
                    <w:adjustRightInd w:val="0"/>
                    <w:snapToGrid w:val="0"/>
                    <w:jc w:val="center"/>
                    <w:rPr>
                      <w:rFonts w:hint="default" w:ascii="Times New Roman" w:hAnsi="Times New Roman" w:eastAsia="宋体" w:cs="Times New Roman"/>
                      <w:b/>
                      <w:szCs w:val="21"/>
                      <w:highlight w:val="none"/>
                      <w:lang w:val="en-US" w:eastAsia="zh-CN"/>
                    </w:rPr>
                  </w:pPr>
                  <w:r>
                    <w:rPr>
                      <w:rFonts w:hint="default" w:ascii="Times New Roman" w:hAnsi="Times New Roman" w:eastAsia="宋体" w:cs="Times New Roman"/>
                      <w:b/>
                      <w:szCs w:val="21"/>
                      <w:highlight w:val="none"/>
                      <w:lang w:val="en-US" w:eastAsia="zh-CN"/>
                    </w:rPr>
                    <w:t>2025年</w:t>
                  </w:r>
                </w:p>
              </w:tc>
            </w:tr>
            <w:tr w14:paraId="2F57B2B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9" w:type="dxa"/>
                  <w:tcBorders>
                    <w:tl2br w:val="nil"/>
                    <w:tr2bl w:val="nil"/>
                  </w:tcBorders>
                  <w:shd w:val="clear" w:color="auto" w:fill="auto"/>
                  <w:vAlign w:val="center"/>
                </w:tcPr>
                <w:p w14:paraId="424EF3F4">
                  <w:pPr>
                    <w:adjustRightInd w:val="0"/>
                    <w:snapToGrid w:val="0"/>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szCs w:val="21"/>
                      <w:highlight w:val="none"/>
                      <w:lang w:val="en-US" w:eastAsia="zh-CN"/>
                    </w:rPr>
                    <w:t>6</w:t>
                  </w:r>
                  <w:r>
                    <w:rPr>
                      <w:rFonts w:hint="default" w:ascii="Times New Roman" w:hAnsi="Times New Roman" w:eastAsia="宋体" w:cs="Times New Roman"/>
                      <w:b/>
                      <w:bCs/>
                      <w:szCs w:val="21"/>
                      <w:highlight w:val="none"/>
                    </w:rPr>
                    <w:t>月</w:t>
                  </w:r>
                </w:p>
              </w:tc>
              <w:tc>
                <w:tcPr>
                  <w:tcW w:w="659" w:type="dxa"/>
                  <w:tcBorders>
                    <w:tl2br w:val="nil"/>
                    <w:tr2bl w:val="nil"/>
                  </w:tcBorders>
                  <w:shd w:val="clear" w:color="auto" w:fill="auto"/>
                  <w:vAlign w:val="center"/>
                </w:tcPr>
                <w:p w14:paraId="1DDF8071">
                  <w:pPr>
                    <w:adjustRightInd w:val="0"/>
                    <w:snapToGrid w:val="0"/>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szCs w:val="21"/>
                      <w:highlight w:val="none"/>
                      <w:lang w:val="en-US" w:eastAsia="zh-CN"/>
                    </w:rPr>
                    <w:t>7</w:t>
                  </w:r>
                  <w:r>
                    <w:rPr>
                      <w:rFonts w:hint="default" w:ascii="Times New Roman" w:hAnsi="Times New Roman" w:eastAsia="宋体" w:cs="Times New Roman"/>
                      <w:b/>
                      <w:bCs/>
                      <w:szCs w:val="21"/>
                      <w:highlight w:val="none"/>
                    </w:rPr>
                    <w:t>月</w:t>
                  </w:r>
                </w:p>
              </w:tc>
              <w:tc>
                <w:tcPr>
                  <w:tcW w:w="659" w:type="dxa"/>
                  <w:tcBorders>
                    <w:tl2br w:val="nil"/>
                    <w:tr2bl w:val="nil"/>
                  </w:tcBorders>
                  <w:shd w:val="clear" w:color="auto" w:fill="auto"/>
                  <w:vAlign w:val="center"/>
                </w:tcPr>
                <w:p w14:paraId="6FC5D15E">
                  <w:pPr>
                    <w:adjustRightInd w:val="0"/>
                    <w:snapToGrid w:val="0"/>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szCs w:val="21"/>
                      <w:highlight w:val="none"/>
                      <w:lang w:val="en-US" w:eastAsia="zh-CN"/>
                    </w:rPr>
                    <w:t>8</w:t>
                  </w:r>
                  <w:r>
                    <w:rPr>
                      <w:rFonts w:hint="default" w:ascii="Times New Roman" w:hAnsi="Times New Roman" w:eastAsia="宋体" w:cs="Times New Roman"/>
                      <w:b/>
                      <w:bCs/>
                      <w:szCs w:val="21"/>
                      <w:highlight w:val="none"/>
                    </w:rPr>
                    <w:t>月</w:t>
                  </w:r>
                </w:p>
              </w:tc>
              <w:tc>
                <w:tcPr>
                  <w:tcW w:w="659" w:type="dxa"/>
                  <w:tcBorders>
                    <w:tl2br w:val="nil"/>
                    <w:tr2bl w:val="nil"/>
                  </w:tcBorders>
                  <w:shd w:val="clear" w:color="auto" w:fill="auto"/>
                  <w:vAlign w:val="center"/>
                </w:tcPr>
                <w:p w14:paraId="4C29BFDC">
                  <w:pPr>
                    <w:adjustRightInd w:val="0"/>
                    <w:snapToGrid w:val="0"/>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szCs w:val="21"/>
                      <w:highlight w:val="none"/>
                      <w:lang w:val="en-US" w:eastAsia="zh-CN"/>
                    </w:rPr>
                    <w:t>9</w:t>
                  </w:r>
                  <w:r>
                    <w:rPr>
                      <w:rFonts w:hint="default" w:ascii="Times New Roman" w:hAnsi="Times New Roman" w:eastAsia="宋体" w:cs="Times New Roman"/>
                      <w:b/>
                      <w:bCs/>
                      <w:szCs w:val="21"/>
                      <w:highlight w:val="none"/>
                    </w:rPr>
                    <w:t>月</w:t>
                  </w:r>
                </w:p>
              </w:tc>
              <w:tc>
                <w:tcPr>
                  <w:tcW w:w="659" w:type="dxa"/>
                  <w:tcBorders>
                    <w:tl2br w:val="nil"/>
                    <w:tr2bl w:val="nil"/>
                  </w:tcBorders>
                  <w:shd w:val="clear" w:color="auto" w:fill="auto"/>
                  <w:vAlign w:val="center"/>
                </w:tcPr>
                <w:p w14:paraId="792662AE">
                  <w:pPr>
                    <w:adjustRightInd w:val="0"/>
                    <w:snapToGrid w:val="0"/>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szCs w:val="21"/>
                      <w:highlight w:val="none"/>
                      <w:lang w:val="en-US" w:eastAsia="zh-CN"/>
                    </w:rPr>
                    <w:t>10</w:t>
                  </w:r>
                  <w:r>
                    <w:rPr>
                      <w:rFonts w:hint="default" w:ascii="Times New Roman" w:hAnsi="Times New Roman" w:eastAsia="宋体" w:cs="Times New Roman"/>
                      <w:b/>
                      <w:bCs/>
                      <w:szCs w:val="21"/>
                      <w:highlight w:val="none"/>
                    </w:rPr>
                    <w:t>月</w:t>
                  </w:r>
                </w:p>
              </w:tc>
              <w:tc>
                <w:tcPr>
                  <w:tcW w:w="659" w:type="dxa"/>
                  <w:tcBorders>
                    <w:tl2br w:val="nil"/>
                    <w:tr2bl w:val="nil"/>
                  </w:tcBorders>
                  <w:shd w:val="clear" w:color="auto" w:fill="auto"/>
                  <w:vAlign w:val="center"/>
                </w:tcPr>
                <w:p w14:paraId="4C0E12CE">
                  <w:pPr>
                    <w:adjustRightInd w:val="0"/>
                    <w:snapToGrid w:val="0"/>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szCs w:val="21"/>
                      <w:highlight w:val="none"/>
                      <w:lang w:val="en-US" w:eastAsia="zh-CN"/>
                    </w:rPr>
                    <w:t>11</w:t>
                  </w:r>
                  <w:r>
                    <w:rPr>
                      <w:rFonts w:hint="default" w:ascii="Times New Roman" w:hAnsi="Times New Roman" w:eastAsia="宋体" w:cs="Times New Roman"/>
                      <w:b/>
                      <w:bCs/>
                      <w:szCs w:val="21"/>
                      <w:highlight w:val="none"/>
                    </w:rPr>
                    <w:t>月</w:t>
                  </w:r>
                </w:p>
              </w:tc>
              <w:tc>
                <w:tcPr>
                  <w:tcW w:w="660" w:type="dxa"/>
                  <w:tcBorders>
                    <w:tl2br w:val="nil"/>
                    <w:tr2bl w:val="nil"/>
                  </w:tcBorders>
                  <w:shd w:val="clear" w:color="auto" w:fill="auto"/>
                  <w:vAlign w:val="center"/>
                </w:tcPr>
                <w:p w14:paraId="53B30675">
                  <w:pPr>
                    <w:adjustRightInd w:val="0"/>
                    <w:snapToGrid w:val="0"/>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szCs w:val="21"/>
                      <w:highlight w:val="none"/>
                      <w:lang w:val="en-US" w:eastAsia="zh-CN"/>
                    </w:rPr>
                    <w:t>12</w:t>
                  </w:r>
                  <w:r>
                    <w:rPr>
                      <w:rFonts w:hint="default" w:ascii="Times New Roman" w:hAnsi="Times New Roman" w:eastAsia="宋体" w:cs="Times New Roman"/>
                      <w:b/>
                      <w:bCs/>
                      <w:szCs w:val="21"/>
                      <w:highlight w:val="none"/>
                    </w:rPr>
                    <w:t>月</w:t>
                  </w:r>
                </w:p>
              </w:tc>
              <w:tc>
                <w:tcPr>
                  <w:tcW w:w="660" w:type="dxa"/>
                  <w:tcBorders>
                    <w:tl2br w:val="nil"/>
                    <w:tr2bl w:val="nil"/>
                  </w:tcBorders>
                  <w:shd w:val="clear" w:color="auto" w:fill="auto"/>
                  <w:vAlign w:val="center"/>
                </w:tcPr>
                <w:p w14:paraId="32825BEF">
                  <w:pPr>
                    <w:adjustRightInd w:val="0"/>
                    <w:snapToGrid w:val="0"/>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szCs w:val="21"/>
                      <w:highlight w:val="none"/>
                      <w:lang w:val="en-US" w:eastAsia="zh-CN"/>
                    </w:rPr>
                    <w:t>1</w:t>
                  </w:r>
                  <w:r>
                    <w:rPr>
                      <w:rFonts w:hint="default" w:ascii="Times New Roman" w:hAnsi="Times New Roman" w:eastAsia="宋体" w:cs="Times New Roman"/>
                      <w:b/>
                      <w:bCs/>
                      <w:szCs w:val="21"/>
                      <w:highlight w:val="none"/>
                    </w:rPr>
                    <w:t>月</w:t>
                  </w:r>
                </w:p>
              </w:tc>
              <w:tc>
                <w:tcPr>
                  <w:tcW w:w="660" w:type="dxa"/>
                  <w:tcBorders>
                    <w:tl2br w:val="nil"/>
                    <w:tr2bl w:val="nil"/>
                  </w:tcBorders>
                  <w:shd w:val="clear" w:color="auto" w:fill="auto"/>
                  <w:vAlign w:val="center"/>
                </w:tcPr>
                <w:p w14:paraId="41A65D53">
                  <w:pPr>
                    <w:adjustRightInd w:val="0"/>
                    <w:snapToGrid w:val="0"/>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szCs w:val="21"/>
                      <w:highlight w:val="none"/>
                      <w:lang w:val="en-US" w:eastAsia="zh-CN"/>
                    </w:rPr>
                    <w:t>2</w:t>
                  </w:r>
                  <w:r>
                    <w:rPr>
                      <w:rFonts w:hint="default" w:ascii="Times New Roman" w:hAnsi="Times New Roman" w:eastAsia="宋体" w:cs="Times New Roman"/>
                      <w:b/>
                      <w:bCs/>
                      <w:szCs w:val="21"/>
                      <w:highlight w:val="none"/>
                    </w:rPr>
                    <w:t>月</w:t>
                  </w:r>
                </w:p>
              </w:tc>
              <w:tc>
                <w:tcPr>
                  <w:tcW w:w="660" w:type="dxa"/>
                  <w:tcBorders>
                    <w:tl2br w:val="nil"/>
                    <w:tr2bl w:val="nil"/>
                  </w:tcBorders>
                  <w:shd w:val="clear" w:color="auto" w:fill="auto"/>
                  <w:vAlign w:val="center"/>
                </w:tcPr>
                <w:p w14:paraId="1FFF8270">
                  <w:pPr>
                    <w:adjustRightInd w:val="0"/>
                    <w:snapToGrid w:val="0"/>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szCs w:val="21"/>
                      <w:highlight w:val="none"/>
                      <w:lang w:val="en-US" w:eastAsia="zh-CN"/>
                    </w:rPr>
                    <w:t>3</w:t>
                  </w:r>
                  <w:r>
                    <w:rPr>
                      <w:rFonts w:hint="default" w:ascii="Times New Roman" w:hAnsi="Times New Roman" w:eastAsia="宋体" w:cs="Times New Roman"/>
                      <w:b/>
                      <w:bCs/>
                      <w:szCs w:val="21"/>
                      <w:highlight w:val="none"/>
                    </w:rPr>
                    <w:t>月</w:t>
                  </w:r>
                </w:p>
              </w:tc>
              <w:tc>
                <w:tcPr>
                  <w:tcW w:w="660" w:type="dxa"/>
                  <w:tcBorders>
                    <w:tl2br w:val="nil"/>
                    <w:tr2bl w:val="nil"/>
                  </w:tcBorders>
                  <w:shd w:val="clear" w:color="auto" w:fill="auto"/>
                  <w:vAlign w:val="center"/>
                </w:tcPr>
                <w:p w14:paraId="539B6A4A">
                  <w:pPr>
                    <w:adjustRightInd w:val="0"/>
                    <w:snapToGrid w:val="0"/>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szCs w:val="21"/>
                      <w:highlight w:val="none"/>
                      <w:lang w:val="en-US" w:eastAsia="zh-CN"/>
                    </w:rPr>
                    <w:t>4</w:t>
                  </w:r>
                  <w:r>
                    <w:rPr>
                      <w:rFonts w:hint="default" w:ascii="Times New Roman" w:hAnsi="Times New Roman" w:eastAsia="宋体" w:cs="Times New Roman"/>
                      <w:b/>
                      <w:bCs/>
                      <w:szCs w:val="21"/>
                      <w:highlight w:val="none"/>
                    </w:rPr>
                    <w:t>月</w:t>
                  </w:r>
                </w:p>
              </w:tc>
              <w:tc>
                <w:tcPr>
                  <w:tcW w:w="660" w:type="dxa"/>
                  <w:tcBorders>
                    <w:tl2br w:val="nil"/>
                    <w:tr2bl w:val="nil"/>
                  </w:tcBorders>
                  <w:shd w:val="clear" w:color="auto" w:fill="auto"/>
                  <w:vAlign w:val="center"/>
                </w:tcPr>
                <w:p w14:paraId="1C1F5CA4">
                  <w:pPr>
                    <w:adjustRightInd w:val="0"/>
                    <w:snapToGrid w:val="0"/>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szCs w:val="21"/>
                      <w:highlight w:val="none"/>
                      <w:lang w:val="en-US" w:eastAsia="zh-CN"/>
                    </w:rPr>
                    <w:t>5</w:t>
                  </w:r>
                  <w:r>
                    <w:rPr>
                      <w:rFonts w:hint="default" w:ascii="Times New Roman" w:hAnsi="Times New Roman" w:eastAsia="宋体" w:cs="Times New Roman"/>
                      <w:b/>
                      <w:bCs/>
                      <w:szCs w:val="21"/>
                      <w:highlight w:val="none"/>
                    </w:rPr>
                    <w:t>月</w:t>
                  </w:r>
                </w:p>
              </w:tc>
            </w:tr>
            <w:tr w14:paraId="4EF08E0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9" w:type="dxa"/>
                  <w:tcBorders>
                    <w:tl2br w:val="nil"/>
                    <w:tr2bl w:val="nil"/>
                  </w:tcBorders>
                  <w:shd w:val="clear" w:color="auto" w:fill="auto"/>
                  <w:vAlign w:val="center"/>
                </w:tcPr>
                <w:p w14:paraId="13F2F3A0">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fldChar w:fldCharType="begin"/>
                  </w:r>
                  <w:r>
                    <w:rPr>
                      <w:rFonts w:hint="default" w:ascii="Times New Roman" w:hAnsi="Times New Roman" w:eastAsia="宋体" w:cs="Times New Roman"/>
                      <w:szCs w:val="21"/>
                      <w:highlight w:val="none"/>
                    </w:rPr>
                    <w:instrText xml:space="preserve">= 3 \* ROMAN</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szCs w:val="21"/>
                      <w:highlight w:val="none"/>
                    </w:rPr>
                    <w:t>III</w:t>
                  </w:r>
                  <w:r>
                    <w:rPr>
                      <w:rFonts w:hint="default" w:ascii="Times New Roman" w:hAnsi="Times New Roman" w:eastAsia="宋体" w:cs="Times New Roman"/>
                      <w:szCs w:val="21"/>
                      <w:highlight w:val="none"/>
                    </w:rPr>
                    <w:fldChar w:fldCharType="end"/>
                  </w:r>
                </w:p>
              </w:tc>
              <w:tc>
                <w:tcPr>
                  <w:tcW w:w="659" w:type="dxa"/>
                  <w:tcBorders>
                    <w:tl2br w:val="nil"/>
                    <w:tr2bl w:val="nil"/>
                  </w:tcBorders>
                  <w:shd w:val="clear" w:color="auto" w:fill="auto"/>
                  <w:vAlign w:val="center"/>
                </w:tcPr>
                <w:p w14:paraId="5594F29F">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fldChar w:fldCharType="begin"/>
                  </w:r>
                  <w:r>
                    <w:rPr>
                      <w:rFonts w:hint="default" w:ascii="Times New Roman" w:hAnsi="Times New Roman" w:eastAsia="宋体" w:cs="Times New Roman"/>
                      <w:szCs w:val="21"/>
                      <w:highlight w:val="none"/>
                    </w:rPr>
                    <w:instrText xml:space="preserve">= 3 \* ROMAN</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szCs w:val="21"/>
                      <w:highlight w:val="none"/>
                    </w:rPr>
                    <w:t>III</w:t>
                  </w:r>
                  <w:r>
                    <w:rPr>
                      <w:rFonts w:hint="default" w:ascii="Times New Roman" w:hAnsi="Times New Roman" w:eastAsia="宋体" w:cs="Times New Roman"/>
                      <w:szCs w:val="21"/>
                      <w:highlight w:val="none"/>
                    </w:rPr>
                    <w:fldChar w:fldCharType="end"/>
                  </w:r>
                </w:p>
              </w:tc>
              <w:tc>
                <w:tcPr>
                  <w:tcW w:w="659" w:type="dxa"/>
                  <w:tcBorders>
                    <w:tl2br w:val="nil"/>
                    <w:tr2bl w:val="nil"/>
                  </w:tcBorders>
                  <w:shd w:val="clear" w:color="auto" w:fill="auto"/>
                  <w:vAlign w:val="center"/>
                </w:tcPr>
                <w:p w14:paraId="627B5E55">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fldChar w:fldCharType="begin"/>
                  </w:r>
                  <w:r>
                    <w:rPr>
                      <w:rFonts w:hint="default" w:ascii="Times New Roman" w:hAnsi="Times New Roman" w:eastAsia="宋体" w:cs="Times New Roman"/>
                      <w:szCs w:val="21"/>
                      <w:highlight w:val="none"/>
                    </w:rPr>
                    <w:instrText xml:space="preserve">= 3 \* ROMAN</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szCs w:val="21"/>
                      <w:highlight w:val="none"/>
                    </w:rPr>
                    <w:t>III</w:t>
                  </w:r>
                  <w:r>
                    <w:rPr>
                      <w:rFonts w:hint="default" w:ascii="Times New Roman" w:hAnsi="Times New Roman" w:eastAsia="宋体" w:cs="Times New Roman"/>
                      <w:szCs w:val="21"/>
                      <w:highlight w:val="none"/>
                    </w:rPr>
                    <w:fldChar w:fldCharType="end"/>
                  </w:r>
                </w:p>
              </w:tc>
              <w:tc>
                <w:tcPr>
                  <w:tcW w:w="659" w:type="dxa"/>
                  <w:tcBorders>
                    <w:tl2br w:val="nil"/>
                    <w:tr2bl w:val="nil"/>
                  </w:tcBorders>
                  <w:shd w:val="clear" w:color="auto" w:fill="auto"/>
                  <w:vAlign w:val="center"/>
                </w:tcPr>
                <w:p w14:paraId="5B11D96E">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fldChar w:fldCharType="begin"/>
                  </w:r>
                  <w:r>
                    <w:rPr>
                      <w:rFonts w:hint="default" w:ascii="Times New Roman" w:hAnsi="Times New Roman" w:eastAsia="宋体" w:cs="Times New Roman"/>
                      <w:szCs w:val="21"/>
                      <w:highlight w:val="none"/>
                    </w:rPr>
                    <w:instrText xml:space="preserve">= 3 \* ROMAN</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szCs w:val="21"/>
                      <w:highlight w:val="none"/>
                    </w:rPr>
                    <w:t>III</w:t>
                  </w:r>
                  <w:r>
                    <w:rPr>
                      <w:rFonts w:hint="default" w:ascii="Times New Roman" w:hAnsi="Times New Roman" w:eastAsia="宋体" w:cs="Times New Roman"/>
                      <w:szCs w:val="21"/>
                      <w:highlight w:val="none"/>
                    </w:rPr>
                    <w:fldChar w:fldCharType="end"/>
                  </w:r>
                </w:p>
              </w:tc>
              <w:tc>
                <w:tcPr>
                  <w:tcW w:w="659" w:type="dxa"/>
                  <w:tcBorders>
                    <w:tl2br w:val="nil"/>
                    <w:tr2bl w:val="nil"/>
                  </w:tcBorders>
                  <w:shd w:val="clear" w:color="auto" w:fill="auto"/>
                  <w:vAlign w:val="center"/>
                </w:tcPr>
                <w:p w14:paraId="2D2D4051">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fldChar w:fldCharType="begin"/>
                  </w:r>
                  <w:r>
                    <w:rPr>
                      <w:rFonts w:hint="default" w:ascii="Times New Roman" w:hAnsi="Times New Roman" w:eastAsia="宋体" w:cs="Times New Roman"/>
                      <w:szCs w:val="21"/>
                      <w:highlight w:val="none"/>
                    </w:rPr>
                    <w:instrText xml:space="preserve">= 3 \* ROMAN</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szCs w:val="21"/>
                      <w:highlight w:val="none"/>
                    </w:rPr>
                    <w:t>III</w:t>
                  </w:r>
                  <w:r>
                    <w:rPr>
                      <w:rFonts w:hint="default" w:ascii="Times New Roman" w:hAnsi="Times New Roman" w:eastAsia="宋体" w:cs="Times New Roman"/>
                      <w:szCs w:val="21"/>
                      <w:highlight w:val="none"/>
                    </w:rPr>
                    <w:fldChar w:fldCharType="end"/>
                  </w:r>
                </w:p>
              </w:tc>
              <w:tc>
                <w:tcPr>
                  <w:tcW w:w="659" w:type="dxa"/>
                  <w:tcBorders>
                    <w:tl2br w:val="nil"/>
                    <w:tr2bl w:val="nil"/>
                  </w:tcBorders>
                  <w:shd w:val="clear" w:color="auto" w:fill="auto"/>
                  <w:vAlign w:val="center"/>
                </w:tcPr>
                <w:p w14:paraId="7E241121">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fldChar w:fldCharType="begin"/>
                  </w:r>
                  <w:r>
                    <w:rPr>
                      <w:rFonts w:hint="default" w:ascii="Times New Roman" w:hAnsi="Times New Roman" w:eastAsia="宋体" w:cs="Times New Roman"/>
                      <w:szCs w:val="21"/>
                      <w:highlight w:val="none"/>
                    </w:rPr>
                    <w:instrText xml:space="preserve">= 3 \* ROMAN</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szCs w:val="21"/>
                      <w:highlight w:val="none"/>
                    </w:rPr>
                    <w:t>III</w:t>
                  </w:r>
                  <w:r>
                    <w:rPr>
                      <w:rFonts w:hint="default" w:ascii="Times New Roman" w:hAnsi="Times New Roman" w:eastAsia="宋体" w:cs="Times New Roman"/>
                      <w:szCs w:val="21"/>
                      <w:highlight w:val="none"/>
                    </w:rPr>
                    <w:fldChar w:fldCharType="end"/>
                  </w:r>
                </w:p>
              </w:tc>
              <w:tc>
                <w:tcPr>
                  <w:tcW w:w="660" w:type="dxa"/>
                  <w:tcBorders>
                    <w:tl2br w:val="nil"/>
                    <w:tr2bl w:val="nil"/>
                  </w:tcBorders>
                  <w:shd w:val="clear" w:color="auto" w:fill="auto"/>
                  <w:vAlign w:val="center"/>
                </w:tcPr>
                <w:p w14:paraId="4131B1EF">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fldChar w:fldCharType="begin"/>
                  </w:r>
                  <w:r>
                    <w:rPr>
                      <w:rFonts w:hint="default" w:ascii="Times New Roman" w:hAnsi="Times New Roman" w:eastAsia="宋体" w:cs="Times New Roman"/>
                      <w:szCs w:val="21"/>
                      <w:highlight w:val="none"/>
                    </w:rPr>
                    <w:instrText xml:space="preserve">= 3 \* ROMAN</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szCs w:val="21"/>
                      <w:highlight w:val="none"/>
                    </w:rPr>
                    <w:t>III</w:t>
                  </w:r>
                  <w:r>
                    <w:rPr>
                      <w:rFonts w:hint="default" w:ascii="Times New Roman" w:hAnsi="Times New Roman" w:eastAsia="宋体" w:cs="Times New Roman"/>
                      <w:szCs w:val="21"/>
                      <w:highlight w:val="none"/>
                    </w:rPr>
                    <w:fldChar w:fldCharType="end"/>
                  </w:r>
                </w:p>
              </w:tc>
              <w:tc>
                <w:tcPr>
                  <w:tcW w:w="660" w:type="dxa"/>
                  <w:tcBorders>
                    <w:tl2br w:val="nil"/>
                    <w:tr2bl w:val="nil"/>
                  </w:tcBorders>
                  <w:shd w:val="clear" w:color="auto" w:fill="auto"/>
                  <w:vAlign w:val="center"/>
                </w:tcPr>
                <w:p w14:paraId="318F9768">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II</w:t>
                  </w:r>
                </w:p>
              </w:tc>
              <w:tc>
                <w:tcPr>
                  <w:tcW w:w="660" w:type="dxa"/>
                  <w:tcBorders>
                    <w:tl2br w:val="nil"/>
                    <w:tr2bl w:val="nil"/>
                  </w:tcBorders>
                  <w:shd w:val="clear" w:color="auto" w:fill="auto"/>
                  <w:vAlign w:val="center"/>
                </w:tcPr>
                <w:p w14:paraId="1914EA97">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II</w:t>
                  </w:r>
                </w:p>
              </w:tc>
              <w:tc>
                <w:tcPr>
                  <w:tcW w:w="660" w:type="dxa"/>
                  <w:tcBorders>
                    <w:tl2br w:val="nil"/>
                    <w:tr2bl w:val="nil"/>
                  </w:tcBorders>
                  <w:shd w:val="clear" w:color="auto" w:fill="auto"/>
                  <w:vAlign w:val="center"/>
                </w:tcPr>
                <w:p w14:paraId="671B8B1E">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II</w:t>
                  </w:r>
                </w:p>
              </w:tc>
              <w:tc>
                <w:tcPr>
                  <w:tcW w:w="660" w:type="dxa"/>
                  <w:tcBorders>
                    <w:tl2br w:val="nil"/>
                    <w:tr2bl w:val="nil"/>
                  </w:tcBorders>
                  <w:shd w:val="clear" w:color="auto" w:fill="auto"/>
                  <w:vAlign w:val="center"/>
                </w:tcPr>
                <w:p w14:paraId="7215D355">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fldChar w:fldCharType="begin"/>
                  </w:r>
                  <w:r>
                    <w:rPr>
                      <w:rFonts w:hint="default" w:ascii="Times New Roman" w:hAnsi="Times New Roman" w:eastAsia="宋体" w:cs="Times New Roman"/>
                      <w:szCs w:val="21"/>
                      <w:highlight w:val="none"/>
                    </w:rPr>
                    <w:instrText xml:space="preserve">= 3 \* ROMAN</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szCs w:val="21"/>
                      <w:highlight w:val="none"/>
                    </w:rPr>
                    <w:t>III</w:t>
                  </w:r>
                  <w:r>
                    <w:rPr>
                      <w:rFonts w:hint="default" w:ascii="Times New Roman" w:hAnsi="Times New Roman" w:eastAsia="宋体" w:cs="Times New Roman"/>
                      <w:szCs w:val="21"/>
                      <w:highlight w:val="none"/>
                    </w:rPr>
                    <w:fldChar w:fldCharType="end"/>
                  </w:r>
                </w:p>
              </w:tc>
              <w:tc>
                <w:tcPr>
                  <w:tcW w:w="660" w:type="dxa"/>
                  <w:tcBorders>
                    <w:tl2br w:val="nil"/>
                    <w:tr2bl w:val="nil"/>
                  </w:tcBorders>
                  <w:shd w:val="clear" w:color="auto" w:fill="auto"/>
                  <w:vAlign w:val="center"/>
                </w:tcPr>
                <w:p w14:paraId="0962B97A">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fldChar w:fldCharType="begin"/>
                  </w:r>
                  <w:r>
                    <w:rPr>
                      <w:rFonts w:hint="default" w:ascii="Times New Roman" w:hAnsi="Times New Roman" w:eastAsia="宋体" w:cs="Times New Roman"/>
                      <w:szCs w:val="21"/>
                      <w:highlight w:val="none"/>
                    </w:rPr>
                    <w:instrText xml:space="preserve">= 3 \* ROMAN</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szCs w:val="21"/>
                      <w:highlight w:val="none"/>
                    </w:rPr>
                    <w:t>III</w:t>
                  </w:r>
                  <w:r>
                    <w:rPr>
                      <w:rFonts w:hint="default" w:ascii="Times New Roman" w:hAnsi="Times New Roman" w:eastAsia="宋体" w:cs="Times New Roman"/>
                      <w:szCs w:val="21"/>
                      <w:highlight w:val="none"/>
                    </w:rPr>
                    <w:fldChar w:fldCharType="end"/>
                  </w:r>
                </w:p>
              </w:tc>
            </w:tr>
          </w:tbl>
          <w:p w14:paraId="1C7633C8">
            <w:pPr>
              <w:spacing w:line="360" w:lineRule="auto"/>
              <w:ind w:firstLine="480" w:firstLineChars="200"/>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根据上述分析，2024年</w:t>
            </w:r>
            <w:r>
              <w:rPr>
                <w:rFonts w:hint="eastAsia" w:cs="Times New Roman"/>
                <w:sz w:val="24"/>
                <w:highlight w:val="none"/>
                <w:lang w:val="en-US" w:eastAsia="zh-CN"/>
              </w:rPr>
              <w:t>6</w:t>
            </w:r>
            <w:r>
              <w:rPr>
                <w:rFonts w:hint="default" w:ascii="Times New Roman" w:hAnsi="Times New Roman" w:eastAsia="宋体" w:cs="Times New Roman"/>
                <w:sz w:val="24"/>
                <w:highlight w:val="none"/>
                <w:lang w:val="en-US" w:eastAsia="zh-CN"/>
              </w:rPr>
              <w:t>月至2025年</w:t>
            </w:r>
            <w:r>
              <w:rPr>
                <w:rFonts w:hint="eastAsia" w:cs="Times New Roman"/>
                <w:sz w:val="24"/>
                <w:highlight w:val="none"/>
                <w:lang w:val="en-US" w:eastAsia="zh-CN"/>
              </w:rPr>
              <w:t>5</w:t>
            </w:r>
            <w:r>
              <w:rPr>
                <w:rFonts w:hint="default" w:ascii="Times New Roman" w:hAnsi="Times New Roman" w:eastAsia="宋体" w:cs="Times New Roman"/>
                <w:sz w:val="24"/>
                <w:highlight w:val="none"/>
                <w:lang w:val="en-US" w:eastAsia="zh-CN"/>
              </w:rPr>
              <w:t>月</w:t>
            </w:r>
            <w:r>
              <w:rPr>
                <w:rFonts w:hint="default" w:ascii="Times New Roman" w:hAnsi="Times New Roman" w:eastAsia="宋体" w:cs="Times New Roman"/>
                <w:bCs/>
                <w:kern w:val="28"/>
                <w:sz w:val="24"/>
                <w:highlight w:val="none"/>
              </w:rPr>
              <w:t>凉水河中下段</w:t>
            </w:r>
            <w:r>
              <w:rPr>
                <w:rFonts w:hint="default" w:ascii="Times New Roman" w:hAnsi="Times New Roman" w:eastAsia="宋体" w:cs="Times New Roman"/>
                <w:sz w:val="24"/>
                <w:highlight w:val="none"/>
              </w:rPr>
              <w:t>水质均</w:t>
            </w:r>
            <w:r>
              <w:rPr>
                <w:rFonts w:hint="default" w:ascii="Times New Roman" w:hAnsi="Times New Roman" w:eastAsia="宋体" w:cs="Times New Roman"/>
                <w:snapToGrid w:val="0"/>
                <w:kern w:val="0"/>
                <w:sz w:val="24"/>
                <w:highlight w:val="none"/>
              </w:rPr>
              <w:t>能达到</w:t>
            </w:r>
            <w:r>
              <w:rPr>
                <w:rFonts w:hint="default" w:ascii="Times New Roman" w:hAnsi="Times New Roman" w:eastAsia="宋体" w:cs="Times New Roman"/>
                <w:sz w:val="24"/>
                <w:highlight w:val="none"/>
                <w:lang w:val="zh-CN"/>
              </w:rPr>
              <w:t>《地表水环境质量标准》（GB3838-2002）中的</w:t>
            </w:r>
            <w:r>
              <w:rPr>
                <w:rFonts w:hint="default" w:ascii="Times New Roman" w:hAnsi="Times New Roman" w:eastAsia="宋体" w:cs="Times New Roman"/>
                <w:sz w:val="24"/>
                <w:highlight w:val="none"/>
              </w:rPr>
              <w:t>Ⅴ</w:t>
            </w:r>
            <w:r>
              <w:rPr>
                <w:rFonts w:hint="default" w:ascii="Times New Roman" w:hAnsi="Times New Roman" w:eastAsia="宋体" w:cs="Times New Roman"/>
                <w:sz w:val="24"/>
                <w:highlight w:val="none"/>
                <w:lang w:val="zh-CN"/>
              </w:rPr>
              <w:t>类水质标准要求</w:t>
            </w:r>
            <w:r>
              <w:rPr>
                <w:rFonts w:hint="default" w:ascii="Times New Roman" w:hAnsi="Times New Roman" w:eastAsia="宋体" w:cs="Times New Roman"/>
                <w:snapToGrid w:val="0"/>
                <w:kern w:val="0"/>
                <w:sz w:val="24"/>
                <w:highlight w:val="none"/>
              </w:rPr>
              <w:t>。</w:t>
            </w:r>
          </w:p>
          <w:p w14:paraId="7DAD3A8C">
            <w:pPr>
              <w:pStyle w:val="14"/>
              <w:numPr>
                <w:ilvl w:val="0"/>
                <w:numId w:val="37"/>
              </w:numPr>
              <w:adjustRightInd w:val="0"/>
              <w:snapToGrid w:val="0"/>
              <w:spacing w:before="0" w:beforeAutospacing="0" w:after="0" w:afterAutospacing="0" w:line="360" w:lineRule="auto"/>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声环境</w:t>
            </w:r>
          </w:p>
          <w:p w14:paraId="2B65717B">
            <w:pPr>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本项目位于北京经济技术开发区</w:t>
            </w:r>
            <w:r>
              <w:rPr>
                <w:rFonts w:hint="default" w:ascii="Times New Roman" w:hAnsi="Times New Roman" w:eastAsia="宋体" w:cs="Times New Roman"/>
                <w:color w:val="auto"/>
                <w:sz w:val="24"/>
                <w:highlight w:val="none"/>
                <w:lang w:val="en-US" w:eastAsia="zh-CN"/>
              </w:rPr>
              <w:t>康定街15号前沿科技创新空港金田加速区5号楼</w:t>
            </w:r>
            <w:r>
              <w:rPr>
                <w:rFonts w:hint="default" w:ascii="Times New Roman" w:hAnsi="Times New Roman" w:eastAsia="宋体" w:cs="Times New Roman"/>
                <w:color w:val="auto"/>
                <w:sz w:val="24"/>
                <w:highlight w:val="none"/>
              </w:rPr>
              <w:t>，项目</w:t>
            </w:r>
            <w:r>
              <w:rPr>
                <w:rFonts w:hint="default" w:ascii="Times New Roman" w:hAnsi="Times New Roman" w:eastAsia="宋体" w:cs="Times New Roman"/>
                <w:color w:val="auto"/>
                <w:sz w:val="24"/>
                <w:highlight w:val="none"/>
                <w:lang w:val="en-US" w:eastAsia="zh-CN"/>
              </w:rPr>
              <w:t>建筑南</w:t>
            </w:r>
            <w:r>
              <w:rPr>
                <w:rFonts w:hint="default" w:ascii="Times New Roman" w:hAnsi="Times New Roman" w:eastAsia="宋体" w:cs="Times New Roman"/>
                <w:color w:val="auto"/>
                <w:sz w:val="24"/>
                <w:highlight w:val="none"/>
              </w:rPr>
              <w:t>侧</w:t>
            </w:r>
            <w:r>
              <w:rPr>
                <w:rFonts w:hint="default" w:ascii="Times New Roman" w:hAnsi="Times New Roman" w:eastAsia="宋体" w:cs="Times New Roman"/>
                <w:color w:val="auto"/>
                <w:sz w:val="24"/>
                <w:highlight w:val="none"/>
                <w:lang w:val="en-US" w:eastAsia="zh-CN"/>
              </w:rPr>
              <w:t>距主干道康定街边界线102</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根据《北京经济技术开发区声环境功能区划实施细则》（20</w:t>
            </w:r>
            <w:r>
              <w:rPr>
                <w:rFonts w:hint="default" w:ascii="Times New Roman" w:hAnsi="Times New Roman" w:eastAsia="宋体" w:cs="Times New Roman"/>
                <w:color w:val="auto"/>
                <w:sz w:val="24"/>
                <w:highlight w:val="none"/>
                <w:lang w:val="en-US" w:eastAsia="zh-CN"/>
              </w:rPr>
              <w:t>25</w:t>
            </w:r>
            <w:r>
              <w:rPr>
                <w:rFonts w:hint="default" w:ascii="Times New Roman" w:hAnsi="Times New Roman" w:eastAsia="宋体" w:cs="Times New Roman"/>
                <w:color w:val="auto"/>
                <w:sz w:val="24"/>
                <w:highlight w:val="none"/>
              </w:rPr>
              <w:t xml:space="preserve"> 年</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月</w:t>
            </w:r>
            <w:r>
              <w:rPr>
                <w:rFonts w:hint="default" w:ascii="Times New Roman" w:hAnsi="Times New Roman" w:eastAsia="宋体" w:cs="Times New Roman"/>
                <w:color w:val="auto"/>
                <w:sz w:val="24"/>
                <w:highlight w:val="none"/>
                <w:lang w:val="en-US" w:eastAsia="zh-CN"/>
              </w:rPr>
              <w:t>29</w:t>
            </w:r>
            <w:r>
              <w:rPr>
                <w:rFonts w:hint="default" w:ascii="Times New Roman" w:hAnsi="Times New Roman" w:eastAsia="宋体" w:cs="Times New Roman"/>
                <w:color w:val="auto"/>
                <w:sz w:val="24"/>
                <w:highlight w:val="none"/>
              </w:rPr>
              <w:t xml:space="preserve"> 日起实施）中规定，本项目</w:t>
            </w:r>
            <w:r>
              <w:rPr>
                <w:rFonts w:hint="default" w:ascii="Times New Roman" w:hAnsi="Times New Roman" w:eastAsia="宋体" w:cs="Times New Roman"/>
                <w:color w:val="auto"/>
                <w:sz w:val="24"/>
                <w:highlight w:val="none"/>
                <w:lang w:val="en-US" w:eastAsia="zh-CN"/>
              </w:rPr>
              <w:t>区域属于</w:t>
            </w:r>
            <w:r>
              <w:rPr>
                <w:rFonts w:hint="default" w:ascii="Times New Roman" w:hAnsi="Times New Roman" w:eastAsia="宋体" w:cs="Times New Roman"/>
                <w:color w:val="auto"/>
                <w:sz w:val="24"/>
                <w:highlight w:val="none"/>
              </w:rPr>
              <w:t>声环境3类功能区，声环境质量评价执行《声环境质量标准》（GB3096-2008）中的3类标准。</w:t>
            </w:r>
          </w:p>
          <w:p w14:paraId="572ABFD2">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根据《建设项目环境影响报告表编制技术指南（污染影响类）（试行）》，本项目厂界外 50m 范围内无声环境保护目标，无需开展声环境质量现状监测。</w:t>
            </w:r>
          </w:p>
          <w:p w14:paraId="1E0DAF49">
            <w:pPr>
              <w:pStyle w:val="14"/>
              <w:numPr>
                <w:ilvl w:val="0"/>
                <w:numId w:val="37"/>
              </w:numPr>
              <w:adjustRightInd w:val="0"/>
              <w:snapToGrid w:val="0"/>
              <w:spacing w:before="0" w:beforeAutospacing="0" w:after="0" w:afterAutospacing="0" w:line="360" w:lineRule="auto"/>
              <w:rPr>
                <w:rFonts w:hint="default" w:ascii="Times New Roman" w:hAnsi="Times New Roman" w:eastAsia="宋体" w:cs="Times New Roman"/>
                <w:b/>
                <w:bCs/>
                <w:szCs w:val="24"/>
                <w:highlight w:val="none"/>
              </w:rPr>
            </w:pPr>
            <w:r>
              <w:rPr>
                <w:rFonts w:hint="default" w:ascii="Times New Roman" w:hAnsi="Times New Roman" w:eastAsia="宋体" w:cs="Times New Roman"/>
                <w:b/>
                <w:bCs/>
                <w:szCs w:val="24"/>
                <w:highlight w:val="none"/>
              </w:rPr>
              <w:t>生态环境</w:t>
            </w:r>
          </w:p>
          <w:p w14:paraId="0E0A4EC0">
            <w:pPr>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本项目位于现有产业园区内，不新增占地，根据《建设项目环境影响报告表编制技术指南（污染影响类）（试行）》，可不进行生态现状调查。</w:t>
            </w:r>
          </w:p>
          <w:p w14:paraId="3C7BDD50">
            <w:pPr>
              <w:pStyle w:val="14"/>
              <w:numPr>
                <w:ilvl w:val="0"/>
                <w:numId w:val="37"/>
              </w:numPr>
              <w:adjustRightInd w:val="0"/>
              <w:snapToGrid w:val="0"/>
              <w:spacing w:before="0" w:beforeAutospacing="0" w:after="0" w:afterAutospacing="0" w:line="360" w:lineRule="auto"/>
              <w:rPr>
                <w:rFonts w:hint="default" w:ascii="Times New Roman" w:hAnsi="Times New Roman" w:eastAsia="宋体" w:cs="Times New Roman"/>
                <w:b/>
                <w:bCs/>
                <w:kern w:val="2"/>
                <w:szCs w:val="24"/>
                <w:highlight w:val="none"/>
              </w:rPr>
            </w:pPr>
            <w:r>
              <w:rPr>
                <w:rFonts w:hint="default" w:ascii="Times New Roman" w:hAnsi="Times New Roman" w:eastAsia="宋体" w:cs="Times New Roman"/>
                <w:b/>
                <w:bCs/>
                <w:szCs w:val="24"/>
                <w:highlight w:val="none"/>
              </w:rPr>
              <w:t>电磁辐射</w:t>
            </w:r>
            <w:r>
              <w:rPr>
                <w:rFonts w:hint="default" w:ascii="Times New Roman" w:hAnsi="Times New Roman" w:eastAsia="宋体" w:cs="Times New Roman"/>
                <w:b/>
                <w:bCs/>
                <w:kern w:val="2"/>
                <w:szCs w:val="24"/>
                <w:highlight w:val="none"/>
              </w:rPr>
              <w:t>环境</w:t>
            </w:r>
          </w:p>
          <w:p w14:paraId="76E61D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sz w:val="24"/>
                <w:highlight w:val="none"/>
              </w:rPr>
            </w:pPr>
            <w:r>
              <w:rPr>
                <w:rFonts w:hint="eastAsia" w:cs="Times New Roman" w:eastAsiaTheme="minorEastAsia"/>
                <w:b w:val="0"/>
                <w:bCs w:val="0"/>
                <w:color w:val="auto"/>
                <w:sz w:val="24"/>
                <w:highlight w:val="none"/>
                <w:lang w:val="en-US" w:eastAsia="zh-CN"/>
              </w:rPr>
              <w:t>如项目涉及辐射装置使用，应另行申报相关审批手续。</w:t>
            </w:r>
          </w:p>
          <w:p w14:paraId="7503D6DB">
            <w:pPr>
              <w:pStyle w:val="14"/>
              <w:numPr>
                <w:ilvl w:val="0"/>
                <w:numId w:val="37"/>
              </w:numPr>
              <w:adjustRightInd w:val="0"/>
              <w:snapToGrid w:val="0"/>
              <w:spacing w:before="0" w:beforeAutospacing="0" w:after="0" w:afterAutospacing="0" w:line="360" w:lineRule="auto"/>
              <w:rPr>
                <w:rFonts w:hint="default" w:ascii="Times New Roman" w:hAnsi="Times New Roman" w:eastAsia="宋体" w:cs="Times New Roman"/>
                <w:b/>
                <w:szCs w:val="24"/>
                <w:highlight w:val="none"/>
              </w:rPr>
            </w:pPr>
            <w:r>
              <w:rPr>
                <w:rFonts w:hint="default" w:ascii="Times New Roman" w:hAnsi="Times New Roman" w:eastAsia="宋体" w:cs="Times New Roman"/>
                <w:b/>
                <w:bCs/>
                <w:szCs w:val="24"/>
                <w:highlight w:val="none"/>
              </w:rPr>
              <w:t>地下水</w:t>
            </w:r>
            <w:r>
              <w:rPr>
                <w:rFonts w:hint="default" w:ascii="Times New Roman" w:hAnsi="Times New Roman" w:eastAsia="宋体" w:cs="Times New Roman"/>
                <w:b/>
                <w:szCs w:val="24"/>
                <w:highlight w:val="none"/>
              </w:rPr>
              <w:t>、土壤环境</w:t>
            </w:r>
          </w:p>
          <w:p w14:paraId="2F567DEE">
            <w:pPr>
              <w:adjustRightInd w:val="0"/>
              <w:spacing w:line="360" w:lineRule="auto"/>
              <w:ind w:firstLine="480" w:firstLineChars="200"/>
              <w:rPr>
                <w:rFonts w:hint="default" w:ascii="Times New Roman" w:hAnsi="Times New Roman" w:eastAsia="宋体" w:cs="Times New Roman"/>
                <w:sz w:val="24"/>
                <w:szCs w:val="32"/>
                <w:highlight w:val="none"/>
              </w:rPr>
            </w:pPr>
            <w:r>
              <w:rPr>
                <w:rFonts w:hint="default" w:ascii="Times New Roman" w:hAnsi="Times New Roman" w:eastAsia="宋体" w:cs="Times New Roman"/>
                <w:color w:val="auto"/>
                <w:sz w:val="24"/>
                <w:szCs w:val="32"/>
                <w:highlight w:val="none"/>
              </w:rPr>
              <w:t>本项目租用现有房屋进行建设，项目运营后清洗废水与生活污水、纯水制备废水一同经园区化粪池处理后排入市政管网</w:t>
            </w:r>
            <w:r>
              <w:rPr>
                <w:rFonts w:hint="default" w:ascii="Times New Roman" w:hAnsi="Times New Roman" w:eastAsia="宋体" w:cs="Times New Roman"/>
                <w:color w:val="auto"/>
                <w:sz w:val="24"/>
                <w:szCs w:val="32"/>
                <w:highlight w:val="none"/>
                <w:lang w:eastAsia="zh-CN"/>
              </w:rPr>
              <w:t>，</w:t>
            </w:r>
            <w:r>
              <w:rPr>
                <w:rFonts w:hint="default" w:ascii="Times New Roman" w:hAnsi="Times New Roman" w:eastAsia="宋体" w:cs="Times New Roman"/>
                <w:color w:val="auto"/>
                <w:sz w:val="24"/>
                <w:szCs w:val="32"/>
                <w:highlight w:val="none"/>
                <w:lang w:val="en-US" w:eastAsia="zh-CN"/>
              </w:rPr>
              <w:t>危化品间、危险废物暂存间、实验室均</w:t>
            </w:r>
            <w:r>
              <w:rPr>
                <w:rFonts w:hint="default" w:ascii="Times New Roman" w:hAnsi="Times New Roman" w:eastAsia="宋体" w:cs="Times New Roman"/>
                <w:color w:val="auto"/>
                <w:sz w:val="24"/>
                <w:szCs w:val="32"/>
                <w:highlight w:val="none"/>
              </w:rPr>
              <w:t>采取分区防渗措施，与地下水及土壤环境有物理隔离，可有效阻断地下水环境污染途径；固体废物均得到合理处置，不存在土壤及地下水环境污染途径，无需进行地下水、土壤环境质量现状调查。</w:t>
            </w:r>
          </w:p>
        </w:tc>
      </w:tr>
      <w:tr w14:paraId="1E8E8F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vAlign w:val="center"/>
          </w:tcPr>
          <w:p w14:paraId="74F7D1DF">
            <w:pPr>
              <w:adjustRightInd w:val="0"/>
              <w:snapToGrid w:val="0"/>
              <w:jc w:val="center"/>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环境保护目标</w:t>
            </w:r>
          </w:p>
        </w:tc>
        <w:tc>
          <w:tcPr>
            <w:tcW w:w="8147" w:type="dxa"/>
            <w:vAlign w:val="center"/>
          </w:tcPr>
          <w:p w14:paraId="623B3C0A">
            <w:pPr>
              <w:pStyle w:val="14"/>
              <w:numPr>
                <w:ilvl w:val="0"/>
                <w:numId w:val="39"/>
              </w:numPr>
              <w:adjustRightInd w:val="0"/>
              <w:snapToGrid w:val="0"/>
              <w:spacing w:before="0" w:beforeAutospacing="0" w:after="0" w:afterAutospacing="0" w:line="360" w:lineRule="auto"/>
              <w:rPr>
                <w:rFonts w:hint="default" w:ascii="Times New Roman" w:hAnsi="Times New Roman" w:eastAsia="宋体" w:cs="Times New Roman"/>
                <w:sz w:val="32"/>
                <w:szCs w:val="22"/>
                <w:highlight w:val="none"/>
              </w:rPr>
            </w:pPr>
            <w:r>
              <w:rPr>
                <w:rFonts w:hint="default" w:ascii="Times New Roman" w:hAnsi="Times New Roman" w:eastAsia="宋体" w:cs="Times New Roman"/>
                <w:b/>
                <w:bCs/>
                <w:szCs w:val="24"/>
                <w:highlight w:val="none"/>
              </w:rPr>
              <w:t>大气</w:t>
            </w:r>
            <w:r>
              <w:rPr>
                <w:rFonts w:hint="default" w:ascii="Times New Roman" w:hAnsi="Times New Roman" w:eastAsia="宋体" w:cs="Times New Roman"/>
                <w:b/>
                <w:bCs/>
                <w:sz w:val="22"/>
                <w:szCs w:val="22"/>
                <w:highlight w:val="none"/>
                <w:lang w:bidi="ar"/>
              </w:rPr>
              <w:t>环境</w:t>
            </w:r>
          </w:p>
          <w:p w14:paraId="157B385B">
            <w:pPr>
              <w:autoSpaceDE w:val="0"/>
              <w:autoSpaceDN w:val="0"/>
              <w:adjustRightInd w:val="0"/>
              <w:spacing w:line="360" w:lineRule="auto"/>
              <w:ind w:firstLine="480" w:firstLineChars="200"/>
              <w:rPr>
                <w:rFonts w:hint="default" w:ascii="Times New Roman" w:hAnsi="Times New Roman" w:eastAsia="宋体" w:cs="Times New Roman"/>
                <w:sz w:val="24"/>
                <w:szCs w:val="32"/>
                <w:highlight w:val="none"/>
              </w:rPr>
            </w:pPr>
            <w:r>
              <w:rPr>
                <w:rFonts w:hint="default" w:ascii="Times New Roman" w:hAnsi="Times New Roman" w:eastAsia="宋体" w:cs="Times New Roman"/>
                <w:sz w:val="24"/>
                <w:szCs w:val="32"/>
                <w:highlight w:val="none"/>
                <w:lang w:val="en-US" w:eastAsia="zh-CN"/>
              </w:rPr>
              <w:t>本项目大气环境保护目标为西南侧299米康定街18号院永康公寓</w:t>
            </w:r>
            <w:r>
              <w:rPr>
                <w:rFonts w:hint="default" w:ascii="Times New Roman" w:hAnsi="Times New Roman" w:eastAsia="宋体" w:cs="Times New Roman"/>
                <w:sz w:val="24"/>
                <w:szCs w:val="32"/>
                <w:highlight w:val="none"/>
              </w:rPr>
              <w:t>。</w:t>
            </w:r>
          </w:p>
          <w:p w14:paraId="332DC40A">
            <w:pPr>
              <w:pStyle w:val="14"/>
              <w:numPr>
                <w:ilvl w:val="0"/>
                <w:numId w:val="39"/>
              </w:numPr>
              <w:adjustRightInd w:val="0"/>
              <w:snapToGrid w:val="0"/>
              <w:spacing w:before="0" w:beforeAutospacing="0" w:after="0" w:afterAutospacing="0" w:line="360" w:lineRule="auto"/>
              <w:rPr>
                <w:rFonts w:hint="default" w:ascii="Times New Roman" w:hAnsi="Times New Roman" w:eastAsia="宋体" w:cs="Times New Roman"/>
                <w:b/>
                <w:bCs/>
                <w:sz w:val="22"/>
                <w:szCs w:val="22"/>
                <w:highlight w:val="none"/>
                <w:lang w:bidi="ar"/>
              </w:rPr>
            </w:pPr>
            <w:r>
              <w:rPr>
                <w:rFonts w:hint="default" w:ascii="Times New Roman" w:hAnsi="Times New Roman" w:eastAsia="宋体" w:cs="Times New Roman"/>
                <w:b/>
                <w:bCs/>
                <w:sz w:val="22"/>
                <w:szCs w:val="22"/>
                <w:highlight w:val="none"/>
                <w:lang w:bidi="ar"/>
              </w:rPr>
              <w:t>声环境</w:t>
            </w:r>
          </w:p>
          <w:p w14:paraId="7DC68A52">
            <w:pPr>
              <w:autoSpaceDE w:val="0"/>
              <w:autoSpaceDN w:val="0"/>
              <w:adjustRightInd w:val="0"/>
              <w:spacing w:line="360" w:lineRule="auto"/>
              <w:ind w:firstLine="480" w:firstLineChars="200"/>
              <w:rPr>
                <w:rFonts w:hint="default" w:ascii="Times New Roman" w:hAnsi="Times New Roman" w:eastAsia="宋体" w:cs="Times New Roman"/>
                <w:sz w:val="24"/>
                <w:szCs w:val="32"/>
                <w:highlight w:val="none"/>
              </w:rPr>
            </w:pPr>
            <w:r>
              <w:rPr>
                <w:rFonts w:hint="default" w:ascii="Times New Roman" w:hAnsi="Times New Roman" w:eastAsia="宋体" w:cs="Times New Roman"/>
                <w:sz w:val="24"/>
                <w:szCs w:val="32"/>
                <w:highlight w:val="none"/>
              </w:rPr>
              <w:t>项目厂界外50m范围内无声环境保护目标。</w:t>
            </w:r>
          </w:p>
          <w:p w14:paraId="44B57210">
            <w:pPr>
              <w:pStyle w:val="14"/>
              <w:numPr>
                <w:ilvl w:val="0"/>
                <w:numId w:val="39"/>
              </w:numPr>
              <w:adjustRightInd w:val="0"/>
              <w:snapToGrid w:val="0"/>
              <w:spacing w:before="0" w:beforeAutospacing="0" w:after="0" w:afterAutospacing="0" w:line="360" w:lineRule="auto"/>
              <w:rPr>
                <w:rFonts w:hint="default" w:ascii="Times New Roman" w:hAnsi="Times New Roman" w:eastAsia="宋体" w:cs="Times New Roman"/>
                <w:b/>
                <w:bCs/>
                <w:sz w:val="22"/>
                <w:szCs w:val="22"/>
                <w:highlight w:val="none"/>
                <w:lang w:bidi="ar"/>
              </w:rPr>
            </w:pPr>
            <w:r>
              <w:rPr>
                <w:rFonts w:hint="default" w:ascii="Times New Roman" w:hAnsi="Times New Roman" w:eastAsia="宋体" w:cs="Times New Roman"/>
                <w:b/>
                <w:bCs/>
                <w:szCs w:val="24"/>
                <w:highlight w:val="none"/>
              </w:rPr>
              <w:t>地下水</w:t>
            </w:r>
            <w:r>
              <w:rPr>
                <w:rFonts w:hint="default" w:ascii="Times New Roman" w:hAnsi="Times New Roman" w:eastAsia="宋体" w:cs="Times New Roman"/>
                <w:b/>
                <w:bCs/>
                <w:sz w:val="22"/>
                <w:szCs w:val="22"/>
                <w:highlight w:val="none"/>
                <w:lang w:bidi="ar"/>
              </w:rPr>
              <w:t>环境</w:t>
            </w:r>
          </w:p>
          <w:p w14:paraId="7FE59677">
            <w:pPr>
              <w:autoSpaceDE w:val="0"/>
              <w:autoSpaceDN w:val="0"/>
              <w:adjustRightInd w:val="0"/>
              <w:spacing w:line="360" w:lineRule="auto"/>
              <w:ind w:firstLine="480" w:firstLineChars="200"/>
              <w:rPr>
                <w:rFonts w:hint="default" w:ascii="Times New Roman" w:hAnsi="Times New Roman" w:eastAsia="宋体" w:cs="Times New Roman"/>
                <w:sz w:val="24"/>
                <w:szCs w:val="32"/>
                <w:highlight w:val="none"/>
              </w:rPr>
            </w:pPr>
            <w:r>
              <w:rPr>
                <w:rFonts w:hint="default" w:ascii="Times New Roman" w:hAnsi="Times New Roman" w:eastAsia="宋体" w:cs="Times New Roman"/>
                <w:sz w:val="24"/>
                <w:szCs w:val="32"/>
                <w:highlight w:val="none"/>
              </w:rPr>
              <w:t>项目厂界外500m范围内无地下水集中式饮用水水源和热水、矿泉水、温泉等特殊地下水资源。</w:t>
            </w:r>
          </w:p>
          <w:p w14:paraId="25CA5E73">
            <w:pPr>
              <w:pStyle w:val="14"/>
              <w:numPr>
                <w:ilvl w:val="0"/>
                <w:numId w:val="39"/>
              </w:numPr>
              <w:adjustRightInd w:val="0"/>
              <w:snapToGrid w:val="0"/>
              <w:spacing w:before="0" w:beforeAutospacing="0" w:after="0" w:afterAutospacing="0" w:line="360" w:lineRule="auto"/>
              <w:rPr>
                <w:rFonts w:hint="default" w:ascii="Times New Roman" w:hAnsi="Times New Roman" w:eastAsia="宋体" w:cs="Times New Roman"/>
                <w:b/>
                <w:bCs/>
                <w:szCs w:val="24"/>
                <w:highlight w:val="none"/>
                <w:lang w:bidi="ar"/>
              </w:rPr>
            </w:pPr>
            <w:r>
              <w:rPr>
                <w:rFonts w:hint="default" w:ascii="Times New Roman" w:hAnsi="Times New Roman" w:eastAsia="宋体" w:cs="Times New Roman"/>
                <w:b/>
                <w:bCs/>
                <w:szCs w:val="24"/>
                <w:highlight w:val="none"/>
                <w:lang w:bidi="ar"/>
              </w:rPr>
              <w:t>生态环境</w:t>
            </w:r>
          </w:p>
          <w:p w14:paraId="5F962822">
            <w:pPr>
              <w:autoSpaceDE w:val="0"/>
              <w:autoSpaceDN w:val="0"/>
              <w:adjustRightInd w:val="0"/>
              <w:spacing w:line="360" w:lineRule="auto"/>
              <w:ind w:firstLine="480" w:firstLineChars="200"/>
              <w:rPr>
                <w:rFonts w:hint="default" w:ascii="Times New Roman" w:hAnsi="Times New Roman" w:eastAsia="宋体" w:cs="Times New Roman"/>
                <w:sz w:val="24"/>
                <w:szCs w:val="32"/>
                <w:highlight w:val="none"/>
              </w:rPr>
            </w:pPr>
            <w:r>
              <w:rPr>
                <w:rFonts w:hint="default" w:ascii="Times New Roman" w:hAnsi="Times New Roman" w:eastAsia="宋体" w:cs="Times New Roman"/>
                <w:sz w:val="24"/>
                <w:szCs w:val="32"/>
                <w:highlight w:val="none"/>
              </w:rPr>
              <w:t>本项目租用园区内现有房屋，不新增建设用地，且用地范围内无基本农田、森林公园等生态环境保护目标，无需进行生态现状调查。</w:t>
            </w:r>
          </w:p>
        </w:tc>
      </w:tr>
      <w:tr w14:paraId="0B2259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800" w:type="dxa"/>
            <w:tcMar>
              <w:left w:w="28" w:type="dxa"/>
              <w:right w:w="28" w:type="dxa"/>
            </w:tcMar>
            <w:vAlign w:val="center"/>
          </w:tcPr>
          <w:p w14:paraId="5E2B765B">
            <w:pPr>
              <w:adjustRightInd w:val="0"/>
              <w:snapToGrid w:val="0"/>
              <w:jc w:val="center"/>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污染物排放控</w:t>
            </w:r>
          </w:p>
          <w:p w14:paraId="446860F8">
            <w:pPr>
              <w:adjustRightInd w:val="0"/>
              <w:snapToGrid w:val="0"/>
              <w:jc w:val="center"/>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制标准</w:t>
            </w:r>
          </w:p>
        </w:tc>
        <w:tc>
          <w:tcPr>
            <w:tcW w:w="8147" w:type="dxa"/>
            <w:vAlign w:val="center"/>
          </w:tcPr>
          <w:p w14:paraId="735CD0C0">
            <w:pPr>
              <w:adjustRightInd w:val="0"/>
              <w:snapToGrid w:val="0"/>
              <w:spacing w:line="360" w:lineRule="auto"/>
              <w:ind w:firstLine="361" w:firstLineChars="150"/>
              <w:rPr>
                <w:rStyle w:val="25"/>
                <w:rFonts w:hint="default" w:ascii="Times New Roman" w:hAnsi="Times New Roman" w:eastAsia="宋体" w:cs="Times New Roman"/>
                <w:color w:val="auto"/>
                <w:highlight w:val="none"/>
              </w:rPr>
            </w:pPr>
            <w:r>
              <w:rPr>
                <w:rFonts w:hint="default" w:ascii="Times New Roman" w:hAnsi="Times New Roman" w:eastAsia="宋体" w:cs="Times New Roman"/>
                <w:b/>
                <w:sz w:val="24"/>
                <w:highlight w:val="none"/>
              </w:rPr>
              <w:t>一、大气污染物排放标准</w:t>
            </w:r>
          </w:p>
          <w:p w14:paraId="4AC13A9A">
            <w:pPr>
              <w:adjustRightInd w:val="0"/>
              <w:snapToGrid w:val="0"/>
              <w:spacing w:line="360" w:lineRule="auto"/>
              <w:ind w:firstLine="360" w:firstLineChars="150"/>
              <w:rPr>
                <w:rStyle w:val="25"/>
                <w:rFonts w:hint="default" w:ascii="Times New Roman" w:hAnsi="Times New Roman" w:eastAsia="宋体" w:cs="Times New Roman"/>
                <w:color w:val="auto"/>
                <w:highlight w:val="none"/>
              </w:rPr>
            </w:pPr>
            <w:r>
              <w:rPr>
                <w:rStyle w:val="25"/>
                <w:rFonts w:hint="default" w:ascii="Times New Roman" w:hAnsi="Times New Roman" w:eastAsia="宋体" w:cs="Times New Roman"/>
                <w:color w:val="auto"/>
                <w:highlight w:val="none"/>
              </w:rPr>
              <w:t>本项目大气污染物主要为</w:t>
            </w:r>
            <w:r>
              <w:rPr>
                <w:rStyle w:val="25"/>
                <w:rFonts w:hint="default" w:ascii="Times New Roman" w:hAnsi="Times New Roman" w:eastAsia="宋体" w:cs="Times New Roman"/>
                <w:color w:val="auto"/>
                <w:highlight w:val="none"/>
                <w:lang w:val="en-US" w:eastAsia="zh-CN"/>
              </w:rPr>
              <w:t>实验</w:t>
            </w:r>
            <w:r>
              <w:rPr>
                <w:rStyle w:val="25"/>
                <w:rFonts w:hint="default" w:ascii="Times New Roman" w:hAnsi="Times New Roman" w:eastAsia="宋体" w:cs="Times New Roman"/>
                <w:color w:val="auto"/>
                <w:highlight w:val="none"/>
              </w:rPr>
              <w:t>过程产生的挥发性有机废气</w:t>
            </w:r>
            <w:r>
              <w:rPr>
                <w:rStyle w:val="25"/>
                <w:rFonts w:hint="default" w:ascii="Times New Roman" w:hAnsi="Times New Roman" w:eastAsia="宋体" w:cs="Times New Roman"/>
                <w:color w:val="auto"/>
                <w:highlight w:val="none"/>
                <w:lang w:eastAsia="zh-CN"/>
              </w:rPr>
              <w:t>、</w:t>
            </w:r>
            <w:r>
              <w:rPr>
                <w:rStyle w:val="25"/>
                <w:rFonts w:hint="default" w:ascii="Times New Roman" w:hAnsi="Times New Roman" w:eastAsia="宋体" w:cs="Times New Roman"/>
                <w:color w:val="auto"/>
                <w:highlight w:val="none"/>
                <w:lang w:val="en-US" w:eastAsia="zh-CN"/>
              </w:rPr>
              <w:t>氨、氯化氢、氮氧化物、其他颗粒物、镍及其化合物</w:t>
            </w:r>
            <w:r>
              <w:rPr>
                <w:rStyle w:val="25"/>
                <w:rFonts w:hint="default" w:ascii="Times New Roman" w:hAnsi="Times New Roman" w:eastAsia="宋体" w:cs="Times New Roman"/>
                <w:color w:val="auto"/>
                <w:highlight w:val="none"/>
                <w:lang w:eastAsia="zh-CN"/>
              </w:rPr>
              <w:t>，</w:t>
            </w:r>
            <w:r>
              <w:rPr>
                <w:rStyle w:val="25"/>
                <w:rFonts w:hint="default" w:ascii="Times New Roman" w:hAnsi="Times New Roman" w:eastAsia="宋体" w:cs="Times New Roman"/>
                <w:color w:val="auto"/>
                <w:highlight w:val="none"/>
              </w:rPr>
              <w:t>废气排放执行北京市《大气污染物综合排放标准》（DB11/501-2017）表3中相应限值要求。</w:t>
            </w:r>
          </w:p>
          <w:p w14:paraId="71F212AA">
            <w:pPr>
              <w:pStyle w:val="36"/>
              <w:snapToGrid w:val="0"/>
              <w:ind w:firstLine="480" w:firstLineChars="200"/>
              <w:rPr>
                <w:rFonts w:hint="default" w:ascii="Times New Roman" w:hAnsi="Times New Roman" w:eastAsia="宋体" w:cs="Times New Roman"/>
                <w:szCs w:val="24"/>
                <w:highlight w:val="none"/>
              </w:rPr>
            </w:pPr>
            <w:r>
              <w:rPr>
                <w:rFonts w:hint="default" w:ascii="Times New Roman" w:hAnsi="Times New Roman" w:eastAsia="宋体" w:cs="Times New Roman"/>
                <w:szCs w:val="24"/>
                <w:highlight w:val="none"/>
              </w:rPr>
              <w:t>根据北京市《大气污染物综合排放标准》（DB11/501-2017）中相关规定：</w:t>
            </w:r>
            <w:r>
              <w:rPr>
                <w:rFonts w:hint="eastAsia" w:ascii="Times New Roman" w:hAnsi="Times New Roman" w:eastAsia="宋体" w:cs="Times New Roman"/>
                <w:szCs w:val="24"/>
                <w:highlight w:val="none"/>
                <w:lang w:eastAsia="zh-CN"/>
              </w:rPr>
              <w:t>“</w:t>
            </w:r>
            <w:r>
              <w:rPr>
                <w:rFonts w:hint="default" w:ascii="Times New Roman" w:hAnsi="Times New Roman" w:eastAsia="宋体" w:cs="Times New Roman"/>
                <w:szCs w:val="24"/>
                <w:highlight w:val="none"/>
              </w:rPr>
              <w:t>①排气筒高度应高出周围200m半径范围内的建筑物5m以上；不能达到该项要求的，最高允许排放速率应根据5.1.3确定的排放速率限值的50%执行；②排气筒高度处于表 1、表 2 或表 3 所列的两个排气筒高度之间时，其执行的最高允许排放速率以内插法计算</w:t>
            </w:r>
            <w:r>
              <w:rPr>
                <w:rFonts w:hint="default" w:ascii="Times New Roman" w:hAnsi="Times New Roman" w:eastAsia="宋体" w:cs="Times New Roman"/>
                <w:szCs w:val="24"/>
                <w:highlight w:val="none"/>
                <w:lang w:eastAsia="zh-CN"/>
              </w:rPr>
              <w:t>；③</w:t>
            </w:r>
            <w:r>
              <w:rPr>
                <w:rFonts w:hint="default" w:ascii="Times New Roman" w:hAnsi="Times New Roman" w:eastAsia="宋体" w:cs="Times New Roman"/>
                <w:szCs w:val="24"/>
                <w:highlight w:val="none"/>
                <w:lang w:val="en-US" w:eastAsia="zh-CN"/>
              </w:rPr>
              <w:t>排污单位内有排放同种污染物的多根排气筒，按合并后的一根排气筒确定该排污单位应执行的最高允许排放速率限值</w:t>
            </w:r>
            <w:r>
              <w:rPr>
                <w:rFonts w:hint="eastAsia" w:ascii="Times New Roman" w:hAnsi="Times New Roman" w:eastAsia="宋体" w:cs="Times New Roman"/>
                <w:szCs w:val="24"/>
                <w:highlight w:val="none"/>
                <w:lang w:val="en-US" w:eastAsia="zh-CN"/>
              </w:rPr>
              <w:t>”</w:t>
            </w:r>
            <w:r>
              <w:rPr>
                <w:rFonts w:hint="default" w:ascii="Times New Roman" w:hAnsi="Times New Roman" w:eastAsia="宋体" w:cs="Times New Roman"/>
                <w:szCs w:val="24"/>
                <w:highlight w:val="none"/>
              </w:rPr>
              <w:t>。</w:t>
            </w:r>
          </w:p>
          <w:p w14:paraId="6EC2F319">
            <w:pPr>
              <w:pStyle w:val="36"/>
              <w:snapToGrid w:val="0"/>
              <w:ind w:firstLine="480" w:firstLineChars="200"/>
              <w:rPr>
                <w:rFonts w:hint="default" w:ascii="Times New Roman" w:hAnsi="Times New Roman" w:eastAsia="宋体" w:cs="Times New Roman"/>
                <w:szCs w:val="24"/>
                <w:highlight w:val="none"/>
              </w:rPr>
            </w:pPr>
            <w:r>
              <w:rPr>
                <w:rFonts w:hint="default" w:ascii="Times New Roman" w:hAnsi="Times New Roman" w:eastAsia="宋体" w:cs="Times New Roman"/>
                <w:szCs w:val="24"/>
                <w:highlight w:val="none"/>
              </w:rPr>
              <w:t>本项目</w:t>
            </w:r>
            <w:r>
              <w:rPr>
                <w:rFonts w:hint="eastAsia" w:cs="Times New Roman"/>
                <w:szCs w:val="24"/>
                <w:highlight w:val="none"/>
                <w:lang w:val="en-US" w:eastAsia="zh-CN"/>
              </w:rPr>
              <w:t>所有</w:t>
            </w:r>
            <w:r>
              <w:rPr>
                <w:rFonts w:hint="default" w:ascii="Times New Roman" w:hAnsi="Times New Roman" w:eastAsia="宋体" w:cs="Times New Roman"/>
                <w:szCs w:val="24"/>
                <w:highlight w:val="none"/>
              </w:rPr>
              <w:t>废气排气筒高度</w:t>
            </w:r>
            <w:r>
              <w:rPr>
                <w:rFonts w:hint="default" w:ascii="Times New Roman" w:hAnsi="Times New Roman" w:eastAsia="宋体" w:cs="Times New Roman"/>
                <w:szCs w:val="24"/>
                <w:highlight w:val="none"/>
                <w:lang w:val="en-US" w:eastAsia="zh-CN"/>
              </w:rPr>
              <w:t>21.5</w:t>
            </w:r>
            <w:r>
              <w:rPr>
                <w:rFonts w:hint="default" w:ascii="Times New Roman" w:hAnsi="Times New Roman" w:eastAsia="宋体" w:cs="Times New Roman"/>
                <w:szCs w:val="24"/>
                <w:highlight w:val="none"/>
              </w:rPr>
              <w:t>m，</w:t>
            </w:r>
            <w:r>
              <w:rPr>
                <w:rFonts w:hint="default" w:ascii="Times New Roman" w:hAnsi="Times New Roman" w:eastAsia="宋体" w:cs="Times New Roman"/>
                <w:szCs w:val="24"/>
                <w:highlight w:val="none"/>
                <w:lang w:val="en-US" w:eastAsia="zh-CN"/>
              </w:rPr>
              <w:t>东南侧距本项目排气筒58米的7号楼高34米，</w:t>
            </w:r>
            <w:r>
              <w:rPr>
                <w:rFonts w:hint="default" w:ascii="Times New Roman" w:hAnsi="Times New Roman" w:eastAsia="宋体" w:cs="Times New Roman"/>
                <w:szCs w:val="24"/>
                <w:highlight w:val="none"/>
              </w:rPr>
              <w:t>未高出周围200m半径范围内的建筑物5m以上，废气排放速率须根据上述要求执行。</w:t>
            </w:r>
          </w:p>
          <w:p w14:paraId="47F50349">
            <w:pPr>
              <w:pStyle w:val="36"/>
              <w:snapToGrid w:val="0"/>
              <w:ind w:firstLine="480" w:firstLineChars="200"/>
              <w:rPr>
                <w:rFonts w:hint="default" w:ascii="Times New Roman" w:hAnsi="Times New Roman" w:eastAsia="宋体" w:cs="Times New Roman"/>
                <w:szCs w:val="24"/>
                <w:highlight w:val="none"/>
                <w:lang w:val="zh-CN"/>
              </w:rPr>
            </w:pPr>
            <w:r>
              <w:rPr>
                <w:rFonts w:hint="default" w:ascii="Times New Roman" w:hAnsi="Times New Roman" w:eastAsia="宋体" w:cs="Times New Roman"/>
                <w:szCs w:val="24"/>
                <w:highlight w:val="none"/>
                <w:lang w:val="zh-CN"/>
              </w:rPr>
              <w:t>综上，本项目大气污染物排放执行标准详见下表。</w:t>
            </w:r>
          </w:p>
          <w:p w14:paraId="1D8BF571">
            <w:pPr>
              <w:numPr>
                <w:ilvl w:val="0"/>
                <w:numId w:val="40"/>
              </w:numPr>
              <w:spacing w:line="360" w:lineRule="auto"/>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北京市《大气污染物综合排放标准》（DB11/501-2017）（摘录）</w:t>
            </w:r>
          </w:p>
          <w:tbl>
            <w:tblPr>
              <w:tblStyle w:val="18"/>
              <w:tblW w:w="4989"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7"/>
              <w:gridCol w:w="1254"/>
              <w:gridCol w:w="1211"/>
              <w:gridCol w:w="764"/>
              <w:gridCol w:w="1743"/>
              <w:gridCol w:w="926"/>
              <w:gridCol w:w="1120"/>
            </w:tblGrid>
            <w:tr w14:paraId="75ECD0F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897" w:type="dxa"/>
                  <w:vMerge w:val="restart"/>
                  <w:tcBorders>
                    <w:tl2br w:val="nil"/>
                    <w:tr2bl w:val="nil"/>
                  </w:tcBorders>
                  <w:shd w:val="clear" w:color="auto" w:fill="auto"/>
                  <w:vAlign w:val="center"/>
                </w:tcPr>
                <w:p w14:paraId="1D53B570">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排放口名称</w:t>
                  </w:r>
                </w:p>
              </w:tc>
              <w:tc>
                <w:tcPr>
                  <w:tcW w:w="1254" w:type="dxa"/>
                  <w:vMerge w:val="restart"/>
                  <w:tcBorders>
                    <w:tl2br w:val="nil"/>
                    <w:tr2bl w:val="nil"/>
                  </w:tcBorders>
                  <w:shd w:val="clear" w:color="auto" w:fill="auto"/>
                  <w:vAlign w:val="center"/>
                </w:tcPr>
                <w:p w14:paraId="35A41310">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污染物</w:t>
                  </w:r>
                </w:p>
                <w:p w14:paraId="2F6444CF">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项目</w:t>
                  </w:r>
                </w:p>
              </w:tc>
              <w:tc>
                <w:tcPr>
                  <w:tcW w:w="1211" w:type="dxa"/>
                  <w:vMerge w:val="restart"/>
                  <w:tcBorders>
                    <w:tl2br w:val="nil"/>
                    <w:tr2bl w:val="nil"/>
                  </w:tcBorders>
                  <w:shd w:val="clear" w:color="auto" w:fill="auto"/>
                  <w:vAlign w:val="center"/>
                </w:tcPr>
                <w:p w14:paraId="34B078BD">
                  <w:pPr>
                    <w:jc w:val="center"/>
                    <w:rPr>
                      <w:rFonts w:hint="default" w:ascii="Times New Roman" w:hAnsi="Times New Roman" w:eastAsia="宋体" w:cs="Times New Roman"/>
                      <w:b/>
                      <w:szCs w:val="21"/>
                      <w:highlight w:val="none"/>
                      <w:lang w:val="zh-CN"/>
                    </w:rPr>
                  </w:pPr>
                  <w:r>
                    <w:rPr>
                      <w:rFonts w:hint="default" w:ascii="Times New Roman" w:hAnsi="Times New Roman" w:eastAsia="宋体" w:cs="Times New Roman"/>
                      <w:b/>
                      <w:szCs w:val="21"/>
                      <w:highlight w:val="none"/>
                      <w:lang w:val="zh-CN"/>
                    </w:rPr>
                    <w:t>Ⅱ时段大气污染物最高允许排放浓度（mg/m</w:t>
                  </w:r>
                  <w:r>
                    <w:rPr>
                      <w:rFonts w:hint="default" w:ascii="Times New Roman" w:hAnsi="Times New Roman" w:eastAsia="宋体" w:cs="Times New Roman"/>
                      <w:b/>
                      <w:szCs w:val="21"/>
                      <w:highlight w:val="none"/>
                      <w:vertAlign w:val="superscript"/>
                      <w:lang w:val="zh-CN"/>
                    </w:rPr>
                    <w:t>3</w:t>
                  </w:r>
                  <w:r>
                    <w:rPr>
                      <w:rFonts w:hint="default" w:ascii="Times New Roman" w:hAnsi="Times New Roman" w:eastAsia="宋体" w:cs="Times New Roman"/>
                      <w:b/>
                      <w:szCs w:val="21"/>
                      <w:highlight w:val="none"/>
                      <w:lang w:val="zh-CN"/>
                    </w:rPr>
                    <w:t>）</w:t>
                  </w:r>
                </w:p>
              </w:tc>
              <w:tc>
                <w:tcPr>
                  <w:tcW w:w="764" w:type="dxa"/>
                  <w:vMerge w:val="restart"/>
                  <w:tcBorders>
                    <w:tl2br w:val="nil"/>
                    <w:tr2bl w:val="nil"/>
                  </w:tcBorders>
                  <w:shd w:val="clear" w:color="auto" w:fill="auto"/>
                  <w:vAlign w:val="center"/>
                </w:tcPr>
                <w:p w14:paraId="7114C5B2">
                  <w:pPr>
                    <w:jc w:val="center"/>
                    <w:rPr>
                      <w:rFonts w:hint="default" w:ascii="Times New Roman" w:hAnsi="Times New Roman" w:eastAsia="宋体" w:cs="Times New Roman"/>
                      <w:b/>
                      <w:szCs w:val="21"/>
                      <w:highlight w:val="none"/>
                      <w:lang w:val="zh-CN"/>
                    </w:rPr>
                  </w:pPr>
                  <w:r>
                    <w:rPr>
                      <w:rFonts w:hint="default" w:ascii="Times New Roman" w:hAnsi="Times New Roman" w:eastAsia="宋体" w:cs="Times New Roman"/>
                      <w:b/>
                      <w:szCs w:val="21"/>
                      <w:highlight w:val="none"/>
                      <w:lang w:val="zh-CN"/>
                    </w:rPr>
                    <w:t>排气筒</w:t>
                  </w:r>
                </w:p>
                <w:p w14:paraId="44F1321A">
                  <w:pPr>
                    <w:jc w:val="center"/>
                    <w:rPr>
                      <w:rFonts w:hint="default" w:ascii="Times New Roman" w:hAnsi="Times New Roman" w:eastAsia="宋体" w:cs="Times New Roman"/>
                      <w:b/>
                      <w:szCs w:val="21"/>
                      <w:highlight w:val="none"/>
                      <w:lang w:val="zh-CN"/>
                    </w:rPr>
                  </w:pPr>
                  <w:r>
                    <w:rPr>
                      <w:rFonts w:hint="default" w:ascii="Times New Roman" w:hAnsi="Times New Roman" w:eastAsia="宋体" w:cs="Times New Roman"/>
                      <w:b/>
                      <w:szCs w:val="21"/>
                      <w:highlight w:val="none"/>
                      <w:lang w:val="zh-CN"/>
                    </w:rPr>
                    <w:t>高度（m）</w:t>
                  </w:r>
                </w:p>
              </w:tc>
              <w:tc>
                <w:tcPr>
                  <w:tcW w:w="2669" w:type="dxa"/>
                  <w:gridSpan w:val="2"/>
                  <w:tcBorders>
                    <w:tl2br w:val="nil"/>
                    <w:tr2bl w:val="nil"/>
                  </w:tcBorders>
                  <w:shd w:val="clear" w:color="auto" w:fill="auto"/>
                  <w:vAlign w:val="center"/>
                </w:tcPr>
                <w:p w14:paraId="741BF3C5">
                  <w:pPr>
                    <w:jc w:val="center"/>
                    <w:rPr>
                      <w:rFonts w:hint="default" w:ascii="Times New Roman" w:hAnsi="Times New Roman" w:eastAsia="宋体" w:cs="Times New Roman"/>
                      <w:szCs w:val="21"/>
                      <w:highlight w:val="none"/>
                    </w:rPr>
                  </w:pPr>
                  <w:r>
                    <w:rPr>
                      <w:rFonts w:hint="default" w:ascii="Times New Roman" w:hAnsi="Times New Roman" w:eastAsia="宋体" w:cs="Times New Roman"/>
                      <w:b/>
                      <w:szCs w:val="21"/>
                      <w:highlight w:val="none"/>
                      <w:lang w:val="zh-CN"/>
                    </w:rPr>
                    <w:t>最高允许排放速率（kg/h）</w:t>
                  </w:r>
                </w:p>
              </w:tc>
              <w:tc>
                <w:tcPr>
                  <w:tcW w:w="1120" w:type="dxa"/>
                  <w:vMerge w:val="restart"/>
                  <w:tcBorders>
                    <w:tl2br w:val="nil"/>
                    <w:tr2bl w:val="nil"/>
                  </w:tcBorders>
                  <w:shd w:val="clear" w:color="auto" w:fill="auto"/>
                  <w:vAlign w:val="center"/>
                </w:tcPr>
                <w:p w14:paraId="0553A65D">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lang w:val="en-US" w:eastAsia="zh-CN"/>
                    </w:rPr>
                    <w:t xml:space="preserve">单位周界 </w:t>
                  </w:r>
                </w:p>
                <w:p w14:paraId="67A98758">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lang w:val="en-US" w:eastAsia="zh-CN"/>
                    </w:rPr>
                    <w:t xml:space="preserve">无组织排 </w:t>
                  </w:r>
                </w:p>
                <w:p w14:paraId="7FF6EE24">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lang w:val="en-US" w:eastAsia="zh-CN"/>
                    </w:rPr>
                    <w:t xml:space="preserve">放监控点 </w:t>
                  </w:r>
                </w:p>
                <w:p w14:paraId="0D73E692">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lang w:val="en-US" w:eastAsia="zh-CN"/>
                    </w:rPr>
                    <w:t xml:space="preserve">浓度限值 </w:t>
                  </w:r>
                </w:p>
                <w:p w14:paraId="60725D6D">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lang w:val="en-US" w:eastAsia="zh-CN"/>
                    </w:rPr>
                    <w:t>mg/m</w:t>
                  </w:r>
                  <w:r>
                    <w:rPr>
                      <w:rFonts w:hint="default" w:ascii="Times New Roman" w:hAnsi="Times New Roman" w:eastAsia="宋体" w:cs="Times New Roman"/>
                      <w:b/>
                      <w:szCs w:val="21"/>
                      <w:highlight w:val="none"/>
                      <w:vertAlign w:val="superscript"/>
                      <w:lang w:val="en-US" w:eastAsia="zh-CN"/>
                    </w:rPr>
                    <w:t>3</w:t>
                  </w:r>
                </w:p>
              </w:tc>
            </w:tr>
            <w:tr w14:paraId="409F7AF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62" w:hRule="atLeast"/>
                <w:jc w:val="center"/>
              </w:trPr>
              <w:tc>
                <w:tcPr>
                  <w:tcW w:w="897" w:type="dxa"/>
                  <w:vMerge w:val="continue"/>
                  <w:tcBorders>
                    <w:tl2br w:val="nil"/>
                    <w:tr2bl w:val="nil"/>
                  </w:tcBorders>
                  <w:vAlign w:val="center"/>
                </w:tcPr>
                <w:p w14:paraId="63F28508">
                  <w:pPr>
                    <w:jc w:val="center"/>
                    <w:rPr>
                      <w:rFonts w:hint="default" w:ascii="Times New Roman" w:hAnsi="Times New Roman" w:eastAsia="宋体" w:cs="Times New Roman"/>
                      <w:szCs w:val="21"/>
                      <w:highlight w:val="none"/>
                    </w:rPr>
                  </w:pPr>
                </w:p>
              </w:tc>
              <w:tc>
                <w:tcPr>
                  <w:tcW w:w="1254" w:type="dxa"/>
                  <w:vMerge w:val="continue"/>
                  <w:tcBorders>
                    <w:tl2br w:val="nil"/>
                    <w:tr2bl w:val="nil"/>
                  </w:tcBorders>
                  <w:vAlign w:val="center"/>
                </w:tcPr>
                <w:p w14:paraId="69E66E3A">
                  <w:pPr>
                    <w:jc w:val="center"/>
                    <w:rPr>
                      <w:rFonts w:hint="default" w:ascii="Times New Roman" w:hAnsi="Times New Roman" w:eastAsia="宋体" w:cs="Times New Roman"/>
                      <w:szCs w:val="21"/>
                      <w:highlight w:val="none"/>
                    </w:rPr>
                  </w:pPr>
                </w:p>
              </w:tc>
              <w:tc>
                <w:tcPr>
                  <w:tcW w:w="1211" w:type="dxa"/>
                  <w:vMerge w:val="continue"/>
                  <w:tcBorders>
                    <w:tl2br w:val="nil"/>
                    <w:tr2bl w:val="nil"/>
                  </w:tcBorders>
                  <w:vAlign w:val="center"/>
                </w:tcPr>
                <w:p w14:paraId="481F9D9B">
                  <w:pPr>
                    <w:jc w:val="center"/>
                    <w:rPr>
                      <w:rFonts w:hint="default" w:ascii="Times New Roman" w:hAnsi="Times New Roman" w:eastAsia="宋体" w:cs="Times New Roman"/>
                      <w:szCs w:val="21"/>
                      <w:highlight w:val="none"/>
                    </w:rPr>
                  </w:pPr>
                </w:p>
              </w:tc>
              <w:tc>
                <w:tcPr>
                  <w:tcW w:w="764" w:type="dxa"/>
                  <w:vMerge w:val="continue"/>
                  <w:tcBorders>
                    <w:tl2br w:val="nil"/>
                    <w:tr2bl w:val="nil"/>
                  </w:tcBorders>
                  <w:vAlign w:val="center"/>
                </w:tcPr>
                <w:p w14:paraId="7FEE2AC8">
                  <w:pPr>
                    <w:jc w:val="center"/>
                    <w:rPr>
                      <w:rFonts w:hint="default" w:ascii="Times New Roman" w:hAnsi="Times New Roman" w:eastAsia="宋体" w:cs="Times New Roman"/>
                      <w:szCs w:val="21"/>
                      <w:highlight w:val="none"/>
                    </w:rPr>
                  </w:pPr>
                </w:p>
              </w:tc>
              <w:tc>
                <w:tcPr>
                  <w:tcW w:w="1743" w:type="dxa"/>
                  <w:tcBorders>
                    <w:tl2br w:val="nil"/>
                    <w:tr2bl w:val="nil"/>
                  </w:tcBorders>
                  <w:shd w:val="clear" w:color="auto" w:fill="auto"/>
                  <w:vAlign w:val="center"/>
                </w:tcPr>
                <w:p w14:paraId="6EEC34F0">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用内插法计算的</w:t>
                  </w:r>
                  <w:r>
                    <w:rPr>
                      <w:rFonts w:hint="default" w:ascii="Times New Roman" w:hAnsi="Times New Roman" w:eastAsia="宋体" w:cs="Times New Roman"/>
                      <w:b/>
                      <w:szCs w:val="21"/>
                      <w:highlight w:val="none"/>
                      <w:lang w:val="en-US" w:eastAsia="zh-CN"/>
                    </w:rPr>
                    <w:t>相应</w:t>
                  </w:r>
                  <w:r>
                    <w:rPr>
                      <w:rFonts w:hint="default" w:ascii="Times New Roman" w:hAnsi="Times New Roman" w:eastAsia="宋体" w:cs="Times New Roman"/>
                      <w:b/>
                      <w:szCs w:val="21"/>
                      <w:highlight w:val="none"/>
                      <w:lang w:val="zh-CN"/>
                    </w:rPr>
                    <w:t>排气筒</w:t>
                  </w:r>
                  <w:r>
                    <w:rPr>
                      <w:rFonts w:hint="default" w:ascii="Times New Roman" w:hAnsi="Times New Roman" w:eastAsia="宋体" w:cs="Times New Roman"/>
                      <w:b/>
                      <w:szCs w:val="21"/>
                      <w:highlight w:val="none"/>
                      <w:lang w:val="en-US" w:eastAsia="zh-CN"/>
                    </w:rPr>
                    <w:t>高度对应的</w:t>
                  </w:r>
                  <w:r>
                    <w:rPr>
                      <w:rFonts w:hint="default" w:ascii="Times New Roman" w:hAnsi="Times New Roman" w:eastAsia="宋体" w:cs="Times New Roman"/>
                      <w:b/>
                      <w:szCs w:val="21"/>
                      <w:highlight w:val="none"/>
                      <w:lang w:val="zh-CN"/>
                    </w:rPr>
                    <w:t>最高允许排放速率</w:t>
                  </w:r>
                </w:p>
              </w:tc>
              <w:tc>
                <w:tcPr>
                  <w:tcW w:w="926" w:type="dxa"/>
                  <w:tcBorders>
                    <w:tl2br w:val="nil"/>
                    <w:tr2bl w:val="nil"/>
                  </w:tcBorders>
                  <w:shd w:val="clear" w:color="auto" w:fill="auto"/>
                  <w:vAlign w:val="center"/>
                </w:tcPr>
                <w:p w14:paraId="76B7C5CF">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严格50%</w:t>
                  </w:r>
                </w:p>
              </w:tc>
              <w:tc>
                <w:tcPr>
                  <w:tcW w:w="1120" w:type="dxa"/>
                  <w:vMerge w:val="continue"/>
                  <w:tcBorders>
                    <w:tl2br w:val="nil"/>
                    <w:tr2bl w:val="nil"/>
                  </w:tcBorders>
                  <w:shd w:val="clear" w:color="auto" w:fill="auto"/>
                  <w:vAlign w:val="center"/>
                </w:tcPr>
                <w:p w14:paraId="1C47B44A">
                  <w:pPr>
                    <w:jc w:val="center"/>
                    <w:rPr>
                      <w:rFonts w:hint="default" w:ascii="Times New Roman" w:hAnsi="Times New Roman" w:eastAsia="宋体" w:cs="Times New Roman"/>
                      <w:b/>
                      <w:szCs w:val="21"/>
                      <w:highlight w:val="none"/>
                    </w:rPr>
                  </w:pPr>
                </w:p>
              </w:tc>
            </w:tr>
            <w:tr w14:paraId="2365212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97" w:type="dxa"/>
                  <w:vMerge w:val="restart"/>
                  <w:tcBorders>
                    <w:tl2br w:val="nil"/>
                    <w:tr2bl w:val="nil"/>
                  </w:tcBorders>
                  <w:shd w:val="clear" w:color="auto" w:fill="auto"/>
                  <w:vAlign w:val="center"/>
                </w:tcPr>
                <w:p w14:paraId="5D9061D3">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DA001</w:t>
                  </w:r>
                </w:p>
              </w:tc>
              <w:tc>
                <w:tcPr>
                  <w:tcW w:w="1254" w:type="dxa"/>
                  <w:tcBorders>
                    <w:tl2br w:val="nil"/>
                    <w:tr2bl w:val="nil"/>
                  </w:tcBorders>
                  <w:shd w:val="clear" w:color="auto" w:fill="auto"/>
                  <w:vAlign w:val="center"/>
                </w:tcPr>
                <w:p w14:paraId="30E5AC1B">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颗粒物</w:t>
                  </w:r>
                </w:p>
              </w:tc>
              <w:tc>
                <w:tcPr>
                  <w:tcW w:w="1211" w:type="dxa"/>
                  <w:tcBorders>
                    <w:tl2br w:val="nil"/>
                    <w:tr2bl w:val="nil"/>
                  </w:tcBorders>
                  <w:shd w:val="clear" w:color="auto" w:fill="auto"/>
                  <w:vAlign w:val="center"/>
                </w:tcPr>
                <w:p w14:paraId="62EA5C24">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10</w:t>
                  </w:r>
                </w:p>
              </w:tc>
              <w:tc>
                <w:tcPr>
                  <w:tcW w:w="764" w:type="dxa"/>
                  <w:vMerge w:val="restart"/>
                  <w:tcBorders>
                    <w:tl2br w:val="nil"/>
                    <w:tr2bl w:val="nil"/>
                  </w:tcBorders>
                  <w:shd w:val="clear" w:color="auto" w:fill="auto"/>
                  <w:vAlign w:val="center"/>
                </w:tcPr>
                <w:p w14:paraId="2072CD6A">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21.5</w:t>
                  </w:r>
                </w:p>
              </w:tc>
              <w:tc>
                <w:tcPr>
                  <w:tcW w:w="1743" w:type="dxa"/>
                  <w:tcBorders>
                    <w:tl2br w:val="nil"/>
                    <w:tr2bl w:val="nil"/>
                  </w:tcBorders>
                  <w:shd w:val="clear" w:color="auto" w:fill="auto"/>
                  <w:vAlign w:val="center"/>
                </w:tcPr>
                <w:p w14:paraId="40119F20">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1.9</w:t>
                  </w:r>
                </w:p>
              </w:tc>
              <w:tc>
                <w:tcPr>
                  <w:tcW w:w="926" w:type="dxa"/>
                  <w:tcBorders>
                    <w:tl2br w:val="nil"/>
                    <w:tr2bl w:val="nil"/>
                  </w:tcBorders>
                  <w:shd w:val="clear" w:color="auto" w:fill="auto"/>
                  <w:vAlign w:val="center"/>
                </w:tcPr>
                <w:p w14:paraId="371640AE">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0.95</w:t>
                  </w:r>
                </w:p>
              </w:tc>
              <w:tc>
                <w:tcPr>
                  <w:tcW w:w="1120" w:type="dxa"/>
                  <w:tcBorders>
                    <w:tl2br w:val="nil"/>
                    <w:tr2bl w:val="nil"/>
                  </w:tcBorders>
                  <w:shd w:val="clear" w:color="auto" w:fill="auto"/>
                  <w:vAlign w:val="center"/>
                </w:tcPr>
                <w:p w14:paraId="53EC93EA">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0.30</w:t>
                  </w:r>
                </w:p>
              </w:tc>
            </w:tr>
            <w:tr w14:paraId="758F326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97" w:type="dxa"/>
                  <w:vMerge w:val="continue"/>
                  <w:tcBorders>
                    <w:tl2br w:val="nil"/>
                    <w:tr2bl w:val="nil"/>
                  </w:tcBorders>
                  <w:shd w:val="clear" w:color="auto" w:fill="auto"/>
                  <w:vAlign w:val="center"/>
                </w:tcPr>
                <w:p w14:paraId="24260CB6">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1254" w:type="dxa"/>
                  <w:tcBorders>
                    <w:tl2br w:val="nil"/>
                    <w:tr2bl w:val="nil"/>
                  </w:tcBorders>
                  <w:shd w:val="clear" w:color="auto" w:fill="auto"/>
                  <w:vAlign w:val="center"/>
                </w:tcPr>
                <w:p w14:paraId="24C59FC9">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镍及其化合物</w:t>
                  </w:r>
                </w:p>
              </w:tc>
              <w:tc>
                <w:tcPr>
                  <w:tcW w:w="1211" w:type="dxa"/>
                  <w:tcBorders>
                    <w:tl2br w:val="nil"/>
                    <w:tr2bl w:val="nil"/>
                  </w:tcBorders>
                  <w:shd w:val="clear" w:color="auto" w:fill="auto"/>
                  <w:vAlign w:val="center"/>
                </w:tcPr>
                <w:p w14:paraId="01747D3A">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0.20</w:t>
                  </w:r>
                </w:p>
              </w:tc>
              <w:tc>
                <w:tcPr>
                  <w:tcW w:w="764" w:type="dxa"/>
                  <w:vMerge w:val="continue"/>
                  <w:tcBorders>
                    <w:tl2br w:val="nil"/>
                    <w:tr2bl w:val="nil"/>
                  </w:tcBorders>
                  <w:shd w:val="clear" w:color="auto" w:fill="auto"/>
                  <w:vAlign w:val="center"/>
                </w:tcPr>
                <w:p w14:paraId="3A5523E7">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1743" w:type="dxa"/>
                  <w:tcBorders>
                    <w:tl2br w:val="nil"/>
                    <w:tr2bl w:val="nil"/>
                  </w:tcBorders>
                  <w:shd w:val="clear" w:color="auto" w:fill="auto"/>
                  <w:vAlign w:val="center"/>
                </w:tcPr>
                <w:p w14:paraId="605EA83B">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0.1</w:t>
                  </w:r>
                  <w:r>
                    <w:rPr>
                      <w:rFonts w:hint="eastAsia" w:ascii="Times New Roman" w:hAnsi="Times New Roman" w:eastAsia="宋体" w:cs="Times New Roman"/>
                      <w:kern w:val="2"/>
                      <w:sz w:val="18"/>
                      <w:szCs w:val="18"/>
                      <w:highlight w:val="none"/>
                      <w:lang w:val="en-US" w:eastAsia="zh-CN" w:bidi="ar-SA"/>
                    </w:rPr>
                    <w:t>3</w:t>
                  </w:r>
                </w:p>
              </w:tc>
              <w:tc>
                <w:tcPr>
                  <w:tcW w:w="926" w:type="dxa"/>
                  <w:tcBorders>
                    <w:tl2br w:val="nil"/>
                    <w:tr2bl w:val="nil"/>
                  </w:tcBorders>
                  <w:shd w:val="clear" w:color="auto" w:fill="auto"/>
                  <w:vAlign w:val="center"/>
                </w:tcPr>
                <w:p w14:paraId="08B0DBB3">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0.0</w:t>
                  </w:r>
                  <w:r>
                    <w:rPr>
                      <w:rFonts w:hint="eastAsia" w:ascii="Times New Roman" w:hAnsi="Times New Roman" w:eastAsia="宋体" w:cs="Times New Roman"/>
                      <w:kern w:val="2"/>
                      <w:sz w:val="18"/>
                      <w:szCs w:val="18"/>
                      <w:highlight w:val="none"/>
                      <w:lang w:val="en-US" w:eastAsia="zh-CN" w:bidi="ar-SA"/>
                    </w:rPr>
                    <w:t>65</w:t>
                  </w:r>
                </w:p>
              </w:tc>
              <w:tc>
                <w:tcPr>
                  <w:tcW w:w="1120" w:type="dxa"/>
                  <w:tcBorders>
                    <w:tl2br w:val="nil"/>
                    <w:tr2bl w:val="nil"/>
                  </w:tcBorders>
                  <w:shd w:val="clear" w:color="auto" w:fill="auto"/>
                  <w:vAlign w:val="center"/>
                </w:tcPr>
                <w:p w14:paraId="2790C502">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0.02</w:t>
                  </w:r>
                  <w:r>
                    <w:rPr>
                      <w:rFonts w:hint="eastAsia" w:ascii="Times New Roman" w:hAnsi="Times New Roman" w:eastAsia="宋体" w:cs="Times New Roman"/>
                      <w:kern w:val="2"/>
                      <w:sz w:val="18"/>
                      <w:szCs w:val="18"/>
                      <w:highlight w:val="none"/>
                      <w:lang w:val="en-US" w:eastAsia="zh-CN" w:bidi="ar-SA"/>
                    </w:rPr>
                    <w:t>0</w:t>
                  </w:r>
                </w:p>
              </w:tc>
            </w:tr>
            <w:tr w14:paraId="605782B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97" w:type="dxa"/>
                  <w:vMerge w:val="restart"/>
                  <w:tcBorders>
                    <w:tl2br w:val="nil"/>
                    <w:tr2bl w:val="nil"/>
                  </w:tcBorders>
                  <w:shd w:val="clear" w:color="auto" w:fill="auto"/>
                  <w:vAlign w:val="center"/>
                </w:tcPr>
                <w:p w14:paraId="0F550BCC">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DA00</w:t>
                  </w:r>
                  <w:r>
                    <w:rPr>
                      <w:rFonts w:hint="eastAsia" w:ascii="Times New Roman" w:hAnsi="Times New Roman" w:eastAsia="宋体" w:cs="Times New Roman"/>
                      <w:kern w:val="2"/>
                      <w:sz w:val="18"/>
                      <w:szCs w:val="18"/>
                      <w:highlight w:val="none"/>
                      <w:lang w:val="en-US" w:eastAsia="zh-CN" w:bidi="ar-SA"/>
                    </w:rPr>
                    <w:t>2</w:t>
                  </w:r>
                </w:p>
              </w:tc>
              <w:tc>
                <w:tcPr>
                  <w:tcW w:w="1254" w:type="dxa"/>
                  <w:tcBorders>
                    <w:tl2br w:val="nil"/>
                    <w:tr2bl w:val="nil"/>
                  </w:tcBorders>
                  <w:shd w:val="clear" w:color="auto" w:fill="auto"/>
                  <w:vAlign w:val="center"/>
                </w:tcPr>
                <w:p w14:paraId="505343F9">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非甲烷总烃</w:t>
                  </w:r>
                </w:p>
              </w:tc>
              <w:tc>
                <w:tcPr>
                  <w:tcW w:w="1211" w:type="dxa"/>
                  <w:tcBorders>
                    <w:tl2br w:val="nil"/>
                    <w:tr2bl w:val="nil"/>
                  </w:tcBorders>
                  <w:shd w:val="clear" w:color="auto" w:fill="auto"/>
                  <w:vAlign w:val="center"/>
                </w:tcPr>
                <w:p w14:paraId="08C68D72">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50</w:t>
                  </w:r>
                </w:p>
              </w:tc>
              <w:tc>
                <w:tcPr>
                  <w:tcW w:w="764" w:type="dxa"/>
                  <w:vMerge w:val="restart"/>
                  <w:tcBorders>
                    <w:tl2br w:val="nil"/>
                    <w:tr2bl w:val="nil"/>
                  </w:tcBorders>
                  <w:shd w:val="clear" w:color="auto" w:fill="auto"/>
                  <w:vAlign w:val="center"/>
                </w:tcPr>
                <w:p w14:paraId="0CBDA44A">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21.5</w:t>
                  </w:r>
                </w:p>
              </w:tc>
              <w:tc>
                <w:tcPr>
                  <w:tcW w:w="1743" w:type="dxa"/>
                  <w:tcBorders>
                    <w:tl2br w:val="nil"/>
                    <w:tr2bl w:val="nil"/>
                  </w:tcBorders>
                  <w:shd w:val="clear" w:color="auto" w:fill="auto"/>
                  <w:vAlign w:val="center"/>
                </w:tcPr>
                <w:p w14:paraId="21723233">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8.1</w:t>
                  </w:r>
                </w:p>
              </w:tc>
              <w:tc>
                <w:tcPr>
                  <w:tcW w:w="926" w:type="dxa"/>
                  <w:tcBorders>
                    <w:tl2br w:val="nil"/>
                    <w:tr2bl w:val="nil"/>
                  </w:tcBorders>
                  <w:shd w:val="clear" w:color="auto" w:fill="auto"/>
                  <w:vAlign w:val="center"/>
                </w:tcPr>
                <w:p w14:paraId="67BDB689">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4.05</w:t>
                  </w:r>
                </w:p>
              </w:tc>
              <w:tc>
                <w:tcPr>
                  <w:tcW w:w="1120" w:type="dxa"/>
                  <w:tcBorders>
                    <w:tl2br w:val="nil"/>
                    <w:tr2bl w:val="nil"/>
                  </w:tcBorders>
                  <w:shd w:val="clear" w:color="auto" w:fill="auto"/>
                  <w:vAlign w:val="center"/>
                </w:tcPr>
                <w:p w14:paraId="50D6CC74">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1.0</w:t>
                  </w:r>
                </w:p>
              </w:tc>
            </w:tr>
            <w:tr w14:paraId="4E14301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97" w:type="dxa"/>
                  <w:vMerge w:val="continue"/>
                  <w:tcBorders>
                    <w:tl2br w:val="nil"/>
                    <w:tr2bl w:val="nil"/>
                  </w:tcBorders>
                  <w:shd w:val="clear" w:color="auto" w:fill="auto"/>
                  <w:vAlign w:val="center"/>
                </w:tcPr>
                <w:p w14:paraId="7DF0F919">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1254" w:type="dxa"/>
                  <w:tcBorders>
                    <w:tl2br w:val="nil"/>
                    <w:tr2bl w:val="nil"/>
                  </w:tcBorders>
                  <w:shd w:val="clear" w:color="auto" w:fill="auto"/>
                  <w:vAlign w:val="center"/>
                </w:tcPr>
                <w:p w14:paraId="1DA94A3E">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氮氧化物</w:t>
                  </w:r>
                </w:p>
              </w:tc>
              <w:tc>
                <w:tcPr>
                  <w:tcW w:w="1211" w:type="dxa"/>
                  <w:tcBorders>
                    <w:tl2br w:val="nil"/>
                    <w:tr2bl w:val="nil"/>
                  </w:tcBorders>
                  <w:shd w:val="clear" w:color="auto" w:fill="auto"/>
                  <w:vAlign w:val="center"/>
                </w:tcPr>
                <w:p w14:paraId="5BF0430F">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100</w:t>
                  </w:r>
                </w:p>
              </w:tc>
              <w:tc>
                <w:tcPr>
                  <w:tcW w:w="764" w:type="dxa"/>
                  <w:vMerge w:val="continue"/>
                  <w:tcBorders>
                    <w:tl2br w:val="nil"/>
                    <w:tr2bl w:val="nil"/>
                  </w:tcBorders>
                  <w:shd w:val="clear" w:color="auto" w:fill="auto"/>
                  <w:vAlign w:val="center"/>
                </w:tcPr>
                <w:p w14:paraId="5AF8D901">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1743" w:type="dxa"/>
                  <w:tcBorders>
                    <w:tl2br w:val="nil"/>
                    <w:tr2bl w:val="nil"/>
                  </w:tcBorders>
                  <w:shd w:val="clear" w:color="auto" w:fill="auto"/>
                  <w:vAlign w:val="center"/>
                </w:tcPr>
                <w:p w14:paraId="1804338E">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0.97</w:t>
                  </w:r>
                </w:p>
              </w:tc>
              <w:tc>
                <w:tcPr>
                  <w:tcW w:w="926" w:type="dxa"/>
                  <w:tcBorders>
                    <w:tl2br w:val="nil"/>
                    <w:tr2bl w:val="nil"/>
                  </w:tcBorders>
                  <w:shd w:val="clear" w:color="auto" w:fill="auto"/>
                  <w:vAlign w:val="center"/>
                </w:tcPr>
                <w:p w14:paraId="54615AA6">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0.49</w:t>
                  </w:r>
                </w:p>
              </w:tc>
              <w:tc>
                <w:tcPr>
                  <w:tcW w:w="1120" w:type="dxa"/>
                  <w:tcBorders>
                    <w:tl2br w:val="nil"/>
                    <w:tr2bl w:val="nil"/>
                  </w:tcBorders>
                  <w:shd w:val="clear" w:color="auto" w:fill="auto"/>
                  <w:vAlign w:val="center"/>
                </w:tcPr>
                <w:p w14:paraId="6536B0B0">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0.12</w:t>
                  </w:r>
                </w:p>
              </w:tc>
            </w:tr>
            <w:tr w14:paraId="15C7E63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97" w:type="dxa"/>
                  <w:vMerge w:val="restart"/>
                  <w:tcBorders>
                    <w:tl2br w:val="nil"/>
                    <w:tr2bl w:val="nil"/>
                  </w:tcBorders>
                  <w:shd w:val="clear" w:color="auto" w:fill="auto"/>
                  <w:vAlign w:val="center"/>
                </w:tcPr>
                <w:p w14:paraId="2EEA9C98">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DA00</w:t>
                  </w:r>
                  <w:r>
                    <w:rPr>
                      <w:rFonts w:hint="eastAsia" w:ascii="Times New Roman" w:hAnsi="Times New Roman" w:eastAsia="宋体" w:cs="Times New Roman"/>
                      <w:kern w:val="2"/>
                      <w:sz w:val="18"/>
                      <w:szCs w:val="18"/>
                      <w:highlight w:val="none"/>
                      <w:lang w:val="en-US" w:eastAsia="zh-CN" w:bidi="ar-SA"/>
                    </w:rPr>
                    <w:t>3</w:t>
                  </w:r>
                </w:p>
              </w:tc>
              <w:tc>
                <w:tcPr>
                  <w:tcW w:w="1254" w:type="dxa"/>
                  <w:tcBorders>
                    <w:tl2br w:val="nil"/>
                    <w:tr2bl w:val="nil"/>
                  </w:tcBorders>
                  <w:shd w:val="clear" w:color="auto" w:fill="auto"/>
                  <w:vAlign w:val="center"/>
                </w:tcPr>
                <w:p w14:paraId="0226FBAD">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氯化氢</w:t>
                  </w:r>
                </w:p>
              </w:tc>
              <w:tc>
                <w:tcPr>
                  <w:tcW w:w="1211" w:type="dxa"/>
                  <w:tcBorders>
                    <w:tl2br w:val="nil"/>
                    <w:tr2bl w:val="nil"/>
                  </w:tcBorders>
                  <w:shd w:val="clear" w:color="auto" w:fill="auto"/>
                  <w:vAlign w:val="center"/>
                </w:tcPr>
                <w:p w14:paraId="4437FAE5">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10</w:t>
                  </w:r>
                </w:p>
              </w:tc>
              <w:tc>
                <w:tcPr>
                  <w:tcW w:w="764" w:type="dxa"/>
                  <w:vMerge w:val="restart"/>
                  <w:tcBorders>
                    <w:tl2br w:val="nil"/>
                    <w:tr2bl w:val="nil"/>
                  </w:tcBorders>
                  <w:shd w:val="clear" w:color="auto" w:fill="auto"/>
                  <w:vAlign w:val="center"/>
                </w:tcPr>
                <w:p w14:paraId="689D9364">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21.5</w:t>
                  </w:r>
                </w:p>
              </w:tc>
              <w:tc>
                <w:tcPr>
                  <w:tcW w:w="1743" w:type="dxa"/>
                  <w:tcBorders>
                    <w:tl2br w:val="nil"/>
                    <w:tr2bl w:val="nil"/>
                  </w:tcBorders>
                  <w:shd w:val="clear" w:color="auto" w:fill="auto"/>
                  <w:vAlign w:val="center"/>
                </w:tcPr>
                <w:p w14:paraId="0206D63C">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0.0</w:t>
                  </w:r>
                  <w:r>
                    <w:rPr>
                      <w:rFonts w:hint="eastAsia" w:ascii="Times New Roman" w:hAnsi="Times New Roman" w:eastAsia="宋体" w:cs="Times New Roman"/>
                      <w:kern w:val="2"/>
                      <w:sz w:val="18"/>
                      <w:szCs w:val="18"/>
                      <w:highlight w:val="none"/>
                      <w:lang w:val="en-US" w:eastAsia="zh-CN" w:bidi="ar-SA"/>
                    </w:rPr>
                    <w:t>81</w:t>
                  </w:r>
                </w:p>
              </w:tc>
              <w:tc>
                <w:tcPr>
                  <w:tcW w:w="926" w:type="dxa"/>
                  <w:tcBorders>
                    <w:tl2br w:val="nil"/>
                    <w:tr2bl w:val="nil"/>
                  </w:tcBorders>
                  <w:shd w:val="clear" w:color="auto" w:fill="auto"/>
                  <w:vAlign w:val="center"/>
                </w:tcPr>
                <w:p w14:paraId="05B60B95">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0.04</w:t>
                  </w:r>
                  <w:r>
                    <w:rPr>
                      <w:rFonts w:hint="eastAsia" w:ascii="Times New Roman" w:hAnsi="Times New Roman" w:eastAsia="宋体" w:cs="Times New Roman"/>
                      <w:kern w:val="2"/>
                      <w:sz w:val="18"/>
                      <w:szCs w:val="18"/>
                      <w:highlight w:val="none"/>
                      <w:lang w:val="en-US" w:eastAsia="zh-CN" w:bidi="ar-SA"/>
                    </w:rPr>
                    <w:t>1</w:t>
                  </w:r>
                </w:p>
              </w:tc>
              <w:tc>
                <w:tcPr>
                  <w:tcW w:w="1120" w:type="dxa"/>
                  <w:tcBorders>
                    <w:tl2br w:val="nil"/>
                    <w:tr2bl w:val="nil"/>
                  </w:tcBorders>
                  <w:shd w:val="clear" w:color="auto" w:fill="auto"/>
                  <w:vAlign w:val="center"/>
                </w:tcPr>
                <w:p w14:paraId="583612EC">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0.010</w:t>
                  </w:r>
                </w:p>
              </w:tc>
            </w:tr>
            <w:tr w14:paraId="51BBDFE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97" w:type="dxa"/>
                  <w:vMerge w:val="continue"/>
                  <w:tcBorders>
                    <w:tl2br w:val="nil"/>
                    <w:tr2bl w:val="nil"/>
                  </w:tcBorders>
                  <w:shd w:val="clear" w:color="auto" w:fill="auto"/>
                  <w:vAlign w:val="center"/>
                </w:tcPr>
                <w:p w14:paraId="139A3E17">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1254" w:type="dxa"/>
                  <w:tcBorders>
                    <w:tl2br w:val="nil"/>
                    <w:tr2bl w:val="nil"/>
                  </w:tcBorders>
                  <w:shd w:val="clear" w:color="auto" w:fill="auto"/>
                  <w:vAlign w:val="center"/>
                </w:tcPr>
                <w:p w14:paraId="4F013273">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氮氧化物</w:t>
                  </w:r>
                </w:p>
              </w:tc>
              <w:tc>
                <w:tcPr>
                  <w:tcW w:w="1211" w:type="dxa"/>
                  <w:tcBorders>
                    <w:tl2br w:val="nil"/>
                    <w:tr2bl w:val="nil"/>
                  </w:tcBorders>
                  <w:shd w:val="clear" w:color="auto" w:fill="auto"/>
                  <w:vAlign w:val="center"/>
                </w:tcPr>
                <w:p w14:paraId="64A87A59">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100</w:t>
                  </w:r>
                </w:p>
              </w:tc>
              <w:tc>
                <w:tcPr>
                  <w:tcW w:w="764" w:type="dxa"/>
                  <w:vMerge w:val="continue"/>
                  <w:tcBorders>
                    <w:tl2br w:val="nil"/>
                    <w:tr2bl w:val="nil"/>
                  </w:tcBorders>
                  <w:shd w:val="clear" w:color="auto" w:fill="auto"/>
                  <w:vAlign w:val="center"/>
                </w:tcPr>
                <w:p w14:paraId="036E27A6">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1743" w:type="dxa"/>
                  <w:tcBorders>
                    <w:tl2br w:val="nil"/>
                    <w:tr2bl w:val="nil"/>
                  </w:tcBorders>
                  <w:shd w:val="clear" w:color="auto" w:fill="auto"/>
                  <w:vAlign w:val="center"/>
                </w:tcPr>
                <w:p w14:paraId="44296208">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0.97</w:t>
                  </w:r>
                </w:p>
              </w:tc>
              <w:tc>
                <w:tcPr>
                  <w:tcW w:w="926" w:type="dxa"/>
                  <w:tcBorders>
                    <w:tl2br w:val="nil"/>
                    <w:tr2bl w:val="nil"/>
                  </w:tcBorders>
                  <w:shd w:val="clear" w:color="auto" w:fill="auto"/>
                  <w:vAlign w:val="center"/>
                </w:tcPr>
                <w:p w14:paraId="02CEFCB9">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0.49</w:t>
                  </w:r>
                </w:p>
              </w:tc>
              <w:tc>
                <w:tcPr>
                  <w:tcW w:w="1120" w:type="dxa"/>
                  <w:tcBorders>
                    <w:tl2br w:val="nil"/>
                    <w:tr2bl w:val="nil"/>
                  </w:tcBorders>
                  <w:shd w:val="clear" w:color="auto" w:fill="auto"/>
                  <w:vAlign w:val="center"/>
                </w:tcPr>
                <w:p w14:paraId="00BDE90B">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0.12</w:t>
                  </w:r>
                </w:p>
              </w:tc>
            </w:tr>
            <w:tr w14:paraId="152FB0C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97" w:type="dxa"/>
                  <w:vMerge w:val="continue"/>
                  <w:tcBorders>
                    <w:tl2br w:val="nil"/>
                    <w:tr2bl w:val="nil"/>
                  </w:tcBorders>
                  <w:shd w:val="clear" w:color="auto" w:fill="auto"/>
                  <w:vAlign w:val="center"/>
                </w:tcPr>
                <w:p w14:paraId="6334FA77">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1254" w:type="dxa"/>
                  <w:tcBorders>
                    <w:tl2br w:val="nil"/>
                    <w:tr2bl w:val="nil"/>
                  </w:tcBorders>
                  <w:shd w:val="clear" w:color="auto" w:fill="auto"/>
                  <w:vAlign w:val="center"/>
                </w:tcPr>
                <w:p w14:paraId="3B7FF4C8">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氨</w:t>
                  </w:r>
                </w:p>
              </w:tc>
              <w:tc>
                <w:tcPr>
                  <w:tcW w:w="1211" w:type="dxa"/>
                  <w:tcBorders>
                    <w:tl2br w:val="nil"/>
                    <w:tr2bl w:val="nil"/>
                  </w:tcBorders>
                  <w:shd w:val="clear" w:color="auto" w:fill="auto"/>
                  <w:vAlign w:val="center"/>
                </w:tcPr>
                <w:p w14:paraId="50A29C32">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10</w:t>
                  </w:r>
                </w:p>
              </w:tc>
              <w:tc>
                <w:tcPr>
                  <w:tcW w:w="764" w:type="dxa"/>
                  <w:vMerge w:val="continue"/>
                  <w:tcBorders>
                    <w:tl2br w:val="nil"/>
                    <w:tr2bl w:val="nil"/>
                  </w:tcBorders>
                  <w:shd w:val="clear" w:color="auto" w:fill="auto"/>
                  <w:vAlign w:val="center"/>
                </w:tcPr>
                <w:p w14:paraId="75C6FB22">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1743" w:type="dxa"/>
                  <w:tcBorders>
                    <w:tl2br w:val="nil"/>
                    <w:tr2bl w:val="nil"/>
                  </w:tcBorders>
                  <w:shd w:val="clear" w:color="auto" w:fill="auto"/>
                  <w:vAlign w:val="center"/>
                </w:tcPr>
                <w:p w14:paraId="25E2AB1E">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1.6</w:t>
                  </w:r>
                </w:p>
              </w:tc>
              <w:tc>
                <w:tcPr>
                  <w:tcW w:w="926" w:type="dxa"/>
                  <w:tcBorders>
                    <w:tl2br w:val="nil"/>
                    <w:tr2bl w:val="nil"/>
                  </w:tcBorders>
                  <w:shd w:val="clear" w:color="auto" w:fill="auto"/>
                  <w:vAlign w:val="center"/>
                </w:tcPr>
                <w:p w14:paraId="460FCA99">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0.80</w:t>
                  </w:r>
                </w:p>
              </w:tc>
              <w:tc>
                <w:tcPr>
                  <w:tcW w:w="1120" w:type="dxa"/>
                  <w:tcBorders>
                    <w:tl2br w:val="nil"/>
                    <w:tr2bl w:val="nil"/>
                  </w:tcBorders>
                  <w:shd w:val="clear" w:color="auto" w:fill="auto"/>
                  <w:vAlign w:val="center"/>
                </w:tcPr>
                <w:p w14:paraId="40FE7B9F">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0.20</w:t>
                  </w:r>
                </w:p>
              </w:tc>
            </w:tr>
            <w:tr w14:paraId="31D7527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97" w:type="dxa"/>
                  <w:vMerge w:val="continue"/>
                  <w:tcBorders>
                    <w:tl2br w:val="nil"/>
                    <w:tr2bl w:val="nil"/>
                  </w:tcBorders>
                  <w:shd w:val="clear" w:color="auto" w:fill="auto"/>
                  <w:vAlign w:val="center"/>
                </w:tcPr>
                <w:p w14:paraId="08CE172C">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1254" w:type="dxa"/>
                  <w:tcBorders>
                    <w:tl2br w:val="nil"/>
                    <w:tr2bl w:val="nil"/>
                  </w:tcBorders>
                  <w:shd w:val="clear" w:color="auto" w:fill="auto"/>
                  <w:vAlign w:val="center"/>
                </w:tcPr>
                <w:p w14:paraId="7AF67EC0">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氟化物（以F计）</w:t>
                  </w:r>
                </w:p>
              </w:tc>
              <w:tc>
                <w:tcPr>
                  <w:tcW w:w="1211" w:type="dxa"/>
                  <w:tcBorders>
                    <w:tl2br w:val="nil"/>
                    <w:tr2bl w:val="nil"/>
                  </w:tcBorders>
                  <w:shd w:val="clear" w:color="auto" w:fill="auto"/>
                  <w:vAlign w:val="center"/>
                </w:tcPr>
                <w:p w14:paraId="78082D3F">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3.0</w:t>
                  </w:r>
                </w:p>
              </w:tc>
              <w:tc>
                <w:tcPr>
                  <w:tcW w:w="764" w:type="dxa"/>
                  <w:vMerge w:val="continue"/>
                  <w:tcBorders>
                    <w:tl2br w:val="nil"/>
                    <w:tr2bl w:val="nil"/>
                  </w:tcBorders>
                  <w:shd w:val="clear" w:color="auto" w:fill="auto"/>
                  <w:vAlign w:val="center"/>
                </w:tcPr>
                <w:p w14:paraId="62E6FE6C">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1743" w:type="dxa"/>
                  <w:tcBorders>
                    <w:tl2br w:val="nil"/>
                    <w:tr2bl w:val="nil"/>
                  </w:tcBorders>
                  <w:shd w:val="clear" w:color="auto" w:fill="auto"/>
                  <w:vAlign w:val="center"/>
                </w:tcPr>
                <w:p w14:paraId="49AF5420">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0.16</w:t>
                  </w:r>
                </w:p>
              </w:tc>
              <w:tc>
                <w:tcPr>
                  <w:tcW w:w="926" w:type="dxa"/>
                  <w:tcBorders>
                    <w:tl2br w:val="nil"/>
                    <w:tr2bl w:val="nil"/>
                  </w:tcBorders>
                  <w:shd w:val="clear" w:color="auto" w:fill="auto"/>
                  <w:vAlign w:val="center"/>
                </w:tcPr>
                <w:p w14:paraId="40DCCC8C">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0.08</w:t>
                  </w:r>
                </w:p>
              </w:tc>
              <w:tc>
                <w:tcPr>
                  <w:tcW w:w="1120" w:type="dxa"/>
                  <w:tcBorders>
                    <w:tl2br w:val="nil"/>
                    <w:tr2bl w:val="nil"/>
                  </w:tcBorders>
                  <w:shd w:val="clear" w:color="auto" w:fill="auto"/>
                  <w:vAlign w:val="center"/>
                </w:tcPr>
                <w:p w14:paraId="74AA3DEA">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0.020</w:t>
                  </w:r>
                </w:p>
              </w:tc>
            </w:tr>
            <w:tr w14:paraId="28D958D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97" w:type="dxa"/>
                  <w:tcBorders>
                    <w:tl2br w:val="nil"/>
                    <w:tr2bl w:val="nil"/>
                  </w:tcBorders>
                  <w:shd w:val="clear" w:color="auto" w:fill="auto"/>
                  <w:vAlign w:val="center"/>
                </w:tcPr>
                <w:p w14:paraId="74EC307E">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DA004</w:t>
                  </w:r>
                </w:p>
              </w:tc>
              <w:tc>
                <w:tcPr>
                  <w:tcW w:w="1254" w:type="dxa"/>
                  <w:tcBorders>
                    <w:tl2br w:val="nil"/>
                    <w:tr2bl w:val="nil"/>
                  </w:tcBorders>
                  <w:shd w:val="clear" w:color="auto" w:fill="auto"/>
                  <w:vAlign w:val="center"/>
                </w:tcPr>
                <w:p w14:paraId="7D519076">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非甲烷总烃</w:t>
                  </w:r>
                </w:p>
              </w:tc>
              <w:tc>
                <w:tcPr>
                  <w:tcW w:w="1211" w:type="dxa"/>
                  <w:tcBorders>
                    <w:tl2br w:val="nil"/>
                    <w:tr2bl w:val="nil"/>
                  </w:tcBorders>
                  <w:shd w:val="clear" w:color="auto" w:fill="auto"/>
                  <w:vAlign w:val="center"/>
                </w:tcPr>
                <w:p w14:paraId="094994BF">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50</w:t>
                  </w:r>
                </w:p>
              </w:tc>
              <w:tc>
                <w:tcPr>
                  <w:tcW w:w="764" w:type="dxa"/>
                  <w:tcBorders>
                    <w:tl2br w:val="nil"/>
                    <w:tr2bl w:val="nil"/>
                  </w:tcBorders>
                  <w:shd w:val="clear" w:color="auto" w:fill="auto"/>
                  <w:vAlign w:val="center"/>
                </w:tcPr>
                <w:p w14:paraId="5ECE81AF">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21.5</w:t>
                  </w:r>
                </w:p>
              </w:tc>
              <w:tc>
                <w:tcPr>
                  <w:tcW w:w="1743" w:type="dxa"/>
                  <w:tcBorders>
                    <w:tl2br w:val="nil"/>
                    <w:tr2bl w:val="nil"/>
                  </w:tcBorders>
                  <w:shd w:val="clear" w:color="auto" w:fill="auto"/>
                  <w:vAlign w:val="center"/>
                </w:tcPr>
                <w:p w14:paraId="5F610B29">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8.1</w:t>
                  </w:r>
                </w:p>
              </w:tc>
              <w:tc>
                <w:tcPr>
                  <w:tcW w:w="926" w:type="dxa"/>
                  <w:tcBorders>
                    <w:tl2br w:val="nil"/>
                    <w:tr2bl w:val="nil"/>
                  </w:tcBorders>
                  <w:shd w:val="clear" w:color="auto" w:fill="auto"/>
                  <w:vAlign w:val="center"/>
                </w:tcPr>
                <w:p w14:paraId="06BE141D">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4.05</w:t>
                  </w:r>
                </w:p>
              </w:tc>
              <w:tc>
                <w:tcPr>
                  <w:tcW w:w="1120" w:type="dxa"/>
                  <w:tcBorders>
                    <w:tl2br w:val="nil"/>
                    <w:tr2bl w:val="nil"/>
                  </w:tcBorders>
                  <w:shd w:val="clear" w:color="auto" w:fill="auto"/>
                  <w:vAlign w:val="center"/>
                </w:tcPr>
                <w:p w14:paraId="2E97660C">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1.0</w:t>
                  </w:r>
                </w:p>
              </w:tc>
            </w:tr>
            <w:tr w14:paraId="767DEA6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97" w:type="dxa"/>
                  <w:tcBorders>
                    <w:tl2br w:val="nil"/>
                    <w:tr2bl w:val="nil"/>
                  </w:tcBorders>
                  <w:shd w:val="clear" w:color="auto" w:fill="auto"/>
                  <w:vAlign w:val="center"/>
                </w:tcPr>
                <w:p w14:paraId="500B71E2">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DA00</w:t>
                  </w:r>
                  <w:r>
                    <w:rPr>
                      <w:rFonts w:hint="eastAsia" w:ascii="Times New Roman" w:hAnsi="Times New Roman" w:eastAsia="宋体" w:cs="Times New Roman"/>
                      <w:kern w:val="2"/>
                      <w:sz w:val="18"/>
                      <w:szCs w:val="18"/>
                      <w:highlight w:val="none"/>
                      <w:lang w:val="en-US" w:eastAsia="zh-CN" w:bidi="ar-SA"/>
                    </w:rPr>
                    <w:t>5</w:t>
                  </w:r>
                </w:p>
              </w:tc>
              <w:tc>
                <w:tcPr>
                  <w:tcW w:w="1254" w:type="dxa"/>
                  <w:tcBorders>
                    <w:tl2br w:val="nil"/>
                    <w:tr2bl w:val="nil"/>
                  </w:tcBorders>
                  <w:shd w:val="clear" w:color="auto" w:fill="auto"/>
                  <w:vAlign w:val="center"/>
                </w:tcPr>
                <w:p w14:paraId="3B3A6F94">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非甲烷总烃</w:t>
                  </w:r>
                </w:p>
              </w:tc>
              <w:tc>
                <w:tcPr>
                  <w:tcW w:w="1211" w:type="dxa"/>
                  <w:tcBorders>
                    <w:tl2br w:val="nil"/>
                    <w:tr2bl w:val="nil"/>
                  </w:tcBorders>
                  <w:shd w:val="clear" w:color="auto" w:fill="auto"/>
                  <w:vAlign w:val="center"/>
                </w:tcPr>
                <w:p w14:paraId="206C6537">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50</w:t>
                  </w:r>
                </w:p>
              </w:tc>
              <w:tc>
                <w:tcPr>
                  <w:tcW w:w="764" w:type="dxa"/>
                  <w:tcBorders>
                    <w:tl2br w:val="nil"/>
                    <w:tr2bl w:val="nil"/>
                  </w:tcBorders>
                  <w:shd w:val="clear" w:color="auto" w:fill="auto"/>
                  <w:vAlign w:val="center"/>
                </w:tcPr>
                <w:p w14:paraId="4DD441C4">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21.5</w:t>
                  </w:r>
                </w:p>
              </w:tc>
              <w:tc>
                <w:tcPr>
                  <w:tcW w:w="1743" w:type="dxa"/>
                  <w:tcBorders>
                    <w:tl2br w:val="nil"/>
                    <w:tr2bl w:val="nil"/>
                  </w:tcBorders>
                  <w:shd w:val="clear" w:color="auto" w:fill="auto"/>
                  <w:vAlign w:val="center"/>
                </w:tcPr>
                <w:p w14:paraId="3658A068">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8.1</w:t>
                  </w:r>
                </w:p>
              </w:tc>
              <w:tc>
                <w:tcPr>
                  <w:tcW w:w="926" w:type="dxa"/>
                  <w:tcBorders>
                    <w:tl2br w:val="nil"/>
                    <w:tr2bl w:val="nil"/>
                  </w:tcBorders>
                  <w:shd w:val="clear" w:color="auto" w:fill="auto"/>
                  <w:vAlign w:val="center"/>
                </w:tcPr>
                <w:p w14:paraId="2FC8AB62">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4.05</w:t>
                  </w:r>
                </w:p>
              </w:tc>
              <w:tc>
                <w:tcPr>
                  <w:tcW w:w="1120" w:type="dxa"/>
                  <w:tcBorders>
                    <w:tl2br w:val="nil"/>
                    <w:tr2bl w:val="nil"/>
                  </w:tcBorders>
                  <w:shd w:val="clear" w:color="auto" w:fill="auto"/>
                  <w:vAlign w:val="center"/>
                </w:tcPr>
                <w:p w14:paraId="3755537D">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1.0</w:t>
                  </w:r>
                </w:p>
              </w:tc>
            </w:tr>
            <w:tr w14:paraId="45A43D6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97" w:type="dxa"/>
                  <w:tcBorders>
                    <w:tl2br w:val="nil"/>
                    <w:tr2bl w:val="nil"/>
                  </w:tcBorders>
                  <w:shd w:val="clear" w:color="auto" w:fill="auto"/>
                  <w:vAlign w:val="center"/>
                </w:tcPr>
                <w:p w14:paraId="1B5332FC">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DA00</w:t>
                  </w:r>
                  <w:r>
                    <w:rPr>
                      <w:rFonts w:hint="eastAsia" w:ascii="Times New Roman" w:hAnsi="Times New Roman" w:eastAsia="宋体" w:cs="Times New Roman"/>
                      <w:kern w:val="2"/>
                      <w:sz w:val="18"/>
                      <w:szCs w:val="18"/>
                      <w:highlight w:val="none"/>
                      <w:lang w:val="en-US" w:eastAsia="zh-CN" w:bidi="ar-SA"/>
                    </w:rPr>
                    <w:t>6</w:t>
                  </w:r>
                </w:p>
              </w:tc>
              <w:tc>
                <w:tcPr>
                  <w:tcW w:w="1254" w:type="dxa"/>
                  <w:tcBorders>
                    <w:tl2br w:val="nil"/>
                    <w:tr2bl w:val="nil"/>
                  </w:tcBorders>
                  <w:shd w:val="clear" w:color="auto" w:fill="auto"/>
                  <w:vAlign w:val="center"/>
                </w:tcPr>
                <w:p w14:paraId="7C3A717B">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非甲烷总烃</w:t>
                  </w:r>
                </w:p>
              </w:tc>
              <w:tc>
                <w:tcPr>
                  <w:tcW w:w="1211" w:type="dxa"/>
                  <w:tcBorders>
                    <w:tl2br w:val="nil"/>
                    <w:tr2bl w:val="nil"/>
                  </w:tcBorders>
                  <w:shd w:val="clear" w:color="auto" w:fill="auto"/>
                  <w:vAlign w:val="center"/>
                </w:tcPr>
                <w:p w14:paraId="1F644498">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50</w:t>
                  </w:r>
                </w:p>
              </w:tc>
              <w:tc>
                <w:tcPr>
                  <w:tcW w:w="764" w:type="dxa"/>
                  <w:tcBorders>
                    <w:tl2br w:val="nil"/>
                    <w:tr2bl w:val="nil"/>
                  </w:tcBorders>
                  <w:shd w:val="clear" w:color="auto" w:fill="auto"/>
                  <w:vAlign w:val="center"/>
                </w:tcPr>
                <w:p w14:paraId="3FCD3641">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21.5</w:t>
                  </w:r>
                </w:p>
              </w:tc>
              <w:tc>
                <w:tcPr>
                  <w:tcW w:w="1743" w:type="dxa"/>
                  <w:tcBorders>
                    <w:tl2br w:val="nil"/>
                    <w:tr2bl w:val="nil"/>
                  </w:tcBorders>
                  <w:shd w:val="clear" w:color="auto" w:fill="auto"/>
                  <w:vAlign w:val="center"/>
                </w:tcPr>
                <w:p w14:paraId="56409D7E">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8.1</w:t>
                  </w:r>
                </w:p>
              </w:tc>
              <w:tc>
                <w:tcPr>
                  <w:tcW w:w="926" w:type="dxa"/>
                  <w:tcBorders>
                    <w:tl2br w:val="nil"/>
                    <w:tr2bl w:val="nil"/>
                  </w:tcBorders>
                  <w:shd w:val="clear" w:color="auto" w:fill="auto"/>
                  <w:vAlign w:val="center"/>
                </w:tcPr>
                <w:p w14:paraId="3CD89D9E">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4.05</w:t>
                  </w:r>
                </w:p>
              </w:tc>
              <w:tc>
                <w:tcPr>
                  <w:tcW w:w="1120" w:type="dxa"/>
                  <w:tcBorders>
                    <w:tl2br w:val="nil"/>
                    <w:tr2bl w:val="nil"/>
                  </w:tcBorders>
                  <w:shd w:val="clear" w:color="auto" w:fill="auto"/>
                  <w:vAlign w:val="center"/>
                </w:tcPr>
                <w:p w14:paraId="6B745C0A">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1.0</w:t>
                  </w:r>
                </w:p>
              </w:tc>
            </w:tr>
            <w:tr w14:paraId="4E94551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97" w:type="dxa"/>
                  <w:tcBorders>
                    <w:tl2br w:val="nil"/>
                    <w:tr2bl w:val="nil"/>
                  </w:tcBorders>
                  <w:shd w:val="clear" w:color="auto" w:fill="auto"/>
                  <w:vAlign w:val="center"/>
                </w:tcPr>
                <w:p w14:paraId="167B6028">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DA00</w:t>
                  </w:r>
                  <w:r>
                    <w:rPr>
                      <w:rFonts w:hint="eastAsia" w:ascii="Times New Roman" w:hAnsi="Times New Roman" w:eastAsia="宋体" w:cs="Times New Roman"/>
                      <w:kern w:val="2"/>
                      <w:sz w:val="18"/>
                      <w:szCs w:val="18"/>
                      <w:highlight w:val="none"/>
                      <w:lang w:val="en-US" w:eastAsia="zh-CN" w:bidi="ar-SA"/>
                    </w:rPr>
                    <w:t>7</w:t>
                  </w:r>
                </w:p>
              </w:tc>
              <w:tc>
                <w:tcPr>
                  <w:tcW w:w="1254" w:type="dxa"/>
                  <w:tcBorders>
                    <w:tl2br w:val="nil"/>
                    <w:tr2bl w:val="nil"/>
                  </w:tcBorders>
                  <w:shd w:val="clear" w:color="auto" w:fill="auto"/>
                  <w:vAlign w:val="center"/>
                </w:tcPr>
                <w:p w14:paraId="00D73883">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非甲烷总烃</w:t>
                  </w:r>
                </w:p>
              </w:tc>
              <w:tc>
                <w:tcPr>
                  <w:tcW w:w="1211" w:type="dxa"/>
                  <w:tcBorders>
                    <w:tl2br w:val="nil"/>
                    <w:tr2bl w:val="nil"/>
                  </w:tcBorders>
                  <w:shd w:val="clear" w:color="auto" w:fill="auto"/>
                  <w:vAlign w:val="center"/>
                </w:tcPr>
                <w:p w14:paraId="15AA703C">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50</w:t>
                  </w:r>
                </w:p>
              </w:tc>
              <w:tc>
                <w:tcPr>
                  <w:tcW w:w="764" w:type="dxa"/>
                  <w:tcBorders>
                    <w:tl2br w:val="nil"/>
                    <w:tr2bl w:val="nil"/>
                  </w:tcBorders>
                  <w:shd w:val="clear" w:color="auto" w:fill="auto"/>
                  <w:vAlign w:val="center"/>
                </w:tcPr>
                <w:p w14:paraId="3A94CC49">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21.5</w:t>
                  </w:r>
                </w:p>
              </w:tc>
              <w:tc>
                <w:tcPr>
                  <w:tcW w:w="1743" w:type="dxa"/>
                  <w:tcBorders>
                    <w:tl2br w:val="nil"/>
                    <w:tr2bl w:val="nil"/>
                  </w:tcBorders>
                  <w:shd w:val="clear" w:color="auto" w:fill="auto"/>
                  <w:vAlign w:val="center"/>
                </w:tcPr>
                <w:p w14:paraId="4766AA21">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8.1</w:t>
                  </w:r>
                </w:p>
              </w:tc>
              <w:tc>
                <w:tcPr>
                  <w:tcW w:w="926" w:type="dxa"/>
                  <w:tcBorders>
                    <w:tl2br w:val="nil"/>
                    <w:tr2bl w:val="nil"/>
                  </w:tcBorders>
                  <w:shd w:val="clear" w:color="auto" w:fill="auto"/>
                  <w:vAlign w:val="center"/>
                </w:tcPr>
                <w:p w14:paraId="31DA8987">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4.05</w:t>
                  </w:r>
                </w:p>
              </w:tc>
              <w:tc>
                <w:tcPr>
                  <w:tcW w:w="1120" w:type="dxa"/>
                  <w:tcBorders>
                    <w:tl2br w:val="nil"/>
                    <w:tr2bl w:val="nil"/>
                  </w:tcBorders>
                  <w:shd w:val="clear" w:color="auto" w:fill="auto"/>
                  <w:vAlign w:val="center"/>
                </w:tcPr>
                <w:p w14:paraId="30EED070">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1.0</w:t>
                  </w:r>
                </w:p>
              </w:tc>
            </w:tr>
            <w:tr w14:paraId="1A0526F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97" w:type="dxa"/>
                  <w:tcBorders>
                    <w:tl2br w:val="nil"/>
                    <w:tr2bl w:val="nil"/>
                  </w:tcBorders>
                  <w:shd w:val="clear" w:color="auto" w:fill="auto"/>
                  <w:vAlign w:val="center"/>
                </w:tcPr>
                <w:p w14:paraId="0E30432F">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DA00</w:t>
                  </w:r>
                  <w:r>
                    <w:rPr>
                      <w:rFonts w:hint="eastAsia" w:ascii="Times New Roman" w:hAnsi="Times New Roman" w:eastAsia="宋体" w:cs="Times New Roman"/>
                      <w:kern w:val="2"/>
                      <w:sz w:val="18"/>
                      <w:szCs w:val="18"/>
                      <w:highlight w:val="none"/>
                      <w:lang w:val="en-US" w:eastAsia="zh-CN" w:bidi="ar-SA"/>
                    </w:rPr>
                    <w:t>8</w:t>
                  </w:r>
                </w:p>
              </w:tc>
              <w:tc>
                <w:tcPr>
                  <w:tcW w:w="1254" w:type="dxa"/>
                  <w:tcBorders>
                    <w:tl2br w:val="nil"/>
                    <w:tr2bl w:val="nil"/>
                  </w:tcBorders>
                  <w:shd w:val="clear" w:color="auto" w:fill="auto"/>
                  <w:vAlign w:val="center"/>
                </w:tcPr>
                <w:p w14:paraId="00D91256">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非甲烷总烃</w:t>
                  </w:r>
                </w:p>
              </w:tc>
              <w:tc>
                <w:tcPr>
                  <w:tcW w:w="1211" w:type="dxa"/>
                  <w:tcBorders>
                    <w:tl2br w:val="nil"/>
                    <w:tr2bl w:val="nil"/>
                  </w:tcBorders>
                  <w:shd w:val="clear" w:color="auto" w:fill="auto"/>
                  <w:vAlign w:val="center"/>
                </w:tcPr>
                <w:p w14:paraId="55C2D79B">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50</w:t>
                  </w:r>
                </w:p>
              </w:tc>
              <w:tc>
                <w:tcPr>
                  <w:tcW w:w="764" w:type="dxa"/>
                  <w:tcBorders>
                    <w:tl2br w:val="nil"/>
                    <w:tr2bl w:val="nil"/>
                  </w:tcBorders>
                  <w:shd w:val="clear" w:color="auto" w:fill="auto"/>
                  <w:vAlign w:val="center"/>
                </w:tcPr>
                <w:p w14:paraId="29027503">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21.5</w:t>
                  </w:r>
                </w:p>
              </w:tc>
              <w:tc>
                <w:tcPr>
                  <w:tcW w:w="1743" w:type="dxa"/>
                  <w:tcBorders>
                    <w:tl2br w:val="nil"/>
                    <w:tr2bl w:val="nil"/>
                  </w:tcBorders>
                  <w:shd w:val="clear" w:color="auto" w:fill="auto"/>
                  <w:vAlign w:val="center"/>
                </w:tcPr>
                <w:p w14:paraId="027282D3">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8.1</w:t>
                  </w:r>
                </w:p>
              </w:tc>
              <w:tc>
                <w:tcPr>
                  <w:tcW w:w="926" w:type="dxa"/>
                  <w:tcBorders>
                    <w:tl2br w:val="nil"/>
                    <w:tr2bl w:val="nil"/>
                  </w:tcBorders>
                  <w:shd w:val="clear" w:color="auto" w:fill="auto"/>
                  <w:vAlign w:val="center"/>
                </w:tcPr>
                <w:p w14:paraId="6AC10709">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4.05</w:t>
                  </w:r>
                </w:p>
              </w:tc>
              <w:tc>
                <w:tcPr>
                  <w:tcW w:w="1120" w:type="dxa"/>
                  <w:tcBorders>
                    <w:tl2br w:val="nil"/>
                    <w:tr2bl w:val="nil"/>
                  </w:tcBorders>
                  <w:shd w:val="clear" w:color="auto" w:fill="auto"/>
                  <w:vAlign w:val="center"/>
                </w:tcPr>
                <w:p w14:paraId="0A98ACA6">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1.0</w:t>
                  </w:r>
                </w:p>
              </w:tc>
            </w:tr>
            <w:tr w14:paraId="387CD90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897" w:type="dxa"/>
                  <w:vMerge w:val="restart"/>
                  <w:tcBorders>
                    <w:tl2br w:val="nil"/>
                    <w:tr2bl w:val="nil"/>
                  </w:tcBorders>
                </w:tcPr>
                <w:p w14:paraId="5F6B4C8B">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代表性排气筒</w:t>
                  </w:r>
                </w:p>
              </w:tc>
              <w:tc>
                <w:tcPr>
                  <w:tcW w:w="1254" w:type="dxa"/>
                  <w:tcBorders>
                    <w:tl2br w:val="nil"/>
                    <w:tr2bl w:val="nil"/>
                  </w:tcBorders>
                  <w:shd w:val="clear" w:color="auto" w:fill="auto"/>
                  <w:vAlign w:val="center"/>
                </w:tcPr>
                <w:p w14:paraId="52BA7F97">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氮氧化物</w:t>
                  </w:r>
                </w:p>
              </w:tc>
              <w:tc>
                <w:tcPr>
                  <w:tcW w:w="1211" w:type="dxa"/>
                  <w:tcBorders>
                    <w:tl2br w:val="nil"/>
                    <w:tr2bl w:val="nil"/>
                  </w:tcBorders>
                  <w:shd w:val="clear" w:color="auto" w:fill="auto"/>
                  <w:vAlign w:val="center"/>
                </w:tcPr>
                <w:p w14:paraId="1FD6FF23">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w:t>
                  </w:r>
                </w:p>
              </w:tc>
              <w:tc>
                <w:tcPr>
                  <w:tcW w:w="764" w:type="dxa"/>
                  <w:tcBorders>
                    <w:tl2br w:val="nil"/>
                    <w:tr2bl w:val="nil"/>
                  </w:tcBorders>
                  <w:vAlign w:val="center"/>
                </w:tcPr>
                <w:p w14:paraId="69782C58">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21.5</w:t>
                  </w:r>
                </w:p>
              </w:tc>
              <w:tc>
                <w:tcPr>
                  <w:tcW w:w="1743" w:type="dxa"/>
                  <w:tcBorders>
                    <w:tl2br w:val="nil"/>
                    <w:tr2bl w:val="nil"/>
                  </w:tcBorders>
                  <w:shd w:val="clear" w:color="auto" w:fill="auto"/>
                  <w:vAlign w:val="center"/>
                </w:tcPr>
                <w:p w14:paraId="738EAD6B">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w:t>
                  </w:r>
                </w:p>
              </w:tc>
              <w:tc>
                <w:tcPr>
                  <w:tcW w:w="926" w:type="dxa"/>
                  <w:tcBorders>
                    <w:tl2br w:val="nil"/>
                    <w:tr2bl w:val="nil"/>
                  </w:tcBorders>
                  <w:shd w:val="clear" w:color="auto" w:fill="auto"/>
                  <w:vAlign w:val="center"/>
                </w:tcPr>
                <w:p w14:paraId="231E5019">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0.</w:t>
                  </w:r>
                  <w:r>
                    <w:rPr>
                      <w:rFonts w:hint="eastAsia" w:ascii="Times New Roman" w:hAnsi="Times New Roman" w:eastAsia="宋体" w:cs="Times New Roman"/>
                      <w:kern w:val="2"/>
                      <w:sz w:val="18"/>
                      <w:szCs w:val="18"/>
                      <w:highlight w:val="none"/>
                      <w:lang w:val="en-US" w:eastAsia="zh-CN" w:bidi="ar-SA"/>
                    </w:rPr>
                    <w:t>49</w:t>
                  </w:r>
                </w:p>
              </w:tc>
              <w:tc>
                <w:tcPr>
                  <w:tcW w:w="1120" w:type="dxa"/>
                  <w:tcBorders>
                    <w:tl2br w:val="nil"/>
                    <w:tr2bl w:val="nil"/>
                  </w:tcBorders>
                  <w:shd w:val="clear" w:color="auto" w:fill="auto"/>
                  <w:vAlign w:val="center"/>
                </w:tcPr>
                <w:p w14:paraId="6F6C46F1">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w:t>
                  </w:r>
                </w:p>
              </w:tc>
            </w:tr>
            <w:tr w14:paraId="7E1A5A2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897" w:type="dxa"/>
                  <w:vMerge w:val="continue"/>
                  <w:tcBorders>
                    <w:tl2br w:val="nil"/>
                    <w:tr2bl w:val="nil"/>
                  </w:tcBorders>
                </w:tcPr>
                <w:p w14:paraId="4F7E1554">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1254" w:type="dxa"/>
                  <w:tcBorders>
                    <w:tl2br w:val="nil"/>
                    <w:tr2bl w:val="nil"/>
                  </w:tcBorders>
                  <w:shd w:val="clear" w:color="auto" w:fill="auto"/>
                  <w:vAlign w:val="center"/>
                </w:tcPr>
                <w:p w14:paraId="19254732">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非甲烷总烃</w:t>
                  </w:r>
                </w:p>
              </w:tc>
              <w:tc>
                <w:tcPr>
                  <w:tcW w:w="1211" w:type="dxa"/>
                  <w:tcBorders>
                    <w:tl2br w:val="nil"/>
                    <w:tr2bl w:val="nil"/>
                  </w:tcBorders>
                  <w:shd w:val="clear" w:color="auto" w:fill="auto"/>
                  <w:vAlign w:val="center"/>
                </w:tcPr>
                <w:p w14:paraId="3D987955">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w:t>
                  </w:r>
                </w:p>
              </w:tc>
              <w:tc>
                <w:tcPr>
                  <w:tcW w:w="764" w:type="dxa"/>
                  <w:tcBorders>
                    <w:tl2br w:val="nil"/>
                    <w:tr2bl w:val="nil"/>
                  </w:tcBorders>
                  <w:shd w:val="clear" w:color="auto" w:fill="auto"/>
                  <w:vAlign w:val="center"/>
                </w:tcPr>
                <w:p w14:paraId="1B422B69">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21.5</w:t>
                  </w:r>
                </w:p>
              </w:tc>
              <w:tc>
                <w:tcPr>
                  <w:tcW w:w="1743" w:type="dxa"/>
                  <w:tcBorders>
                    <w:tl2br w:val="nil"/>
                    <w:tr2bl w:val="nil"/>
                  </w:tcBorders>
                  <w:shd w:val="clear" w:color="auto" w:fill="auto"/>
                  <w:vAlign w:val="center"/>
                </w:tcPr>
                <w:p w14:paraId="1458EA57">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w:t>
                  </w:r>
                </w:p>
              </w:tc>
              <w:tc>
                <w:tcPr>
                  <w:tcW w:w="926" w:type="dxa"/>
                  <w:tcBorders>
                    <w:tl2br w:val="nil"/>
                    <w:tr2bl w:val="nil"/>
                  </w:tcBorders>
                  <w:shd w:val="clear" w:color="auto" w:fill="auto"/>
                  <w:vAlign w:val="center"/>
                </w:tcPr>
                <w:p w14:paraId="3A73F5E2">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4.05</w:t>
                  </w:r>
                </w:p>
              </w:tc>
              <w:tc>
                <w:tcPr>
                  <w:tcW w:w="1120" w:type="dxa"/>
                  <w:tcBorders>
                    <w:tl2br w:val="nil"/>
                    <w:tr2bl w:val="nil"/>
                  </w:tcBorders>
                  <w:shd w:val="clear" w:color="auto" w:fill="auto"/>
                  <w:vAlign w:val="center"/>
                </w:tcPr>
                <w:p w14:paraId="6335E43D">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w:t>
                  </w:r>
                </w:p>
              </w:tc>
            </w:tr>
          </w:tbl>
          <w:p w14:paraId="5CFA7DFC">
            <w:pPr>
              <w:adjustRightInd w:val="0"/>
              <w:spacing w:line="360" w:lineRule="auto"/>
              <w:rPr>
                <w:rFonts w:hint="default" w:ascii="Times New Roman" w:hAnsi="Times New Roman" w:eastAsia="宋体" w:cs="Times New Roman"/>
                <w:b/>
                <w:sz w:val="24"/>
                <w:highlight w:val="none"/>
              </w:rPr>
            </w:pPr>
            <w:r>
              <w:rPr>
                <w:rFonts w:hint="default" w:ascii="Times New Roman" w:hAnsi="Times New Roman" w:eastAsia="宋体" w:cs="Times New Roman"/>
                <w:sz w:val="24"/>
                <w:highlight w:val="none"/>
              </w:rPr>
              <w:t>二</w:t>
            </w:r>
            <w:r>
              <w:rPr>
                <w:rFonts w:hint="default" w:ascii="Times New Roman" w:hAnsi="Times New Roman" w:eastAsia="宋体" w:cs="Times New Roman"/>
                <w:b/>
                <w:sz w:val="24"/>
                <w:highlight w:val="none"/>
              </w:rPr>
              <w:t>、水污染物排放标准</w:t>
            </w:r>
          </w:p>
          <w:p w14:paraId="10C013F3">
            <w:pPr>
              <w:pStyle w:val="5"/>
              <w:adjustRightInd w:val="0"/>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本项目废水最终排入</w:t>
            </w:r>
            <w:r>
              <w:rPr>
                <w:rFonts w:hint="default" w:ascii="Times New Roman" w:hAnsi="Times New Roman" w:eastAsia="宋体" w:cs="Times New Roman"/>
                <w:sz w:val="24"/>
                <w:szCs w:val="24"/>
                <w:highlight w:val="none"/>
                <w:lang w:eastAsia="zh-CN"/>
              </w:rPr>
              <w:t>北京亦庄环境科技集团有限公司经开污水处理厂</w:t>
            </w:r>
            <w:r>
              <w:rPr>
                <w:rFonts w:hint="default" w:ascii="Times New Roman" w:hAnsi="Times New Roman" w:eastAsia="宋体" w:cs="Times New Roman"/>
                <w:sz w:val="24"/>
                <w:szCs w:val="24"/>
                <w:highlight w:val="none"/>
              </w:rPr>
              <w:t>，根据北京市《水污染物综合排放标准》（DB11/307-2013）中的规定，水污染物排放执行</w:t>
            </w:r>
            <w:r>
              <w:rPr>
                <w:rFonts w:hint="eastAsia"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rPr>
              <w:t>排入公共污水处理系统的水污染物排放限值</w:t>
            </w:r>
            <w:r>
              <w:rPr>
                <w:rFonts w:hint="eastAsia"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rPr>
              <w:t>。具体限值见下表。</w:t>
            </w:r>
          </w:p>
          <w:p w14:paraId="33CA1E3B">
            <w:pPr>
              <w:numPr>
                <w:ilvl w:val="0"/>
                <w:numId w:val="40"/>
              </w:numPr>
              <w:spacing w:line="360" w:lineRule="auto"/>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sz w:val="24"/>
                <w:highlight w:val="none"/>
              </w:rPr>
              <w:t xml:space="preserve"> 排入公共污水处理系统的水污染物排放限值</w:t>
            </w:r>
            <w:r>
              <w:rPr>
                <w:rFonts w:hint="default" w:ascii="Times New Roman" w:hAnsi="Times New Roman" w:eastAsia="宋体" w:cs="Times New Roman"/>
                <w:b/>
                <w:bCs/>
                <w:sz w:val="24"/>
                <w:highlight w:val="none"/>
              </w:rPr>
              <w:t>（摘录）</w:t>
            </w:r>
          </w:p>
          <w:tbl>
            <w:tblPr>
              <w:tblStyle w:val="17"/>
              <w:tblW w:w="4853"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3284"/>
              <w:gridCol w:w="3059"/>
            </w:tblGrid>
            <w:tr w14:paraId="0E6CC0A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9" w:hRule="atLeast"/>
                <w:tblHeader/>
                <w:jc w:val="center"/>
              </w:trPr>
              <w:tc>
                <w:tcPr>
                  <w:tcW w:w="880" w:type="pct"/>
                  <w:tcBorders>
                    <w:tl2br w:val="nil"/>
                    <w:tr2bl w:val="nil"/>
                  </w:tcBorders>
                  <w:vAlign w:val="center"/>
                </w:tcPr>
                <w:p w14:paraId="6BF685D0">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序号</w:t>
                  </w:r>
                </w:p>
              </w:tc>
              <w:tc>
                <w:tcPr>
                  <w:tcW w:w="2132" w:type="pct"/>
                  <w:tcBorders>
                    <w:tl2br w:val="nil"/>
                    <w:tr2bl w:val="nil"/>
                  </w:tcBorders>
                  <w:vAlign w:val="center"/>
                </w:tcPr>
                <w:p w14:paraId="6B78683B">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污染物或项目名称</w:t>
                  </w:r>
                </w:p>
              </w:tc>
              <w:tc>
                <w:tcPr>
                  <w:tcW w:w="1986" w:type="pct"/>
                  <w:tcBorders>
                    <w:tl2br w:val="nil"/>
                    <w:tr2bl w:val="nil"/>
                  </w:tcBorders>
                  <w:vAlign w:val="center"/>
                </w:tcPr>
                <w:p w14:paraId="0543A064">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排放限值（</w:t>
                  </w:r>
                  <w:r>
                    <w:rPr>
                      <w:rFonts w:hint="default" w:ascii="Times New Roman" w:hAnsi="Times New Roman" w:eastAsia="宋体" w:cs="Times New Roman"/>
                      <w:b/>
                      <w:bCs/>
                      <w:sz w:val="24"/>
                      <w:highlight w:val="none"/>
                    </w:rPr>
                    <w:t>mg/L</w:t>
                  </w:r>
                  <w:r>
                    <w:rPr>
                      <w:rFonts w:hint="default" w:ascii="Times New Roman" w:hAnsi="Times New Roman" w:eastAsia="宋体" w:cs="Times New Roman"/>
                      <w:b/>
                      <w:szCs w:val="21"/>
                      <w:highlight w:val="none"/>
                    </w:rPr>
                    <w:t>）</w:t>
                  </w:r>
                </w:p>
              </w:tc>
            </w:tr>
            <w:tr w14:paraId="249EC73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9" w:hRule="atLeast"/>
                <w:tblHeader/>
                <w:jc w:val="center"/>
              </w:trPr>
              <w:tc>
                <w:tcPr>
                  <w:tcW w:w="880" w:type="pct"/>
                  <w:tcBorders>
                    <w:tl2br w:val="nil"/>
                    <w:tr2bl w:val="nil"/>
                  </w:tcBorders>
                  <w:vAlign w:val="center"/>
                </w:tcPr>
                <w:p w14:paraId="7D283DA1">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1</w:t>
                  </w:r>
                </w:p>
              </w:tc>
              <w:tc>
                <w:tcPr>
                  <w:tcW w:w="2132" w:type="pct"/>
                  <w:tcBorders>
                    <w:tl2br w:val="nil"/>
                    <w:tr2bl w:val="nil"/>
                  </w:tcBorders>
                  <w:vAlign w:val="center"/>
                </w:tcPr>
                <w:p w14:paraId="0BD13DB5">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eastAsia="zh-CN"/>
                    </w:rPr>
                    <w:t>pH</w:t>
                  </w:r>
                  <w:r>
                    <w:rPr>
                      <w:rFonts w:hint="default" w:ascii="Times New Roman" w:hAnsi="Times New Roman" w:eastAsia="宋体" w:cs="Times New Roman"/>
                      <w:szCs w:val="21"/>
                      <w:highlight w:val="none"/>
                    </w:rPr>
                    <w:t>（无量纲）</w:t>
                  </w:r>
                </w:p>
              </w:tc>
              <w:tc>
                <w:tcPr>
                  <w:tcW w:w="1986" w:type="pct"/>
                  <w:tcBorders>
                    <w:tl2br w:val="nil"/>
                    <w:tr2bl w:val="nil"/>
                  </w:tcBorders>
                  <w:vAlign w:val="center"/>
                </w:tcPr>
                <w:p w14:paraId="7538F1BD">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6.5～9</w:t>
                  </w:r>
                </w:p>
              </w:tc>
            </w:tr>
            <w:tr w14:paraId="162494E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8" w:hRule="atLeast"/>
                <w:tblHeader/>
                <w:jc w:val="center"/>
              </w:trPr>
              <w:tc>
                <w:tcPr>
                  <w:tcW w:w="880" w:type="pct"/>
                  <w:tcBorders>
                    <w:tl2br w:val="nil"/>
                    <w:tr2bl w:val="nil"/>
                  </w:tcBorders>
                  <w:vAlign w:val="center"/>
                </w:tcPr>
                <w:p w14:paraId="7A4D3DA7">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2</w:t>
                  </w:r>
                </w:p>
              </w:tc>
              <w:tc>
                <w:tcPr>
                  <w:tcW w:w="2132" w:type="pct"/>
                  <w:tcBorders>
                    <w:tl2br w:val="nil"/>
                    <w:tr2bl w:val="nil"/>
                  </w:tcBorders>
                  <w:vAlign w:val="center"/>
                </w:tcPr>
                <w:p w14:paraId="0043241C">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悬浮物</w:t>
                  </w:r>
                </w:p>
              </w:tc>
              <w:tc>
                <w:tcPr>
                  <w:tcW w:w="1986" w:type="pct"/>
                  <w:tcBorders>
                    <w:tl2br w:val="nil"/>
                    <w:tr2bl w:val="nil"/>
                  </w:tcBorders>
                  <w:vAlign w:val="center"/>
                </w:tcPr>
                <w:p w14:paraId="2ACD0424">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400</w:t>
                  </w:r>
                </w:p>
              </w:tc>
            </w:tr>
            <w:tr w14:paraId="6A71B98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9" w:hRule="atLeast"/>
                <w:tblHeader/>
                <w:jc w:val="center"/>
              </w:trPr>
              <w:tc>
                <w:tcPr>
                  <w:tcW w:w="880" w:type="pct"/>
                  <w:tcBorders>
                    <w:tl2br w:val="nil"/>
                    <w:tr2bl w:val="nil"/>
                  </w:tcBorders>
                  <w:vAlign w:val="center"/>
                </w:tcPr>
                <w:p w14:paraId="1470154B">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3</w:t>
                  </w:r>
                </w:p>
              </w:tc>
              <w:tc>
                <w:tcPr>
                  <w:tcW w:w="2132" w:type="pct"/>
                  <w:tcBorders>
                    <w:tl2br w:val="nil"/>
                    <w:tr2bl w:val="nil"/>
                  </w:tcBorders>
                  <w:vAlign w:val="center"/>
                </w:tcPr>
                <w:p w14:paraId="2AED8F67">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五日生化需氧量</w:t>
                  </w:r>
                </w:p>
              </w:tc>
              <w:tc>
                <w:tcPr>
                  <w:tcW w:w="1986" w:type="pct"/>
                  <w:tcBorders>
                    <w:tl2br w:val="nil"/>
                    <w:tr2bl w:val="nil"/>
                  </w:tcBorders>
                  <w:vAlign w:val="center"/>
                </w:tcPr>
                <w:p w14:paraId="76A31BE3">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300</w:t>
                  </w:r>
                </w:p>
              </w:tc>
            </w:tr>
            <w:tr w14:paraId="239EEEE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1" w:hRule="atLeast"/>
                <w:tblHeader/>
                <w:jc w:val="center"/>
              </w:trPr>
              <w:tc>
                <w:tcPr>
                  <w:tcW w:w="880" w:type="pct"/>
                  <w:tcBorders>
                    <w:tl2br w:val="nil"/>
                    <w:tr2bl w:val="nil"/>
                  </w:tcBorders>
                  <w:vAlign w:val="center"/>
                </w:tcPr>
                <w:p w14:paraId="27E6E614">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4</w:t>
                  </w:r>
                </w:p>
              </w:tc>
              <w:tc>
                <w:tcPr>
                  <w:tcW w:w="2132" w:type="pct"/>
                  <w:tcBorders>
                    <w:tl2br w:val="nil"/>
                    <w:tr2bl w:val="nil"/>
                  </w:tcBorders>
                  <w:vAlign w:val="center"/>
                </w:tcPr>
                <w:p w14:paraId="60156109">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化学需氧量</w:t>
                  </w:r>
                </w:p>
              </w:tc>
              <w:tc>
                <w:tcPr>
                  <w:tcW w:w="1986" w:type="pct"/>
                  <w:tcBorders>
                    <w:tl2br w:val="nil"/>
                    <w:tr2bl w:val="nil"/>
                  </w:tcBorders>
                  <w:vAlign w:val="center"/>
                </w:tcPr>
                <w:p w14:paraId="2F3872F5">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500</w:t>
                  </w:r>
                </w:p>
              </w:tc>
            </w:tr>
            <w:tr w14:paraId="15263D6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5" w:hRule="atLeast"/>
                <w:tblHeader/>
                <w:jc w:val="center"/>
              </w:trPr>
              <w:tc>
                <w:tcPr>
                  <w:tcW w:w="880" w:type="pct"/>
                  <w:tcBorders>
                    <w:tl2br w:val="nil"/>
                    <w:tr2bl w:val="nil"/>
                  </w:tcBorders>
                  <w:vAlign w:val="center"/>
                </w:tcPr>
                <w:p w14:paraId="2340F6B5">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5</w:t>
                  </w:r>
                </w:p>
              </w:tc>
              <w:tc>
                <w:tcPr>
                  <w:tcW w:w="2132" w:type="pct"/>
                  <w:tcBorders>
                    <w:tl2br w:val="nil"/>
                    <w:tr2bl w:val="nil"/>
                  </w:tcBorders>
                  <w:vAlign w:val="center"/>
                </w:tcPr>
                <w:p w14:paraId="0E4533DB">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氨氮</w:t>
                  </w:r>
                </w:p>
              </w:tc>
              <w:tc>
                <w:tcPr>
                  <w:tcW w:w="1986" w:type="pct"/>
                  <w:tcBorders>
                    <w:tl2br w:val="nil"/>
                    <w:tr2bl w:val="nil"/>
                  </w:tcBorders>
                  <w:vAlign w:val="center"/>
                </w:tcPr>
                <w:p w14:paraId="0FE31195">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45</w:t>
                  </w:r>
                </w:p>
              </w:tc>
            </w:tr>
            <w:tr w14:paraId="3417CC2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880" w:type="pct"/>
                  <w:tcBorders>
                    <w:tl2br w:val="nil"/>
                    <w:tr2bl w:val="nil"/>
                  </w:tcBorders>
                  <w:vAlign w:val="center"/>
                </w:tcPr>
                <w:p w14:paraId="770D40D9">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6</w:t>
                  </w:r>
                </w:p>
              </w:tc>
              <w:tc>
                <w:tcPr>
                  <w:tcW w:w="2132" w:type="pct"/>
                  <w:tcBorders>
                    <w:tl2br w:val="nil"/>
                    <w:tr2bl w:val="nil"/>
                  </w:tcBorders>
                  <w:vAlign w:val="center"/>
                </w:tcPr>
                <w:p w14:paraId="527DAEC8">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可溶性固体总量</w:t>
                  </w:r>
                </w:p>
              </w:tc>
              <w:tc>
                <w:tcPr>
                  <w:tcW w:w="1986" w:type="pct"/>
                  <w:tcBorders>
                    <w:tl2br w:val="nil"/>
                    <w:tr2bl w:val="nil"/>
                  </w:tcBorders>
                  <w:vAlign w:val="center"/>
                </w:tcPr>
                <w:p w14:paraId="3AA70280">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1600</w:t>
                  </w:r>
                </w:p>
              </w:tc>
            </w:tr>
          </w:tbl>
          <w:p w14:paraId="0C928397">
            <w:pPr>
              <w:adjustRightInd w:val="0"/>
              <w:snapToGrid w:val="0"/>
              <w:spacing w:before="120" w:beforeLines="50" w:line="360" w:lineRule="auto"/>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三、噪声排放标准</w:t>
            </w:r>
          </w:p>
          <w:p w14:paraId="5FD6F046">
            <w:pPr>
              <w:pStyle w:val="5"/>
              <w:adjustRightInd w:val="0"/>
              <w:snapToGrid w:val="0"/>
              <w:spacing w:line="360" w:lineRule="auto"/>
              <w:ind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项目施工期厂界噪声排放标准执行《建筑施工场界环境噪声排放标准》（GB12523-2011）中标准限值。</w:t>
            </w:r>
          </w:p>
          <w:p w14:paraId="77EDFC02">
            <w:pPr>
              <w:pStyle w:val="5"/>
              <w:adjustRightInd w:val="0"/>
              <w:snapToGrid w:val="0"/>
              <w:spacing w:line="360" w:lineRule="auto"/>
              <w:ind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项目边界运营期厂界噪声执行《工业企业厂界环境噪声排放标准》（GB12348-2008）中规定的3类标准要求，具体标准值详见下表。</w:t>
            </w:r>
          </w:p>
          <w:p w14:paraId="7A9D1F44">
            <w:pPr>
              <w:numPr>
                <w:ilvl w:val="0"/>
                <w:numId w:val="40"/>
              </w:numPr>
              <w:spacing w:line="360" w:lineRule="auto"/>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本项目噪声排放标准 单位：dB（A）</w:t>
            </w:r>
          </w:p>
          <w:tbl>
            <w:tblPr>
              <w:tblStyle w:val="17"/>
              <w:tblW w:w="4766" w:type="pct"/>
              <w:jc w:val="center"/>
              <w:tblBorders>
                <w:top w:val="single" w:color="000000" w:sz="4" w:space="0"/>
                <w:left w:val="none" w:color="auto" w:sz="0" w:space="0"/>
                <w:bottom w:val="single" w:color="000000" w:sz="4" w:space="0"/>
                <w:right w:val="none" w:color="auto" w:sz="0" w:space="0"/>
                <w:insideH w:val="single" w:color="000000" w:sz="4" w:space="0"/>
                <w:insideV w:val="none" w:color="auto" w:sz="0" w:space="0"/>
              </w:tblBorders>
              <w:tblLayout w:type="fixed"/>
              <w:tblCellMar>
                <w:top w:w="0" w:type="dxa"/>
                <w:left w:w="28" w:type="dxa"/>
                <w:bottom w:w="0" w:type="dxa"/>
                <w:right w:w="28" w:type="dxa"/>
              </w:tblCellMar>
            </w:tblPr>
            <w:tblGrid>
              <w:gridCol w:w="1265"/>
              <w:gridCol w:w="3082"/>
              <w:gridCol w:w="1607"/>
              <w:gridCol w:w="1607"/>
            </w:tblGrid>
            <w:tr w14:paraId="11895B37">
              <w:tblPrEx>
                <w:tblBorders>
                  <w:top w:val="single" w:color="000000" w:sz="4" w:space="0"/>
                  <w:left w:val="none" w:color="auto" w:sz="0" w:space="0"/>
                  <w:bottom w:val="single" w:color="000000" w:sz="4" w:space="0"/>
                  <w:right w:val="none" w:color="auto" w:sz="0" w:space="0"/>
                  <w:insideH w:val="single" w:color="000000" w:sz="4" w:space="0"/>
                  <w:insideV w:val="none" w:color="auto" w:sz="0" w:space="0"/>
                </w:tblBorders>
              </w:tblPrEx>
              <w:trPr>
                <w:cantSplit/>
                <w:trHeight w:val="265" w:hRule="atLeast"/>
                <w:jc w:val="center"/>
              </w:trPr>
              <w:tc>
                <w:tcPr>
                  <w:tcW w:w="2874" w:type="pct"/>
                  <w:gridSpan w:val="2"/>
                  <w:tcBorders>
                    <w:tl2br w:val="nil"/>
                    <w:tr2bl w:val="nil"/>
                  </w:tcBorders>
                </w:tcPr>
                <w:p w14:paraId="78C568AA">
                  <w:pPr>
                    <w:ind w:right="42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lang w:val="en-US" w:eastAsia="zh-CN"/>
                    </w:rPr>
                    <w:t xml:space="preserve">     </w:t>
                  </w:r>
                  <w:r>
                    <w:rPr>
                      <w:rFonts w:hint="default" w:ascii="Times New Roman" w:hAnsi="Times New Roman" w:eastAsia="宋体" w:cs="Times New Roman"/>
                      <w:b/>
                      <w:color w:val="auto"/>
                      <w:szCs w:val="21"/>
                      <w:highlight w:val="none"/>
                    </w:rPr>
                    <w:t>时段</w:t>
                  </w:r>
                </w:p>
                <w:p w14:paraId="484D306D">
                  <w:pPr>
                    <w:ind w:firstLine="843" w:firstLineChars="400"/>
                    <w:jc w:val="left"/>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项目阶段</w:t>
                  </w:r>
                </w:p>
              </w:tc>
              <w:tc>
                <w:tcPr>
                  <w:tcW w:w="1062" w:type="pct"/>
                  <w:tcBorders>
                    <w:tl2br w:val="nil"/>
                    <w:tr2bl w:val="nil"/>
                  </w:tcBorders>
                  <w:vAlign w:val="center"/>
                </w:tcPr>
                <w:p w14:paraId="5C600A7A">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昼间</w:t>
                  </w:r>
                </w:p>
              </w:tc>
              <w:tc>
                <w:tcPr>
                  <w:tcW w:w="1062" w:type="pct"/>
                  <w:tcBorders>
                    <w:tl2br w:val="nil"/>
                    <w:tr2bl w:val="nil"/>
                  </w:tcBorders>
                  <w:vAlign w:val="center"/>
                </w:tcPr>
                <w:p w14:paraId="37AC2A69">
                  <w:pPr>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夜间</w:t>
                  </w:r>
                </w:p>
              </w:tc>
            </w:tr>
            <w:tr w14:paraId="2CF2AD55">
              <w:tblPrEx>
                <w:tblBorders>
                  <w:top w:val="single" w:color="000000" w:sz="4" w:space="0"/>
                  <w:left w:val="none" w:color="auto" w:sz="0" w:space="0"/>
                  <w:bottom w:val="single" w:color="000000" w:sz="4" w:space="0"/>
                  <w:right w:val="none" w:color="auto" w:sz="0" w:space="0"/>
                  <w:insideH w:val="single" w:color="000000" w:sz="4" w:space="0"/>
                  <w:insideV w:val="none" w:color="auto" w:sz="0" w:space="0"/>
                </w:tblBorders>
                <w:tblCellMar>
                  <w:top w:w="0" w:type="dxa"/>
                  <w:left w:w="28" w:type="dxa"/>
                  <w:bottom w:w="0" w:type="dxa"/>
                  <w:right w:w="28" w:type="dxa"/>
                </w:tblCellMar>
              </w:tblPrEx>
              <w:trPr>
                <w:cantSplit/>
                <w:trHeight w:val="195" w:hRule="atLeast"/>
                <w:jc w:val="center"/>
              </w:trPr>
              <w:tc>
                <w:tcPr>
                  <w:tcW w:w="2874" w:type="pct"/>
                  <w:gridSpan w:val="2"/>
                  <w:tcBorders>
                    <w:tl2br w:val="nil"/>
                    <w:tr2bl w:val="nil"/>
                  </w:tcBorders>
                  <w:vAlign w:val="center"/>
                </w:tcPr>
                <w:p w14:paraId="7AF89663">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施工期</w:t>
                  </w:r>
                </w:p>
              </w:tc>
              <w:tc>
                <w:tcPr>
                  <w:tcW w:w="2125" w:type="pct"/>
                  <w:gridSpan w:val="2"/>
                  <w:tcBorders>
                    <w:tl2br w:val="nil"/>
                    <w:tr2bl w:val="nil"/>
                  </w:tcBorders>
                  <w:vAlign w:val="center"/>
                </w:tcPr>
                <w:p w14:paraId="72B0203C">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70</w:t>
                  </w:r>
                </w:p>
              </w:tc>
            </w:tr>
            <w:tr w14:paraId="31C4C925">
              <w:tblPrEx>
                <w:tblBorders>
                  <w:top w:val="single" w:color="000000" w:sz="4" w:space="0"/>
                  <w:left w:val="none" w:color="auto" w:sz="0" w:space="0"/>
                  <w:bottom w:val="single" w:color="000000" w:sz="4" w:space="0"/>
                  <w:right w:val="none" w:color="auto" w:sz="0" w:space="0"/>
                  <w:insideH w:val="single" w:color="000000" w:sz="4" w:space="0"/>
                  <w:insideV w:val="none" w:color="auto" w:sz="0" w:space="0"/>
                </w:tblBorders>
                <w:tblCellMar>
                  <w:top w:w="0" w:type="dxa"/>
                  <w:left w:w="28" w:type="dxa"/>
                  <w:bottom w:w="0" w:type="dxa"/>
                  <w:right w:w="28" w:type="dxa"/>
                </w:tblCellMar>
              </w:tblPrEx>
              <w:trPr>
                <w:cantSplit/>
                <w:trHeight w:val="195" w:hRule="atLeast"/>
                <w:jc w:val="center"/>
              </w:trPr>
              <w:tc>
                <w:tcPr>
                  <w:tcW w:w="836" w:type="pct"/>
                  <w:tcBorders>
                    <w:tl2br w:val="nil"/>
                    <w:tr2bl w:val="nil"/>
                  </w:tcBorders>
                  <w:vAlign w:val="center"/>
                </w:tcPr>
                <w:p w14:paraId="46B404C0">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运行期</w:t>
                  </w:r>
                </w:p>
              </w:tc>
              <w:tc>
                <w:tcPr>
                  <w:tcW w:w="2038" w:type="pct"/>
                  <w:tcBorders>
                    <w:tl2br w:val="nil"/>
                    <w:tr2bl w:val="nil"/>
                  </w:tcBorders>
                  <w:vAlign w:val="center"/>
                </w:tcPr>
                <w:p w14:paraId="455CB604">
                  <w:pPr>
                    <w:ind w:firstLine="210" w:firstLineChars="100"/>
                    <w:jc w:val="both"/>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厂界东侧、南侧、西侧、北侧</w:t>
                  </w:r>
                </w:p>
              </w:tc>
              <w:tc>
                <w:tcPr>
                  <w:tcW w:w="1062" w:type="pct"/>
                  <w:tcBorders>
                    <w:tl2br w:val="nil"/>
                    <w:tr2bl w:val="nil"/>
                  </w:tcBorders>
                  <w:vAlign w:val="center"/>
                </w:tcPr>
                <w:p w14:paraId="1F5FF2F8">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65</w:t>
                  </w:r>
                </w:p>
              </w:tc>
              <w:tc>
                <w:tcPr>
                  <w:tcW w:w="1062" w:type="pct"/>
                  <w:tcBorders>
                    <w:tl2br w:val="nil"/>
                    <w:tr2bl w:val="nil"/>
                  </w:tcBorders>
                  <w:vAlign w:val="center"/>
                </w:tcPr>
                <w:p w14:paraId="5D069FF8">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55</w:t>
                  </w:r>
                </w:p>
              </w:tc>
            </w:tr>
            <w:tr w14:paraId="39E21380">
              <w:tblPrEx>
                <w:tblBorders>
                  <w:top w:val="single" w:color="000000" w:sz="4" w:space="0"/>
                  <w:left w:val="none" w:color="auto" w:sz="0" w:space="0"/>
                  <w:bottom w:val="single" w:color="000000" w:sz="4" w:space="0"/>
                  <w:right w:val="none" w:color="auto" w:sz="0" w:space="0"/>
                  <w:insideH w:val="single" w:color="000000" w:sz="4" w:space="0"/>
                  <w:insideV w:val="none" w:color="auto" w:sz="0" w:space="0"/>
                </w:tblBorders>
                <w:tblCellMar>
                  <w:top w:w="0" w:type="dxa"/>
                  <w:left w:w="28" w:type="dxa"/>
                  <w:bottom w:w="0" w:type="dxa"/>
                  <w:right w:w="28" w:type="dxa"/>
                </w:tblCellMar>
              </w:tblPrEx>
              <w:trPr>
                <w:cantSplit/>
                <w:trHeight w:val="195" w:hRule="atLeast"/>
                <w:jc w:val="center"/>
              </w:trPr>
              <w:tc>
                <w:tcPr>
                  <w:tcW w:w="5000" w:type="pct"/>
                  <w:gridSpan w:val="4"/>
                  <w:tcBorders>
                    <w:tl2br w:val="nil"/>
                    <w:tr2bl w:val="nil"/>
                  </w:tcBorders>
                  <w:vAlign w:val="center"/>
                </w:tcPr>
                <w:p w14:paraId="4183993D">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注：本项目施工期夜间不施工；运行期</w:t>
                  </w:r>
                  <w:r>
                    <w:rPr>
                      <w:rFonts w:hint="default" w:ascii="Times New Roman" w:hAnsi="Times New Roman" w:eastAsia="宋体" w:cs="Times New Roman"/>
                      <w:color w:val="auto"/>
                      <w:highlight w:val="none"/>
                      <w:lang w:val="en-US" w:eastAsia="zh-CN"/>
                    </w:rPr>
                    <w:t>夜间沉淀反应釜运行，其他设施不</w:t>
                  </w:r>
                  <w:r>
                    <w:rPr>
                      <w:rFonts w:hint="default" w:ascii="Times New Roman" w:hAnsi="Times New Roman" w:eastAsia="宋体" w:cs="Times New Roman"/>
                      <w:color w:val="auto"/>
                      <w:highlight w:val="none"/>
                    </w:rPr>
                    <w:t>运行。</w:t>
                  </w:r>
                </w:p>
              </w:tc>
            </w:tr>
          </w:tbl>
          <w:p w14:paraId="36B4B485">
            <w:pPr>
              <w:adjustRightInd w:val="0"/>
              <w:spacing w:before="120" w:beforeLines="50" w:line="360" w:lineRule="auto"/>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四、固体废物排放标准或规定</w:t>
            </w:r>
          </w:p>
          <w:p w14:paraId="4D7E26C3">
            <w:pPr>
              <w:adjustRightInd w:val="0"/>
              <w:spacing w:line="360" w:lineRule="auto"/>
              <w:ind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固体废物执行《中华人民共和国固体废物污染环境防治法》（2020 年 4 月 29 日修订）中有关规定。</w:t>
            </w:r>
          </w:p>
          <w:p w14:paraId="7BA1D583">
            <w:pPr>
              <w:adjustRightInd w:val="0"/>
              <w:spacing w:line="360" w:lineRule="auto"/>
              <w:ind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（1）生活垃圾</w:t>
            </w:r>
          </w:p>
          <w:p w14:paraId="0A88F828">
            <w:pPr>
              <w:adjustRightInd w:val="0"/>
              <w:spacing w:line="360" w:lineRule="auto"/>
              <w:ind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执行《中华人民共和国固体废物污染环境防治法》（2020年版）及《北京市生活垃圾管理条例》（2020年5月1日起施行，2020年9月25日第二次修正）中的有关规定。</w:t>
            </w:r>
          </w:p>
          <w:p w14:paraId="43A4C9DB">
            <w:pPr>
              <w:adjustRightInd w:val="0"/>
              <w:spacing w:line="360" w:lineRule="auto"/>
              <w:ind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（2）一般工业固体废物</w:t>
            </w:r>
          </w:p>
          <w:p w14:paraId="23E0C0A9">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bCs/>
                <w:sz w:val="24"/>
                <w:highlight w:val="none"/>
              </w:rPr>
              <w:t>一般工业固体废物处置执行《中华人民共和国固体废物污染环境防治法》（2020年9月1日起施行）、《一般工业固体废物贮存和填埋污染控制标准》（GB18599-2020）中的有关规定。</w:t>
            </w:r>
          </w:p>
          <w:p w14:paraId="004BCEAB">
            <w:pPr>
              <w:adjustRightInd w:val="0"/>
              <w:spacing w:line="360" w:lineRule="auto"/>
              <w:ind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（3）危险废物</w:t>
            </w:r>
          </w:p>
          <w:p w14:paraId="77441D3B">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bCs/>
                <w:sz w:val="24"/>
                <w:highlight w:val="none"/>
              </w:rPr>
              <w:t>危险废物收集、储存、转运执行《北京市危险废物污染环境防治条例》、（2020年9月1日实施）、《危险废物收集贮存运输技术规范》（HJ2025-2012）、《危险废物贮存污染控制标准》（GB18597-2023）、《危险废物污染防治技术政策》（环发[2021]199号）和《危险废物转移管理办法》（2022年1月1日起施行）、《实验室危险废物污染防治技术规范》（DB11 /T 1368—2016）中的有关规定。</w:t>
            </w:r>
          </w:p>
        </w:tc>
      </w:tr>
      <w:tr w14:paraId="3BD42A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vAlign w:val="center"/>
          </w:tcPr>
          <w:p w14:paraId="3FD3F981">
            <w:pPr>
              <w:adjustRightInd w:val="0"/>
              <w:snapToGrid w:val="0"/>
              <w:jc w:val="center"/>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总量控制指标</w:t>
            </w:r>
          </w:p>
        </w:tc>
        <w:tc>
          <w:tcPr>
            <w:tcW w:w="8147" w:type="dxa"/>
            <w:shd w:val="clear" w:color="auto" w:fill="auto"/>
            <w:vAlign w:val="center"/>
          </w:tcPr>
          <w:p w14:paraId="4217A92C">
            <w:pPr>
              <w:adjustRightInd w:val="0"/>
              <w:spacing w:line="360" w:lineRule="auto"/>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一、污染物排放总量控制原则</w:t>
            </w:r>
          </w:p>
          <w:p w14:paraId="20C1D8A0">
            <w:pPr>
              <w:adjustRightInd w:val="0"/>
              <w:snapToGrid w:val="0"/>
              <w:spacing w:line="360" w:lineRule="auto"/>
              <w:ind w:firstLine="480" w:firstLineChars="200"/>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根据北京市环境保护局关于转发环境保护部《建设项目主要污染物排放总量指标审核及管理暂行办法》的通知（京环发〔2015〕19号）以及《北京市环境保护局关于建设项目主要污染物排放总量指标审核及管理的补充通知》（京环发〔2016〕24号），本市实施建设项目总量指标审核和管理的污染物范围包括：二氧化硫、氮氧化物、烟粉尘、挥发性有机物（工业及汽车维修行业）及化学需氧量、氨氮。</w:t>
            </w:r>
          </w:p>
          <w:p w14:paraId="47A02B38">
            <w:pPr>
              <w:pStyle w:val="5"/>
              <w:adjustRightInd w:val="0"/>
              <w:snapToGrid w:val="0"/>
              <w:spacing w:line="360" w:lineRule="auto"/>
              <w:ind w:firstLine="0"/>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t>二、建设项目污染物排放总量核算</w:t>
            </w:r>
          </w:p>
          <w:p w14:paraId="66A6ECEA">
            <w:pPr>
              <w:adjustRightInd w:val="0"/>
              <w:snapToGrid w:val="0"/>
              <w:spacing w:line="360" w:lineRule="auto"/>
              <w:ind w:firstLine="480" w:firstLineChars="200"/>
              <w:jc w:val="left"/>
              <w:rPr>
                <w:rFonts w:hint="default" w:ascii="Times New Roman" w:hAnsi="Times New Roman" w:eastAsia="宋体" w:cs="Times New Roman"/>
                <w:kern w:val="0"/>
                <w:sz w:val="24"/>
                <w:highlight w:val="none"/>
              </w:rPr>
            </w:pPr>
            <w:r>
              <w:rPr>
                <w:rFonts w:hint="default" w:ascii="Times New Roman" w:hAnsi="Times New Roman" w:eastAsia="宋体" w:cs="Times New Roman"/>
                <w:sz w:val="24"/>
                <w:highlight w:val="none"/>
              </w:rPr>
              <w:t>本项目主要进行</w:t>
            </w:r>
            <w:r>
              <w:rPr>
                <w:rFonts w:hint="default" w:ascii="Times New Roman" w:hAnsi="Times New Roman" w:eastAsia="宋体" w:cs="Times New Roman"/>
                <w:sz w:val="24"/>
                <w:highlight w:val="none"/>
                <w:lang w:val="en-US" w:eastAsia="zh-CN"/>
              </w:rPr>
              <w:t>新材料研发</w:t>
            </w:r>
            <w:r>
              <w:rPr>
                <w:rFonts w:hint="default" w:ascii="Times New Roman" w:hAnsi="Times New Roman" w:eastAsia="宋体" w:cs="Times New Roman"/>
                <w:sz w:val="24"/>
                <w:highlight w:val="none"/>
              </w:rPr>
              <w:t>实验，根</w:t>
            </w:r>
            <w:r>
              <w:rPr>
                <w:rFonts w:hint="default" w:ascii="Times New Roman" w:hAnsi="Times New Roman" w:eastAsia="宋体" w:cs="Times New Roman"/>
                <w:kern w:val="0"/>
                <w:sz w:val="24"/>
                <w:highlight w:val="none"/>
              </w:rPr>
              <w:t>据项目特点，本项目需要申请总量控制指标的污染物为：挥发性有机物、</w:t>
            </w:r>
            <w:r>
              <w:rPr>
                <w:rFonts w:hint="default" w:ascii="Times New Roman" w:hAnsi="Times New Roman" w:eastAsia="宋体" w:cs="Times New Roman"/>
                <w:kern w:val="0"/>
                <w:sz w:val="24"/>
                <w:highlight w:val="none"/>
                <w:lang w:val="en-US" w:eastAsia="zh-CN"/>
              </w:rPr>
              <w:t>颗粒物、</w:t>
            </w:r>
            <w:r>
              <w:rPr>
                <w:rFonts w:hint="default" w:ascii="Times New Roman" w:hAnsi="Times New Roman" w:eastAsia="宋体" w:cs="Times New Roman"/>
                <w:sz w:val="24"/>
                <w:highlight w:val="none"/>
              </w:rPr>
              <w:t>化学需氧量、氨氮。</w:t>
            </w:r>
            <w:r>
              <w:rPr>
                <w:rFonts w:hint="default" w:ascii="Times New Roman" w:hAnsi="Times New Roman" w:eastAsia="宋体" w:cs="Times New Roman"/>
                <w:kern w:val="0"/>
                <w:sz w:val="24"/>
                <w:highlight w:val="none"/>
              </w:rPr>
              <w:t>根据《北京市环境保护局关于建设项目主要污染物排放总量指标审核及管理的补充通知》（京环发〔2016〕24号）附件1，</w:t>
            </w:r>
            <w:r>
              <w:rPr>
                <w:rFonts w:hint="eastAsia" w:ascii="Times New Roman" w:hAnsi="Times New Roman" w:eastAsia="宋体" w:cs="Times New Roman"/>
                <w:kern w:val="0"/>
                <w:sz w:val="24"/>
                <w:highlight w:val="none"/>
                <w:lang w:eastAsia="zh-CN"/>
              </w:rPr>
              <w:t>“</w:t>
            </w:r>
            <w:r>
              <w:rPr>
                <w:rFonts w:hint="default" w:ascii="Times New Roman" w:hAnsi="Times New Roman" w:eastAsia="宋体" w:cs="Times New Roman"/>
                <w:kern w:val="0"/>
                <w:sz w:val="24"/>
                <w:highlight w:val="none"/>
              </w:rPr>
              <w:t>为了使污染物源强的核算更接近实际的排放情况，在污染物源强的核算过程中优先使用实测法，类比分析法、物料衡算法及排放系数法次之。同时在核算过程中应选择不少于两种方法对污染物源强的产生进行核算，当核算的污染物排放总量差别较大时还应继续采用其他方法进行校验，以便得到更接近实际情况的排放量核算数据</w:t>
            </w:r>
            <w:r>
              <w:rPr>
                <w:rFonts w:hint="eastAsia" w:ascii="Times New Roman" w:hAnsi="Times New Roman" w:eastAsia="宋体" w:cs="Times New Roman"/>
                <w:kern w:val="0"/>
                <w:sz w:val="24"/>
                <w:highlight w:val="none"/>
                <w:lang w:eastAsia="zh-CN"/>
              </w:rPr>
              <w:t>”</w:t>
            </w:r>
            <w:r>
              <w:rPr>
                <w:rFonts w:hint="default" w:ascii="Times New Roman" w:hAnsi="Times New Roman" w:eastAsia="宋体" w:cs="Times New Roman"/>
                <w:kern w:val="0"/>
                <w:sz w:val="24"/>
                <w:highlight w:val="none"/>
              </w:rPr>
              <w:t>。</w:t>
            </w:r>
          </w:p>
          <w:p w14:paraId="2C1820E8">
            <w:pPr>
              <w:numPr>
                <w:ilvl w:val="0"/>
                <w:numId w:val="41"/>
              </w:numPr>
              <w:adjustRightInd w:val="0"/>
              <w:snapToGrid w:val="0"/>
              <w:spacing w:line="360" w:lineRule="auto"/>
              <w:ind w:left="0" w:firstLine="482" w:firstLineChars="200"/>
              <w:jc w:val="left"/>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lang w:val="en-US" w:eastAsia="zh-CN"/>
              </w:rPr>
              <w:t>大气污染物</w:t>
            </w:r>
          </w:p>
          <w:p w14:paraId="010EA8B7">
            <w:pPr>
              <w:numPr>
                <w:ilvl w:val="0"/>
                <w:numId w:val="0"/>
              </w:numPr>
              <w:adjustRightInd w:val="0"/>
              <w:snapToGrid w:val="0"/>
              <w:spacing w:line="360" w:lineRule="auto"/>
              <w:ind w:firstLine="480" w:firstLineChars="200"/>
              <w:jc w:val="left"/>
              <w:rPr>
                <w:rFonts w:hint="default" w:ascii="Times New Roman" w:hAnsi="Times New Roman" w:eastAsia="宋体" w:cs="Times New Roman"/>
                <w:b w:val="0"/>
                <w:bCs w:val="0"/>
                <w:sz w:val="24"/>
                <w:highlight w:val="none"/>
                <w:lang w:val="en-US"/>
              </w:rPr>
            </w:pPr>
            <w:r>
              <w:rPr>
                <w:rFonts w:hint="default" w:ascii="Times New Roman" w:hAnsi="Times New Roman" w:eastAsia="宋体" w:cs="Times New Roman"/>
                <w:b w:val="0"/>
                <w:bCs w:val="0"/>
                <w:sz w:val="24"/>
                <w:highlight w:val="none"/>
                <w:lang w:val="en-US" w:eastAsia="zh-CN"/>
              </w:rPr>
              <w:t>本项目申请总量的大气污染物包括金属材料实验过程使用乙醇、电池材料实验过程的电解液、纳米晶体材料实验过程使用的环氧树脂和热熔胶产生的挥发性有机物，金属材料实验熔炼过程、电池材料实验混合粉碎、喷雾干燥过程产生的颗粒物，本项目使用硝酸排放氮氧化物0.0093kg/a，排放量量比较少，本报告忽略不计，不进行总量申请。</w:t>
            </w:r>
          </w:p>
          <w:p w14:paraId="2CDBCA97">
            <w:pPr>
              <w:numPr>
                <w:ilvl w:val="0"/>
                <w:numId w:val="0"/>
              </w:numPr>
              <w:adjustRightInd w:val="0"/>
              <w:snapToGrid w:val="0"/>
              <w:spacing w:line="360" w:lineRule="auto"/>
              <w:ind w:firstLine="480" w:firstLineChars="200"/>
              <w:jc w:val="left"/>
              <w:rPr>
                <w:rFonts w:hint="default" w:ascii="Times New Roman" w:hAnsi="Times New Roman" w:eastAsia="宋体" w:cs="Times New Roman"/>
                <w:b w:val="0"/>
                <w:bCs w:val="0"/>
                <w:sz w:val="24"/>
                <w:highlight w:val="none"/>
              </w:rPr>
            </w:pPr>
            <w:r>
              <w:rPr>
                <w:rFonts w:hint="default" w:ascii="Times New Roman" w:hAnsi="Times New Roman" w:eastAsia="宋体" w:cs="Times New Roman"/>
                <w:b w:val="0"/>
                <w:bCs w:val="0"/>
                <w:sz w:val="24"/>
                <w:highlight w:val="none"/>
                <w:lang w:eastAsia="zh-CN"/>
              </w:rPr>
              <w:t>（</w:t>
            </w:r>
            <w:r>
              <w:rPr>
                <w:rFonts w:hint="default" w:ascii="Times New Roman" w:hAnsi="Times New Roman" w:eastAsia="宋体" w:cs="Times New Roman"/>
                <w:b w:val="0"/>
                <w:bCs w:val="0"/>
                <w:sz w:val="24"/>
                <w:highlight w:val="none"/>
                <w:lang w:val="en-US" w:eastAsia="zh-CN"/>
              </w:rPr>
              <w:t>1</w:t>
            </w:r>
            <w:r>
              <w:rPr>
                <w:rFonts w:hint="default" w:ascii="Times New Roman" w:hAnsi="Times New Roman" w:eastAsia="宋体" w:cs="Times New Roman"/>
                <w:b w:val="0"/>
                <w:bCs w:val="0"/>
                <w:sz w:val="24"/>
                <w:highlight w:val="none"/>
                <w:lang w:eastAsia="zh-CN"/>
              </w:rPr>
              <w:t>）</w:t>
            </w:r>
            <w:r>
              <w:rPr>
                <w:rFonts w:hint="default" w:ascii="Times New Roman" w:hAnsi="Times New Roman" w:eastAsia="宋体" w:cs="Times New Roman"/>
                <w:b w:val="0"/>
                <w:bCs w:val="0"/>
                <w:sz w:val="24"/>
                <w:highlight w:val="none"/>
              </w:rPr>
              <w:t>挥发性有机物</w:t>
            </w:r>
            <w:r>
              <w:rPr>
                <w:rFonts w:hint="default" w:ascii="Times New Roman" w:hAnsi="Times New Roman" w:eastAsia="宋体" w:cs="Times New Roman"/>
                <w:b w:val="0"/>
                <w:bCs w:val="0"/>
                <w:sz w:val="24"/>
                <w:highlight w:val="none"/>
                <w:lang w:eastAsia="zh-CN"/>
              </w:rPr>
              <w:t>（</w:t>
            </w:r>
            <w:r>
              <w:rPr>
                <w:rFonts w:hint="default" w:ascii="Times New Roman" w:hAnsi="Times New Roman" w:eastAsia="宋体" w:cs="Times New Roman"/>
                <w:b w:val="0"/>
                <w:bCs w:val="0"/>
                <w:sz w:val="24"/>
                <w:highlight w:val="none"/>
                <w:lang w:val="en-US" w:eastAsia="zh-CN"/>
              </w:rPr>
              <w:t>以非甲烷总烃计</w:t>
            </w:r>
            <w:r>
              <w:rPr>
                <w:rFonts w:hint="default" w:ascii="Times New Roman" w:hAnsi="Times New Roman" w:eastAsia="宋体" w:cs="Times New Roman"/>
                <w:b w:val="0"/>
                <w:bCs w:val="0"/>
                <w:sz w:val="24"/>
                <w:highlight w:val="none"/>
                <w:lang w:eastAsia="zh-CN"/>
              </w:rPr>
              <w:t>）</w:t>
            </w:r>
          </w:p>
          <w:p w14:paraId="6A931019">
            <w:pPr>
              <w:numPr>
                <w:ilvl w:val="0"/>
                <w:numId w:val="42"/>
              </w:numPr>
              <w:adjustRightInd w:val="0"/>
              <w:snapToGrid w:val="0"/>
              <w:spacing w:line="360" w:lineRule="auto"/>
              <w:ind w:left="0" w:leftChars="0" w:firstLine="480" w:firstLineChars="200"/>
              <w:jc w:val="left"/>
              <w:rPr>
                <w:rFonts w:hint="default" w:ascii="Times New Roman" w:hAnsi="Times New Roman" w:eastAsia="宋体" w:cs="Times New Roman"/>
                <w:b w:val="0"/>
                <w:bCs w:val="0"/>
                <w:sz w:val="24"/>
                <w:highlight w:val="none"/>
              </w:rPr>
            </w:pPr>
            <w:r>
              <w:rPr>
                <w:rFonts w:hint="default" w:ascii="Times New Roman" w:hAnsi="Times New Roman" w:eastAsia="宋体" w:cs="Times New Roman"/>
                <w:b w:val="0"/>
                <w:bCs w:val="0"/>
                <w:sz w:val="24"/>
                <w:highlight w:val="none"/>
              </w:rPr>
              <w:t>排污系数法</w:t>
            </w:r>
          </w:p>
          <w:p w14:paraId="1BD5437C">
            <w:pPr>
              <w:adjustRightInd w:val="0"/>
              <w:snapToGrid w:val="0"/>
              <w:spacing w:line="360" w:lineRule="auto"/>
              <w:ind w:firstLine="480" w:firstLineChars="200"/>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根据</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四、主要环境影响和环保措施</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章节中废气排放量核算结果，本项目挥发性有机物（以非甲烷总烃计）的排放量为 0.003754 t /a。</w:t>
            </w:r>
          </w:p>
          <w:p w14:paraId="1A457246">
            <w:pPr>
              <w:numPr>
                <w:ilvl w:val="0"/>
                <w:numId w:val="42"/>
              </w:numPr>
              <w:adjustRightInd w:val="0"/>
              <w:snapToGrid w:val="0"/>
              <w:spacing w:line="360" w:lineRule="auto"/>
              <w:ind w:left="0" w:leftChars="0" w:firstLine="480" w:firstLineChars="200"/>
              <w:jc w:val="left"/>
              <w:rPr>
                <w:rFonts w:hint="default" w:ascii="Times New Roman" w:hAnsi="Times New Roman" w:eastAsia="宋体" w:cs="Times New Roman"/>
                <w:b w:val="0"/>
                <w:bCs w:val="0"/>
                <w:sz w:val="24"/>
                <w:highlight w:val="none"/>
              </w:rPr>
            </w:pPr>
            <w:r>
              <w:rPr>
                <w:rFonts w:hint="default" w:ascii="Times New Roman" w:hAnsi="Times New Roman" w:eastAsia="宋体" w:cs="Times New Roman"/>
                <w:b w:val="0"/>
                <w:bCs w:val="0"/>
                <w:sz w:val="24"/>
                <w:highlight w:val="none"/>
              </w:rPr>
              <w:t>类比分析法</w:t>
            </w:r>
          </w:p>
          <w:p w14:paraId="753DAD1C">
            <w:pPr>
              <w:adjustRightInd w:val="0"/>
              <w:snapToGrid w:val="0"/>
              <w:spacing w:line="360" w:lineRule="auto"/>
              <w:ind w:firstLine="480" w:firstLineChars="200"/>
              <w:jc w:val="left"/>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本项目挥发性有机物排放类比《畅源锂离子电池研发生产建设项目竣工环境保护验收监测报告表》，类比对象与本项目的情况对比见下表。</w:t>
            </w:r>
          </w:p>
          <w:p w14:paraId="5A270887">
            <w:pPr>
              <w:numPr>
                <w:ilvl w:val="0"/>
                <w:numId w:val="38"/>
              </w:numPr>
              <w:spacing w:line="360" w:lineRule="auto"/>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项目挥发性有机物排放情况类比性一览表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
              <w:gridCol w:w="1092"/>
              <w:gridCol w:w="1970"/>
              <w:gridCol w:w="2323"/>
              <w:gridCol w:w="1640"/>
            </w:tblGrid>
            <w:tr w14:paraId="7CDCB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8" w:type="dxa"/>
                  <w:gridSpan w:val="2"/>
                  <w:vAlign w:val="center"/>
                </w:tcPr>
                <w:p w14:paraId="2E62310E">
                  <w:pPr>
                    <w:pStyle w:val="52"/>
                    <w:spacing w:line="240" w:lineRule="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名称</w:t>
                  </w:r>
                </w:p>
              </w:tc>
              <w:tc>
                <w:tcPr>
                  <w:tcW w:w="1970" w:type="dxa"/>
                  <w:vAlign w:val="center"/>
                </w:tcPr>
                <w:p w14:paraId="6FA8C168">
                  <w:pPr>
                    <w:pStyle w:val="52"/>
                    <w:spacing w:line="240" w:lineRule="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类比项目</w:t>
                  </w:r>
                </w:p>
              </w:tc>
              <w:tc>
                <w:tcPr>
                  <w:tcW w:w="2323" w:type="dxa"/>
                  <w:vAlign w:val="center"/>
                </w:tcPr>
                <w:p w14:paraId="3E928B9A">
                  <w:pPr>
                    <w:pStyle w:val="52"/>
                    <w:spacing w:line="240" w:lineRule="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本项目</w:t>
                  </w:r>
                </w:p>
              </w:tc>
              <w:tc>
                <w:tcPr>
                  <w:tcW w:w="1640" w:type="dxa"/>
                  <w:vAlign w:val="center"/>
                </w:tcPr>
                <w:p w14:paraId="01649D5E">
                  <w:pPr>
                    <w:pStyle w:val="52"/>
                    <w:spacing w:line="240" w:lineRule="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可类比性</w:t>
                  </w:r>
                </w:p>
              </w:tc>
            </w:tr>
            <w:tr w14:paraId="3CF36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96" w:type="dxa"/>
                  <w:vMerge w:val="restart"/>
                  <w:vAlign w:val="center"/>
                </w:tcPr>
                <w:p w14:paraId="10FE87AC">
                  <w:pPr>
                    <w:pStyle w:val="52"/>
                    <w:spacing w:line="24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工程特征</w:t>
                  </w:r>
                </w:p>
              </w:tc>
              <w:tc>
                <w:tcPr>
                  <w:tcW w:w="1092" w:type="dxa"/>
                  <w:vAlign w:val="center"/>
                </w:tcPr>
                <w:p w14:paraId="169BB011">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性质</w:t>
                  </w:r>
                </w:p>
              </w:tc>
              <w:tc>
                <w:tcPr>
                  <w:tcW w:w="1970" w:type="dxa"/>
                  <w:vAlign w:val="center"/>
                </w:tcPr>
                <w:p w14:paraId="40B77DF1">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新建</w:t>
                  </w:r>
                </w:p>
              </w:tc>
              <w:tc>
                <w:tcPr>
                  <w:tcW w:w="2323" w:type="dxa"/>
                  <w:vAlign w:val="center"/>
                </w:tcPr>
                <w:p w14:paraId="652E173A">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新建</w:t>
                  </w:r>
                </w:p>
              </w:tc>
              <w:tc>
                <w:tcPr>
                  <w:tcW w:w="1640" w:type="dxa"/>
                  <w:vAlign w:val="center"/>
                </w:tcPr>
                <w:p w14:paraId="25301A66">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可类比</w:t>
                  </w:r>
                </w:p>
              </w:tc>
            </w:tr>
            <w:tr w14:paraId="6A715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96" w:type="dxa"/>
                  <w:vMerge w:val="continue"/>
                  <w:vAlign w:val="center"/>
                </w:tcPr>
                <w:p w14:paraId="0FDE5B6E">
                  <w:pPr>
                    <w:pStyle w:val="52"/>
                    <w:spacing w:line="240" w:lineRule="auto"/>
                    <w:rPr>
                      <w:rFonts w:hint="default" w:ascii="Times New Roman" w:hAnsi="Times New Roman" w:eastAsia="宋体" w:cs="Times New Roman"/>
                      <w:color w:val="auto"/>
                      <w:highlight w:val="none"/>
                      <w:lang w:val="en-US" w:eastAsia="zh-CN"/>
                    </w:rPr>
                  </w:pPr>
                </w:p>
              </w:tc>
              <w:tc>
                <w:tcPr>
                  <w:tcW w:w="1092" w:type="dxa"/>
                  <w:vAlign w:val="center"/>
                </w:tcPr>
                <w:p w14:paraId="6D253F07">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建设内容</w:t>
                  </w:r>
                </w:p>
              </w:tc>
              <w:tc>
                <w:tcPr>
                  <w:tcW w:w="1970" w:type="dxa"/>
                  <w:vAlign w:val="center"/>
                </w:tcPr>
                <w:p w14:paraId="721E235D">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锂离子电池研发生产</w:t>
                  </w:r>
                </w:p>
              </w:tc>
              <w:tc>
                <w:tcPr>
                  <w:tcW w:w="2323" w:type="dxa"/>
                  <w:vAlign w:val="center"/>
                </w:tcPr>
                <w:p w14:paraId="7B983C4C">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电池材料研发实验</w:t>
                  </w:r>
                </w:p>
                <w:p w14:paraId="0BA8D116">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金属材料研发实验</w:t>
                  </w:r>
                </w:p>
                <w:p w14:paraId="326412F3">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纳米晶体材料研发实验</w:t>
                  </w:r>
                </w:p>
              </w:tc>
              <w:tc>
                <w:tcPr>
                  <w:tcW w:w="1640" w:type="dxa"/>
                  <w:vAlign w:val="center"/>
                </w:tcPr>
                <w:p w14:paraId="4EE3C36A">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可类比</w:t>
                  </w:r>
                </w:p>
              </w:tc>
            </w:tr>
            <w:tr w14:paraId="2EE50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96" w:type="dxa"/>
                  <w:vMerge w:val="continue"/>
                  <w:vAlign w:val="center"/>
                </w:tcPr>
                <w:p w14:paraId="2E6B45BF">
                  <w:pPr>
                    <w:pStyle w:val="52"/>
                    <w:spacing w:line="240" w:lineRule="auto"/>
                    <w:rPr>
                      <w:rFonts w:hint="default" w:ascii="Times New Roman" w:hAnsi="Times New Roman" w:eastAsia="宋体" w:cs="Times New Roman"/>
                      <w:color w:val="auto"/>
                      <w:highlight w:val="none"/>
                      <w:lang w:val="en-US" w:eastAsia="zh-CN"/>
                    </w:rPr>
                  </w:pPr>
                </w:p>
              </w:tc>
              <w:tc>
                <w:tcPr>
                  <w:tcW w:w="1092" w:type="dxa"/>
                  <w:vAlign w:val="center"/>
                </w:tcPr>
                <w:p w14:paraId="087F1D63">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燃料来源及成分</w:t>
                  </w:r>
                </w:p>
              </w:tc>
              <w:tc>
                <w:tcPr>
                  <w:tcW w:w="1970" w:type="dxa"/>
                  <w:vAlign w:val="center"/>
                </w:tcPr>
                <w:p w14:paraId="7630B635">
                  <w:pPr>
                    <w:keepNext w:val="0"/>
                    <w:keepLines w:val="0"/>
                    <w:widowControl/>
                    <w:suppressLineNumbers w:val="0"/>
                    <w:spacing w:line="240" w:lineRule="auto"/>
                    <w:jc w:val="left"/>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2"/>
                      <w:sz w:val="21"/>
                      <w:szCs w:val="24"/>
                      <w:highlight w:val="none"/>
                      <w:lang w:val="en-US" w:eastAsia="zh-CN" w:bidi="ar-SA"/>
                    </w:rPr>
                    <w:t>电解液、N-甲基吡咯烷酮、丁苯橡胶</w:t>
                  </w:r>
                </w:p>
              </w:tc>
              <w:tc>
                <w:tcPr>
                  <w:tcW w:w="2323" w:type="dxa"/>
                  <w:vAlign w:val="center"/>
                </w:tcPr>
                <w:p w14:paraId="2D016133">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电解液、</w:t>
                  </w:r>
                  <w:r>
                    <w:rPr>
                      <w:rFonts w:hint="default" w:ascii="Times New Roman" w:hAnsi="Times New Roman" w:eastAsia="宋体" w:cs="Times New Roman"/>
                      <w:color w:val="auto"/>
                      <w:kern w:val="2"/>
                      <w:sz w:val="21"/>
                      <w:szCs w:val="24"/>
                      <w:highlight w:val="none"/>
                      <w:lang w:val="en-US" w:eastAsia="zh-CN" w:bidi="ar-SA"/>
                    </w:rPr>
                    <w:t>N-甲基吡咯烷酮、乙醇、树脂</w:t>
                  </w:r>
                </w:p>
              </w:tc>
              <w:tc>
                <w:tcPr>
                  <w:tcW w:w="1640" w:type="dxa"/>
                  <w:vAlign w:val="center"/>
                </w:tcPr>
                <w:p w14:paraId="4C6363C6">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可类比</w:t>
                  </w:r>
                </w:p>
              </w:tc>
            </w:tr>
            <w:tr w14:paraId="222A4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96" w:type="dxa"/>
                  <w:vMerge w:val="restart"/>
                  <w:vAlign w:val="center"/>
                </w:tcPr>
                <w:p w14:paraId="40B01582">
                  <w:pPr>
                    <w:pStyle w:val="52"/>
                    <w:spacing w:line="24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大气污染物排放特征</w:t>
                  </w:r>
                </w:p>
              </w:tc>
              <w:tc>
                <w:tcPr>
                  <w:tcW w:w="1092" w:type="dxa"/>
                  <w:vAlign w:val="center"/>
                </w:tcPr>
                <w:p w14:paraId="032F0BA6">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排放类型</w:t>
                  </w:r>
                </w:p>
              </w:tc>
              <w:tc>
                <w:tcPr>
                  <w:tcW w:w="1970" w:type="dxa"/>
                  <w:vAlign w:val="center"/>
                </w:tcPr>
                <w:p w14:paraId="0ACCF08D">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有组织</w:t>
                  </w:r>
                </w:p>
              </w:tc>
              <w:tc>
                <w:tcPr>
                  <w:tcW w:w="2323" w:type="dxa"/>
                  <w:vAlign w:val="center"/>
                </w:tcPr>
                <w:p w14:paraId="61A5A217">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有组织</w:t>
                  </w:r>
                </w:p>
              </w:tc>
              <w:tc>
                <w:tcPr>
                  <w:tcW w:w="1640" w:type="dxa"/>
                  <w:vAlign w:val="center"/>
                </w:tcPr>
                <w:p w14:paraId="4E86CF5D">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可类比</w:t>
                  </w:r>
                </w:p>
              </w:tc>
            </w:tr>
            <w:tr w14:paraId="5C648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96" w:type="dxa"/>
                  <w:vMerge w:val="continue"/>
                  <w:vAlign w:val="center"/>
                </w:tcPr>
                <w:p w14:paraId="010BF341">
                  <w:pPr>
                    <w:pStyle w:val="52"/>
                    <w:spacing w:line="240" w:lineRule="auto"/>
                    <w:rPr>
                      <w:rFonts w:hint="default" w:ascii="Times New Roman" w:hAnsi="Times New Roman" w:eastAsia="宋体" w:cs="Times New Roman"/>
                      <w:color w:val="auto"/>
                      <w:highlight w:val="none"/>
                      <w:lang w:val="en-US" w:eastAsia="zh-CN"/>
                    </w:rPr>
                  </w:pPr>
                </w:p>
              </w:tc>
              <w:tc>
                <w:tcPr>
                  <w:tcW w:w="1092" w:type="dxa"/>
                  <w:vAlign w:val="center"/>
                </w:tcPr>
                <w:p w14:paraId="1AD111D2">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污染物</w:t>
                  </w:r>
                </w:p>
              </w:tc>
              <w:tc>
                <w:tcPr>
                  <w:tcW w:w="1970" w:type="dxa"/>
                  <w:shd w:val="clear" w:color="auto" w:fill="auto"/>
                  <w:vAlign w:val="center"/>
                </w:tcPr>
                <w:p w14:paraId="2FA66A9A">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颗粒物、非甲烷总烃</w:t>
                  </w:r>
                </w:p>
              </w:tc>
              <w:tc>
                <w:tcPr>
                  <w:tcW w:w="2323" w:type="dxa"/>
                  <w:shd w:val="clear" w:color="auto" w:fill="auto"/>
                  <w:vAlign w:val="center"/>
                </w:tcPr>
                <w:p w14:paraId="1C8E7425">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颗粒物、非甲烷总烃、氮氧化物、氨、氯化氢、镍及其化合物</w:t>
                  </w:r>
                </w:p>
              </w:tc>
              <w:tc>
                <w:tcPr>
                  <w:tcW w:w="1640" w:type="dxa"/>
                  <w:vAlign w:val="center"/>
                </w:tcPr>
                <w:p w14:paraId="5C52BBDE">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可类比</w:t>
                  </w:r>
                </w:p>
              </w:tc>
            </w:tr>
            <w:tr w14:paraId="4ED10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96" w:type="dxa"/>
                  <w:vMerge w:val="continue"/>
                  <w:vAlign w:val="center"/>
                </w:tcPr>
                <w:p w14:paraId="16CC316F">
                  <w:pPr>
                    <w:pStyle w:val="52"/>
                    <w:spacing w:line="240" w:lineRule="auto"/>
                    <w:rPr>
                      <w:rFonts w:hint="default" w:ascii="Times New Roman" w:hAnsi="Times New Roman" w:eastAsia="宋体" w:cs="Times New Roman"/>
                      <w:color w:val="auto"/>
                      <w:highlight w:val="none"/>
                      <w:lang w:val="en-US" w:eastAsia="zh-CN"/>
                    </w:rPr>
                  </w:pPr>
                </w:p>
              </w:tc>
              <w:tc>
                <w:tcPr>
                  <w:tcW w:w="1092" w:type="dxa"/>
                  <w:vAlign w:val="center"/>
                </w:tcPr>
                <w:p w14:paraId="7ACF0F62">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排放去向</w:t>
                  </w:r>
                </w:p>
              </w:tc>
              <w:tc>
                <w:tcPr>
                  <w:tcW w:w="1970" w:type="dxa"/>
                  <w:vAlign w:val="center"/>
                </w:tcPr>
                <w:p w14:paraId="498513EB">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排气筒15米</w:t>
                  </w:r>
                </w:p>
              </w:tc>
              <w:tc>
                <w:tcPr>
                  <w:tcW w:w="2323" w:type="dxa"/>
                  <w:vAlign w:val="center"/>
                </w:tcPr>
                <w:p w14:paraId="58E96CE8">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排气筒21.5米</w:t>
                  </w:r>
                </w:p>
              </w:tc>
              <w:tc>
                <w:tcPr>
                  <w:tcW w:w="1640" w:type="dxa"/>
                  <w:vAlign w:val="center"/>
                </w:tcPr>
                <w:p w14:paraId="117CDED3">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可类比</w:t>
                  </w:r>
                </w:p>
              </w:tc>
            </w:tr>
            <w:tr w14:paraId="48F06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96" w:type="dxa"/>
                  <w:vMerge w:val="continue"/>
                  <w:vAlign w:val="center"/>
                </w:tcPr>
                <w:p w14:paraId="77309D3A">
                  <w:pPr>
                    <w:pStyle w:val="52"/>
                    <w:spacing w:line="240" w:lineRule="auto"/>
                    <w:rPr>
                      <w:rFonts w:hint="default" w:ascii="Times New Roman" w:hAnsi="Times New Roman" w:eastAsia="宋体" w:cs="Times New Roman"/>
                      <w:color w:val="auto"/>
                      <w:highlight w:val="none"/>
                      <w:lang w:val="en-US" w:eastAsia="zh-CN"/>
                    </w:rPr>
                  </w:pPr>
                </w:p>
              </w:tc>
              <w:tc>
                <w:tcPr>
                  <w:tcW w:w="1092" w:type="dxa"/>
                  <w:vAlign w:val="center"/>
                </w:tcPr>
                <w:p w14:paraId="121672FA">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治理设施</w:t>
                  </w:r>
                </w:p>
              </w:tc>
              <w:tc>
                <w:tcPr>
                  <w:tcW w:w="1970" w:type="dxa"/>
                  <w:vAlign w:val="center"/>
                </w:tcPr>
                <w:p w14:paraId="643CCA59">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活性炭吸附</w:t>
                  </w:r>
                </w:p>
              </w:tc>
              <w:tc>
                <w:tcPr>
                  <w:tcW w:w="2323" w:type="dxa"/>
                  <w:vAlign w:val="center"/>
                </w:tcPr>
                <w:p w14:paraId="0903EF73">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活性炭吸附、喷淋塔</w:t>
                  </w:r>
                </w:p>
              </w:tc>
              <w:tc>
                <w:tcPr>
                  <w:tcW w:w="1640" w:type="dxa"/>
                  <w:vAlign w:val="center"/>
                </w:tcPr>
                <w:p w14:paraId="4159487A">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可类比</w:t>
                  </w:r>
                </w:p>
              </w:tc>
            </w:tr>
            <w:tr w14:paraId="12C8A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8" w:type="dxa"/>
                  <w:gridSpan w:val="2"/>
                  <w:vAlign w:val="center"/>
                </w:tcPr>
                <w:p w14:paraId="7756D6CD">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类比可行性</w:t>
                  </w:r>
                </w:p>
              </w:tc>
              <w:tc>
                <w:tcPr>
                  <w:tcW w:w="5933" w:type="dxa"/>
                  <w:gridSpan w:val="3"/>
                  <w:vAlign w:val="center"/>
                </w:tcPr>
                <w:p w14:paraId="4557F015">
                  <w:pPr>
                    <w:pStyle w:val="52"/>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类比项目与项目具有可类比性</w:t>
                  </w:r>
                </w:p>
              </w:tc>
            </w:tr>
          </w:tbl>
          <w:p w14:paraId="3F3B0C56">
            <w:pPr>
              <w:adjustRightInd w:val="0"/>
              <w:snapToGrid w:val="0"/>
              <w:spacing w:line="360" w:lineRule="auto"/>
              <w:ind w:firstLine="480" w:firstLineChars="200"/>
              <w:jc w:val="left"/>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根据《畅源锂离子电池研发生产建设项目竣工环境保护验收监测报告表》（检测报告编号：2023121800707Y），类比项目排气筒非甲烷总烃平均排放速率为0.00716 kg/h，验收检测期间工作时间8h/d，使用N-甲基吡咯烷酮、电解液等挥发性原辅料0.8728吨/d，则类比项目挥发性有机物产生系数为0.0656t/t-原料，本项目N-甲基吡咯烷酮、电解液用量、乙醇等挥发性有机物69.274kg/a，则本项目挥发性有机气体排放量为0.004544t/a。</w:t>
            </w:r>
          </w:p>
          <w:p w14:paraId="575508BF">
            <w:pPr>
              <w:adjustRightInd w:val="0"/>
              <w:snapToGrid w:val="0"/>
              <w:spacing w:line="360" w:lineRule="auto"/>
              <w:ind w:firstLine="420"/>
              <w:jc w:val="left"/>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综上，本项目采用排污系数法及类比分析法进行挥发性有机物排放量核算，经比较结果相近。考虑到不同企业实际运行过程中存在差异，类比数据存在一定的误差，本次环评采用排污系数法的核算结果作为申请排污总量的依据。因此，本项目挥发性有机物排放量为：0.003754 t /a。</w:t>
            </w:r>
          </w:p>
          <w:p w14:paraId="69C81D6A">
            <w:pPr>
              <w:adjustRightInd w:val="0"/>
              <w:snapToGrid w:val="0"/>
              <w:spacing w:line="360" w:lineRule="auto"/>
              <w:ind w:firstLine="420"/>
              <w:jc w:val="left"/>
              <w:rPr>
                <w:rFonts w:hint="default" w:ascii="Times New Roman" w:hAnsi="Times New Roman" w:eastAsia="宋体" w:cs="Times New Roman"/>
                <w:bCs/>
                <w:sz w:val="24"/>
                <w:highlight w:val="none"/>
                <w:lang w:val="en-US" w:eastAsia="zh-CN"/>
              </w:rPr>
            </w:pP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lang w:val="en-US" w:eastAsia="zh-CN"/>
              </w:rPr>
              <w:t>2</w:t>
            </w: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lang w:val="en-US" w:eastAsia="zh-CN"/>
              </w:rPr>
              <w:t>颗粒物</w:t>
            </w:r>
          </w:p>
          <w:p w14:paraId="13C0182B">
            <w:pPr>
              <w:numPr>
                <w:ilvl w:val="0"/>
                <w:numId w:val="43"/>
              </w:numPr>
              <w:adjustRightInd w:val="0"/>
              <w:snapToGrid w:val="0"/>
              <w:spacing w:line="360" w:lineRule="auto"/>
              <w:ind w:left="0" w:leftChars="0" w:firstLine="480" w:firstLineChars="200"/>
              <w:jc w:val="left"/>
              <w:rPr>
                <w:rFonts w:hint="default" w:ascii="Times New Roman" w:hAnsi="Times New Roman" w:eastAsia="宋体" w:cs="Times New Roman"/>
                <w:b w:val="0"/>
                <w:bCs w:val="0"/>
                <w:sz w:val="24"/>
                <w:highlight w:val="none"/>
              </w:rPr>
            </w:pPr>
            <w:r>
              <w:rPr>
                <w:rFonts w:hint="default" w:ascii="Times New Roman" w:hAnsi="Times New Roman" w:eastAsia="宋体" w:cs="Times New Roman"/>
                <w:b w:val="0"/>
                <w:bCs w:val="0"/>
                <w:sz w:val="24"/>
                <w:highlight w:val="none"/>
              </w:rPr>
              <w:t>排污系数法</w:t>
            </w:r>
          </w:p>
          <w:p w14:paraId="016CD096">
            <w:pPr>
              <w:adjustRightInd w:val="0"/>
              <w:snapToGrid w:val="0"/>
              <w:spacing w:line="360" w:lineRule="auto"/>
              <w:ind w:firstLine="480" w:firstLineChars="200"/>
              <w:jc w:val="left"/>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根据</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四、主要环境影响和环保措施</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章节中废气排放量核算结果，本项目颗粒物排放量为 0.0007821/a。</w:t>
            </w:r>
          </w:p>
          <w:p w14:paraId="00E82011">
            <w:pPr>
              <w:numPr>
                <w:ilvl w:val="0"/>
                <w:numId w:val="43"/>
              </w:numPr>
              <w:adjustRightInd w:val="0"/>
              <w:snapToGrid w:val="0"/>
              <w:spacing w:line="360" w:lineRule="auto"/>
              <w:ind w:left="0" w:leftChars="0" w:firstLine="480" w:firstLineChars="200"/>
              <w:jc w:val="left"/>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类比分析法</w:t>
            </w:r>
          </w:p>
          <w:p w14:paraId="55884788">
            <w:pPr>
              <w:adjustRightInd w:val="0"/>
              <w:snapToGrid w:val="0"/>
              <w:spacing w:line="360" w:lineRule="auto"/>
              <w:ind w:firstLine="480" w:firstLineChars="200"/>
              <w:jc w:val="left"/>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本项目颗粒物排放类比《河南瑞斯特阀门有限公司年产15000吨阀门铸造件生产线（一期）竣工环境保护验收报告》，类比对象与本项目的情况对比见下表。</w:t>
            </w:r>
          </w:p>
          <w:p w14:paraId="4594B2DA">
            <w:pPr>
              <w:numPr>
                <w:ilvl w:val="0"/>
                <w:numId w:val="38"/>
              </w:numPr>
              <w:spacing w:line="360" w:lineRule="auto"/>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项目</w:t>
            </w:r>
            <w:r>
              <w:rPr>
                <w:rFonts w:hint="eastAsia" w:cs="Times New Roman"/>
                <w:b/>
                <w:bCs/>
                <w:color w:val="auto"/>
                <w:sz w:val="24"/>
                <w:highlight w:val="none"/>
                <w:lang w:val="en-US" w:eastAsia="zh-CN"/>
              </w:rPr>
              <w:t>颗粒物</w:t>
            </w:r>
            <w:r>
              <w:rPr>
                <w:rFonts w:hint="default" w:ascii="Times New Roman" w:hAnsi="Times New Roman" w:eastAsia="宋体" w:cs="Times New Roman"/>
                <w:b/>
                <w:bCs/>
                <w:color w:val="auto"/>
                <w:sz w:val="24"/>
                <w:highlight w:val="none"/>
              </w:rPr>
              <w:t>排放情况类比性一览表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
              <w:gridCol w:w="1252"/>
              <w:gridCol w:w="2142"/>
              <w:gridCol w:w="2261"/>
              <w:gridCol w:w="1370"/>
            </w:tblGrid>
            <w:tr w14:paraId="4E7CA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48" w:type="dxa"/>
                  <w:gridSpan w:val="2"/>
                  <w:vAlign w:val="center"/>
                </w:tcPr>
                <w:p w14:paraId="71D84E41">
                  <w:pPr>
                    <w:pStyle w:val="52"/>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名称</w:t>
                  </w:r>
                </w:p>
              </w:tc>
              <w:tc>
                <w:tcPr>
                  <w:tcW w:w="2142" w:type="dxa"/>
                  <w:vAlign w:val="center"/>
                </w:tcPr>
                <w:p w14:paraId="7BD1B0C1">
                  <w:pPr>
                    <w:pStyle w:val="52"/>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类比项目</w:t>
                  </w:r>
                </w:p>
              </w:tc>
              <w:tc>
                <w:tcPr>
                  <w:tcW w:w="2261" w:type="dxa"/>
                  <w:vAlign w:val="center"/>
                </w:tcPr>
                <w:p w14:paraId="0521B28B">
                  <w:pPr>
                    <w:pStyle w:val="52"/>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本项目</w:t>
                  </w:r>
                </w:p>
              </w:tc>
              <w:tc>
                <w:tcPr>
                  <w:tcW w:w="1370" w:type="dxa"/>
                  <w:vAlign w:val="center"/>
                </w:tcPr>
                <w:p w14:paraId="1074A4C8">
                  <w:pPr>
                    <w:pStyle w:val="52"/>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可类比性</w:t>
                  </w:r>
                </w:p>
              </w:tc>
            </w:tr>
            <w:tr w14:paraId="02ABC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96" w:type="dxa"/>
                  <w:vMerge w:val="restart"/>
                  <w:vAlign w:val="center"/>
                </w:tcPr>
                <w:p w14:paraId="200C4AD7">
                  <w:pPr>
                    <w:pStyle w:val="5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工程特征</w:t>
                  </w:r>
                </w:p>
              </w:tc>
              <w:tc>
                <w:tcPr>
                  <w:tcW w:w="1252" w:type="dxa"/>
                  <w:vAlign w:val="center"/>
                </w:tcPr>
                <w:p w14:paraId="2997F54E">
                  <w:pPr>
                    <w:pStyle w:val="5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性质</w:t>
                  </w:r>
                </w:p>
              </w:tc>
              <w:tc>
                <w:tcPr>
                  <w:tcW w:w="2142" w:type="dxa"/>
                  <w:vAlign w:val="center"/>
                </w:tcPr>
                <w:p w14:paraId="48CCB087">
                  <w:pPr>
                    <w:pStyle w:val="5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新建</w:t>
                  </w:r>
                </w:p>
              </w:tc>
              <w:tc>
                <w:tcPr>
                  <w:tcW w:w="2261" w:type="dxa"/>
                  <w:vAlign w:val="center"/>
                </w:tcPr>
                <w:p w14:paraId="45AFF594">
                  <w:pPr>
                    <w:pStyle w:val="5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新建</w:t>
                  </w:r>
                </w:p>
              </w:tc>
              <w:tc>
                <w:tcPr>
                  <w:tcW w:w="1370" w:type="dxa"/>
                  <w:vAlign w:val="center"/>
                </w:tcPr>
                <w:p w14:paraId="335E2366">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可类比</w:t>
                  </w:r>
                </w:p>
              </w:tc>
            </w:tr>
            <w:tr w14:paraId="14178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96" w:type="dxa"/>
                  <w:vMerge w:val="continue"/>
                  <w:vAlign w:val="center"/>
                </w:tcPr>
                <w:p w14:paraId="70A06FB7">
                  <w:pPr>
                    <w:pStyle w:val="52"/>
                    <w:rPr>
                      <w:rFonts w:hint="default" w:ascii="Times New Roman" w:hAnsi="Times New Roman" w:eastAsia="宋体" w:cs="Times New Roman"/>
                      <w:color w:val="auto"/>
                      <w:highlight w:val="none"/>
                      <w:lang w:val="en-US" w:eastAsia="zh-CN"/>
                    </w:rPr>
                  </w:pPr>
                </w:p>
              </w:tc>
              <w:tc>
                <w:tcPr>
                  <w:tcW w:w="1252" w:type="dxa"/>
                  <w:vAlign w:val="center"/>
                </w:tcPr>
                <w:p w14:paraId="213EF3B7">
                  <w:pPr>
                    <w:pStyle w:val="5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建设规模内容</w:t>
                  </w:r>
                </w:p>
              </w:tc>
              <w:tc>
                <w:tcPr>
                  <w:tcW w:w="2142" w:type="dxa"/>
                  <w:vAlign w:val="center"/>
                </w:tcPr>
                <w:p w14:paraId="7830C284">
                  <w:pPr>
                    <w:keepNext w:val="0"/>
                    <w:keepLines w:val="0"/>
                    <w:widowControl/>
                    <w:suppressLineNumbers w:val="0"/>
                    <w:jc w:val="left"/>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年产 15000 吨阀门铸造件生产线</w:t>
                  </w:r>
                </w:p>
              </w:tc>
              <w:tc>
                <w:tcPr>
                  <w:tcW w:w="2261" w:type="dxa"/>
                  <w:vAlign w:val="center"/>
                </w:tcPr>
                <w:p w14:paraId="1495997D">
                  <w:pPr>
                    <w:pStyle w:val="5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金属材料研发</w:t>
                  </w:r>
                </w:p>
              </w:tc>
              <w:tc>
                <w:tcPr>
                  <w:tcW w:w="1370" w:type="dxa"/>
                  <w:vAlign w:val="center"/>
                </w:tcPr>
                <w:p w14:paraId="5F1C21A3">
                  <w:pPr>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可类比</w:t>
                  </w:r>
                </w:p>
              </w:tc>
            </w:tr>
            <w:tr w14:paraId="683FF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96" w:type="dxa"/>
                  <w:vMerge w:val="continue"/>
                  <w:vAlign w:val="center"/>
                </w:tcPr>
                <w:p w14:paraId="306B7EB9">
                  <w:pPr>
                    <w:pStyle w:val="52"/>
                    <w:rPr>
                      <w:rFonts w:hint="default" w:ascii="Times New Roman" w:hAnsi="Times New Roman" w:eastAsia="宋体" w:cs="Times New Roman"/>
                      <w:color w:val="auto"/>
                      <w:highlight w:val="none"/>
                      <w:lang w:val="en-US" w:eastAsia="zh-CN"/>
                    </w:rPr>
                  </w:pPr>
                </w:p>
              </w:tc>
              <w:tc>
                <w:tcPr>
                  <w:tcW w:w="1252" w:type="dxa"/>
                  <w:vAlign w:val="center"/>
                </w:tcPr>
                <w:p w14:paraId="1772579A">
                  <w:pPr>
                    <w:pStyle w:val="5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工艺路线</w:t>
                  </w:r>
                </w:p>
              </w:tc>
              <w:tc>
                <w:tcPr>
                  <w:tcW w:w="2142" w:type="dxa"/>
                  <w:vAlign w:val="center"/>
                </w:tcPr>
                <w:p w14:paraId="68D5A948">
                  <w:pPr>
                    <w:pStyle w:val="5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熔化、浇筑</w:t>
                  </w:r>
                </w:p>
              </w:tc>
              <w:tc>
                <w:tcPr>
                  <w:tcW w:w="2261" w:type="dxa"/>
                  <w:vAlign w:val="center"/>
                </w:tcPr>
                <w:p w14:paraId="09A71E9A">
                  <w:pPr>
                    <w:pStyle w:val="5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熔炼、浇筑、混合粉碎</w:t>
                  </w:r>
                </w:p>
              </w:tc>
              <w:tc>
                <w:tcPr>
                  <w:tcW w:w="1370" w:type="dxa"/>
                  <w:vAlign w:val="center"/>
                </w:tcPr>
                <w:p w14:paraId="662E46EB">
                  <w:pPr>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可类比</w:t>
                  </w:r>
                </w:p>
              </w:tc>
            </w:tr>
            <w:tr w14:paraId="4406A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96" w:type="dxa"/>
                  <w:vMerge w:val="continue"/>
                  <w:vAlign w:val="center"/>
                </w:tcPr>
                <w:p w14:paraId="50E64434">
                  <w:pPr>
                    <w:pStyle w:val="52"/>
                    <w:rPr>
                      <w:rFonts w:hint="default" w:ascii="Times New Roman" w:hAnsi="Times New Roman" w:eastAsia="宋体" w:cs="Times New Roman"/>
                      <w:color w:val="auto"/>
                      <w:highlight w:val="none"/>
                      <w:lang w:val="en-US" w:eastAsia="zh-CN"/>
                    </w:rPr>
                  </w:pPr>
                </w:p>
              </w:tc>
              <w:tc>
                <w:tcPr>
                  <w:tcW w:w="1252" w:type="dxa"/>
                  <w:vAlign w:val="center"/>
                </w:tcPr>
                <w:p w14:paraId="3AA548A5">
                  <w:pPr>
                    <w:pStyle w:val="5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燃料来源及成分</w:t>
                  </w:r>
                </w:p>
              </w:tc>
              <w:tc>
                <w:tcPr>
                  <w:tcW w:w="2142" w:type="dxa"/>
                  <w:vAlign w:val="center"/>
                </w:tcPr>
                <w:p w14:paraId="70F87036">
                  <w:pPr>
                    <w:pStyle w:val="5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生铁</w:t>
                  </w:r>
                  <w:r>
                    <w:rPr>
                      <w:rFonts w:hint="eastAsia" w:ascii="Times New Roman" w:hAnsi="Times New Roman" w:eastAsia="宋体" w:cs="Times New Roman"/>
                      <w:color w:val="auto"/>
                      <w:kern w:val="2"/>
                      <w:sz w:val="21"/>
                      <w:szCs w:val="24"/>
                      <w:highlight w:val="none"/>
                      <w:lang w:val="en-US" w:eastAsia="zh-CN" w:bidi="ar-SA"/>
                    </w:rPr>
                    <w:t>、</w:t>
                  </w:r>
                  <w:r>
                    <w:rPr>
                      <w:rFonts w:hint="default" w:ascii="Times New Roman" w:hAnsi="Times New Roman" w:eastAsia="宋体" w:cs="Times New Roman"/>
                      <w:color w:val="auto"/>
                      <w:kern w:val="2"/>
                      <w:sz w:val="21"/>
                      <w:szCs w:val="24"/>
                      <w:highlight w:val="none"/>
                      <w:lang w:val="en-US" w:eastAsia="zh-CN" w:bidi="ar-SA"/>
                    </w:rPr>
                    <w:t>碳钢</w:t>
                  </w:r>
                </w:p>
              </w:tc>
              <w:tc>
                <w:tcPr>
                  <w:tcW w:w="2261" w:type="dxa"/>
                  <w:vAlign w:val="center"/>
                </w:tcPr>
                <w:p w14:paraId="71310646">
                  <w:pPr>
                    <w:pStyle w:val="5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金属及盐类</w:t>
                  </w:r>
                </w:p>
              </w:tc>
              <w:tc>
                <w:tcPr>
                  <w:tcW w:w="1370" w:type="dxa"/>
                  <w:vAlign w:val="center"/>
                </w:tcPr>
                <w:p w14:paraId="7766EF75">
                  <w:pPr>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可类比</w:t>
                  </w:r>
                </w:p>
              </w:tc>
            </w:tr>
            <w:tr w14:paraId="3A44D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96" w:type="dxa"/>
                  <w:vMerge w:val="restart"/>
                  <w:vAlign w:val="center"/>
                </w:tcPr>
                <w:p w14:paraId="02744F97">
                  <w:pPr>
                    <w:pStyle w:val="5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大气污染物排放特征</w:t>
                  </w:r>
                </w:p>
              </w:tc>
              <w:tc>
                <w:tcPr>
                  <w:tcW w:w="1252" w:type="dxa"/>
                  <w:vAlign w:val="center"/>
                </w:tcPr>
                <w:p w14:paraId="5E3C5DD7">
                  <w:pPr>
                    <w:pStyle w:val="5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排放类型</w:t>
                  </w:r>
                </w:p>
              </w:tc>
              <w:tc>
                <w:tcPr>
                  <w:tcW w:w="2142" w:type="dxa"/>
                  <w:vAlign w:val="center"/>
                </w:tcPr>
                <w:p w14:paraId="7FD35432">
                  <w:pPr>
                    <w:pStyle w:val="5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有组织</w:t>
                  </w:r>
                </w:p>
              </w:tc>
              <w:tc>
                <w:tcPr>
                  <w:tcW w:w="2261" w:type="dxa"/>
                  <w:vAlign w:val="center"/>
                </w:tcPr>
                <w:p w14:paraId="3CEE65AA">
                  <w:pPr>
                    <w:pStyle w:val="5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有组织</w:t>
                  </w:r>
                </w:p>
              </w:tc>
              <w:tc>
                <w:tcPr>
                  <w:tcW w:w="1370" w:type="dxa"/>
                  <w:vAlign w:val="center"/>
                </w:tcPr>
                <w:p w14:paraId="2D10FACD">
                  <w:pPr>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可类比</w:t>
                  </w:r>
                </w:p>
              </w:tc>
            </w:tr>
            <w:tr w14:paraId="6AFD6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96" w:type="dxa"/>
                  <w:vMerge w:val="continue"/>
                  <w:vAlign w:val="center"/>
                </w:tcPr>
                <w:p w14:paraId="011CED27">
                  <w:pPr>
                    <w:pStyle w:val="52"/>
                    <w:rPr>
                      <w:rFonts w:hint="default" w:ascii="Times New Roman" w:hAnsi="Times New Roman" w:eastAsia="宋体" w:cs="Times New Roman"/>
                      <w:color w:val="auto"/>
                      <w:highlight w:val="none"/>
                      <w:lang w:val="en-US" w:eastAsia="zh-CN"/>
                    </w:rPr>
                  </w:pPr>
                </w:p>
              </w:tc>
              <w:tc>
                <w:tcPr>
                  <w:tcW w:w="1252" w:type="dxa"/>
                  <w:vAlign w:val="center"/>
                </w:tcPr>
                <w:p w14:paraId="4BAE1A45">
                  <w:pPr>
                    <w:pStyle w:val="5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污染物</w:t>
                  </w:r>
                </w:p>
              </w:tc>
              <w:tc>
                <w:tcPr>
                  <w:tcW w:w="2142" w:type="dxa"/>
                  <w:shd w:val="clear" w:color="auto" w:fill="auto"/>
                  <w:vAlign w:val="center"/>
                </w:tcPr>
                <w:p w14:paraId="5E3CA85D">
                  <w:pPr>
                    <w:pStyle w:val="5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颗粒物</w:t>
                  </w:r>
                </w:p>
              </w:tc>
              <w:tc>
                <w:tcPr>
                  <w:tcW w:w="2261" w:type="dxa"/>
                  <w:shd w:val="clear" w:color="auto" w:fill="auto"/>
                  <w:vAlign w:val="center"/>
                </w:tcPr>
                <w:p w14:paraId="7478B36B">
                  <w:pPr>
                    <w:pStyle w:val="5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颗粒物</w:t>
                  </w:r>
                </w:p>
              </w:tc>
              <w:tc>
                <w:tcPr>
                  <w:tcW w:w="1370" w:type="dxa"/>
                  <w:vAlign w:val="center"/>
                </w:tcPr>
                <w:p w14:paraId="61FC46F4">
                  <w:pPr>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可类比</w:t>
                  </w:r>
                </w:p>
              </w:tc>
            </w:tr>
            <w:tr w14:paraId="73333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96" w:type="dxa"/>
                  <w:vMerge w:val="continue"/>
                  <w:vAlign w:val="center"/>
                </w:tcPr>
                <w:p w14:paraId="51AE3092">
                  <w:pPr>
                    <w:pStyle w:val="52"/>
                    <w:rPr>
                      <w:rFonts w:hint="default" w:ascii="Times New Roman" w:hAnsi="Times New Roman" w:eastAsia="宋体" w:cs="Times New Roman"/>
                      <w:color w:val="auto"/>
                      <w:highlight w:val="none"/>
                      <w:lang w:val="en-US" w:eastAsia="zh-CN"/>
                    </w:rPr>
                  </w:pPr>
                </w:p>
              </w:tc>
              <w:tc>
                <w:tcPr>
                  <w:tcW w:w="1252" w:type="dxa"/>
                  <w:vAlign w:val="center"/>
                </w:tcPr>
                <w:p w14:paraId="379338E5">
                  <w:pPr>
                    <w:pStyle w:val="5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排放去向</w:t>
                  </w:r>
                </w:p>
              </w:tc>
              <w:tc>
                <w:tcPr>
                  <w:tcW w:w="2142" w:type="dxa"/>
                  <w:vAlign w:val="center"/>
                </w:tcPr>
                <w:p w14:paraId="37390563">
                  <w:pPr>
                    <w:pStyle w:val="5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排气筒高度15米</w:t>
                  </w:r>
                </w:p>
              </w:tc>
              <w:tc>
                <w:tcPr>
                  <w:tcW w:w="2261" w:type="dxa"/>
                  <w:vAlign w:val="center"/>
                </w:tcPr>
                <w:p w14:paraId="2B3A96C8">
                  <w:pPr>
                    <w:pStyle w:val="5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排气筒高度21.5米</w:t>
                  </w:r>
                </w:p>
              </w:tc>
              <w:tc>
                <w:tcPr>
                  <w:tcW w:w="1370" w:type="dxa"/>
                  <w:vAlign w:val="center"/>
                </w:tcPr>
                <w:p w14:paraId="1612DC35">
                  <w:pPr>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可类比</w:t>
                  </w:r>
                </w:p>
              </w:tc>
            </w:tr>
            <w:tr w14:paraId="3A98D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96" w:type="dxa"/>
                  <w:vMerge w:val="continue"/>
                  <w:vAlign w:val="center"/>
                </w:tcPr>
                <w:p w14:paraId="44C52FFA">
                  <w:pPr>
                    <w:pStyle w:val="52"/>
                    <w:rPr>
                      <w:rFonts w:hint="default" w:ascii="Times New Roman" w:hAnsi="Times New Roman" w:eastAsia="宋体" w:cs="Times New Roman"/>
                      <w:color w:val="auto"/>
                      <w:highlight w:val="none"/>
                      <w:lang w:val="en-US" w:eastAsia="zh-CN"/>
                    </w:rPr>
                  </w:pPr>
                </w:p>
              </w:tc>
              <w:tc>
                <w:tcPr>
                  <w:tcW w:w="1252" w:type="dxa"/>
                  <w:vAlign w:val="center"/>
                </w:tcPr>
                <w:p w14:paraId="6E20274B">
                  <w:pPr>
                    <w:pStyle w:val="5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治理设施</w:t>
                  </w:r>
                </w:p>
              </w:tc>
              <w:tc>
                <w:tcPr>
                  <w:tcW w:w="2142" w:type="dxa"/>
                  <w:vAlign w:val="center"/>
                </w:tcPr>
                <w:p w14:paraId="2D2A82AD">
                  <w:pPr>
                    <w:pStyle w:val="52"/>
                    <w:jc w:val="both"/>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熔化工序中频炉上方设置顶吸集气罩收集废气，熔化废气通过1套袋式除尘器+活性炭吸附脱附+催化燃烧装置进行处理。</w:t>
                  </w:r>
                </w:p>
              </w:tc>
              <w:tc>
                <w:tcPr>
                  <w:tcW w:w="2261" w:type="dxa"/>
                  <w:vAlign w:val="center"/>
                </w:tcPr>
                <w:p w14:paraId="63C9748E">
                  <w:pPr>
                    <w:pStyle w:val="5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2"/>
                      <w:sz w:val="21"/>
                      <w:szCs w:val="24"/>
                      <w:highlight w:val="none"/>
                      <w:lang w:val="en-US" w:eastAsia="zh-CN" w:bidi="ar-SA"/>
                    </w:rPr>
                    <w:t>中频炉、混合粉碎设备上方设置集气罩收集废气，含尘废气通过1套喷淋塔装置进行处理。</w:t>
                  </w:r>
                </w:p>
              </w:tc>
              <w:tc>
                <w:tcPr>
                  <w:tcW w:w="1370" w:type="dxa"/>
                  <w:vAlign w:val="center"/>
                </w:tcPr>
                <w:p w14:paraId="0BA94667">
                  <w:pPr>
                    <w:pStyle w:val="5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可类比</w:t>
                  </w:r>
                </w:p>
              </w:tc>
            </w:tr>
            <w:tr w14:paraId="54E25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48" w:type="dxa"/>
                  <w:gridSpan w:val="2"/>
                  <w:vAlign w:val="center"/>
                </w:tcPr>
                <w:p w14:paraId="24F01BFC">
                  <w:pPr>
                    <w:pStyle w:val="5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类比可行性</w:t>
                  </w:r>
                </w:p>
              </w:tc>
              <w:tc>
                <w:tcPr>
                  <w:tcW w:w="5773" w:type="dxa"/>
                  <w:gridSpan w:val="3"/>
                  <w:vAlign w:val="center"/>
                </w:tcPr>
                <w:p w14:paraId="72538BAF">
                  <w:pPr>
                    <w:pStyle w:val="5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类比项目与项目具有可类比性</w:t>
                  </w:r>
                </w:p>
              </w:tc>
            </w:tr>
          </w:tbl>
          <w:p w14:paraId="66E09C9E">
            <w:pPr>
              <w:adjustRightInd w:val="0"/>
              <w:snapToGrid w:val="0"/>
              <w:spacing w:line="360" w:lineRule="auto"/>
              <w:ind w:firstLine="480" w:firstLineChars="200"/>
              <w:jc w:val="left"/>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根据《河南瑞斯特阀门有限公司年产15000吨阀门铸造件生产线（一期）竣工环境保护验收报告》（验收数据报告编号：HB2023101706），类比项目排气筒颗粒物平均排放浓度为5.03mg/m</w:t>
            </w:r>
            <w:r>
              <w:rPr>
                <w:rFonts w:hint="default" w:ascii="Times New Roman" w:hAnsi="Times New Roman" w:eastAsia="宋体" w:cs="Times New Roman"/>
                <w:sz w:val="24"/>
                <w:highlight w:val="none"/>
                <w:vertAlign w:val="superscript"/>
                <w:lang w:val="en-US" w:eastAsia="zh-CN"/>
              </w:rPr>
              <w:t>3</w:t>
            </w:r>
            <w:r>
              <w:rPr>
                <w:rFonts w:hint="default" w:ascii="Times New Roman" w:hAnsi="Times New Roman" w:eastAsia="宋体" w:cs="Times New Roman"/>
                <w:sz w:val="24"/>
                <w:highlight w:val="none"/>
                <w:lang w:val="en-US" w:eastAsia="zh-CN"/>
              </w:rPr>
              <w:t>，本项目年熔炼、混合粉碎、喷雾干燥合计时间173.23h，废气排放量2000m</w:t>
            </w:r>
            <w:r>
              <w:rPr>
                <w:rFonts w:hint="default" w:ascii="Times New Roman" w:hAnsi="Times New Roman" w:eastAsia="宋体" w:cs="Times New Roman"/>
                <w:sz w:val="24"/>
                <w:highlight w:val="none"/>
                <w:vertAlign w:val="superscript"/>
                <w:lang w:val="en-US" w:eastAsia="zh-CN"/>
              </w:rPr>
              <w:t>3</w:t>
            </w:r>
            <w:r>
              <w:rPr>
                <w:rFonts w:hint="default" w:ascii="Times New Roman" w:hAnsi="Times New Roman" w:eastAsia="宋体" w:cs="Times New Roman"/>
                <w:sz w:val="24"/>
                <w:highlight w:val="none"/>
                <w:lang w:val="en-US" w:eastAsia="zh-CN"/>
              </w:rPr>
              <w:t>/h，则本项目颗粒物排放量为：0.07334 kg /t×0.15t×10</w:t>
            </w:r>
            <w:r>
              <w:rPr>
                <w:rFonts w:hint="default" w:ascii="Times New Roman" w:hAnsi="Times New Roman" w:eastAsia="宋体" w:cs="Times New Roman"/>
                <w:sz w:val="24"/>
                <w:highlight w:val="none"/>
                <w:vertAlign w:val="superscript"/>
                <w:lang w:val="en-US" w:eastAsia="zh-CN"/>
              </w:rPr>
              <w:t>-3</w:t>
            </w:r>
            <w:r>
              <w:rPr>
                <w:rFonts w:hint="default" w:ascii="Times New Roman" w:hAnsi="Times New Roman" w:eastAsia="宋体" w:cs="Times New Roman"/>
                <w:sz w:val="24"/>
                <w:highlight w:val="none"/>
                <w:lang w:val="en-US" w:eastAsia="zh-CN"/>
              </w:rPr>
              <w:t>=0.001743 t/a。</w:t>
            </w:r>
          </w:p>
          <w:p w14:paraId="157CA14C">
            <w:pPr>
              <w:numPr>
                <w:ilvl w:val="0"/>
                <w:numId w:val="0"/>
              </w:numPr>
              <w:adjustRightInd w:val="0"/>
              <w:snapToGrid w:val="0"/>
              <w:spacing w:line="360" w:lineRule="auto"/>
              <w:ind w:firstLine="480" w:firstLineChars="200"/>
              <w:jc w:val="left"/>
              <w:rPr>
                <w:rFonts w:hint="default" w:ascii="Times New Roman" w:hAnsi="Times New Roman" w:eastAsia="宋体" w:cs="Times New Roman"/>
                <w:b/>
                <w:bCs/>
                <w:sz w:val="24"/>
                <w:highlight w:val="none"/>
              </w:rPr>
            </w:pPr>
            <w:r>
              <w:rPr>
                <w:rFonts w:hint="default" w:ascii="Times New Roman" w:hAnsi="Times New Roman" w:eastAsia="宋体" w:cs="Times New Roman"/>
                <w:sz w:val="24"/>
                <w:highlight w:val="none"/>
                <w:lang w:val="en-US" w:eastAsia="zh-CN"/>
              </w:rPr>
              <w:t>综上，本项目采用排污系数法及类比分析法进行颗粒物排放量核算，经比较结果相近。考虑到不同企业实际运行过程中存在差异，类比数据存在一定的误差，本次环评采用排污系数法的核算结果作为申请排污总量的依据。因此，本项目颗粒物排放量为：0.0007821 t /a。</w:t>
            </w:r>
          </w:p>
          <w:p w14:paraId="743D687E">
            <w:pPr>
              <w:numPr>
                <w:ilvl w:val="0"/>
                <w:numId w:val="41"/>
              </w:numPr>
              <w:adjustRightInd w:val="0"/>
              <w:snapToGrid w:val="0"/>
              <w:spacing w:line="360" w:lineRule="auto"/>
              <w:ind w:left="0" w:firstLine="482" w:firstLineChars="200"/>
              <w:jc w:val="left"/>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水污染物总量核算</w:t>
            </w:r>
          </w:p>
          <w:p w14:paraId="5FC1D4E1">
            <w:pPr>
              <w:pStyle w:val="5"/>
              <w:numPr>
                <w:ilvl w:val="0"/>
                <w:numId w:val="44"/>
              </w:numPr>
              <w:adjustRightInd w:val="0"/>
              <w:snapToGrid w:val="0"/>
              <w:spacing w:line="360" w:lineRule="auto"/>
              <w:ind w:firstLine="480" w:firstLineChars="200"/>
              <w:rPr>
                <w:rFonts w:hint="default" w:ascii="Times New Roman" w:hAnsi="Times New Roman" w:eastAsia="宋体" w:cs="Times New Roman"/>
                <w:bCs/>
                <w:sz w:val="24"/>
                <w:szCs w:val="24"/>
                <w:highlight w:val="none"/>
              </w:rPr>
            </w:pPr>
            <w:r>
              <w:rPr>
                <w:rFonts w:hint="default" w:ascii="Times New Roman" w:hAnsi="Times New Roman" w:eastAsia="宋体" w:cs="Times New Roman"/>
                <w:bCs/>
                <w:sz w:val="24"/>
                <w:szCs w:val="24"/>
                <w:highlight w:val="none"/>
              </w:rPr>
              <w:t>排污系数法</w:t>
            </w:r>
          </w:p>
          <w:p w14:paraId="4A22DBE7">
            <w:pPr>
              <w:adjustRightInd w:val="0"/>
              <w:snapToGrid w:val="0"/>
              <w:spacing w:line="360" w:lineRule="auto"/>
              <w:ind w:firstLine="420"/>
              <w:jc w:val="left"/>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根据本报告</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四、主要环境影响和保护措施</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章节中废水源强核算结果，本项目新增COD</w:t>
            </w:r>
            <w:r>
              <w:rPr>
                <w:rFonts w:hint="default" w:ascii="Times New Roman" w:hAnsi="Times New Roman" w:eastAsia="宋体" w:cs="Times New Roman"/>
                <w:sz w:val="24"/>
                <w:highlight w:val="none"/>
                <w:vertAlign w:val="subscript"/>
                <w:lang w:val="en-US" w:eastAsia="zh-CN"/>
              </w:rPr>
              <w:t>Cr</w:t>
            </w:r>
            <w:r>
              <w:rPr>
                <w:rFonts w:hint="default" w:ascii="Times New Roman" w:hAnsi="Times New Roman" w:eastAsia="宋体" w:cs="Times New Roman"/>
                <w:sz w:val="24"/>
                <w:highlight w:val="none"/>
                <w:lang w:val="en-US" w:eastAsia="zh-CN"/>
              </w:rPr>
              <w:t>排放量为0.1630</w:t>
            </w:r>
            <w:r>
              <w:rPr>
                <w:rFonts w:hint="eastAsia" w:ascii="Times New Roman" w:hAnsi="Times New Roman" w:eastAsia="宋体" w:cs="Times New Roman"/>
                <w:sz w:val="24"/>
                <w:highlight w:val="none"/>
                <w:lang w:val="en-US" w:eastAsia="zh-CN"/>
              </w:rPr>
              <w:t>2</w:t>
            </w:r>
            <w:r>
              <w:rPr>
                <w:rFonts w:hint="default" w:ascii="Times New Roman" w:hAnsi="Times New Roman" w:eastAsia="宋体" w:cs="Times New Roman"/>
                <w:sz w:val="24"/>
                <w:highlight w:val="none"/>
                <w:lang w:val="en-US" w:eastAsia="zh-CN"/>
              </w:rPr>
              <w:t>t/a，氨氮排放量为0.0166</w:t>
            </w:r>
            <w:r>
              <w:rPr>
                <w:rFonts w:hint="eastAsia" w:ascii="Times New Roman" w:hAnsi="Times New Roman" w:eastAsia="宋体" w:cs="Times New Roman"/>
                <w:sz w:val="24"/>
                <w:highlight w:val="none"/>
                <w:lang w:val="en-US" w:eastAsia="zh-CN"/>
              </w:rPr>
              <w:t>2</w:t>
            </w:r>
            <w:r>
              <w:rPr>
                <w:rFonts w:hint="default" w:ascii="Times New Roman" w:hAnsi="Times New Roman" w:eastAsia="宋体" w:cs="Times New Roman"/>
                <w:sz w:val="24"/>
                <w:highlight w:val="none"/>
                <w:lang w:val="en-US" w:eastAsia="zh-CN"/>
              </w:rPr>
              <w:t>t/a。</w:t>
            </w:r>
          </w:p>
          <w:p w14:paraId="40155E20">
            <w:pPr>
              <w:adjustRightInd w:val="0"/>
              <w:spacing w:line="360" w:lineRule="auto"/>
              <w:ind w:firstLine="480" w:firstLineChars="200"/>
              <w:textAlignment w:val="baseline"/>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（2）类比分析法</w:t>
            </w:r>
          </w:p>
          <w:p w14:paraId="73B22C42">
            <w:pPr>
              <w:snapToGrid w:val="0"/>
              <w:spacing w:line="360" w:lineRule="auto"/>
              <w:ind w:firstLine="480" w:firstLineChars="200"/>
              <w:jc w:val="left"/>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本项目废水类比《联合智业组装环境检测设备及检测实验室项目竣工环境保护验收监测报告》中相关数据，该项目于2021年4月完成自主验收。该项目外排废水为员工生活污水、仪器器皿二三遍清洗废水以及制备纯水产生的浓缩水，产生的废水全部排入园区内公共化粪池预处理，然后排入市政污水管网，最终进入金桥污水处理厂进行处理，该项目与本项目都为研发、实验室类，产生废水类别都为生活污水、设备第二三遍清洗废水以及制备纯水产生的浓缩水，排放方式都是先进化粪池，再经市政管网进公共污水处理厂，综合项目的性质、污水类别、排放方式都具有可类比性，类比项目检测报告中废水污染物最高排放浓度为COD47mg/L，氨氮0.501mg/L，本项目取其最高排放浓度，则本项目COD、氨氮排放量如下：</w:t>
            </w:r>
          </w:p>
          <w:p w14:paraId="1558C9B4">
            <w:pPr>
              <w:snapToGrid w:val="0"/>
              <w:spacing w:line="360" w:lineRule="auto"/>
              <w:ind w:firstLine="480" w:firstLineChars="200"/>
              <w:jc w:val="left"/>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COD</w:t>
            </w:r>
            <w:r>
              <w:rPr>
                <w:rFonts w:hint="default" w:ascii="Times New Roman" w:hAnsi="Times New Roman" w:eastAsia="宋体" w:cs="Times New Roman"/>
                <w:sz w:val="24"/>
                <w:highlight w:val="none"/>
                <w:vertAlign w:val="subscript"/>
                <w:lang w:val="en-US" w:eastAsia="zh-CN"/>
              </w:rPr>
              <w:t>Cr</w:t>
            </w:r>
            <w:r>
              <w:rPr>
                <w:rFonts w:hint="default" w:ascii="Times New Roman" w:hAnsi="Times New Roman" w:eastAsia="宋体" w:cs="Times New Roman"/>
                <w:sz w:val="24"/>
                <w:highlight w:val="none"/>
                <w:lang w:val="en-US" w:eastAsia="zh-CN"/>
              </w:rPr>
              <w:t>=434.4 m</w:t>
            </w:r>
            <w:r>
              <w:rPr>
                <w:rFonts w:hint="default" w:ascii="Times New Roman" w:hAnsi="Times New Roman" w:eastAsia="宋体" w:cs="Times New Roman"/>
                <w:sz w:val="24"/>
                <w:highlight w:val="none"/>
                <w:vertAlign w:val="superscript"/>
                <w:lang w:val="en-US" w:eastAsia="zh-CN"/>
              </w:rPr>
              <w:t>3</w:t>
            </w:r>
            <w:r>
              <w:rPr>
                <w:rFonts w:hint="default" w:ascii="Times New Roman" w:hAnsi="Times New Roman" w:eastAsia="宋体" w:cs="Times New Roman"/>
                <w:sz w:val="24"/>
                <w:highlight w:val="none"/>
                <w:lang w:val="en-US" w:eastAsia="zh-CN"/>
              </w:rPr>
              <w:t>/a×47mg/L×10</w:t>
            </w:r>
            <w:r>
              <w:rPr>
                <w:rFonts w:hint="default" w:ascii="Times New Roman" w:hAnsi="Times New Roman" w:eastAsia="宋体" w:cs="Times New Roman"/>
                <w:sz w:val="24"/>
                <w:highlight w:val="none"/>
                <w:vertAlign w:val="superscript"/>
                <w:lang w:val="en-US" w:eastAsia="zh-CN"/>
              </w:rPr>
              <w:t>-6</w:t>
            </w:r>
            <w:r>
              <w:rPr>
                <w:rFonts w:hint="default" w:ascii="Times New Roman" w:hAnsi="Times New Roman" w:eastAsia="宋体" w:cs="Times New Roman"/>
                <w:sz w:val="24"/>
                <w:highlight w:val="none"/>
                <w:lang w:val="en-US" w:eastAsia="zh-CN"/>
              </w:rPr>
              <w:t>=0.0204 t/a</w:t>
            </w:r>
          </w:p>
          <w:p w14:paraId="0A3EBD42">
            <w:pPr>
              <w:snapToGrid w:val="0"/>
              <w:spacing w:line="360" w:lineRule="auto"/>
              <w:ind w:firstLine="480" w:firstLineChars="200"/>
              <w:jc w:val="left"/>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氨氮=434.4 m</w:t>
            </w:r>
            <w:r>
              <w:rPr>
                <w:rFonts w:hint="default" w:ascii="Times New Roman" w:hAnsi="Times New Roman" w:eastAsia="宋体" w:cs="Times New Roman"/>
                <w:sz w:val="24"/>
                <w:highlight w:val="none"/>
                <w:vertAlign w:val="superscript"/>
                <w:lang w:val="en-US" w:eastAsia="zh-CN"/>
              </w:rPr>
              <w:t>3</w:t>
            </w:r>
            <w:r>
              <w:rPr>
                <w:rFonts w:hint="default" w:ascii="Times New Roman" w:hAnsi="Times New Roman" w:eastAsia="宋体" w:cs="Times New Roman"/>
                <w:sz w:val="24"/>
                <w:highlight w:val="none"/>
                <w:lang w:val="en-US" w:eastAsia="zh-CN"/>
              </w:rPr>
              <w:t>/a×0.501mg/L×10</w:t>
            </w:r>
            <w:r>
              <w:rPr>
                <w:rFonts w:hint="default" w:ascii="Times New Roman" w:hAnsi="Times New Roman" w:eastAsia="宋体" w:cs="Times New Roman"/>
                <w:sz w:val="24"/>
                <w:highlight w:val="none"/>
                <w:vertAlign w:val="superscript"/>
                <w:lang w:val="en-US" w:eastAsia="zh-CN"/>
              </w:rPr>
              <w:t>-6</w:t>
            </w:r>
            <w:r>
              <w:rPr>
                <w:rFonts w:hint="default" w:ascii="Times New Roman" w:hAnsi="Times New Roman" w:eastAsia="宋体" w:cs="Times New Roman"/>
                <w:sz w:val="24"/>
                <w:highlight w:val="none"/>
                <w:lang w:val="en-US" w:eastAsia="zh-CN"/>
              </w:rPr>
              <w:t>=0.0002 t/a</w:t>
            </w:r>
          </w:p>
          <w:p w14:paraId="6054BD76">
            <w:pPr>
              <w:snapToGrid w:val="0"/>
              <w:spacing w:line="360" w:lineRule="auto"/>
              <w:ind w:firstLine="480" w:firstLineChars="200"/>
              <w:jc w:val="left"/>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综上，据上述两种源强核算方法分析，考虑到不同企业实际运行过程中存在差异，类比数据存在一定的误差。因此，本项目选用排污系数法进行总量核算，即COD 0.1630</w:t>
            </w:r>
            <w:r>
              <w:rPr>
                <w:rFonts w:hint="eastAsia" w:ascii="Times New Roman" w:hAnsi="Times New Roman" w:eastAsia="宋体" w:cs="Times New Roman"/>
                <w:sz w:val="24"/>
                <w:highlight w:val="none"/>
                <w:lang w:val="en-US" w:eastAsia="zh-CN"/>
              </w:rPr>
              <w:t>3</w:t>
            </w:r>
            <w:r>
              <w:rPr>
                <w:rFonts w:hint="default" w:ascii="Times New Roman" w:hAnsi="Times New Roman" w:eastAsia="宋体" w:cs="Times New Roman"/>
                <w:sz w:val="24"/>
                <w:highlight w:val="none"/>
                <w:lang w:val="en-US" w:eastAsia="zh-CN"/>
              </w:rPr>
              <w:t>t/a、氨氮0.016</w:t>
            </w:r>
            <w:r>
              <w:rPr>
                <w:rFonts w:hint="eastAsia" w:ascii="Times New Roman" w:hAnsi="Times New Roman" w:eastAsia="宋体" w:cs="Times New Roman"/>
                <w:sz w:val="24"/>
                <w:highlight w:val="none"/>
                <w:lang w:val="en-US" w:eastAsia="zh-CN"/>
              </w:rPr>
              <w:t>62</w:t>
            </w:r>
            <w:r>
              <w:rPr>
                <w:rFonts w:hint="default" w:ascii="Times New Roman" w:hAnsi="Times New Roman" w:eastAsia="宋体" w:cs="Times New Roman"/>
                <w:sz w:val="24"/>
                <w:highlight w:val="none"/>
                <w:lang w:val="en-US" w:eastAsia="zh-CN"/>
              </w:rPr>
              <w:t>t/a</w:t>
            </w:r>
          </w:p>
          <w:p w14:paraId="2ECFF990">
            <w:pPr>
              <w:pStyle w:val="5"/>
              <w:adjustRightInd w:val="0"/>
              <w:spacing w:line="360" w:lineRule="auto"/>
              <w:ind w:firstLine="0"/>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t xml:space="preserve">三、减排潜力分析 </w:t>
            </w:r>
          </w:p>
          <w:p w14:paraId="0121BE47">
            <w:pPr>
              <w:adjustRightInd w:val="0"/>
              <w:spacing w:line="360" w:lineRule="auto"/>
              <w:ind w:firstLine="480" w:firstLineChars="200"/>
              <w:textAlignment w:val="baseline"/>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本项目</w:t>
            </w:r>
            <w:r>
              <w:rPr>
                <w:rFonts w:hint="default" w:ascii="Times New Roman" w:hAnsi="Times New Roman" w:eastAsia="宋体" w:cs="Times New Roman"/>
                <w:bCs/>
                <w:sz w:val="24"/>
                <w:highlight w:val="none"/>
                <w:lang w:val="en-US" w:eastAsia="zh-CN"/>
              </w:rPr>
              <w:t>为新建项目，项目</w:t>
            </w:r>
            <w:r>
              <w:rPr>
                <w:rFonts w:hint="default" w:ascii="Times New Roman" w:hAnsi="Times New Roman" w:eastAsia="宋体" w:cs="Times New Roman"/>
                <w:bCs/>
                <w:sz w:val="24"/>
                <w:highlight w:val="none"/>
              </w:rPr>
              <w:t>废气均采用可行的废气治理措施，已达到最低排放能力，无进一步消减能力；本项目废水主要为生活污水</w:t>
            </w: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rPr>
              <w:t>纯水机制备产生的</w:t>
            </w:r>
            <w:r>
              <w:rPr>
                <w:rFonts w:hint="default" w:ascii="Times New Roman" w:hAnsi="Times New Roman" w:eastAsia="宋体" w:cs="Times New Roman"/>
                <w:bCs/>
                <w:sz w:val="24"/>
                <w:highlight w:val="none"/>
                <w:lang w:val="en-US" w:eastAsia="zh-CN"/>
              </w:rPr>
              <w:t>废水及少量设备清洗废水</w:t>
            </w:r>
            <w:r>
              <w:rPr>
                <w:rFonts w:hint="default" w:ascii="Times New Roman" w:hAnsi="Times New Roman" w:eastAsia="宋体" w:cs="Times New Roman"/>
                <w:bCs/>
                <w:sz w:val="24"/>
                <w:highlight w:val="none"/>
              </w:rPr>
              <w:t>，没有进一步减排空间。因此本项目不具备废气、废水污染物总量指标</w:t>
            </w:r>
            <w:r>
              <w:rPr>
                <w:rFonts w:hint="eastAsia" w:ascii="Times New Roman" w:hAnsi="Times New Roman" w:eastAsia="宋体" w:cs="Times New Roman"/>
                <w:bCs/>
                <w:sz w:val="24"/>
                <w:highlight w:val="none"/>
                <w:lang w:val="en-US" w:eastAsia="zh-CN"/>
              </w:rPr>
              <w:t>削</w:t>
            </w:r>
            <w:r>
              <w:rPr>
                <w:rFonts w:hint="default" w:ascii="Times New Roman" w:hAnsi="Times New Roman" w:eastAsia="宋体" w:cs="Times New Roman"/>
                <w:bCs/>
                <w:sz w:val="24"/>
                <w:highlight w:val="none"/>
              </w:rPr>
              <w:t>减能力，需重新申请。</w:t>
            </w:r>
          </w:p>
          <w:p w14:paraId="068D5CD3">
            <w:pPr>
              <w:pStyle w:val="5"/>
              <w:adjustRightInd w:val="0"/>
              <w:spacing w:line="360" w:lineRule="auto"/>
              <w:ind w:firstLine="0"/>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t>四、总量来源</w:t>
            </w:r>
          </w:p>
          <w:p w14:paraId="782EB283">
            <w:pPr>
              <w:adjustRightInd w:val="0"/>
              <w:spacing w:line="360" w:lineRule="auto"/>
              <w:ind w:firstLine="480" w:firstLineChars="200"/>
              <w:jc w:val="left"/>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根据北京市环境保护局关于《转发环境保护部&lt;建设项目主要污染物排放总量指标审核及管理暂行办法&gt;的通知（京环发[2015]19号，2015年7月15日起执行）中的相关规定：</w:t>
            </w:r>
            <w:r>
              <w:rPr>
                <w:rFonts w:hint="eastAsia"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rPr>
              <w:t>该办法适用于各级环境保护主管部门对建设项目（不含城镇生活污水处理厂、垃圾处理场、危险废物和医疗废物处置场）主要污染排放总量指标的审核与管理。上一年度环境空气质量平均浓度不达标的城市、水环境质量未到要求的市县，相关污染物应按照建设项目所需替代的主要排放总量指标2倍进行削减替代。</w:t>
            </w:r>
            <w:r>
              <w:rPr>
                <w:rFonts w:hint="eastAsia" w:ascii="Times New Roman" w:hAnsi="Times New Roman" w:eastAsia="宋体" w:cs="Times New Roman"/>
                <w:bCs/>
                <w:sz w:val="24"/>
                <w:highlight w:val="none"/>
                <w:lang w:eastAsia="zh-CN"/>
              </w:rPr>
              <w:t>”</w:t>
            </w:r>
          </w:p>
          <w:p w14:paraId="0DF70840">
            <w:pPr>
              <w:tabs>
                <w:tab w:val="left" w:pos="1484"/>
              </w:tabs>
              <w:adjustRightInd w:val="0"/>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rPr>
              <w:t>《北京市人民政府办公厅关于印发《推进美丽北京建设持续深入打好污染防治攻坚战 2025 年行动计划》的通知》（京政办发〔2025〕3 号），本项目挥发性有机物进行2倍削减替代，本项目运营期排放总量控制指标因子排放量见下表。</w:t>
            </w:r>
          </w:p>
          <w:p w14:paraId="5904258A">
            <w:pPr>
              <w:numPr>
                <w:ilvl w:val="0"/>
                <w:numId w:val="38"/>
              </w:numPr>
              <w:spacing w:line="360" w:lineRule="auto"/>
              <w:jc w:val="center"/>
              <w:rPr>
                <w:rFonts w:hint="default" w:ascii="Times New Roman" w:hAnsi="Times New Roman" w:eastAsia="宋体" w:cs="Times New Roman"/>
                <w:b/>
                <w:sz w:val="24"/>
                <w:highlight w:val="none"/>
                <w:lang w:val="zh-CN"/>
              </w:rPr>
            </w:pPr>
            <w:r>
              <w:rPr>
                <w:rFonts w:hint="default" w:ascii="Times New Roman" w:hAnsi="Times New Roman" w:eastAsia="宋体" w:cs="Times New Roman"/>
                <w:b/>
                <w:sz w:val="24"/>
                <w:highlight w:val="none"/>
              </w:rPr>
              <w:t>总量控制指标</w:t>
            </w:r>
          </w:p>
          <w:tbl>
            <w:tblPr>
              <w:tblStyle w:val="18"/>
              <w:tblW w:w="7931"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86"/>
              <w:gridCol w:w="1586"/>
              <w:gridCol w:w="1586"/>
              <w:gridCol w:w="1586"/>
              <w:gridCol w:w="1587"/>
            </w:tblGrid>
            <w:tr w14:paraId="21AE354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6" w:type="dxa"/>
                  <w:tcBorders>
                    <w:tl2br w:val="nil"/>
                    <w:tr2bl w:val="nil"/>
                  </w:tcBorders>
                  <w:vAlign w:val="center"/>
                </w:tcPr>
                <w:p w14:paraId="6BE5E927">
                  <w:pPr>
                    <w:adjustRightInd w:val="0"/>
                    <w:snapToGrid w:val="0"/>
                    <w:jc w:val="center"/>
                    <w:rPr>
                      <w:rFonts w:hint="default" w:ascii="Times New Roman" w:hAnsi="Times New Roman" w:eastAsia="宋体" w:cs="Times New Roman"/>
                      <w:b/>
                      <w:bCs/>
                      <w:szCs w:val="21"/>
                      <w:highlight w:val="none"/>
                      <w:lang w:val="zh-CN"/>
                    </w:rPr>
                  </w:pPr>
                  <w:r>
                    <w:rPr>
                      <w:rFonts w:hint="default" w:ascii="Times New Roman" w:hAnsi="Times New Roman" w:eastAsia="宋体" w:cs="Times New Roman"/>
                      <w:b/>
                      <w:bCs/>
                      <w:szCs w:val="21"/>
                      <w:highlight w:val="none"/>
                      <w:lang w:val="zh-CN"/>
                    </w:rPr>
                    <w:t>类别</w:t>
                  </w:r>
                </w:p>
              </w:tc>
              <w:tc>
                <w:tcPr>
                  <w:tcW w:w="1586" w:type="dxa"/>
                  <w:tcBorders>
                    <w:tl2br w:val="nil"/>
                    <w:tr2bl w:val="nil"/>
                  </w:tcBorders>
                  <w:vAlign w:val="center"/>
                </w:tcPr>
                <w:p w14:paraId="57123DAE">
                  <w:pPr>
                    <w:adjustRightInd w:val="0"/>
                    <w:snapToGrid w:val="0"/>
                    <w:jc w:val="center"/>
                    <w:rPr>
                      <w:rFonts w:hint="default" w:ascii="Times New Roman" w:hAnsi="Times New Roman" w:eastAsia="宋体" w:cs="Times New Roman"/>
                      <w:b/>
                      <w:bCs/>
                      <w:szCs w:val="21"/>
                      <w:highlight w:val="none"/>
                      <w:lang w:val="zh-CN"/>
                    </w:rPr>
                  </w:pPr>
                  <w:r>
                    <w:rPr>
                      <w:rFonts w:hint="default" w:ascii="Times New Roman" w:hAnsi="Times New Roman" w:eastAsia="宋体" w:cs="Times New Roman"/>
                      <w:b/>
                      <w:bCs/>
                      <w:szCs w:val="21"/>
                      <w:highlight w:val="none"/>
                      <w:lang w:val="zh-CN"/>
                    </w:rPr>
                    <w:t>污染物污染物</w:t>
                  </w:r>
                </w:p>
              </w:tc>
              <w:tc>
                <w:tcPr>
                  <w:tcW w:w="1586" w:type="dxa"/>
                  <w:tcBorders>
                    <w:tl2br w:val="nil"/>
                    <w:tr2bl w:val="nil"/>
                  </w:tcBorders>
                  <w:vAlign w:val="center"/>
                </w:tcPr>
                <w:p w14:paraId="42DA5BAD">
                  <w:pPr>
                    <w:adjustRightInd w:val="0"/>
                    <w:snapToGrid w:val="0"/>
                    <w:jc w:val="center"/>
                    <w:rPr>
                      <w:rFonts w:hint="default" w:ascii="Times New Roman" w:hAnsi="Times New Roman" w:eastAsia="宋体" w:cs="Times New Roman"/>
                      <w:b/>
                      <w:bCs/>
                      <w:szCs w:val="21"/>
                      <w:highlight w:val="none"/>
                      <w:lang w:val="zh-CN"/>
                    </w:rPr>
                  </w:pPr>
                  <w:r>
                    <w:rPr>
                      <w:rFonts w:hint="default" w:ascii="Times New Roman" w:hAnsi="Times New Roman" w:eastAsia="宋体" w:cs="Times New Roman"/>
                      <w:b/>
                      <w:bCs/>
                      <w:szCs w:val="21"/>
                      <w:highlight w:val="none"/>
                      <w:lang w:val="zh-CN"/>
                    </w:rPr>
                    <w:t>排放量（t/a）</w:t>
                  </w:r>
                </w:p>
              </w:tc>
              <w:tc>
                <w:tcPr>
                  <w:tcW w:w="1586" w:type="dxa"/>
                  <w:tcBorders>
                    <w:tl2br w:val="nil"/>
                    <w:tr2bl w:val="nil"/>
                  </w:tcBorders>
                  <w:vAlign w:val="center"/>
                </w:tcPr>
                <w:p w14:paraId="59E9CF18">
                  <w:pPr>
                    <w:adjustRightInd w:val="0"/>
                    <w:snapToGrid w:val="0"/>
                    <w:jc w:val="center"/>
                    <w:rPr>
                      <w:rFonts w:hint="default" w:ascii="Times New Roman" w:hAnsi="Times New Roman" w:eastAsia="宋体" w:cs="Times New Roman"/>
                      <w:b/>
                      <w:bCs/>
                      <w:szCs w:val="21"/>
                      <w:highlight w:val="none"/>
                      <w:lang w:val="zh-CN"/>
                    </w:rPr>
                  </w:pPr>
                  <w:r>
                    <w:rPr>
                      <w:rFonts w:hint="default" w:ascii="Times New Roman" w:hAnsi="Times New Roman" w:eastAsia="宋体" w:cs="Times New Roman"/>
                      <w:b/>
                      <w:bCs/>
                      <w:szCs w:val="21"/>
                      <w:highlight w:val="none"/>
                      <w:lang w:val="zh-CN"/>
                    </w:rPr>
                    <w:t>1 倍削减量（t/a）</w:t>
                  </w:r>
                </w:p>
              </w:tc>
              <w:tc>
                <w:tcPr>
                  <w:tcW w:w="1587" w:type="dxa"/>
                  <w:tcBorders>
                    <w:tl2br w:val="nil"/>
                    <w:tr2bl w:val="nil"/>
                  </w:tcBorders>
                  <w:vAlign w:val="center"/>
                </w:tcPr>
                <w:p w14:paraId="3165DEC4">
                  <w:pPr>
                    <w:adjustRightInd w:val="0"/>
                    <w:snapToGrid w:val="0"/>
                    <w:jc w:val="center"/>
                    <w:rPr>
                      <w:rFonts w:hint="default" w:ascii="Times New Roman" w:hAnsi="Times New Roman" w:eastAsia="宋体" w:cs="Times New Roman"/>
                      <w:b/>
                      <w:bCs/>
                      <w:szCs w:val="21"/>
                      <w:highlight w:val="none"/>
                      <w:lang w:val="zh-CN"/>
                    </w:rPr>
                  </w:pPr>
                  <w:r>
                    <w:rPr>
                      <w:rFonts w:hint="default" w:ascii="Times New Roman" w:hAnsi="Times New Roman" w:eastAsia="宋体" w:cs="Times New Roman"/>
                      <w:b/>
                      <w:bCs/>
                      <w:szCs w:val="21"/>
                      <w:highlight w:val="none"/>
                      <w:lang w:val="zh-CN"/>
                    </w:rPr>
                    <w:t>2 倍削减量（t/a）</w:t>
                  </w:r>
                </w:p>
              </w:tc>
            </w:tr>
            <w:tr w14:paraId="2C0965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6" w:type="dxa"/>
                  <w:vMerge w:val="restart"/>
                  <w:tcBorders>
                    <w:tl2br w:val="nil"/>
                    <w:tr2bl w:val="nil"/>
                  </w:tcBorders>
                  <w:vAlign w:val="center"/>
                </w:tcPr>
                <w:p w14:paraId="2238D93B">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废气</w:t>
                  </w:r>
                </w:p>
              </w:tc>
              <w:tc>
                <w:tcPr>
                  <w:tcW w:w="1586" w:type="dxa"/>
                  <w:tcBorders>
                    <w:tl2br w:val="nil"/>
                    <w:tr2bl w:val="nil"/>
                  </w:tcBorders>
                  <w:vAlign w:val="center"/>
                </w:tcPr>
                <w:p w14:paraId="52A2C951">
                  <w:pPr>
                    <w:adjustRightInd w:val="0"/>
                    <w:snapToGrid w:val="0"/>
                    <w:jc w:val="center"/>
                    <w:rPr>
                      <w:rFonts w:hint="default" w:ascii="Times New Roman" w:hAnsi="Times New Roman" w:eastAsia="宋体" w:cs="Times New Roman"/>
                      <w:bCs/>
                      <w:szCs w:val="21"/>
                      <w:highlight w:val="none"/>
                      <w:lang w:val="zh-CN" w:eastAsia="zh-CN"/>
                    </w:rPr>
                  </w:pPr>
                  <w:r>
                    <w:rPr>
                      <w:rFonts w:hint="default" w:ascii="Times New Roman" w:hAnsi="Times New Roman" w:eastAsia="宋体" w:cs="Times New Roman"/>
                      <w:bCs/>
                      <w:szCs w:val="21"/>
                      <w:highlight w:val="none"/>
                      <w:lang w:val="en-US" w:eastAsia="zh-CN"/>
                    </w:rPr>
                    <w:t>挥发性有机物</w:t>
                  </w:r>
                </w:p>
              </w:tc>
              <w:tc>
                <w:tcPr>
                  <w:tcW w:w="1586" w:type="dxa"/>
                  <w:tcBorders>
                    <w:tl2br w:val="nil"/>
                    <w:tr2bl w:val="nil"/>
                  </w:tcBorders>
                  <w:shd w:val="clear" w:color="auto" w:fill="auto"/>
                  <w:vAlign w:val="center"/>
                </w:tcPr>
                <w:p w14:paraId="17361CD8">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 xml:space="preserve">0.003754 </w:t>
                  </w:r>
                </w:p>
              </w:tc>
              <w:tc>
                <w:tcPr>
                  <w:tcW w:w="1586" w:type="dxa"/>
                  <w:tcBorders>
                    <w:tl2br w:val="nil"/>
                    <w:tr2bl w:val="nil"/>
                  </w:tcBorders>
                  <w:vAlign w:val="center"/>
                </w:tcPr>
                <w:p w14:paraId="288D6163">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w:t>
                  </w:r>
                </w:p>
              </w:tc>
              <w:tc>
                <w:tcPr>
                  <w:tcW w:w="1587" w:type="dxa"/>
                  <w:tcBorders>
                    <w:tl2br w:val="nil"/>
                    <w:tr2bl w:val="nil"/>
                  </w:tcBorders>
                  <w:vAlign w:val="center"/>
                </w:tcPr>
                <w:p w14:paraId="05D89B74">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0.007508</w:t>
                  </w:r>
                </w:p>
              </w:tc>
            </w:tr>
            <w:tr w14:paraId="2622EE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6" w:type="dxa"/>
                  <w:vMerge w:val="continue"/>
                  <w:tcBorders>
                    <w:tl2br w:val="nil"/>
                    <w:tr2bl w:val="nil"/>
                  </w:tcBorders>
                  <w:vAlign w:val="center"/>
                </w:tcPr>
                <w:p w14:paraId="73A1AD31">
                  <w:pPr>
                    <w:adjustRightInd w:val="0"/>
                    <w:snapToGrid w:val="0"/>
                    <w:jc w:val="center"/>
                    <w:rPr>
                      <w:rFonts w:hint="default" w:ascii="Times New Roman" w:hAnsi="Times New Roman" w:eastAsia="宋体" w:cs="Times New Roman"/>
                      <w:bCs/>
                      <w:szCs w:val="21"/>
                      <w:highlight w:val="none"/>
                      <w:lang w:val="en-US" w:eastAsia="zh-CN"/>
                    </w:rPr>
                  </w:pPr>
                </w:p>
              </w:tc>
              <w:tc>
                <w:tcPr>
                  <w:tcW w:w="1586" w:type="dxa"/>
                  <w:tcBorders>
                    <w:tl2br w:val="nil"/>
                    <w:tr2bl w:val="nil"/>
                  </w:tcBorders>
                  <w:vAlign w:val="center"/>
                </w:tcPr>
                <w:p w14:paraId="04EAA716">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颗粒物</w:t>
                  </w:r>
                </w:p>
              </w:tc>
              <w:tc>
                <w:tcPr>
                  <w:tcW w:w="1586" w:type="dxa"/>
                  <w:tcBorders>
                    <w:tl2br w:val="nil"/>
                    <w:tr2bl w:val="nil"/>
                  </w:tcBorders>
                  <w:shd w:val="clear" w:color="auto" w:fill="auto"/>
                  <w:vAlign w:val="center"/>
                </w:tcPr>
                <w:p w14:paraId="04C71F9F">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0.0007821</w:t>
                  </w:r>
                </w:p>
              </w:tc>
              <w:tc>
                <w:tcPr>
                  <w:tcW w:w="1586" w:type="dxa"/>
                  <w:tcBorders>
                    <w:tl2br w:val="nil"/>
                    <w:tr2bl w:val="nil"/>
                  </w:tcBorders>
                  <w:vAlign w:val="center"/>
                </w:tcPr>
                <w:p w14:paraId="5C5E4C9F">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w:t>
                  </w:r>
                </w:p>
              </w:tc>
              <w:tc>
                <w:tcPr>
                  <w:tcW w:w="1587" w:type="dxa"/>
                  <w:tcBorders>
                    <w:tl2br w:val="nil"/>
                    <w:tr2bl w:val="nil"/>
                  </w:tcBorders>
                  <w:vAlign w:val="center"/>
                </w:tcPr>
                <w:p w14:paraId="2B74DE84">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0.001564</w:t>
                  </w:r>
                </w:p>
              </w:tc>
            </w:tr>
            <w:tr w14:paraId="34B80E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6" w:type="dxa"/>
                  <w:vMerge w:val="restart"/>
                  <w:tcBorders>
                    <w:tl2br w:val="nil"/>
                    <w:tr2bl w:val="nil"/>
                  </w:tcBorders>
                  <w:vAlign w:val="center"/>
                </w:tcPr>
                <w:p w14:paraId="41744B85">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废水</w:t>
                  </w:r>
                </w:p>
              </w:tc>
              <w:tc>
                <w:tcPr>
                  <w:tcW w:w="1586" w:type="dxa"/>
                  <w:tcBorders>
                    <w:tl2br w:val="nil"/>
                    <w:tr2bl w:val="nil"/>
                  </w:tcBorders>
                  <w:shd w:val="clear" w:color="auto" w:fill="auto"/>
                  <w:vAlign w:val="center"/>
                </w:tcPr>
                <w:p w14:paraId="1B041E6F">
                  <w:pPr>
                    <w:adjustRightInd w:val="0"/>
                    <w:snapToGrid w:val="0"/>
                    <w:jc w:val="center"/>
                    <w:rPr>
                      <w:rFonts w:hint="default" w:ascii="Times New Roman" w:hAnsi="Times New Roman" w:eastAsia="宋体" w:cs="Times New Roman"/>
                      <w:bCs/>
                      <w:szCs w:val="21"/>
                      <w:highlight w:val="none"/>
                      <w:lang w:val="zh-CN" w:eastAsia="zh-CN"/>
                    </w:rPr>
                  </w:pPr>
                  <w:r>
                    <w:rPr>
                      <w:rFonts w:hint="default" w:ascii="Times New Roman" w:hAnsi="Times New Roman" w:eastAsia="宋体" w:cs="Times New Roman"/>
                      <w:bCs/>
                      <w:szCs w:val="21"/>
                      <w:highlight w:val="none"/>
                    </w:rPr>
                    <w:t>COD</w:t>
                  </w:r>
                  <w:r>
                    <w:rPr>
                      <w:rFonts w:hint="default" w:ascii="Times New Roman" w:hAnsi="Times New Roman" w:eastAsia="宋体" w:cs="Times New Roman"/>
                      <w:bCs/>
                      <w:szCs w:val="21"/>
                      <w:highlight w:val="none"/>
                      <w:vertAlign w:val="subscript"/>
                    </w:rPr>
                    <w:t>Cr</w:t>
                  </w:r>
                </w:p>
              </w:tc>
              <w:tc>
                <w:tcPr>
                  <w:tcW w:w="1586" w:type="dxa"/>
                  <w:tcBorders>
                    <w:tl2br w:val="nil"/>
                    <w:tr2bl w:val="nil"/>
                  </w:tcBorders>
                  <w:shd w:val="clear" w:color="auto" w:fill="auto"/>
                  <w:vAlign w:val="center"/>
                </w:tcPr>
                <w:p w14:paraId="122301CB">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0.1630</w:t>
                  </w:r>
                  <w:r>
                    <w:rPr>
                      <w:rFonts w:hint="eastAsia" w:ascii="Times New Roman" w:hAnsi="Times New Roman" w:eastAsia="宋体" w:cs="Times New Roman"/>
                      <w:bCs/>
                      <w:szCs w:val="21"/>
                      <w:highlight w:val="none"/>
                      <w:lang w:val="en-US" w:eastAsia="zh-CN"/>
                    </w:rPr>
                    <w:t>3</w:t>
                  </w:r>
                </w:p>
              </w:tc>
              <w:tc>
                <w:tcPr>
                  <w:tcW w:w="1586" w:type="dxa"/>
                  <w:tcBorders>
                    <w:tl2br w:val="nil"/>
                    <w:tr2bl w:val="nil"/>
                  </w:tcBorders>
                  <w:shd w:val="clear" w:color="auto" w:fill="auto"/>
                  <w:vAlign w:val="center"/>
                </w:tcPr>
                <w:p w14:paraId="1085131D">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0.1630</w:t>
                  </w:r>
                  <w:r>
                    <w:rPr>
                      <w:rFonts w:hint="eastAsia" w:ascii="Times New Roman" w:hAnsi="Times New Roman" w:eastAsia="宋体" w:cs="Times New Roman"/>
                      <w:bCs/>
                      <w:szCs w:val="21"/>
                      <w:highlight w:val="none"/>
                      <w:lang w:val="en-US" w:eastAsia="zh-CN"/>
                    </w:rPr>
                    <w:t>3</w:t>
                  </w:r>
                </w:p>
              </w:tc>
              <w:tc>
                <w:tcPr>
                  <w:tcW w:w="1587" w:type="dxa"/>
                  <w:tcBorders>
                    <w:tl2br w:val="nil"/>
                    <w:tr2bl w:val="nil"/>
                  </w:tcBorders>
                  <w:vAlign w:val="center"/>
                </w:tcPr>
                <w:p w14:paraId="457FEF27">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w:t>
                  </w:r>
                </w:p>
              </w:tc>
            </w:tr>
            <w:tr w14:paraId="29F4973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6" w:type="dxa"/>
                  <w:vMerge w:val="continue"/>
                  <w:tcBorders>
                    <w:tl2br w:val="nil"/>
                    <w:tr2bl w:val="nil"/>
                  </w:tcBorders>
                  <w:vAlign w:val="center"/>
                </w:tcPr>
                <w:p w14:paraId="1BA5FCC6">
                  <w:pPr>
                    <w:adjustRightInd w:val="0"/>
                    <w:snapToGrid w:val="0"/>
                    <w:jc w:val="center"/>
                    <w:rPr>
                      <w:rFonts w:hint="default" w:ascii="Times New Roman" w:hAnsi="Times New Roman" w:eastAsia="宋体" w:cs="Times New Roman"/>
                      <w:bCs/>
                      <w:szCs w:val="21"/>
                      <w:highlight w:val="none"/>
                      <w:lang w:val="zh-CN"/>
                    </w:rPr>
                  </w:pPr>
                </w:p>
              </w:tc>
              <w:tc>
                <w:tcPr>
                  <w:tcW w:w="1586" w:type="dxa"/>
                  <w:tcBorders>
                    <w:tl2br w:val="nil"/>
                    <w:tr2bl w:val="nil"/>
                  </w:tcBorders>
                  <w:shd w:val="clear" w:color="auto" w:fill="auto"/>
                  <w:vAlign w:val="center"/>
                </w:tcPr>
                <w:p w14:paraId="4323B31E">
                  <w:pPr>
                    <w:adjustRightInd w:val="0"/>
                    <w:snapToGrid w:val="0"/>
                    <w:jc w:val="center"/>
                    <w:rPr>
                      <w:rFonts w:hint="default" w:ascii="Times New Roman" w:hAnsi="Times New Roman" w:eastAsia="宋体" w:cs="Times New Roman"/>
                      <w:bCs/>
                      <w:szCs w:val="21"/>
                      <w:highlight w:val="none"/>
                      <w:lang w:val="zh-CN" w:eastAsia="zh-CN"/>
                    </w:rPr>
                  </w:pPr>
                  <w:r>
                    <w:rPr>
                      <w:rFonts w:hint="default" w:ascii="Times New Roman" w:hAnsi="Times New Roman" w:eastAsia="宋体" w:cs="Times New Roman"/>
                      <w:bCs/>
                      <w:szCs w:val="21"/>
                      <w:highlight w:val="none"/>
                    </w:rPr>
                    <w:t>NH</w:t>
                  </w:r>
                  <w:r>
                    <w:rPr>
                      <w:rFonts w:hint="default" w:ascii="Times New Roman" w:hAnsi="Times New Roman" w:eastAsia="宋体" w:cs="Times New Roman"/>
                      <w:bCs/>
                      <w:szCs w:val="21"/>
                      <w:highlight w:val="none"/>
                      <w:vertAlign w:val="subscript"/>
                    </w:rPr>
                    <w:t>3</w:t>
                  </w:r>
                  <w:r>
                    <w:rPr>
                      <w:rFonts w:hint="default" w:ascii="Times New Roman" w:hAnsi="Times New Roman" w:eastAsia="宋体" w:cs="Times New Roman"/>
                      <w:bCs/>
                      <w:szCs w:val="21"/>
                      <w:highlight w:val="none"/>
                    </w:rPr>
                    <w:t>-N</w:t>
                  </w:r>
                </w:p>
              </w:tc>
              <w:tc>
                <w:tcPr>
                  <w:tcW w:w="1586" w:type="dxa"/>
                  <w:tcBorders>
                    <w:tl2br w:val="nil"/>
                    <w:tr2bl w:val="nil"/>
                  </w:tcBorders>
                  <w:shd w:val="clear" w:color="auto" w:fill="auto"/>
                  <w:vAlign w:val="center"/>
                </w:tcPr>
                <w:p w14:paraId="4BD34682">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0.0166</w:t>
                  </w:r>
                  <w:r>
                    <w:rPr>
                      <w:rFonts w:hint="eastAsia" w:ascii="Times New Roman" w:hAnsi="Times New Roman" w:eastAsia="宋体" w:cs="Times New Roman"/>
                      <w:bCs/>
                      <w:szCs w:val="21"/>
                      <w:highlight w:val="none"/>
                      <w:lang w:val="en-US" w:eastAsia="zh-CN"/>
                    </w:rPr>
                    <w:t>2</w:t>
                  </w:r>
                </w:p>
              </w:tc>
              <w:tc>
                <w:tcPr>
                  <w:tcW w:w="1586" w:type="dxa"/>
                  <w:tcBorders>
                    <w:tl2br w:val="nil"/>
                    <w:tr2bl w:val="nil"/>
                  </w:tcBorders>
                  <w:shd w:val="clear" w:color="auto" w:fill="auto"/>
                  <w:vAlign w:val="center"/>
                </w:tcPr>
                <w:p w14:paraId="39FEBC64">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0.0166</w:t>
                  </w:r>
                  <w:r>
                    <w:rPr>
                      <w:rFonts w:hint="eastAsia" w:ascii="Times New Roman" w:hAnsi="Times New Roman" w:eastAsia="宋体" w:cs="Times New Roman"/>
                      <w:bCs/>
                      <w:szCs w:val="21"/>
                      <w:highlight w:val="none"/>
                      <w:lang w:val="en-US" w:eastAsia="zh-CN"/>
                    </w:rPr>
                    <w:t>3</w:t>
                  </w:r>
                </w:p>
              </w:tc>
              <w:tc>
                <w:tcPr>
                  <w:tcW w:w="1587" w:type="dxa"/>
                  <w:tcBorders>
                    <w:tl2br w:val="nil"/>
                    <w:tr2bl w:val="nil"/>
                  </w:tcBorders>
                  <w:vAlign w:val="center"/>
                </w:tcPr>
                <w:p w14:paraId="28510682">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w:t>
                  </w:r>
                </w:p>
              </w:tc>
            </w:tr>
          </w:tbl>
          <w:p w14:paraId="3D432E8B">
            <w:pPr>
              <w:adjustRightInd w:val="0"/>
              <w:snapToGrid w:val="0"/>
              <w:rPr>
                <w:rFonts w:hint="default" w:ascii="Times New Roman" w:hAnsi="Times New Roman" w:eastAsia="宋体" w:cs="Times New Roman"/>
                <w:kern w:val="0"/>
                <w:sz w:val="24"/>
                <w:highlight w:val="none"/>
              </w:rPr>
            </w:pPr>
          </w:p>
        </w:tc>
      </w:tr>
    </w:tbl>
    <w:p w14:paraId="051E42BE">
      <w:pPr>
        <w:widowControl/>
        <w:jc w:val="left"/>
        <w:rPr>
          <w:rFonts w:hint="default" w:ascii="Times New Roman" w:hAnsi="Times New Roman" w:eastAsia="宋体" w:cs="Times New Roman"/>
          <w:sz w:val="24"/>
          <w:szCs w:val="32"/>
          <w:highlight w:val="none"/>
        </w:rPr>
      </w:pPr>
    </w:p>
    <w:p w14:paraId="74F31CFB">
      <w:pPr>
        <w:pStyle w:val="2"/>
        <w:jc w:val="center"/>
        <w:rPr>
          <w:rFonts w:hint="default" w:ascii="Times New Roman" w:hAnsi="Times New Roman" w:eastAsia="宋体" w:cs="Times New Roman"/>
          <w:b w:val="0"/>
          <w:bCs w:val="0"/>
          <w:color w:val="auto"/>
          <w:sz w:val="36"/>
          <w:szCs w:val="36"/>
          <w:highlight w:val="none"/>
        </w:rPr>
      </w:pPr>
      <w:r>
        <w:rPr>
          <w:rFonts w:hint="default" w:ascii="Times New Roman" w:hAnsi="Times New Roman" w:eastAsia="宋体" w:cs="Times New Roman"/>
          <w:b w:val="0"/>
          <w:bCs w:val="0"/>
          <w:color w:val="auto"/>
          <w:sz w:val="36"/>
          <w:szCs w:val="36"/>
          <w:highlight w:val="none"/>
        </w:rPr>
        <w:t>四、主要环境影响和保护措施</w:t>
      </w:r>
    </w:p>
    <w:tbl>
      <w:tblPr>
        <w:tblStyle w:val="17"/>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7784"/>
      </w:tblGrid>
      <w:tr w14:paraId="46634F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97" w:type="dxa"/>
            <w:tcMar>
              <w:left w:w="28" w:type="dxa"/>
              <w:right w:w="28" w:type="dxa"/>
            </w:tcMar>
            <w:vAlign w:val="center"/>
          </w:tcPr>
          <w:p w14:paraId="2DABBE99">
            <w:pPr>
              <w:widowControl/>
              <w:adjustRightInd w:val="0"/>
              <w:snapToGrid w:val="0"/>
              <w:jc w:val="center"/>
              <w:rPr>
                <w:rFonts w:hint="default" w:ascii="Times New Roman" w:hAnsi="Times New Roman" w:eastAsia="宋体" w:cs="Times New Roman"/>
                <w:bCs/>
                <w:sz w:val="24"/>
                <w:highlight w:val="none"/>
              </w:rPr>
            </w:pPr>
            <w:r>
              <w:rPr>
                <w:rFonts w:hint="default" w:ascii="Times New Roman" w:hAnsi="Times New Roman" w:eastAsia="宋体" w:cs="Times New Roman"/>
                <w:sz w:val="24"/>
                <w:highlight w:val="none"/>
              </w:rPr>
              <w:t>施工期环境保护措施</w:t>
            </w:r>
          </w:p>
        </w:tc>
        <w:tc>
          <w:tcPr>
            <w:tcW w:w="7784" w:type="dxa"/>
            <w:vAlign w:val="center"/>
          </w:tcPr>
          <w:p w14:paraId="30BBBF56">
            <w:pPr>
              <w:adjustRightInd w:val="0"/>
              <w:snapToGrid w:val="0"/>
              <w:spacing w:line="360" w:lineRule="auto"/>
              <w:ind w:firstLine="480" w:firstLineChars="200"/>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本项目利用已建成闲置用房作为经营场所，施工期无土石方施工，仅室内装修(如内墙表面粉刷、设备安装等)。主要污染物为施工扬尘，施工人员生活污水，施工噪声，施工固体废物(装修垃圾、生活垃圾等)。</w:t>
            </w:r>
          </w:p>
          <w:p w14:paraId="2DA81239">
            <w:pPr>
              <w:numPr>
                <w:ilvl w:val="0"/>
                <w:numId w:val="45"/>
              </w:numPr>
              <w:adjustRightInd w:val="0"/>
              <w:snapToGrid w:val="0"/>
              <w:spacing w:line="360" w:lineRule="auto"/>
              <w:ind w:firstLine="480" w:firstLineChars="200"/>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废气：扬尘主要产生在装修施工期间的各种作业，其产生量与天气、温度、施工队文明程度和管理水平等因素有关，其排放量较难定量估算。但鉴于装修施工主要在室内，因此施工时只要加强管理，采取一些必要措施，如采取及时清除建筑装修垃圾、做好洒水抑尘、关闭门窗施工等办法可有效降低扬尘浓度。油漆粉刷时产生的少量挥发性有机气体，影响范围局限在室内，对外环境影响较小。通过加强通风、选用优质的低污染油漆和涂料等措施可有效减小施工废气对周围环境的影响。</w:t>
            </w:r>
          </w:p>
          <w:p w14:paraId="23CFCF3A">
            <w:pPr>
              <w:numPr>
                <w:ilvl w:val="0"/>
                <w:numId w:val="45"/>
              </w:numPr>
              <w:adjustRightInd w:val="0"/>
              <w:snapToGrid w:val="0"/>
              <w:spacing w:line="360" w:lineRule="auto"/>
              <w:ind w:firstLine="480" w:firstLineChars="200"/>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废水：本项目施工期不设施工营地，食宿自行解决，故施工期产生的废水主要为生活污水，生活污水主要依托园区的化粪池进行处理。故施工期产生的废水不会对周围环境的影响。</w:t>
            </w:r>
          </w:p>
          <w:p w14:paraId="764DB896">
            <w:pPr>
              <w:numPr>
                <w:ilvl w:val="0"/>
                <w:numId w:val="45"/>
              </w:numPr>
              <w:adjustRightInd w:val="0"/>
              <w:snapToGrid w:val="0"/>
              <w:spacing w:line="360" w:lineRule="auto"/>
              <w:ind w:firstLine="480" w:firstLineChars="200"/>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噪声：施工期间噪声主要来自项目内部装修和设备安装过程中使用的电钻、木工设备和空气压缩机等设备。施工阶段应采取如下措施：按规定操作机械设备，遵守作业规定，减少人为机械碰撞噪声；规划施工方案，尽量避免高噪声机械设备同时使用；施工时间应安排在白天，禁止夜间装修扰民；建设单位及装修施工单位应配备必要的专职或兼职环保监管人员，负责监督装修施工过程中噪声防治措施的落实情况。采取上述措施后，施工期噪声对区域声环境影响较小。</w:t>
            </w:r>
          </w:p>
          <w:p w14:paraId="1EAF4E80">
            <w:pPr>
              <w:numPr>
                <w:ilvl w:val="0"/>
                <w:numId w:val="45"/>
              </w:numPr>
              <w:adjustRightInd w:val="0"/>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kern w:val="0"/>
                <w:sz w:val="24"/>
                <w:highlight w:val="none"/>
              </w:rPr>
              <w:t>固体废物：施工期固体废物主要为施工人员生活垃圾、施工渣土及损坏或浪费的各种建筑装修材料。该项目施工期产生的固体废物将会对其周边环境产生一定的影响，因此，对于施工中固体废物应集中堆放、及时清运，外运到环卫部门指定地点，防止露天长期堆放可能产生的二次污染；对于可回收废料应尽量由施工单位回收利用。综上所述，本项目施工期工程量不大，时间较短，施工完成后对周边环境的影响即可消除。建设单位在施工过程中必须严格按照《北京市建设工程施工现场环境保护标准》(京建施[2003]3 号)和《北京市建设工程施工现场管理办法》(2013 年市政府令第 247 号)对施工现场进行管理，以尽量降低施工过程对周围环境的影响。</w:t>
            </w:r>
          </w:p>
        </w:tc>
      </w:tr>
      <w:tr w14:paraId="64965E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6" w:hRule="atLeast"/>
          <w:jc w:val="center"/>
        </w:trPr>
        <w:tc>
          <w:tcPr>
            <w:tcW w:w="1197" w:type="dxa"/>
            <w:tcMar>
              <w:left w:w="28" w:type="dxa"/>
              <w:right w:w="28" w:type="dxa"/>
            </w:tcMar>
            <w:vAlign w:val="center"/>
          </w:tcPr>
          <w:p w14:paraId="6AF39A9F">
            <w:pPr>
              <w:adjustRightInd w:val="0"/>
              <w:snapToGrid w:val="0"/>
              <w:jc w:val="center"/>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运营期环境影响和保护措施</w:t>
            </w:r>
          </w:p>
        </w:tc>
        <w:tc>
          <w:tcPr>
            <w:tcW w:w="7784" w:type="dxa"/>
            <w:shd w:val="clear" w:color="auto" w:fill="auto"/>
            <w:vAlign w:val="center"/>
          </w:tcPr>
          <w:p w14:paraId="1E7FC79D">
            <w:pPr>
              <w:numPr>
                <w:ilvl w:val="0"/>
                <w:numId w:val="46"/>
              </w:numPr>
              <w:adjustRightInd w:val="0"/>
              <w:snapToGrid w:val="0"/>
              <w:spacing w:line="360" w:lineRule="auto"/>
              <w:rPr>
                <w:rFonts w:hint="default" w:ascii="Times New Roman" w:hAnsi="Times New Roman" w:eastAsia="宋体" w:cs="Times New Roman"/>
                <w:b/>
                <w:bCs/>
                <w:spacing w:val="-10"/>
                <w:sz w:val="24"/>
                <w:highlight w:val="none"/>
              </w:rPr>
            </w:pPr>
            <w:r>
              <w:rPr>
                <w:rFonts w:hint="default" w:ascii="Times New Roman" w:hAnsi="Times New Roman" w:eastAsia="宋体" w:cs="Times New Roman"/>
                <w:b/>
                <w:bCs/>
                <w:spacing w:val="-10"/>
                <w:sz w:val="24"/>
                <w:highlight w:val="none"/>
              </w:rPr>
              <w:t>废气</w:t>
            </w:r>
          </w:p>
          <w:p w14:paraId="66F094AB">
            <w:pPr>
              <w:numPr>
                <w:ilvl w:val="0"/>
                <w:numId w:val="47"/>
              </w:numPr>
              <w:adjustRightInd w:val="0"/>
              <w:snapToGrid w:val="0"/>
              <w:spacing w:line="360" w:lineRule="auto"/>
              <w:ind w:firstLine="480" w:firstLineChars="200"/>
              <w:rPr>
                <w:rFonts w:hint="default" w:ascii="Times New Roman" w:hAnsi="Times New Roman" w:eastAsia="宋体" w:cs="Times New Roman"/>
                <w:b w:val="0"/>
                <w:bCs/>
                <w:sz w:val="24"/>
                <w:highlight w:val="none"/>
                <w:lang w:val="en-US" w:eastAsia="zh-CN"/>
              </w:rPr>
            </w:pPr>
            <w:r>
              <w:rPr>
                <w:rFonts w:hint="default" w:ascii="Times New Roman" w:hAnsi="Times New Roman" w:eastAsia="宋体" w:cs="Times New Roman"/>
                <w:b w:val="0"/>
                <w:bCs/>
                <w:sz w:val="24"/>
                <w:highlight w:val="none"/>
                <w:lang w:val="en-US" w:eastAsia="zh-CN"/>
              </w:rPr>
              <w:t>废气源强</w:t>
            </w:r>
          </w:p>
          <w:p w14:paraId="1696B950">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G1熔炼废气：</w:t>
            </w:r>
          </w:p>
          <w:p w14:paraId="46266F8D">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sz w:val="24"/>
                <w:highlight w:val="none"/>
                <w:lang w:val="en-US" w:eastAsia="zh-CN"/>
              </w:rPr>
              <w:t>金属材料实验首先取2kg金属在真空感应</w:t>
            </w:r>
            <w:r>
              <w:rPr>
                <w:rFonts w:hint="default" w:ascii="Times New Roman" w:hAnsi="Times New Roman" w:eastAsia="宋体" w:cs="Times New Roman"/>
                <w:sz w:val="24"/>
                <w:highlight w:val="none"/>
              </w:rPr>
              <w:t>炉或电弧炉中</w:t>
            </w:r>
            <w:r>
              <w:rPr>
                <w:rFonts w:hint="default" w:ascii="Times New Roman" w:hAnsi="Times New Roman" w:eastAsia="宋体" w:cs="Times New Roman"/>
                <w:sz w:val="24"/>
                <w:highlight w:val="none"/>
                <w:lang w:val="en-US" w:eastAsia="zh-CN"/>
              </w:rPr>
              <w:t>熔化，在金属磨具中浇筑成</w:t>
            </w:r>
            <w:r>
              <w:rPr>
                <w:rFonts w:hint="default" w:ascii="Times New Roman" w:hAnsi="Times New Roman" w:eastAsia="宋体" w:cs="Times New Roman"/>
                <w:sz w:val="24"/>
                <w:highlight w:val="none"/>
              </w:rPr>
              <w:t>样坯</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该过程产生熔炼废气，主要污染物质为颗粒物，</w:t>
            </w:r>
            <w:r>
              <w:rPr>
                <w:rFonts w:hint="default" w:ascii="Times New Roman" w:hAnsi="Times New Roman" w:eastAsia="宋体" w:cs="Times New Roman"/>
                <w:color w:val="auto"/>
                <w:sz w:val="24"/>
                <w:szCs w:val="24"/>
                <w:highlight w:val="none"/>
                <w:lang w:val="en-US" w:eastAsia="zh-CN"/>
              </w:rPr>
              <w:t>每批次实验用金属件2</w:t>
            </w:r>
            <w:r>
              <w:rPr>
                <w:rFonts w:hint="default" w:ascii="Times New Roman" w:hAnsi="Times New Roman" w:eastAsia="宋体" w:cs="Times New Roman"/>
                <w:sz w:val="24"/>
                <w:highlight w:val="none"/>
                <w:lang w:val="en-US" w:eastAsia="zh-CN"/>
              </w:rPr>
              <w:t>kg，每批次实验时间为35min，年实验40批次，年排放时间23.3h，</w:t>
            </w:r>
            <w:r>
              <w:rPr>
                <w:rFonts w:hint="default" w:ascii="Times New Roman" w:hAnsi="Times New Roman" w:eastAsia="宋体" w:cs="Times New Roman"/>
                <w:color w:val="auto"/>
                <w:sz w:val="24"/>
                <w:szCs w:val="24"/>
                <w:highlight w:val="none"/>
                <w:lang w:val="en-US" w:eastAsia="zh-CN"/>
              </w:rPr>
              <w:t>实验金属件总重量0.08t/a，参照《排放源统计调查产排污核算方法和系数手册》(2021年6月9日发布)中</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highlight w:val="none"/>
              </w:rPr>
              <w:t>2</w:t>
            </w:r>
            <w:r>
              <w:rPr>
                <w:rFonts w:hint="default" w:ascii="Times New Roman" w:hAnsi="Times New Roman" w:eastAsia="宋体" w:cs="Times New Roman"/>
                <w:color w:val="auto"/>
                <w:sz w:val="24"/>
                <w:highlight w:val="none"/>
                <w:lang w:val="en-US" w:eastAsia="zh-CN"/>
              </w:rPr>
              <w:t>18机械</w:t>
            </w:r>
            <w:r>
              <w:rPr>
                <w:rFonts w:hint="default" w:ascii="Times New Roman" w:hAnsi="Times New Roman" w:eastAsia="宋体" w:cs="Times New Roman"/>
                <w:color w:val="auto"/>
                <w:sz w:val="24"/>
                <w:highlight w:val="none"/>
              </w:rPr>
              <w:t>行业系数手册</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szCs w:val="24"/>
                <w:highlight w:val="none"/>
                <w:lang w:val="en-US" w:eastAsia="zh-CN"/>
              </w:rPr>
              <w:t>33金属制品业行业系数表</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，以</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生铁、废钢、铁合金、中间合金锭为原料，采用感应电炉/电阻炉进行熔炼铸造的工序</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所有规模等级颗粒物的产污系数为0.479 kg/t-产品，则产生其他颗粒物为0.03832 kg/a（0.001645</w:t>
            </w:r>
            <w:r>
              <w:rPr>
                <w:rFonts w:hint="default" w:ascii="Times New Roman" w:hAnsi="Times New Roman" w:eastAsia="宋体" w:cs="Times New Roman"/>
                <w:sz w:val="24"/>
                <w:highlight w:val="none"/>
                <w:lang w:val="en-US" w:eastAsia="zh-CN"/>
              </w:rPr>
              <w:t>kg/h</w:t>
            </w:r>
            <w:r>
              <w:rPr>
                <w:rFonts w:hint="default" w:ascii="Times New Roman" w:hAnsi="Times New Roman" w:eastAsia="宋体" w:cs="Times New Roman"/>
                <w:color w:val="auto"/>
                <w:sz w:val="24"/>
                <w:szCs w:val="24"/>
                <w:highlight w:val="none"/>
                <w:lang w:val="en-US" w:eastAsia="zh-CN"/>
              </w:rPr>
              <w:t>）。</w:t>
            </w:r>
          </w:p>
          <w:p w14:paraId="4D3790DD">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G2挥发性有机废气（擦拭、晶界腐蚀、镶样）：</w:t>
            </w:r>
          </w:p>
          <w:p w14:paraId="0B8354E2">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sz w:val="24"/>
                <w:highlight w:val="none"/>
                <w:lang w:val="en-US" w:eastAsia="zh-CN"/>
              </w:rPr>
              <w:t>为便于观察，本项目部分金属材料需要擦拭或晶界腐蚀，擦拭使用乙醇，用量3L/a（2.367</w:t>
            </w:r>
            <w:r>
              <w:rPr>
                <w:rFonts w:hint="default" w:ascii="Times New Roman" w:hAnsi="Times New Roman" w:eastAsia="宋体" w:cs="Times New Roman"/>
                <w:color w:val="auto"/>
                <w:sz w:val="24"/>
                <w:szCs w:val="24"/>
                <w:highlight w:val="none"/>
                <w:lang w:val="en-US" w:eastAsia="zh-CN"/>
              </w:rPr>
              <w:t xml:space="preserve"> kg/a，20℃乙醇密度0.789g/cm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sz w:val="24"/>
                <w:highlight w:val="none"/>
                <w:lang w:val="en-US" w:eastAsia="zh-CN"/>
              </w:rPr>
              <w:t>），年擦拭时间约20h，擦拭乙醇全部挥发，则擦拭产生的挥发性有机物</w:t>
            </w:r>
            <w:r>
              <w:rPr>
                <w:rFonts w:hint="default" w:ascii="Times New Roman" w:hAnsi="Times New Roman" w:eastAsia="宋体" w:cs="Times New Roman"/>
                <w:color w:val="auto"/>
                <w:sz w:val="24"/>
                <w:szCs w:val="24"/>
                <w:highlight w:val="none"/>
                <w:lang w:val="en-US" w:eastAsia="zh-CN"/>
              </w:rPr>
              <w:t>为2.367kg/a（0.1184</w:t>
            </w:r>
            <w:r>
              <w:rPr>
                <w:rFonts w:hint="default" w:ascii="Times New Roman" w:hAnsi="Times New Roman" w:eastAsia="宋体" w:cs="Times New Roman"/>
                <w:sz w:val="24"/>
                <w:highlight w:val="none"/>
                <w:lang w:val="en-US" w:eastAsia="zh-CN"/>
              </w:rPr>
              <w:t>kg/h</w:t>
            </w:r>
            <w:r>
              <w:rPr>
                <w:rFonts w:hint="default" w:ascii="Times New Roman" w:hAnsi="Times New Roman" w:eastAsia="宋体" w:cs="Times New Roman"/>
                <w:color w:val="auto"/>
                <w:sz w:val="24"/>
                <w:szCs w:val="24"/>
                <w:highlight w:val="none"/>
                <w:lang w:val="en-US" w:eastAsia="zh-CN"/>
              </w:rPr>
              <w:t>）。</w:t>
            </w:r>
          </w:p>
          <w:p w14:paraId="0B457F9A">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晶界腐蚀使用腐蚀液（4%硝酸+96%乙醇），用量2L/a（</w:t>
            </w:r>
            <w:r>
              <w:rPr>
                <w:rFonts w:hint="default" w:ascii="Times New Roman" w:hAnsi="Times New Roman" w:eastAsia="宋体" w:cs="Times New Roman"/>
                <w:color w:val="auto"/>
                <w:sz w:val="24"/>
                <w:szCs w:val="24"/>
                <w:highlight w:val="none"/>
                <w:lang w:val="en-US" w:eastAsia="zh-CN"/>
              </w:rPr>
              <w:t>硝酸0.120kg/a、乙醇1.515 kg/a，20℃发烟硝酸密度1.502g/cm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sz w:val="24"/>
                <w:highlight w:val="none"/>
                <w:lang w:val="en-US" w:eastAsia="zh-CN"/>
              </w:rPr>
              <w:t>），</w:t>
            </w:r>
            <w:r>
              <w:rPr>
                <w:rFonts w:hint="default" w:ascii="Times New Roman" w:hAnsi="Times New Roman" w:eastAsia="宋体" w:cs="Times New Roman"/>
                <w:kern w:val="2"/>
                <w:sz w:val="24"/>
                <w:szCs w:val="24"/>
                <w:highlight w:val="none"/>
                <w:lang w:val="en-US" w:eastAsia="zh-CN" w:bidi="ar-SA"/>
              </w:rPr>
              <w:t>每次晶界腐蚀操作5min，年操作80次，年排放时间6.7h。</w:t>
            </w:r>
            <w:r>
              <w:rPr>
                <w:rFonts w:hint="default" w:ascii="Times New Roman" w:hAnsi="Times New Roman" w:eastAsia="宋体" w:cs="Times New Roman"/>
                <w:sz w:val="24"/>
                <w:highlight w:val="none"/>
                <w:lang w:val="en-US" w:eastAsia="zh-CN"/>
              </w:rPr>
              <w:t>根据美国环境保护局编写的《空气污染物排放和控制手册工业污染源调查与研究》等相关资料可知，在实验状态下，有机试剂的挥发比例一般为试剂使用量的 1%-4%，本项目以最不利情况考虑，挥发比例以4%计。则</w:t>
            </w:r>
            <w:r>
              <w:rPr>
                <w:rFonts w:hint="default" w:ascii="Times New Roman" w:hAnsi="Times New Roman" w:eastAsia="宋体" w:cs="Times New Roman"/>
                <w:kern w:val="2"/>
                <w:sz w:val="24"/>
                <w:szCs w:val="24"/>
                <w:highlight w:val="none"/>
                <w:lang w:val="en-US" w:eastAsia="zh-CN" w:bidi="ar-SA"/>
              </w:rPr>
              <w:t>晶界腐蚀</w:t>
            </w:r>
            <w:r>
              <w:rPr>
                <w:rFonts w:hint="default" w:ascii="Times New Roman" w:hAnsi="Times New Roman" w:eastAsia="宋体" w:cs="Times New Roman"/>
                <w:sz w:val="24"/>
                <w:highlight w:val="none"/>
                <w:lang w:val="en-US" w:eastAsia="zh-CN"/>
              </w:rPr>
              <w:t>挥发性有机物产生量为0.0606kg/a（0.00904kg/h），硝酸产生量为0.0048kg/a（0.00072 kg/h）。</w:t>
            </w:r>
          </w:p>
          <w:p w14:paraId="55E38EE5">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为方便细小金属试样的观察实验，需要将试样固定在热固性树脂上，使用镶样机将热固性树脂类镶样粉注入磨具热压成型。根据建设单位提供的资料，本项目年用热固性树脂类镶样原料2kg，不添加其他助剂，年操作时间20h，根据《排放源统计调查产排污核算方法和系数手册》（公告2021年第24号）中</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2929 塑料零件及其他塑料制品制造行业</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系数手册，塑料零件采用注塑工艺的挥发性有机物产污系数为2.7千克/吨-产品，则本项目镶样固定挥发性有机物产生量为0.0054kg/a（0.00027kg/h）。</w:t>
            </w:r>
          </w:p>
          <w:p w14:paraId="055F829F">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G3挥发性无机废气（酸解）、G4检测废气</w:t>
            </w:r>
          </w:p>
          <w:p w14:paraId="3A884FE6">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使用光谱仪进行元素分析前要使用盐酸、硝酸混合液对金属样品进行酸解，根据建设单位提供的资料，盐酸使用量分别为1000ml/a（0.4248kg，</w:t>
            </w:r>
            <w:r>
              <w:rPr>
                <w:rFonts w:hint="default" w:ascii="Times New Roman" w:hAnsi="Times New Roman" w:eastAsia="宋体" w:cs="Times New Roman"/>
                <w:color w:val="auto"/>
                <w:sz w:val="24"/>
                <w:szCs w:val="24"/>
                <w:highlight w:val="none"/>
                <w:lang w:val="en-US" w:eastAsia="zh-CN"/>
              </w:rPr>
              <w:t>20℃</w:t>
            </w:r>
            <w:r>
              <w:rPr>
                <w:rFonts w:hint="default" w:ascii="Times New Roman" w:hAnsi="Times New Roman" w:eastAsia="宋体" w:cs="Times New Roman"/>
                <w:sz w:val="24"/>
                <w:highlight w:val="none"/>
                <w:lang w:val="en-US" w:eastAsia="zh-CN"/>
              </w:rPr>
              <w:t>36%盐酸密度1.18</w:t>
            </w:r>
            <w:r>
              <w:rPr>
                <w:rFonts w:hint="default" w:ascii="Times New Roman" w:hAnsi="Times New Roman" w:eastAsia="宋体" w:cs="Times New Roman"/>
                <w:color w:val="auto"/>
                <w:sz w:val="24"/>
                <w:szCs w:val="24"/>
                <w:highlight w:val="none"/>
                <w:lang w:val="en-US" w:eastAsia="zh-CN"/>
              </w:rPr>
              <w:t>g/cm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sz w:val="24"/>
                <w:highlight w:val="none"/>
                <w:lang w:val="en-US" w:eastAsia="zh-CN"/>
              </w:rPr>
              <w:t>）、硝酸使用量500ml/a（0.4808kg，</w:t>
            </w:r>
            <w:r>
              <w:rPr>
                <w:rFonts w:hint="default" w:ascii="Times New Roman" w:hAnsi="Times New Roman" w:eastAsia="宋体" w:cs="Times New Roman"/>
                <w:color w:val="auto"/>
                <w:sz w:val="24"/>
                <w:szCs w:val="24"/>
                <w:highlight w:val="none"/>
                <w:lang w:val="en-US" w:eastAsia="zh-CN"/>
              </w:rPr>
              <w:t>20℃</w:t>
            </w:r>
            <w:r>
              <w:rPr>
                <w:rFonts w:hint="default" w:ascii="Times New Roman" w:hAnsi="Times New Roman" w:eastAsia="宋体" w:cs="Times New Roman"/>
                <w:sz w:val="24"/>
                <w:highlight w:val="none"/>
                <w:lang w:val="en-US" w:eastAsia="zh-CN"/>
              </w:rPr>
              <w:t>68%盐酸密度1.414</w:t>
            </w:r>
            <w:r>
              <w:rPr>
                <w:rFonts w:hint="default" w:ascii="Times New Roman" w:hAnsi="Times New Roman" w:eastAsia="宋体" w:cs="Times New Roman"/>
                <w:color w:val="auto"/>
                <w:sz w:val="24"/>
                <w:szCs w:val="24"/>
                <w:highlight w:val="none"/>
                <w:lang w:val="en-US" w:eastAsia="zh-CN"/>
              </w:rPr>
              <w:t>g/cm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sz w:val="24"/>
                <w:highlight w:val="none"/>
                <w:lang w:val="en-US" w:eastAsia="zh-CN"/>
              </w:rPr>
              <w:t>）。根据建设单位提供的资料，年样品酸解、光谱分析时间100h，盐酸、硝酸的挥发量按使用的4%计，则酸解、检测过程盐酸的产生为0.01699kg/a（0.00017 kg/h）、硝酸的产生量为0.01923kg/a（0.00019kg/h）。</w:t>
            </w:r>
          </w:p>
          <w:p w14:paraId="0F65C628">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G5无机含氨</w:t>
            </w:r>
            <w:r>
              <w:rPr>
                <w:rFonts w:hint="eastAsia" w:cs="Times New Roman"/>
                <w:sz w:val="24"/>
                <w:highlight w:val="none"/>
                <w:lang w:val="en-US" w:eastAsia="zh-CN"/>
              </w:rPr>
              <w:t>含氟</w:t>
            </w:r>
            <w:r>
              <w:rPr>
                <w:rFonts w:hint="default" w:ascii="Times New Roman" w:hAnsi="Times New Roman" w:eastAsia="宋体" w:cs="Times New Roman"/>
                <w:sz w:val="24"/>
                <w:highlight w:val="none"/>
                <w:lang w:val="en-US" w:eastAsia="zh-CN"/>
              </w:rPr>
              <w:t>废气（沉淀反应）：</w:t>
            </w:r>
          </w:p>
          <w:p w14:paraId="3D5DB034">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电池材料实验</w:t>
            </w:r>
            <w:r>
              <w:rPr>
                <w:rFonts w:hint="default" w:ascii="Times New Roman" w:hAnsi="Times New Roman" w:eastAsia="宋体" w:cs="Times New Roman"/>
                <w:sz w:val="24"/>
                <w:highlight w:val="none"/>
              </w:rPr>
              <w:t>沉淀</w:t>
            </w:r>
            <w:r>
              <w:rPr>
                <w:rFonts w:hint="default" w:ascii="Times New Roman" w:hAnsi="Times New Roman" w:eastAsia="宋体" w:cs="Times New Roman"/>
                <w:sz w:val="24"/>
                <w:highlight w:val="none"/>
                <w:lang w:val="en-US" w:eastAsia="zh-CN"/>
              </w:rPr>
              <w:t>反应使用氨水</w:t>
            </w:r>
            <w:r>
              <w:rPr>
                <w:rFonts w:hint="eastAsia" w:cs="Times New Roman"/>
                <w:sz w:val="24"/>
                <w:highlight w:val="none"/>
                <w:lang w:val="en-US" w:eastAsia="zh-CN"/>
              </w:rPr>
              <w:t>、氢氟酸</w:t>
            </w:r>
            <w:r>
              <w:rPr>
                <w:rFonts w:hint="default" w:ascii="Times New Roman" w:hAnsi="Times New Roman" w:eastAsia="宋体" w:cs="Times New Roman"/>
                <w:sz w:val="24"/>
                <w:highlight w:val="none"/>
                <w:lang w:val="en-US" w:eastAsia="zh-CN"/>
              </w:rPr>
              <w:t>，年用25%氨水（常温下密度0.907g/cm</w:t>
            </w:r>
            <w:r>
              <w:rPr>
                <w:rFonts w:hint="default" w:ascii="Times New Roman" w:hAnsi="Times New Roman" w:eastAsia="宋体" w:cs="Times New Roman"/>
                <w:sz w:val="24"/>
                <w:highlight w:val="none"/>
                <w:vertAlign w:val="superscript"/>
                <w:lang w:val="en-US" w:eastAsia="zh-CN"/>
              </w:rPr>
              <w:t>3</w:t>
            </w:r>
            <w:r>
              <w:rPr>
                <w:rFonts w:hint="default" w:ascii="Times New Roman" w:hAnsi="Times New Roman" w:eastAsia="宋体" w:cs="Times New Roman"/>
                <w:sz w:val="24"/>
                <w:highlight w:val="none"/>
                <w:lang w:val="en-US" w:eastAsia="zh-CN"/>
              </w:rPr>
              <w:t>）200L</w:t>
            </w:r>
            <w:r>
              <w:rPr>
                <w:rFonts w:hint="eastAsia" w:cs="Times New Roman"/>
                <w:sz w:val="24"/>
                <w:highlight w:val="none"/>
                <w:lang w:val="en-US" w:eastAsia="zh-CN"/>
              </w:rPr>
              <w:t>，年用40%氢氟酸</w:t>
            </w:r>
            <w:r>
              <w:rPr>
                <w:rFonts w:hint="default" w:ascii="Times New Roman" w:hAnsi="Times New Roman" w:eastAsia="宋体" w:cs="Times New Roman"/>
                <w:sz w:val="24"/>
                <w:highlight w:val="none"/>
                <w:lang w:val="en-US" w:eastAsia="zh-CN"/>
              </w:rPr>
              <w:t>（常温下密度</w:t>
            </w:r>
            <w:r>
              <w:rPr>
                <w:rFonts w:hint="eastAsia" w:cs="Times New Roman"/>
                <w:sz w:val="24"/>
                <w:highlight w:val="none"/>
                <w:lang w:val="en-US" w:eastAsia="zh-CN"/>
              </w:rPr>
              <w:t>1.15</w:t>
            </w:r>
            <w:r>
              <w:rPr>
                <w:rFonts w:hint="default" w:ascii="Times New Roman" w:hAnsi="Times New Roman" w:eastAsia="宋体" w:cs="Times New Roman"/>
                <w:sz w:val="24"/>
                <w:highlight w:val="none"/>
                <w:lang w:val="en-US" w:eastAsia="zh-CN"/>
              </w:rPr>
              <w:t>g/cm</w:t>
            </w:r>
            <w:r>
              <w:rPr>
                <w:rFonts w:hint="default" w:ascii="Times New Roman" w:hAnsi="Times New Roman" w:eastAsia="宋体" w:cs="Times New Roman"/>
                <w:sz w:val="24"/>
                <w:highlight w:val="none"/>
                <w:vertAlign w:val="superscript"/>
                <w:lang w:val="en-US" w:eastAsia="zh-CN"/>
              </w:rPr>
              <w:t>3</w:t>
            </w:r>
            <w:r>
              <w:rPr>
                <w:rFonts w:hint="default" w:ascii="Times New Roman" w:hAnsi="Times New Roman" w:eastAsia="宋体" w:cs="Times New Roman"/>
                <w:sz w:val="24"/>
                <w:highlight w:val="none"/>
                <w:lang w:val="en-US" w:eastAsia="zh-CN"/>
              </w:rPr>
              <w:t>）</w:t>
            </w:r>
            <w:r>
              <w:rPr>
                <w:rFonts w:hint="eastAsia" w:cs="Times New Roman"/>
                <w:sz w:val="24"/>
                <w:highlight w:val="none"/>
                <w:lang w:val="en-US" w:eastAsia="zh-CN"/>
              </w:rPr>
              <w:t>1</w:t>
            </w:r>
            <w:r>
              <w:rPr>
                <w:rFonts w:hint="default" w:ascii="Times New Roman" w:hAnsi="Times New Roman" w:eastAsia="宋体" w:cs="Times New Roman"/>
                <w:sz w:val="24"/>
                <w:highlight w:val="none"/>
                <w:lang w:val="en-US" w:eastAsia="zh-CN"/>
              </w:rPr>
              <w:t>0L，</w:t>
            </w:r>
            <w:r>
              <w:rPr>
                <w:rFonts w:hint="eastAsia" w:cs="Times New Roman"/>
                <w:sz w:val="24"/>
                <w:highlight w:val="none"/>
                <w:lang w:val="en-US" w:eastAsia="zh-CN"/>
              </w:rPr>
              <w:t>年用</w:t>
            </w:r>
            <w:r>
              <w:rPr>
                <w:rFonts w:hint="default" w:ascii="Times New Roman" w:hAnsi="Times New Roman" w:eastAsia="宋体" w:cs="Times New Roman"/>
                <w:sz w:val="24"/>
                <w:highlight w:val="none"/>
                <w:lang w:val="en-US" w:eastAsia="zh-CN"/>
              </w:rPr>
              <w:t>氨的量45.35 kg/a</w:t>
            </w:r>
            <w:r>
              <w:rPr>
                <w:rFonts w:hint="eastAsia" w:cs="Times New Roman"/>
                <w:sz w:val="24"/>
                <w:highlight w:val="none"/>
                <w:lang w:val="en-US" w:eastAsia="zh-CN"/>
              </w:rPr>
              <w:t>、氟的量4.37</w:t>
            </w:r>
            <w:r>
              <w:rPr>
                <w:rFonts w:hint="default" w:ascii="Times New Roman" w:hAnsi="Times New Roman" w:eastAsia="宋体" w:cs="Times New Roman"/>
                <w:sz w:val="24"/>
                <w:highlight w:val="none"/>
                <w:lang w:val="en-US" w:eastAsia="zh-CN"/>
              </w:rPr>
              <w:t>kg/a，每批次反应时间15h，年反应实验200次，2个反应釜同时进行操作，年排放时间1500h，氨</w:t>
            </w:r>
            <w:r>
              <w:rPr>
                <w:rFonts w:hint="eastAsia" w:cs="Times New Roman"/>
                <w:sz w:val="24"/>
                <w:highlight w:val="none"/>
                <w:lang w:val="en-US" w:eastAsia="zh-CN"/>
              </w:rPr>
              <w:t>、氟</w:t>
            </w:r>
            <w:r>
              <w:rPr>
                <w:rFonts w:hint="default" w:ascii="Times New Roman" w:hAnsi="Times New Roman" w:eastAsia="宋体" w:cs="Times New Roman"/>
                <w:sz w:val="24"/>
                <w:highlight w:val="none"/>
                <w:lang w:val="en-US" w:eastAsia="zh-CN"/>
              </w:rPr>
              <w:t>产生量按使用量的4%计，则</w:t>
            </w:r>
            <w:r>
              <w:rPr>
                <w:rFonts w:hint="default" w:ascii="Times New Roman" w:hAnsi="Times New Roman" w:eastAsia="宋体" w:cs="Times New Roman"/>
                <w:kern w:val="2"/>
                <w:sz w:val="24"/>
                <w:szCs w:val="24"/>
                <w:highlight w:val="none"/>
                <w:lang w:val="en-US" w:eastAsia="zh-CN" w:bidi="ar-SA"/>
              </w:rPr>
              <w:t>沉淀反应氨的</w:t>
            </w:r>
            <w:r>
              <w:rPr>
                <w:rFonts w:hint="default" w:ascii="Times New Roman" w:hAnsi="Times New Roman" w:eastAsia="宋体" w:cs="Times New Roman"/>
                <w:sz w:val="24"/>
                <w:highlight w:val="none"/>
                <w:lang w:val="en-US" w:eastAsia="zh-CN"/>
              </w:rPr>
              <w:t>产生量为1.814 kg/a（0.001209kg/h）</w:t>
            </w:r>
            <w:r>
              <w:rPr>
                <w:rFonts w:hint="eastAsia" w:cs="Times New Roman"/>
                <w:sz w:val="24"/>
                <w:highlight w:val="none"/>
                <w:lang w:val="en-US" w:eastAsia="zh-CN"/>
              </w:rPr>
              <w:t>、氟</w:t>
            </w:r>
            <w:r>
              <w:rPr>
                <w:rFonts w:hint="default" w:ascii="Times New Roman" w:hAnsi="Times New Roman" w:eastAsia="宋体" w:cs="Times New Roman"/>
                <w:kern w:val="2"/>
                <w:sz w:val="24"/>
                <w:szCs w:val="24"/>
                <w:highlight w:val="none"/>
                <w:lang w:val="en-US" w:eastAsia="zh-CN" w:bidi="ar-SA"/>
              </w:rPr>
              <w:t>的</w:t>
            </w:r>
            <w:r>
              <w:rPr>
                <w:rFonts w:hint="default" w:ascii="Times New Roman" w:hAnsi="Times New Roman" w:eastAsia="宋体" w:cs="Times New Roman"/>
                <w:sz w:val="24"/>
                <w:highlight w:val="none"/>
                <w:lang w:val="en-US" w:eastAsia="zh-CN"/>
              </w:rPr>
              <w:t>产生量为</w:t>
            </w:r>
            <w:r>
              <w:rPr>
                <w:rFonts w:hint="eastAsia" w:cs="Times New Roman"/>
                <w:sz w:val="24"/>
                <w:highlight w:val="none"/>
                <w:lang w:val="en-US" w:eastAsia="zh-CN"/>
              </w:rPr>
              <w:t>0.175</w:t>
            </w:r>
            <w:r>
              <w:rPr>
                <w:rFonts w:hint="default" w:ascii="Times New Roman" w:hAnsi="Times New Roman" w:eastAsia="宋体" w:cs="Times New Roman"/>
                <w:sz w:val="24"/>
                <w:highlight w:val="none"/>
                <w:lang w:val="en-US" w:eastAsia="zh-CN"/>
              </w:rPr>
              <w:t xml:space="preserve"> kg/a（0.00</w:t>
            </w:r>
            <w:r>
              <w:rPr>
                <w:rFonts w:hint="eastAsia" w:cs="Times New Roman"/>
                <w:sz w:val="24"/>
                <w:highlight w:val="none"/>
                <w:lang w:val="en-US" w:eastAsia="zh-CN"/>
              </w:rPr>
              <w:t>012</w:t>
            </w:r>
            <w:r>
              <w:rPr>
                <w:rFonts w:hint="default" w:ascii="Times New Roman" w:hAnsi="Times New Roman" w:eastAsia="宋体" w:cs="Times New Roman"/>
                <w:sz w:val="24"/>
                <w:highlight w:val="none"/>
                <w:lang w:val="en-US" w:eastAsia="zh-CN"/>
              </w:rPr>
              <w:t>kg/h）。</w:t>
            </w:r>
          </w:p>
          <w:p w14:paraId="755EF495">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G6其他颗粒物（磷酸铁、碳酸锂喷雾干燥）</w:t>
            </w:r>
          </w:p>
          <w:p w14:paraId="3AB8968A">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部分磷酸铁、碳酸锂前驱体使用纯水研磨后用实验室小型喷雾干燥机干燥，干燥后产品用设备自带的旋风+布袋收集，根据建设单位提供的资料，年干燥前驱体20kg，年操作时间100h，旋风+布袋收集效率99%，则喷雾干燥颗粒物产生量为0.2kg/a（0.002kg/h）。</w:t>
            </w:r>
          </w:p>
          <w:p w14:paraId="61A6B739">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G7/G8其他颗粒物、镍及其化合物（锂源、前驱体混合、粉碎）</w:t>
            </w:r>
          </w:p>
          <w:p w14:paraId="44A04B83">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部分锂源、前驱体使用混料机、破碎机进行混合破碎，根据建设单位提供的资料，年混合、破碎前驱体50kg（含镍50%），年操作时间50h，《排放源统计调查产排污核算方法和系数手册》（公告2021年第24号）中</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3039 其他建筑材料制造行业</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系数手册，岩石、矿石破碎颗粒物产污系数为1.89千克/吨-产品，则混合、破碎过程颗粒物的产生量为0.0945 kg/a（0.00189kg/h）、镍及其化合物0.04725kg/a（0.000945kg/h）。</w:t>
            </w:r>
          </w:p>
          <w:p w14:paraId="2AB352C0">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G9挥发性有机废气（电池组装）</w:t>
            </w:r>
          </w:p>
          <w:p w14:paraId="2C02685D">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电池材料实验电池组装用N-甲基吡咯烷酮（NMP）溶解聚偏氟乙烯制备粘胶剂，N-甲基吡咯烷酮用量1L/a，每批次使用电解液（</w:t>
            </w:r>
            <w:r>
              <w:rPr>
                <w:rFonts w:hint="default" w:ascii="Times New Roman" w:hAnsi="Times New Roman" w:eastAsia="宋体" w:cs="Times New Roman"/>
                <w:sz w:val="24"/>
                <w:highlight w:val="none"/>
              </w:rPr>
              <w:t>碳酸乙烯酯</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碳酸二甲酯</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碳酸甲乙酯</w:t>
            </w:r>
            <w:r>
              <w:rPr>
                <w:rFonts w:hint="default" w:ascii="Times New Roman" w:hAnsi="Times New Roman" w:eastAsia="宋体" w:cs="Times New Roman"/>
                <w:sz w:val="24"/>
                <w:highlight w:val="none"/>
                <w:lang w:val="en-US" w:eastAsia="zh-CN"/>
              </w:rPr>
              <w:t>=1：1：1）1ml，每次组装20min，每年实验50批次，年排放时间16.7h，电解液年用量50ml，常温下</w:t>
            </w:r>
            <w:r>
              <w:rPr>
                <w:rFonts w:hint="default" w:ascii="Times New Roman" w:hAnsi="Times New Roman" w:eastAsia="宋体" w:cs="Times New Roman"/>
                <w:sz w:val="24"/>
                <w:highlight w:val="none"/>
              </w:rPr>
              <w:t>碳酸乙烯酯</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碳酸二甲酯</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碳酸甲乙酯</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N-甲基吡咯烷酮密度分别为1.40g/cm</w:t>
            </w:r>
            <w:r>
              <w:rPr>
                <w:rFonts w:hint="default" w:ascii="Times New Roman" w:hAnsi="Times New Roman" w:eastAsia="宋体" w:cs="Times New Roman"/>
                <w:sz w:val="24"/>
                <w:highlight w:val="none"/>
                <w:vertAlign w:val="superscript"/>
                <w:lang w:val="en-US" w:eastAsia="zh-CN"/>
              </w:rPr>
              <w:t>3</w:t>
            </w:r>
            <w:r>
              <w:rPr>
                <w:rFonts w:hint="default" w:ascii="Times New Roman" w:hAnsi="Times New Roman" w:eastAsia="宋体" w:cs="Times New Roman"/>
                <w:sz w:val="24"/>
                <w:highlight w:val="none"/>
                <w:vertAlign w:val="baseline"/>
                <w:lang w:val="en-US" w:eastAsia="zh-CN"/>
              </w:rPr>
              <w:t>、1.069</w:t>
            </w:r>
            <w:r>
              <w:rPr>
                <w:rFonts w:hint="default" w:ascii="Times New Roman" w:hAnsi="Times New Roman" w:eastAsia="宋体" w:cs="Times New Roman"/>
                <w:sz w:val="24"/>
                <w:highlight w:val="none"/>
                <w:lang w:val="en-US" w:eastAsia="zh-CN"/>
              </w:rPr>
              <w:t>g/cm</w:t>
            </w:r>
            <w:r>
              <w:rPr>
                <w:rFonts w:hint="default" w:ascii="Times New Roman" w:hAnsi="Times New Roman" w:eastAsia="宋体" w:cs="Times New Roman"/>
                <w:sz w:val="24"/>
                <w:highlight w:val="none"/>
                <w:vertAlign w:val="superscript"/>
                <w:lang w:val="en-US" w:eastAsia="zh-CN"/>
              </w:rPr>
              <w:t>3</w:t>
            </w:r>
            <w:r>
              <w:rPr>
                <w:rFonts w:hint="default" w:ascii="Times New Roman" w:hAnsi="Times New Roman" w:eastAsia="宋体" w:cs="Times New Roman"/>
                <w:sz w:val="24"/>
                <w:highlight w:val="none"/>
                <w:vertAlign w:val="baseline"/>
                <w:lang w:val="en-US" w:eastAsia="zh-CN"/>
              </w:rPr>
              <w:t>、1.006</w:t>
            </w:r>
            <w:r>
              <w:rPr>
                <w:rFonts w:hint="default" w:ascii="Times New Roman" w:hAnsi="Times New Roman" w:eastAsia="宋体" w:cs="Times New Roman"/>
                <w:sz w:val="24"/>
                <w:highlight w:val="none"/>
                <w:lang w:val="en-US" w:eastAsia="zh-CN"/>
              </w:rPr>
              <w:t>g/cm</w:t>
            </w:r>
            <w:r>
              <w:rPr>
                <w:rFonts w:hint="default" w:ascii="Times New Roman" w:hAnsi="Times New Roman" w:eastAsia="宋体" w:cs="Times New Roman"/>
                <w:sz w:val="24"/>
                <w:highlight w:val="none"/>
                <w:vertAlign w:val="superscript"/>
                <w:lang w:val="en-US" w:eastAsia="zh-CN"/>
              </w:rPr>
              <w:t>3</w:t>
            </w:r>
            <w:r>
              <w:rPr>
                <w:rFonts w:hint="default" w:ascii="Times New Roman" w:hAnsi="Times New Roman" w:eastAsia="宋体" w:cs="Times New Roman"/>
                <w:sz w:val="24"/>
                <w:highlight w:val="none"/>
                <w:vertAlign w:val="baseline"/>
                <w:lang w:val="en-US" w:eastAsia="zh-CN"/>
              </w:rPr>
              <w:t>、0.992</w:t>
            </w:r>
            <w:r>
              <w:rPr>
                <w:rFonts w:hint="default" w:ascii="Times New Roman" w:hAnsi="Times New Roman" w:eastAsia="宋体" w:cs="Times New Roman"/>
                <w:sz w:val="24"/>
                <w:highlight w:val="none"/>
                <w:lang w:val="en-US" w:eastAsia="zh-CN"/>
              </w:rPr>
              <w:t>g/cm</w:t>
            </w:r>
            <w:r>
              <w:rPr>
                <w:rFonts w:hint="default" w:ascii="Times New Roman" w:hAnsi="Times New Roman" w:eastAsia="宋体" w:cs="Times New Roman"/>
                <w:sz w:val="24"/>
                <w:highlight w:val="none"/>
                <w:vertAlign w:val="superscript"/>
                <w:lang w:val="en-US" w:eastAsia="zh-CN"/>
              </w:rPr>
              <w:t>3</w:t>
            </w:r>
            <w:r>
              <w:rPr>
                <w:rFonts w:hint="default" w:ascii="Times New Roman" w:hAnsi="Times New Roman" w:eastAsia="宋体" w:cs="Times New Roman"/>
                <w:sz w:val="24"/>
                <w:highlight w:val="none"/>
                <w:lang w:val="en-US" w:eastAsia="zh-CN"/>
              </w:rPr>
              <w:t>，年用电解液和N-甲基吡咯烷酮（NMP）58.912 kg，挥发性有机物的产生量按使用量的4%计，则电池组装</w:t>
            </w:r>
            <w:r>
              <w:rPr>
                <w:rFonts w:hint="default" w:ascii="Times New Roman" w:hAnsi="Times New Roman" w:eastAsia="宋体" w:cs="Times New Roman"/>
                <w:kern w:val="2"/>
                <w:sz w:val="24"/>
                <w:szCs w:val="24"/>
                <w:highlight w:val="none"/>
                <w:lang w:val="en-US" w:eastAsia="zh-CN" w:bidi="ar-SA"/>
              </w:rPr>
              <w:t>挥发性有机物的</w:t>
            </w:r>
            <w:r>
              <w:rPr>
                <w:rFonts w:hint="default" w:ascii="Times New Roman" w:hAnsi="Times New Roman" w:eastAsia="宋体" w:cs="Times New Roman"/>
                <w:sz w:val="24"/>
                <w:highlight w:val="none"/>
                <w:lang w:val="en-US" w:eastAsia="zh-CN"/>
              </w:rPr>
              <w:t>产生量为2.3565 kg/a（0.1411kg/h）。</w:t>
            </w:r>
          </w:p>
          <w:p w14:paraId="3CF679D3">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G10挥发性有机废气（浸树脂）</w:t>
            </w:r>
          </w:p>
          <w:p w14:paraId="14C5133C">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纳米晶体材料实验过程使用环氧树脂封装铁芯，每次封装4个铁芯，封装固化3h，年封装80批次，年排放时间240h，每个铁芯需要环氧树脂5-10ml，按最大量计，用环氧树脂3.2L/a，本项目使用环氧树脂胶属于本体性胶粘剂，根据苏州市华测检测技术有限公司的检测报告（报告编号：A2220342909101001E），环氧树脂胶中VOC含量5g/L，则浸树脂</w:t>
            </w:r>
            <w:r>
              <w:rPr>
                <w:rFonts w:hint="default" w:ascii="Times New Roman" w:hAnsi="Times New Roman" w:eastAsia="宋体" w:cs="Times New Roman"/>
                <w:kern w:val="2"/>
                <w:sz w:val="24"/>
                <w:szCs w:val="24"/>
                <w:highlight w:val="none"/>
                <w:lang w:val="en-US" w:eastAsia="zh-CN" w:bidi="ar-SA"/>
              </w:rPr>
              <w:t>挥发性有机物的</w:t>
            </w:r>
            <w:r>
              <w:rPr>
                <w:rFonts w:hint="default" w:ascii="Times New Roman" w:hAnsi="Times New Roman" w:eastAsia="宋体" w:cs="Times New Roman"/>
                <w:sz w:val="24"/>
                <w:highlight w:val="none"/>
                <w:lang w:val="en-US" w:eastAsia="zh-CN"/>
              </w:rPr>
              <w:t>产生量为0.016 kg/a（0.000067 kg/h）。</w:t>
            </w:r>
          </w:p>
          <w:p w14:paraId="50F6ED04">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G11挥发性有机废气（护盒装配）</w:t>
            </w:r>
          </w:p>
          <w:p w14:paraId="6629BA0E">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纳米晶体材料实验过程使用热熔胶在护盒内固定芯卷，每个芯卷用热熔胶2g，年用热熔胶0.64kg，每批次从用胶到固化按1小时计，年护盒固定80批次，年排放时间80h。《排放源统计调查产排污核算方法和系数手册》（公告2021年第24号）中</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34通用设备制造业、35专用设备制造业</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系数手册，粘结工段粘结剂挥发性有机物产污系数为60千克/吨-原料，则本项目护盒芯卷固定挥发性有机物产生量为0.0384kg/a（0.00048kg/h）。</w:t>
            </w:r>
          </w:p>
          <w:p w14:paraId="5ED93724">
            <w:pPr>
              <w:numPr>
                <w:ilvl w:val="0"/>
                <w:numId w:val="48"/>
              </w:numPr>
              <w:adjustRightInd w:val="0"/>
              <w:snapToGrid w:val="0"/>
              <w:spacing w:line="360" w:lineRule="auto"/>
              <w:ind w:left="425" w:leftChars="0" w:hanging="425" w:firstLineChars="0"/>
              <w:jc w:val="center"/>
              <w:rPr>
                <w:rFonts w:hint="default" w:ascii="Times New Roman" w:hAnsi="Times New Roman" w:eastAsia="宋体" w:cs="Times New Roman"/>
              </w:rPr>
            </w:pPr>
            <w:r>
              <w:rPr>
                <w:rFonts w:hint="default" w:ascii="Times New Roman" w:hAnsi="Times New Roman" w:eastAsia="宋体" w:cs="Times New Roman"/>
                <w:b/>
                <w:bCs/>
                <w:color w:val="000000"/>
                <w:kern w:val="0"/>
                <w:sz w:val="24"/>
                <w:szCs w:val="24"/>
                <w:lang w:val="en-US" w:eastAsia="zh-CN" w:bidi="ar"/>
              </w:rPr>
              <w:t>本项目废气源强一览表</w:t>
            </w:r>
          </w:p>
          <w:tbl>
            <w:tblPr>
              <w:tblStyle w:val="18"/>
              <w:tblW w:w="7515"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75"/>
              <w:gridCol w:w="1557"/>
              <w:gridCol w:w="1213"/>
              <w:gridCol w:w="896"/>
              <w:gridCol w:w="1172"/>
              <w:gridCol w:w="1431"/>
              <w:gridCol w:w="771"/>
            </w:tblGrid>
            <w:tr w14:paraId="6741724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475" w:type="dxa"/>
                  <w:tcBorders>
                    <w:tl2br w:val="nil"/>
                    <w:tr2bl w:val="nil"/>
                  </w:tcBorders>
                  <w:vAlign w:val="center"/>
                </w:tcPr>
                <w:p w14:paraId="57154808">
                  <w:pPr>
                    <w:adjustRightInd w:val="0"/>
                    <w:snapToGrid w:val="0"/>
                    <w:spacing w:line="240" w:lineRule="auto"/>
                    <w:jc w:val="center"/>
                    <w:rPr>
                      <w:rFonts w:hint="default" w:ascii="Times New Roman" w:hAnsi="Times New Roman" w:eastAsia="宋体" w:cs="Times New Roman"/>
                      <w:b/>
                      <w:bCs/>
                      <w:sz w:val="21"/>
                      <w:szCs w:val="21"/>
                      <w:highlight w:val="none"/>
                      <w:vertAlign w:val="baseline"/>
                      <w:lang w:val="en-US" w:eastAsia="zh-CN"/>
                    </w:rPr>
                  </w:pPr>
                  <w:r>
                    <w:rPr>
                      <w:rFonts w:hint="default" w:ascii="Times New Roman" w:hAnsi="Times New Roman" w:eastAsia="宋体" w:cs="Times New Roman"/>
                      <w:b/>
                      <w:bCs/>
                      <w:sz w:val="21"/>
                      <w:szCs w:val="21"/>
                      <w:highlight w:val="none"/>
                      <w:vertAlign w:val="baseline"/>
                      <w:lang w:val="en-US" w:eastAsia="zh-CN"/>
                    </w:rPr>
                    <w:t>序号</w:t>
                  </w:r>
                </w:p>
              </w:tc>
              <w:tc>
                <w:tcPr>
                  <w:tcW w:w="1557" w:type="dxa"/>
                  <w:tcBorders>
                    <w:tl2br w:val="nil"/>
                    <w:tr2bl w:val="nil"/>
                  </w:tcBorders>
                  <w:vAlign w:val="center"/>
                </w:tcPr>
                <w:p w14:paraId="0017CB7B">
                  <w:pPr>
                    <w:adjustRightInd w:val="0"/>
                    <w:snapToGrid w:val="0"/>
                    <w:spacing w:line="240" w:lineRule="auto"/>
                    <w:jc w:val="center"/>
                    <w:rPr>
                      <w:rFonts w:hint="default" w:ascii="Times New Roman" w:hAnsi="Times New Roman" w:eastAsia="宋体" w:cs="Times New Roman"/>
                      <w:b/>
                      <w:bCs/>
                      <w:sz w:val="21"/>
                      <w:szCs w:val="21"/>
                      <w:highlight w:val="none"/>
                      <w:vertAlign w:val="baseline"/>
                      <w:lang w:val="en-US" w:eastAsia="zh-CN"/>
                    </w:rPr>
                  </w:pPr>
                  <w:r>
                    <w:rPr>
                      <w:rFonts w:hint="default" w:ascii="Times New Roman" w:hAnsi="Times New Roman" w:eastAsia="宋体" w:cs="Times New Roman"/>
                      <w:b/>
                      <w:bCs/>
                      <w:sz w:val="21"/>
                      <w:szCs w:val="21"/>
                      <w:highlight w:val="none"/>
                      <w:vertAlign w:val="baseline"/>
                      <w:lang w:val="en-US" w:eastAsia="zh-CN"/>
                    </w:rPr>
                    <w:t>污染源</w:t>
                  </w:r>
                </w:p>
              </w:tc>
              <w:tc>
                <w:tcPr>
                  <w:tcW w:w="1213" w:type="dxa"/>
                  <w:tcBorders>
                    <w:tl2br w:val="nil"/>
                    <w:tr2bl w:val="nil"/>
                  </w:tcBorders>
                  <w:vAlign w:val="center"/>
                </w:tcPr>
                <w:p w14:paraId="78EB95E0">
                  <w:pPr>
                    <w:adjustRightInd w:val="0"/>
                    <w:snapToGrid w:val="0"/>
                    <w:spacing w:line="240" w:lineRule="auto"/>
                    <w:jc w:val="center"/>
                    <w:rPr>
                      <w:rFonts w:hint="default" w:ascii="Times New Roman" w:hAnsi="Times New Roman" w:eastAsia="宋体" w:cs="Times New Roman"/>
                      <w:b/>
                      <w:bCs/>
                      <w:sz w:val="21"/>
                      <w:szCs w:val="21"/>
                      <w:highlight w:val="none"/>
                      <w:vertAlign w:val="baseline"/>
                      <w:lang w:val="en-US" w:eastAsia="zh-CN"/>
                    </w:rPr>
                  </w:pPr>
                  <w:r>
                    <w:rPr>
                      <w:rFonts w:hint="default" w:ascii="Times New Roman" w:hAnsi="Times New Roman" w:eastAsia="宋体" w:cs="Times New Roman"/>
                      <w:b/>
                      <w:bCs/>
                      <w:sz w:val="21"/>
                      <w:szCs w:val="21"/>
                      <w:highlight w:val="none"/>
                      <w:vertAlign w:val="baseline"/>
                      <w:lang w:val="en-US" w:eastAsia="zh-CN"/>
                    </w:rPr>
                    <w:t>污染物</w:t>
                  </w:r>
                </w:p>
              </w:tc>
              <w:tc>
                <w:tcPr>
                  <w:tcW w:w="896" w:type="dxa"/>
                  <w:tcBorders>
                    <w:tl2br w:val="nil"/>
                    <w:tr2bl w:val="nil"/>
                  </w:tcBorders>
                  <w:shd w:val="clear" w:color="auto" w:fill="auto"/>
                  <w:vAlign w:val="center"/>
                </w:tcPr>
                <w:p w14:paraId="73330830">
                  <w:pPr>
                    <w:adjustRightInd w:val="0"/>
                    <w:snapToGrid w:val="0"/>
                    <w:spacing w:line="240" w:lineRule="auto"/>
                    <w:jc w:val="center"/>
                    <w:rPr>
                      <w:rFonts w:hint="default" w:ascii="Times New Roman" w:hAnsi="Times New Roman" w:eastAsia="宋体" w:cs="Times New Roman"/>
                      <w:b/>
                      <w:bCs/>
                      <w:sz w:val="21"/>
                      <w:szCs w:val="21"/>
                      <w:highlight w:val="none"/>
                      <w:vertAlign w:val="baseline"/>
                      <w:lang w:val="en-US" w:eastAsia="zh-CN"/>
                    </w:rPr>
                  </w:pPr>
                  <w:r>
                    <w:rPr>
                      <w:rFonts w:hint="default" w:ascii="Times New Roman" w:hAnsi="Times New Roman" w:eastAsia="宋体" w:cs="Times New Roman"/>
                      <w:b/>
                      <w:bCs/>
                      <w:sz w:val="21"/>
                      <w:szCs w:val="21"/>
                      <w:highlight w:val="none"/>
                      <w:vertAlign w:val="baseline"/>
                      <w:lang w:val="en-US" w:eastAsia="zh-CN"/>
                    </w:rPr>
                    <w:t>原辅料</w:t>
                  </w:r>
                </w:p>
                <w:p w14:paraId="144785BD">
                  <w:pPr>
                    <w:adjustRightInd w:val="0"/>
                    <w:snapToGrid w:val="0"/>
                    <w:spacing w:line="240" w:lineRule="auto"/>
                    <w:jc w:val="center"/>
                    <w:rPr>
                      <w:rFonts w:hint="default" w:ascii="Times New Roman" w:hAnsi="Times New Roman" w:eastAsia="宋体" w:cs="Times New Roman"/>
                      <w:b/>
                      <w:bCs/>
                      <w:kern w:val="2"/>
                      <w:sz w:val="21"/>
                      <w:szCs w:val="21"/>
                      <w:highlight w:val="none"/>
                      <w:vertAlign w:val="baseline"/>
                      <w:lang w:val="en-US" w:eastAsia="zh-CN" w:bidi="ar-SA"/>
                    </w:rPr>
                  </w:pPr>
                  <w:r>
                    <w:rPr>
                      <w:rFonts w:hint="default" w:ascii="Times New Roman" w:hAnsi="Times New Roman" w:eastAsia="宋体" w:cs="Times New Roman"/>
                      <w:b/>
                      <w:bCs/>
                      <w:sz w:val="21"/>
                      <w:szCs w:val="21"/>
                      <w:highlight w:val="none"/>
                      <w:vertAlign w:val="baseline"/>
                      <w:lang w:val="en-US" w:eastAsia="zh-CN"/>
                    </w:rPr>
                    <w:t>使用量</w:t>
                  </w:r>
                </w:p>
              </w:tc>
              <w:tc>
                <w:tcPr>
                  <w:tcW w:w="1172" w:type="dxa"/>
                  <w:tcBorders>
                    <w:tl2br w:val="nil"/>
                    <w:tr2bl w:val="nil"/>
                  </w:tcBorders>
                  <w:shd w:val="clear" w:color="auto" w:fill="auto"/>
                  <w:vAlign w:val="center"/>
                </w:tcPr>
                <w:p w14:paraId="464801A3">
                  <w:pPr>
                    <w:adjustRightInd w:val="0"/>
                    <w:snapToGrid w:val="0"/>
                    <w:spacing w:line="240" w:lineRule="auto"/>
                    <w:jc w:val="center"/>
                    <w:rPr>
                      <w:rFonts w:hint="default" w:ascii="Times New Roman" w:hAnsi="Times New Roman" w:eastAsia="宋体" w:cs="Times New Roman"/>
                      <w:b/>
                      <w:bCs/>
                      <w:sz w:val="21"/>
                      <w:szCs w:val="21"/>
                      <w:highlight w:val="none"/>
                      <w:vertAlign w:val="baseline"/>
                      <w:lang w:val="en-US" w:eastAsia="zh-CN"/>
                    </w:rPr>
                  </w:pPr>
                  <w:r>
                    <w:rPr>
                      <w:rFonts w:hint="default" w:ascii="Times New Roman" w:hAnsi="Times New Roman" w:eastAsia="宋体" w:cs="Times New Roman"/>
                      <w:b/>
                      <w:bCs/>
                      <w:sz w:val="21"/>
                      <w:szCs w:val="21"/>
                      <w:highlight w:val="none"/>
                      <w:vertAlign w:val="baseline"/>
                      <w:lang w:val="en-US" w:eastAsia="zh-CN"/>
                    </w:rPr>
                    <w:t>产排污</w:t>
                  </w:r>
                </w:p>
                <w:p w14:paraId="4EF0057E">
                  <w:pPr>
                    <w:adjustRightInd w:val="0"/>
                    <w:snapToGrid w:val="0"/>
                    <w:spacing w:line="240" w:lineRule="auto"/>
                    <w:jc w:val="center"/>
                    <w:rPr>
                      <w:rFonts w:hint="default" w:ascii="Times New Roman" w:hAnsi="Times New Roman" w:eastAsia="宋体" w:cs="Times New Roman"/>
                      <w:b/>
                      <w:bCs/>
                      <w:kern w:val="2"/>
                      <w:sz w:val="21"/>
                      <w:szCs w:val="21"/>
                      <w:highlight w:val="none"/>
                      <w:vertAlign w:val="baseline"/>
                      <w:lang w:val="en-US" w:eastAsia="zh-CN" w:bidi="ar-SA"/>
                    </w:rPr>
                  </w:pPr>
                  <w:r>
                    <w:rPr>
                      <w:rFonts w:hint="default" w:ascii="Times New Roman" w:hAnsi="Times New Roman" w:eastAsia="宋体" w:cs="Times New Roman"/>
                      <w:b/>
                      <w:bCs/>
                      <w:sz w:val="21"/>
                      <w:szCs w:val="21"/>
                      <w:highlight w:val="none"/>
                      <w:vertAlign w:val="baseline"/>
                      <w:lang w:val="en-US" w:eastAsia="zh-CN"/>
                    </w:rPr>
                    <w:t>系数</w:t>
                  </w:r>
                </w:p>
              </w:tc>
              <w:tc>
                <w:tcPr>
                  <w:tcW w:w="1431" w:type="dxa"/>
                  <w:tcBorders>
                    <w:tl2br w:val="nil"/>
                    <w:tr2bl w:val="nil"/>
                  </w:tcBorders>
                  <w:vAlign w:val="center"/>
                </w:tcPr>
                <w:p w14:paraId="3DCAB50C">
                  <w:pPr>
                    <w:adjustRightInd w:val="0"/>
                    <w:snapToGrid w:val="0"/>
                    <w:spacing w:line="240" w:lineRule="auto"/>
                    <w:jc w:val="center"/>
                    <w:rPr>
                      <w:rFonts w:hint="default" w:ascii="Times New Roman" w:hAnsi="Times New Roman" w:eastAsia="宋体" w:cs="Times New Roman"/>
                      <w:b/>
                      <w:bCs/>
                      <w:sz w:val="21"/>
                      <w:szCs w:val="21"/>
                      <w:highlight w:val="none"/>
                      <w:vertAlign w:val="baseline"/>
                      <w:lang w:val="en-US" w:eastAsia="zh-CN"/>
                    </w:rPr>
                  </w:pPr>
                  <w:r>
                    <w:rPr>
                      <w:rFonts w:hint="default" w:ascii="Times New Roman" w:hAnsi="Times New Roman" w:eastAsia="宋体" w:cs="Times New Roman"/>
                      <w:b/>
                      <w:bCs/>
                      <w:sz w:val="21"/>
                      <w:szCs w:val="21"/>
                      <w:highlight w:val="none"/>
                      <w:vertAlign w:val="baseline"/>
                      <w:lang w:val="en-US" w:eastAsia="zh-CN"/>
                    </w:rPr>
                    <w:t>污染物</w:t>
                  </w:r>
                </w:p>
                <w:p w14:paraId="5B8CBE6B">
                  <w:pPr>
                    <w:adjustRightInd w:val="0"/>
                    <w:snapToGrid w:val="0"/>
                    <w:spacing w:line="240" w:lineRule="auto"/>
                    <w:jc w:val="center"/>
                    <w:rPr>
                      <w:rFonts w:hint="default" w:ascii="Times New Roman" w:hAnsi="Times New Roman" w:eastAsia="宋体" w:cs="Times New Roman"/>
                      <w:b/>
                      <w:bCs/>
                      <w:sz w:val="21"/>
                      <w:szCs w:val="21"/>
                      <w:highlight w:val="none"/>
                      <w:vertAlign w:val="baseline"/>
                      <w:lang w:val="en-US" w:eastAsia="zh-CN"/>
                    </w:rPr>
                  </w:pPr>
                  <w:r>
                    <w:rPr>
                      <w:rFonts w:hint="default" w:ascii="Times New Roman" w:hAnsi="Times New Roman" w:eastAsia="宋体" w:cs="Times New Roman"/>
                      <w:b/>
                      <w:bCs/>
                      <w:sz w:val="21"/>
                      <w:szCs w:val="21"/>
                      <w:highlight w:val="none"/>
                      <w:vertAlign w:val="baseline"/>
                      <w:lang w:val="en-US" w:eastAsia="zh-CN"/>
                    </w:rPr>
                    <w:t>产生量</w:t>
                  </w:r>
                </w:p>
              </w:tc>
              <w:tc>
                <w:tcPr>
                  <w:tcW w:w="771" w:type="dxa"/>
                  <w:tcBorders>
                    <w:tl2br w:val="nil"/>
                    <w:tr2bl w:val="nil"/>
                  </w:tcBorders>
                  <w:vAlign w:val="center"/>
                </w:tcPr>
                <w:p w14:paraId="3F0F579D">
                  <w:pPr>
                    <w:adjustRightInd w:val="0"/>
                    <w:snapToGrid w:val="0"/>
                    <w:spacing w:line="240" w:lineRule="auto"/>
                    <w:jc w:val="center"/>
                    <w:rPr>
                      <w:rFonts w:hint="default" w:ascii="Times New Roman" w:hAnsi="Times New Roman" w:eastAsia="宋体" w:cs="Times New Roman"/>
                      <w:b/>
                      <w:bCs/>
                      <w:sz w:val="21"/>
                      <w:szCs w:val="21"/>
                      <w:highlight w:val="none"/>
                      <w:vertAlign w:val="baseline"/>
                      <w:lang w:val="en-US" w:eastAsia="zh-CN"/>
                    </w:rPr>
                  </w:pPr>
                  <w:r>
                    <w:rPr>
                      <w:rFonts w:hint="default" w:ascii="Times New Roman" w:hAnsi="Times New Roman" w:eastAsia="宋体" w:cs="Times New Roman"/>
                      <w:b/>
                      <w:bCs/>
                      <w:sz w:val="21"/>
                      <w:szCs w:val="21"/>
                      <w:highlight w:val="none"/>
                      <w:vertAlign w:val="baseline"/>
                      <w:lang w:val="en-US" w:eastAsia="zh-CN"/>
                    </w:rPr>
                    <w:t>排放时间</w:t>
                  </w:r>
                </w:p>
              </w:tc>
            </w:tr>
            <w:tr w14:paraId="77924CD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87" w:hRule="atLeast"/>
              </w:trPr>
              <w:tc>
                <w:tcPr>
                  <w:tcW w:w="475" w:type="dxa"/>
                  <w:tcBorders>
                    <w:tl2br w:val="nil"/>
                    <w:tr2bl w:val="nil"/>
                  </w:tcBorders>
                  <w:vAlign w:val="center"/>
                </w:tcPr>
                <w:p w14:paraId="65BE81ED">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w:t>
                  </w:r>
                </w:p>
              </w:tc>
              <w:tc>
                <w:tcPr>
                  <w:tcW w:w="1557" w:type="dxa"/>
                  <w:tcBorders>
                    <w:tl2br w:val="nil"/>
                    <w:tr2bl w:val="nil"/>
                  </w:tcBorders>
                  <w:vAlign w:val="center"/>
                </w:tcPr>
                <w:p w14:paraId="5ACF2BF7">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lang w:val="en-US" w:eastAsia="zh-CN"/>
                    </w:rPr>
                    <w:t>G1熔炼废气</w:t>
                  </w:r>
                </w:p>
              </w:tc>
              <w:tc>
                <w:tcPr>
                  <w:tcW w:w="1213" w:type="dxa"/>
                  <w:tcBorders>
                    <w:tl2br w:val="nil"/>
                    <w:tr2bl w:val="nil"/>
                  </w:tcBorders>
                  <w:vAlign w:val="center"/>
                </w:tcPr>
                <w:p w14:paraId="20C7583E">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颗粒物</w:t>
                  </w:r>
                </w:p>
              </w:tc>
              <w:tc>
                <w:tcPr>
                  <w:tcW w:w="896" w:type="dxa"/>
                  <w:tcBorders>
                    <w:tl2br w:val="nil"/>
                    <w:tr2bl w:val="nil"/>
                  </w:tcBorders>
                  <w:vAlign w:val="center"/>
                </w:tcPr>
                <w:p w14:paraId="6CBD4E91">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80kg</w:t>
                  </w:r>
                </w:p>
              </w:tc>
              <w:tc>
                <w:tcPr>
                  <w:tcW w:w="1172" w:type="dxa"/>
                  <w:tcBorders>
                    <w:tl2br w:val="nil"/>
                    <w:tr2bl w:val="nil"/>
                  </w:tcBorders>
                  <w:vAlign w:val="center"/>
                </w:tcPr>
                <w:p w14:paraId="7710B110">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0.479 kg/t-产品</w:t>
                  </w:r>
                </w:p>
              </w:tc>
              <w:tc>
                <w:tcPr>
                  <w:tcW w:w="1431" w:type="dxa"/>
                  <w:tcBorders>
                    <w:tl2br w:val="nil"/>
                    <w:tr2bl w:val="nil"/>
                  </w:tcBorders>
                  <w:vAlign w:val="center"/>
                </w:tcPr>
                <w:p w14:paraId="642D1584">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0.03832 kg/a</w:t>
                  </w:r>
                </w:p>
                <w:p w14:paraId="5E4549BD">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0.001645</w:t>
                  </w:r>
                  <w:r>
                    <w:rPr>
                      <w:rFonts w:hint="default" w:ascii="Times New Roman" w:hAnsi="Times New Roman" w:eastAsia="宋体" w:cs="Times New Roman"/>
                      <w:sz w:val="21"/>
                      <w:szCs w:val="21"/>
                      <w:highlight w:val="none"/>
                      <w:lang w:val="en-US" w:eastAsia="zh-CN"/>
                    </w:rPr>
                    <w:t>kg/h</w:t>
                  </w:r>
                </w:p>
              </w:tc>
              <w:tc>
                <w:tcPr>
                  <w:tcW w:w="771" w:type="dxa"/>
                  <w:tcBorders>
                    <w:tl2br w:val="nil"/>
                    <w:tr2bl w:val="nil"/>
                  </w:tcBorders>
                  <w:vAlign w:val="center"/>
                </w:tcPr>
                <w:p w14:paraId="5CB6ADF9">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23.3h</w:t>
                  </w:r>
                </w:p>
              </w:tc>
            </w:tr>
            <w:tr w14:paraId="6C2E7E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2" w:hRule="atLeast"/>
              </w:trPr>
              <w:tc>
                <w:tcPr>
                  <w:tcW w:w="475" w:type="dxa"/>
                  <w:tcBorders>
                    <w:tl2br w:val="nil"/>
                    <w:tr2bl w:val="nil"/>
                  </w:tcBorders>
                  <w:vAlign w:val="center"/>
                </w:tcPr>
                <w:p w14:paraId="76CFAC69">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w:t>
                  </w:r>
                </w:p>
              </w:tc>
              <w:tc>
                <w:tcPr>
                  <w:tcW w:w="1557" w:type="dxa"/>
                  <w:tcBorders>
                    <w:tl2br w:val="nil"/>
                    <w:tr2bl w:val="nil"/>
                  </w:tcBorders>
                  <w:vAlign w:val="center"/>
                </w:tcPr>
                <w:p w14:paraId="21C0D776">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G2挥发性有机废气（擦拭）</w:t>
                  </w:r>
                </w:p>
              </w:tc>
              <w:tc>
                <w:tcPr>
                  <w:tcW w:w="1213" w:type="dxa"/>
                  <w:tcBorders>
                    <w:tl2br w:val="nil"/>
                    <w:tr2bl w:val="nil"/>
                  </w:tcBorders>
                  <w:vAlign w:val="center"/>
                </w:tcPr>
                <w:p w14:paraId="582DD036">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非甲烷总烃</w:t>
                  </w:r>
                </w:p>
              </w:tc>
              <w:tc>
                <w:tcPr>
                  <w:tcW w:w="896" w:type="dxa"/>
                  <w:tcBorders>
                    <w:tl2br w:val="nil"/>
                    <w:tr2bl w:val="nil"/>
                  </w:tcBorders>
                  <w:vAlign w:val="center"/>
                </w:tcPr>
                <w:p w14:paraId="6F555935">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2.367</w:t>
                  </w:r>
                </w:p>
                <w:p w14:paraId="6BCC5252">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sz w:val="21"/>
                      <w:szCs w:val="21"/>
                      <w:highlight w:val="none"/>
                      <w:vertAlign w:val="baseline"/>
                      <w:lang w:val="en-US" w:eastAsia="zh-CN"/>
                    </w:rPr>
                    <w:t>kg</w:t>
                  </w:r>
                </w:p>
              </w:tc>
              <w:tc>
                <w:tcPr>
                  <w:tcW w:w="1172" w:type="dxa"/>
                  <w:tcBorders>
                    <w:tl2br w:val="nil"/>
                    <w:tr2bl w:val="nil"/>
                  </w:tcBorders>
                  <w:vAlign w:val="center"/>
                </w:tcPr>
                <w:p w14:paraId="4BFCDAD5">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1431" w:type="dxa"/>
                  <w:tcBorders>
                    <w:tl2br w:val="nil"/>
                    <w:tr2bl w:val="nil"/>
                  </w:tcBorders>
                  <w:vAlign w:val="center"/>
                </w:tcPr>
                <w:p w14:paraId="6B8B099E">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2.367 kg/a</w:t>
                  </w:r>
                </w:p>
                <w:p w14:paraId="28E42741">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0.1184 kg/h</w:t>
                  </w:r>
                </w:p>
              </w:tc>
              <w:tc>
                <w:tcPr>
                  <w:tcW w:w="771" w:type="dxa"/>
                  <w:tcBorders>
                    <w:tl2br w:val="nil"/>
                    <w:tr2bl w:val="nil"/>
                  </w:tcBorders>
                  <w:vAlign w:val="center"/>
                </w:tcPr>
                <w:p w14:paraId="0489A19F">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20h</w:t>
                  </w:r>
                </w:p>
              </w:tc>
            </w:tr>
            <w:tr w14:paraId="7B63F8D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1" w:hRule="atLeast"/>
              </w:trPr>
              <w:tc>
                <w:tcPr>
                  <w:tcW w:w="475" w:type="dxa"/>
                  <w:tcBorders>
                    <w:tl2br w:val="nil"/>
                    <w:tr2bl w:val="nil"/>
                  </w:tcBorders>
                  <w:shd w:val="clear" w:color="auto" w:fill="auto"/>
                  <w:vAlign w:val="center"/>
                </w:tcPr>
                <w:p w14:paraId="1A776CE9">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3</w:t>
                  </w:r>
                </w:p>
              </w:tc>
              <w:tc>
                <w:tcPr>
                  <w:tcW w:w="1557" w:type="dxa"/>
                  <w:tcBorders>
                    <w:tl2br w:val="nil"/>
                    <w:tr2bl w:val="nil"/>
                  </w:tcBorders>
                  <w:vAlign w:val="center"/>
                </w:tcPr>
                <w:p w14:paraId="506A4AE3">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G2挥发性有机废气（镶样）</w:t>
                  </w:r>
                </w:p>
              </w:tc>
              <w:tc>
                <w:tcPr>
                  <w:tcW w:w="1213" w:type="dxa"/>
                  <w:tcBorders>
                    <w:tl2br w:val="nil"/>
                    <w:tr2bl w:val="nil"/>
                  </w:tcBorders>
                  <w:shd w:val="clear" w:color="auto" w:fill="auto"/>
                  <w:vAlign w:val="center"/>
                </w:tcPr>
                <w:p w14:paraId="19149632">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非甲烷总烃</w:t>
                  </w:r>
                </w:p>
              </w:tc>
              <w:tc>
                <w:tcPr>
                  <w:tcW w:w="896" w:type="dxa"/>
                  <w:tcBorders>
                    <w:tl2br w:val="nil"/>
                    <w:tr2bl w:val="nil"/>
                  </w:tcBorders>
                  <w:shd w:val="clear" w:color="auto" w:fill="auto"/>
                  <w:vAlign w:val="center"/>
                </w:tcPr>
                <w:p w14:paraId="269B338F">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w:t>
                  </w:r>
                  <w:r>
                    <w:rPr>
                      <w:rFonts w:hint="default" w:ascii="Times New Roman" w:hAnsi="Times New Roman" w:eastAsia="宋体" w:cs="Times New Roman"/>
                      <w:sz w:val="21"/>
                      <w:szCs w:val="21"/>
                      <w:highlight w:val="none"/>
                      <w:vertAlign w:val="baseline"/>
                      <w:lang w:val="en-US" w:eastAsia="zh-CN"/>
                    </w:rPr>
                    <w:t>kg</w:t>
                  </w:r>
                </w:p>
              </w:tc>
              <w:tc>
                <w:tcPr>
                  <w:tcW w:w="1172" w:type="dxa"/>
                  <w:tcBorders>
                    <w:tl2br w:val="nil"/>
                    <w:tr2bl w:val="nil"/>
                  </w:tcBorders>
                  <w:shd w:val="clear" w:color="auto" w:fill="auto"/>
                  <w:vAlign w:val="center"/>
                </w:tcPr>
                <w:p w14:paraId="57667D17">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2.7</w:t>
                  </w:r>
                </w:p>
                <w:p w14:paraId="4AFCB411">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kg/t-产品</w:t>
                  </w:r>
                </w:p>
              </w:tc>
              <w:tc>
                <w:tcPr>
                  <w:tcW w:w="1431" w:type="dxa"/>
                  <w:tcBorders>
                    <w:tl2br w:val="nil"/>
                    <w:tr2bl w:val="nil"/>
                  </w:tcBorders>
                  <w:shd w:val="clear" w:color="auto" w:fill="auto"/>
                  <w:vAlign w:val="center"/>
                </w:tcPr>
                <w:p w14:paraId="351CE6C5">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0.0054 kg/a</w:t>
                  </w:r>
                </w:p>
                <w:p w14:paraId="164C04B5">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0.00027 kg/h</w:t>
                  </w:r>
                </w:p>
              </w:tc>
              <w:tc>
                <w:tcPr>
                  <w:tcW w:w="771" w:type="dxa"/>
                  <w:tcBorders>
                    <w:tl2br w:val="nil"/>
                    <w:tr2bl w:val="nil"/>
                  </w:tcBorders>
                  <w:shd w:val="clear" w:color="auto" w:fill="auto"/>
                  <w:vAlign w:val="center"/>
                </w:tcPr>
                <w:p w14:paraId="36EF2251">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20h</w:t>
                  </w:r>
                </w:p>
              </w:tc>
            </w:tr>
            <w:tr w14:paraId="75C5E8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71" w:hRule="atLeast"/>
              </w:trPr>
              <w:tc>
                <w:tcPr>
                  <w:tcW w:w="475" w:type="dxa"/>
                  <w:vMerge w:val="restart"/>
                  <w:tcBorders>
                    <w:tl2br w:val="nil"/>
                    <w:tr2bl w:val="nil"/>
                  </w:tcBorders>
                  <w:vAlign w:val="center"/>
                </w:tcPr>
                <w:p w14:paraId="32D2E1A8">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4</w:t>
                  </w:r>
                </w:p>
              </w:tc>
              <w:tc>
                <w:tcPr>
                  <w:tcW w:w="1557" w:type="dxa"/>
                  <w:vMerge w:val="restart"/>
                  <w:tcBorders>
                    <w:tl2br w:val="nil"/>
                    <w:tr2bl w:val="nil"/>
                  </w:tcBorders>
                  <w:vAlign w:val="center"/>
                </w:tcPr>
                <w:p w14:paraId="39C7DE4A">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G2挥发性有机废气（晶界腐蚀）</w:t>
                  </w:r>
                </w:p>
              </w:tc>
              <w:tc>
                <w:tcPr>
                  <w:tcW w:w="1213" w:type="dxa"/>
                  <w:tcBorders>
                    <w:tl2br w:val="nil"/>
                    <w:tr2bl w:val="nil"/>
                  </w:tcBorders>
                  <w:vAlign w:val="center"/>
                </w:tcPr>
                <w:p w14:paraId="36650BD8">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非甲烷总烃</w:t>
                  </w:r>
                </w:p>
              </w:tc>
              <w:tc>
                <w:tcPr>
                  <w:tcW w:w="896" w:type="dxa"/>
                  <w:tcBorders>
                    <w:tl2br w:val="nil"/>
                    <w:tr2bl w:val="nil"/>
                  </w:tcBorders>
                  <w:vAlign w:val="center"/>
                </w:tcPr>
                <w:p w14:paraId="1A1BD3AE">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1.515</w:t>
                  </w:r>
                </w:p>
                <w:p w14:paraId="5039E71D">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vertAlign w:val="baseline"/>
                      <w:lang w:val="en-US" w:eastAsia="zh-CN"/>
                    </w:rPr>
                    <w:t>kg</w:t>
                  </w:r>
                </w:p>
              </w:tc>
              <w:tc>
                <w:tcPr>
                  <w:tcW w:w="1172" w:type="dxa"/>
                  <w:tcBorders>
                    <w:tl2br w:val="nil"/>
                    <w:tr2bl w:val="nil"/>
                  </w:tcBorders>
                  <w:vAlign w:val="center"/>
                </w:tcPr>
                <w:p w14:paraId="285D5F50">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4%</w:t>
                  </w:r>
                </w:p>
              </w:tc>
              <w:tc>
                <w:tcPr>
                  <w:tcW w:w="1431" w:type="dxa"/>
                  <w:tcBorders>
                    <w:tl2br w:val="nil"/>
                    <w:tr2bl w:val="nil"/>
                  </w:tcBorders>
                  <w:vAlign w:val="center"/>
                </w:tcPr>
                <w:p w14:paraId="245A71E4">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0.0606 kg/a</w:t>
                  </w:r>
                </w:p>
                <w:p w14:paraId="2110FBE1">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0.00904 kg/h</w:t>
                  </w:r>
                </w:p>
              </w:tc>
              <w:tc>
                <w:tcPr>
                  <w:tcW w:w="771" w:type="dxa"/>
                  <w:vMerge w:val="restart"/>
                  <w:tcBorders>
                    <w:tl2br w:val="nil"/>
                    <w:tr2bl w:val="nil"/>
                  </w:tcBorders>
                  <w:vAlign w:val="center"/>
                </w:tcPr>
                <w:p w14:paraId="6B5C1A2F">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6.7h</w:t>
                  </w:r>
                </w:p>
              </w:tc>
            </w:tr>
            <w:tr w14:paraId="5AD56D0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475" w:type="dxa"/>
                  <w:vMerge w:val="continue"/>
                  <w:tcBorders>
                    <w:tl2br w:val="nil"/>
                    <w:tr2bl w:val="nil"/>
                  </w:tcBorders>
                  <w:shd w:val="clear" w:color="auto" w:fill="auto"/>
                  <w:vAlign w:val="center"/>
                </w:tcPr>
                <w:p w14:paraId="7B9242FC">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p>
              </w:tc>
              <w:tc>
                <w:tcPr>
                  <w:tcW w:w="1557" w:type="dxa"/>
                  <w:vMerge w:val="continue"/>
                  <w:tcBorders>
                    <w:tl2br w:val="nil"/>
                    <w:tr2bl w:val="nil"/>
                  </w:tcBorders>
                  <w:vAlign w:val="center"/>
                </w:tcPr>
                <w:p w14:paraId="68AFF607">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p>
              </w:tc>
              <w:tc>
                <w:tcPr>
                  <w:tcW w:w="1213" w:type="dxa"/>
                  <w:tcBorders>
                    <w:tl2br w:val="nil"/>
                    <w:tr2bl w:val="nil"/>
                  </w:tcBorders>
                  <w:vAlign w:val="center"/>
                </w:tcPr>
                <w:p w14:paraId="269BBC3D">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硝酸（以氮氧化物计）</w:t>
                  </w:r>
                </w:p>
              </w:tc>
              <w:tc>
                <w:tcPr>
                  <w:tcW w:w="896" w:type="dxa"/>
                  <w:tcBorders>
                    <w:tl2br w:val="nil"/>
                    <w:tr2bl w:val="nil"/>
                  </w:tcBorders>
                  <w:vAlign w:val="center"/>
                </w:tcPr>
                <w:p w14:paraId="24729146">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0.12</w:t>
                  </w:r>
                  <w:r>
                    <w:rPr>
                      <w:rFonts w:hint="default" w:ascii="Times New Roman" w:hAnsi="Times New Roman" w:eastAsia="宋体" w:cs="Times New Roman"/>
                      <w:sz w:val="21"/>
                      <w:szCs w:val="21"/>
                      <w:highlight w:val="none"/>
                      <w:vertAlign w:val="baseline"/>
                      <w:lang w:val="en-US" w:eastAsia="zh-CN"/>
                    </w:rPr>
                    <w:t>kg</w:t>
                  </w:r>
                </w:p>
              </w:tc>
              <w:tc>
                <w:tcPr>
                  <w:tcW w:w="1172" w:type="dxa"/>
                  <w:tcBorders>
                    <w:tl2br w:val="nil"/>
                    <w:tr2bl w:val="nil"/>
                  </w:tcBorders>
                  <w:vAlign w:val="center"/>
                </w:tcPr>
                <w:p w14:paraId="057C265A">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4%</w:t>
                  </w:r>
                </w:p>
              </w:tc>
              <w:tc>
                <w:tcPr>
                  <w:tcW w:w="1431" w:type="dxa"/>
                  <w:tcBorders>
                    <w:tl2br w:val="nil"/>
                    <w:tr2bl w:val="nil"/>
                  </w:tcBorders>
                  <w:vAlign w:val="center"/>
                </w:tcPr>
                <w:p w14:paraId="2406C1BE">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0.0048 kg/a 0.00072 kg/h</w:t>
                  </w:r>
                </w:p>
              </w:tc>
              <w:tc>
                <w:tcPr>
                  <w:tcW w:w="771" w:type="dxa"/>
                  <w:vMerge w:val="continue"/>
                  <w:tcBorders>
                    <w:tl2br w:val="nil"/>
                    <w:tr2bl w:val="nil"/>
                  </w:tcBorders>
                  <w:vAlign w:val="center"/>
                </w:tcPr>
                <w:p w14:paraId="49707C0D">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p>
              </w:tc>
            </w:tr>
            <w:tr w14:paraId="1C48740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29" w:hRule="atLeast"/>
              </w:trPr>
              <w:tc>
                <w:tcPr>
                  <w:tcW w:w="475" w:type="dxa"/>
                  <w:vMerge w:val="restart"/>
                  <w:tcBorders>
                    <w:tl2br w:val="nil"/>
                    <w:tr2bl w:val="nil"/>
                  </w:tcBorders>
                  <w:shd w:val="clear" w:color="auto" w:fill="auto"/>
                  <w:vAlign w:val="center"/>
                </w:tcPr>
                <w:p w14:paraId="709A7B41">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5</w:t>
                  </w:r>
                </w:p>
              </w:tc>
              <w:tc>
                <w:tcPr>
                  <w:tcW w:w="1557" w:type="dxa"/>
                  <w:vMerge w:val="restart"/>
                  <w:tcBorders>
                    <w:tl2br w:val="nil"/>
                    <w:tr2bl w:val="nil"/>
                  </w:tcBorders>
                  <w:vAlign w:val="center"/>
                </w:tcPr>
                <w:p w14:paraId="2C04C111">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G3挥发性无机废气（酸解）、G4检测废气</w:t>
                  </w:r>
                </w:p>
              </w:tc>
              <w:tc>
                <w:tcPr>
                  <w:tcW w:w="1213" w:type="dxa"/>
                  <w:tcBorders>
                    <w:tl2br w:val="nil"/>
                    <w:tr2bl w:val="nil"/>
                  </w:tcBorders>
                  <w:vAlign w:val="center"/>
                </w:tcPr>
                <w:p w14:paraId="181FCC97">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氯化氢</w:t>
                  </w:r>
                </w:p>
              </w:tc>
              <w:tc>
                <w:tcPr>
                  <w:tcW w:w="896" w:type="dxa"/>
                  <w:tcBorders>
                    <w:tl2br w:val="nil"/>
                    <w:tr2bl w:val="nil"/>
                  </w:tcBorders>
                  <w:vAlign w:val="center"/>
                </w:tcPr>
                <w:p w14:paraId="3DA51641">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0.4248</w:t>
                  </w:r>
                  <w:r>
                    <w:rPr>
                      <w:rFonts w:hint="default" w:ascii="Times New Roman" w:hAnsi="Times New Roman" w:eastAsia="宋体" w:cs="Times New Roman"/>
                      <w:sz w:val="21"/>
                      <w:szCs w:val="21"/>
                      <w:highlight w:val="none"/>
                      <w:vertAlign w:val="baseline"/>
                      <w:lang w:val="en-US" w:eastAsia="zh-CN"/>
                    </w:rPr>
                    <w:t>kg</w:t>
                  </w:r>
                </w:p>
              </w:tc>
              <w:tc>
                <w:tcPr>
                  <w:tcW w:w="1172" w:type="dxa"/>
                  <w:vMerge w:val="restart"/>
                  <w:tcBorders>
                    <w:tl2br w:val="nil"/>
                    <w:tr2bl w:val="nil"/>
                  </w:tcBorders>
                  <w:vAlign w:val="center"/>
                </w:tcPr>
                <w:p w14:paraId="7087FFD3">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4%</w:t>
                  </w:r>
                </w:p>
              </w:tc>
              <w:tc>
                <w:tcPr>
                  <w:tcW w:w="1431" w:type="dxa"/>
                  <w:tcBorders>
                    <w:tl2br w:val="nil"/>
                    <w:tr2bl w:val="nil"/>
                  </w:tcBorders>
                  <w:vAlign w:val="center"/>
                </w:tcPr>
                <w:p w14:paraId="3C284955">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0.01699kg/a</w:t>
                  </w:r>
                </w:p>
                <w:p w14:paraId="1AC9CD83">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0.00017 kg/h</w:t>
                  </w:r>
                </w:p>
              </w:tc>
              <w:tc>
                <w:tcPr>
                  <w:tcW w:w="771" w:type="dxa"/>
                  <w:vMerge w:val="restart"/>
                  <w:tcBorders>
                    <w:tl2br w:val="nil"/>
                    <w:tr2bl w:val="nil"/>
                  </w:tcBorders>
                  <w:vAlign w:val="center"/>
                </w:tcPr>
                <w:p w14:paraId="7E09BD86">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100h</w:t>
                  </w:r>
                </w:p>
              </w:tc>
            </w:tr>
            <w:tr w14:paraId="7FAC09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475" w:type="dxa"/>
                  <w:vMerge w:val="continue"/>
                  <w:tcBorders>
                    <w:tl2br w:val="nil"/>
                    <w:tr2bl w:val="nil"/>
                  </w:tcBorders>
                  <w:shd w:val="clear" w:color="auto" w:fill="auto"/>
                  <w:vAlign w:val="center"/>
                </w:tcPr>
                <w:p w14:paraId="1552E0A5">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p>
              </w:tc>
              <w:tc>
                <w:tcPr>
                  <w:tcW w:w="1557" w:type="dxa"/>
                  <w:vMerge w:val="continue"/>
                  <w:tcBorders>
                    <w:tl2br w:val="nil"/>
                    <w:tr2bl w:val="nil"/>
                  </w:tcBorders>
                  <w:vAlign w:val="center"/>
                </w:tcPr>
                <w:p w14:paraId="6F7F99D3">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p>
              </w:tc>
              <w:tc>
                <w:tcPr>
                  <w:tcW w:w="1213" w:type="dxa"/>
                  <w:tcBorders>
                    <w:tl2br w:val="nil"/>
                    <w:tr2bl w:val="nil"/>
                  </w:tcBorders>
                  <w:vAlign w:val="center"/>
                </w:tcPr>
                <w:p w14:paraId="2BF1A823">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硝酸（以氮氧化物计）</w:t>
                  </w:r>
                </w:p>
              </w:tc>
              <w:tc>
                <w:tcPr>
                  <w:tcW w:w="896" w:type="dxa"/>
                  <w:tcBorders>
                    <w:tl2br w:val="nil"/>
                    <w:tr2bl w:val="nil"/>
                  </w:tcBorders>
                  <w:vAlign w:val="center"/>
                </w:tcPr>
                <w:p w14:paraId="53D9C960">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0.4808</w:t>
                  </w:r>
                </w:p>
                <w:p w14:paraId="3C1CE9E1">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vertAlign w:val="baseline"/>
                      <w:lang w:val="en-US" w:eastAsia="zh-CN"/>
                    </w:rPr>
                    <w:t>kg</w:t>
                  </w:r>
                </w:p>
              </w:tc>
              <w:tc>
                <w:tcPr>
                  <w:tcW w:w="1172" w:type="dxa"/>
                  <w:vMerge w:val="continue"/>
                  <w:tcBorders>
                    <w:tl2br w:val="nil"/>
                    <w:tr2bl w:val="nil"/>
                  </w:tcBorders>
                  <w:vAlign w:val="center"/>
                </w:tcPr>
                <w:p w14:paraId="63D751A9">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p>
              </w:tc>
              <w:tc>
                <w:tcPr>
                  <w:tcW w:w="1431" w:type="dxa"/>
                  <w:tcBorders>
                    <w:tl2br w:val="nil"/>
                    <w:tr2bl w:val="nil"/>
                  </w:tcBorders>
                  <w:vAlign w:val="center"/>
                </w:tcPr>
                <w:p w14:paraId="7AC63993">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0.01923kg/a</w:t>
                  </w:r>
                </w:p>
                <w:p w14:paraId="0514B95C">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0.00019kg/h</w:t>
                  </w:r>
                </w:p>
              </w:tc>
              <w:tc>
                <w:tcPr>
                  <w:tcW w:w="771" w:type="dxa"/>
                  <w:vMerge w:val="continue"/>
                  <w:tcBorders>
                    <w:tl2br w:val="nil"/>
                    <w:tr2bl w:val="nil"/>
                  </w:tcBorders>
                  <w:vAlign w:val="center"/>
                </w:tcPr>
                <w:p w14:paraId="380E29E5">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p>
              </w:tc>
            </w:tr>
            <w:tr w14:paraId="3B2BCD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475" w:type="dxa"/>
                  <w:vMerge w:val="restart"/>
                  <w:tcBorders>
                    <w:tl2br w:val="nil"/>
                    <w:tr2bl w:val="nil"/>
                  </w:tcBorders>
                  <w:shd w:val="clear" w:color="auto" w:fill="auto"/>
                  <w:vAlign w:val="center"/>
                </w:tcPr>
                <w:p w14:paraId="3E19A755">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6</w:t>
                  </w:r>
                </w:p>
                <w:p w14:paraId="35F739BE">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p>
              </w:tc>
              <w:tc>
                <w:tcPr>
                  <w:tcW w:w="1557" w:type="dxa"/>
                  <w:vMerge w:val="restart"/>
                  <w:tcBorders>
                    <w:tl2br w:val="nil"/>
                    <w:tr2bl w:val="nil"/>
                  </w:tcBorders>
                  <w:vAlign w:val="center"/>
                </w:tcPr>
                <w:p w14:paraId="736BEF23">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lang w:val="en-US" w:eastAsia="zh-CN"/>
                    </w:rPr>
                    <w:t>G5无机含氨废气（沉淀反应）</w:t>
                  </w:r>
                </w:p>
              </w:tc>
              <w:tc>
                <w:tcPr>
                  <w:tcW w:w="1213" w:type="dxa"/>
                  <w:tcBorders>
                    <w:tl2br w:val="nil"/>
                    <w:tr2bl w:val="nil"/>
                  </w:tcBorders>
                  <w:vAlign w:val="center"/>
                </w:tcPr>
                <w:p w14:paraId="72F5B8B1">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氨</w:t>
                  </w:r>
                </w:p>
              </w:tc>
              <w:tc>
                <w:tcPr>
                  <w:tcW w:w="896" w:type="dxa"/>
                  <w:tcBorders>
                    <w:tl2br w:val="nil"/>
                    <w:tr2bl w:val="nil"/>
                  </w:tcBorders>
                  <w:vAlign w:val="center"/>
                </w:tcPr>
                <w:p w14:paraId="15D5672B">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45.35kg</w:t>
                  </w:r>
                </w:p>
              </w:tc>
              <w:tc>
                <w:tcPr>
                  <w:tcW w:w="1172" w:type="dxa"/>
                  <w:tcBorders>
                    <w:tl2br w:val="nil"/>
                    <w:tr2bl w:val="nil"/>
                  </w:tcBorders>
                  <w:vAlign w:val="center"/>
                </w:tcPr>
                <w:p w14:paraId="3614CF0C">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4%</w:t>
                  </w:r>
                </w:p>
              </w:tc>
              <w:tc>
                <w:tcPr>
                  <w:tcW w:w="1431" w:type="dxa"/>
                  <w:tcBorders>
                    <w:tl2br w:val="nil"/>
                    <w:tr2bl w:val="nil"/>
                  </w:tcBorders>
                  <w:vAlign w:val="center"/>
                </w:tcPr>
                <w:p w14:paraId="702F76AF">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1.814 kg/a</w:t>
                  </w:r>
                </w:p>
                <w:p w14:paraId="54086313">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lang w:val="en-US" w:eastAsia="zh-CN"/>
                    </w:rPr>
                    <w:t>0.001209kg/h</w:t>
                  </w:r>
                </w:p>
              </w:tc>
              <w:tc>
                <w:tcPr>
                  <w:tcW w:w="771" w:type="dxa"/>
                  <w:vMerge w:val="restart"/>
                  <w:tcBorders>
                    <w:tl2br w:val="nil"/>
                    <w:tr2bl w:val="nil"/>
                  </w:tcBorders>
                  <w:vAlign w:val="center"/>
                </w:tcPr>
                <w:p w14:paraId="7A2F9D92">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1500h</w:t>
                  </w:r>
                </w:p>
              </w:tc>
            </w:tr>
            <w:tr w14:paraId="4802DD2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475" w:type="dxa"/>
                  <w:vMerge w:val="continue"/>
                  <w:tcBorders>
                    <w:tl2br w:val="nil"/>
                    <w:tr2bl w:val="nil"/>
                  </w:tcBorders>
                  <w:shd w:val="clear" w:color="auto" w:fill="auto"/>
                  <w:vAlign w:val="center"/>
                </w:tcPr>
                <w:p w14:paraId="5AC18BD1">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p>
              </w:tc>
              <w:tc>
                <w:tcPr>
                  <w:tcW w:w="1557" w:type="dxa"/>
                  <w:vMerge w:val="continue"/>
                  <w:tcBorders>
                    <w:tl2br w:val="nil"/>
                    <w:tr2bl w:val="nil"/>
                  </w:tcBorders>
                  <w:vAlign w:val="center"/>
                </w:tcPr>
                <w:p w14:paraId="4E4168EF">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p>
              </w:tc>
              <w:tc>
                <w:tcPr>
                  <w:tcW w:w="1213" w:type="dxa"/>
                  <w:tcBorders>
                    <w:tl2br w:val="nil"/>
                    <w:tr2bl w:val="nil"/>
                  </w:tcBorders>
                  <w:vAlign w:val="center"/>
                </w:tcPr>
                <w:p w14:paraId="69BD353D">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氟</w:t>
                  </w:r>
                </w:p>
              </w:tc>
              <w:tc>
                <w:tcPr>
                  <w:tcW w:w="896" w:type="dxa"/>
                  <w:tcBorders>
                    <w:tl2br w:val="nil"/>
                    <w:tr2bl w:val="nil"/>
                  </w:tcBorders>
                  <w:vAlign w:val="center"/>
                </w:tcPr>
                <w:p w14:paraId="03A46649">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4.37</w:t>
                  </w:r>
                  <w:r>
                    <w:rPr>
                      <w:rFonts w:hint="default" w:ascii="Times New Roman" w:hAnsi="Times New Roman" w:eastAsia="宋体" w:cs="Times New Roman"/>
                      <w:sz w:val="21"/>
                      <w:szCs w:val="21"/>
                      <w:highlight w:val="none"/>
                      <w:vertAlign w:val="baseline"/>
                      <w:lang w:val="en-US" w:eastAsia="zh-CN"/>
                    </w:rPr>
                    <w:t>kg</w:t>
                  </w:r>
                </w:p>
              </w:tc>
              <w:tc>
                <w:tcPr>
                  <w:tcW w:w="1172" w:type="dxa"/>
                  <w:tcBorders>
                    <w:tl2br w:val="nil"/>
                    <w:tr2bl w:val="nil"/>
                  </w:tcBorders>
                  <w:vAlign w:val="center"/>
                </w:tcPr>
                <w:p w14:paraId="67E20FAB">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4%</w:t>
                  </w:r>
                </w:p>
              </w:tc>
              <w:tc>
                <w:tcPr>
                  <w:tcW w:w="1431" w:type="dxa"/>
                  <w:tcBorders>
                    <w:tl2br w:val="nil"/>
                    <w:tr2bl w:val="nil"/>
                  </w:tcBorders>
                  <w:vAlign w:val="center"/>
                </w:tcPr>
                <w:p w14:paraId="3C979B46">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0.175</w:t>
                  </w:r>
                  <w:r>
                    <w:rPr>
                      <w:rFonts w:hint="default" w:ascii="Times New Roman" w:hAnsi="Times New Roman" w:eastAsia="宋体" w:cs="Times New Roman"/>
                      <w:sz w:val="21"/>
                      <w:szCs w:val="21"/>
                      <w:highlight w:val="none"/>
                      <w:lang w:val="en-US" w:eastAsia="zh-CN"/>
                    </w:rPr>
                    <w:t>kg/a</w:t>
                  </w:r>
                </w:p>
                <w:p w14:paraId="3F46295B">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w:t>
                  </w:r>
                  <w:r>
                    <w:rPr>
                      <w:rFonts w:hint="eastAsia" w:ascii="Times New Roman" w:hAnsi="Times New Roman" w:eastAsia="宋体" w:cs="Times New Roman"/>
                      <w:sz w:val="21"/>
                      <w:szCs w:val="21"/>
                      <w:highlight w:val="none"/>
                      <w:lang w:val="en-US" w:eastAsia="zh-CN"/>
                    </w:rPr>
                    <w:t>012</w:t>
                  </w:r>
                  <w:r>
                    <w:rPr>
                      <w:rFonts w:hint="default" w:ascii="Times New Roman" w:hAnsi="Times New Roman" w:eastAsia="宋体" w:cs="Times New Roman"/>
                      <w:sz w:val="21"/>
                      <w:szCs w:val="21"/>
                      <w:highlight w:val="none"/>
                      <w:lang w:val="en-US" w:eastAsia="zh-CN"/>
                    </w:rPr>
                    <w:t>kg/h</w:t>
                  </w:r>
                </w:p>
              </w:tc>
              <w:tc>
                <w:tcPr>
                  <w:tcW w:w="771" w:type="dxa"/>
                  <w:vMerge w:val="continue"/>
                  <w:tcBorders>
                    <w:tl2br w:val="nil"/>
                    <w:tr2bl w:val="nil"/>
                  </w:tcBorders>
                  <w:vAlign w:val="center"/>
                </w:tcPr>
                <w:p w14:paraId="42227317">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r>
            <w:tr w14:paraId="40653BF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475" w:type="dxa"/>
                  <w:tcBorders>
                    <w:tl2br w:val="nil"/>
                    <w:tr2bl w:val="nil"/>
                  </w:tcBorders>
                  <w:shd w:val="clear" w:color="auto" w:fill="auto"/>
                  <w:vAlign w:val="center"/>
                </w:tcPr>
                <w:p w14:paraId="6DC34EF1">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7</w:t>
                  </w:r>
                </w:p>
              </w:tc>
              <w:tc>
                <w:tcPr>
                  <w:tcW w:w="1557" w:type="dxa"/>
                  <w:tcBorders>
                    <w:tl2br w:val="nil"/>
                    <w:tr2bl w:val="nil"/>
                  </w:tcBorders>
                  <w:vAlign w:val="center"/>
                </w:tcPr>
                <w:p w14:paraId="58248C0E">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G6其他颗粒物（喷雾干燥）</w:t>
                  </w:r>
                </w:p>
              </w:tc>
              <w:tc>
                <w:tcPr>
                  <w:tcW w:w="1213" w:type="dxa"/>
                  <w:tcBorders>
                    <w:tl2br w:val="nil"/>
                    <w:tr2bl w:val="nil"/>
                  </w:tcBorders>
                  <w:vAlign w:val="center"/>
                </w:tcPr>
                <w:p w14:paraId="46EA0357">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颗粒物</w:t>
                  </w:r>
                </w:p>
              </w:tc>
              <w:tc>
                <w:tcPr>
                  <w:tcW w:w="896" w:type="dxa"/>
                  <w:tcBorders>
                    <w:tl2br w:val="nil"/>
                    <w:tr2bl w:val="nil"/>
                  </w:tcBorders>
                  <w:vAlign w:val="center"/>
                </w:tcPr>
                <w:p w14:paraId="0532BA6A">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20kg</w:t>
                  </w:r>
                </w:p>
              </w:tc>
              <w:tc>
                <w:tcPr>
                  <w:tcW w:w="1172" w:type="dxa"/>
                  <w:tcBorders>
                    <w:tl2br w:val="nil"/>
                    <w:tr2bl w:val="nil"/>
                  </w:tcBorders>
                  <w:vAlign w:val="center"/>
                </w:tcPr>
                <w:p w14:paraId="4A27BF47">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0.1%</w:t>
                  </w:r>
                </w:p>
              </w:tc>
              <w:tc>
                <w:tcPr>
                  <w:tcW w:w="1431" w:type="dxa"/>
                  <w:tcBorders>
                    <w:tl2br w:val="nil"/>
                    <w:tr2bl w:val="nil"/>
                  </w:tcBorders>
                  <w:vAlign w:val="center"/>
                </w:tcPr>
                <w:p w14:paraId="48707134">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0.2kg/a</w:t>
                  </w:r>
                </w:p>
                <w:p w14:paraId="7D3243C9">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0.002kg/h</w:t>
                  </w:r>
                </w:p>
              </w:tc>
              <w:tc>
                <w:tcPr>
                  <w:tcW w:w="771" w:type="dxa"/>
                  <w:tcBorders>
                    <w:tl2br w:val="nil"/>
                    <w:tr2bl w:val="nil"/>
                  </w:tcBorders>
                  <w:vAlign w:val="center"/>
                </w:tcPr>
                <w:p w14:paraId="1141D2F1">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100h</w:t>
                  </w:r>
                </w:p>
              </w:tc>
            </w:tr>
            <w:tr w14:paraId="3BE814A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475" w:type="dxa"/>
                  <w:vMerge w:val="restart"/>
                  <w:tcBorders>
                    <w:tl2br w:val="nil"/>
                    <w:tr2bl w:val="nil"/>
                  </w:tcBorders>
                  <w:shd w:val="clear" w:color="auto" w:fill="auto"/>
                  <w:vAlign w:val="center"/>
                </w:tcPr>
                <w:p w14:paraId="054C8C2E">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8</w:t>
                  </w:r>
                </w:p>
              </w:tc>
              <w:tc>
                <w:tcPr>
                  <w:tcW w:w="1557" w:type="dxa"/>
                  <w:vMerge w:val="restart"/>
                  <w:tcBorders>
                    <w:tl2br w:val="nil"/>
                    <w:tr2bl w:val="nil"/>
                  </w:tcBorders>
                  <w:vAlign w:val="center"/>
                </w:tcPr>
                <w:p w14:paraId="4EA37921">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G7/G8其他颗粒物、镍及其化合物（锂源、前驱体混合、粉碎）</w:t>
                  </w:r>
                </w:p>
              </w:tc>
              <w:tc>
                <w:tcPr>
                  <w:tcW w:w="1213" w:type="dxa"/>
                  <w:tcBorders>
                    <w:tl2br w:val="nil"/>
                    <w:tr2bl w:val="nil"/>
                  </w:tcBorders>
                  <w:vAlign w:val="center"/>
                </w:tcPr>
                <w:p w14:paraId="29239B44">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颗粒物</w:t>
                  </w:r>
                </w:p>
              </w:tc>
              <w:tc>
                <w:tcPr>
                  <w:tcW w:w="896" w:type="dxa"/>
                  <w:vMerge w:val="restart"/>
                  <w:tcBorders>
                    <w:tl2br w:val="nil"/>
                    <w:tr2bl w:val="nil"/>
                  </w:tcBorders>
                  <w:vAlign w:val="center"/>
                </w:tcPr>
                <w:p w14:paraId="1DD85D65">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50kg</w:t>
                  </w:r>
                </w:p>
              </w:tc>
              <w:tc>
                <w:tcPr>
                  <w:tcW w:w="1172" w:type="dxa"/>
                  <w:vMerge w:val="restart"/>
                  <w:tcBorders>
                    <w:tl2br w:val="nil"/>
                    <w:tr2bl w:val="nil"/>
                  </w:tcBorders>
                  <w:vAlign w:val="center"/>
                </w:tcPr>
                <w:p w14:paraId="3D911C17">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1.89千克/吨-产品</w:t>
                  </w:r>
                </w:p>
              </w:tc>
              <w:tc>
                <w:tcPr>
                  <w:tcW w:w="1431" w:type="dxa"/>
                  <w:tcBorders>
                    <w:tl2br w:val="nil"/>
                    <w:tr2bl w:val="nil"/>
                  </w:tcBorders>
                  <w:vAlign w:val="center"/>
                </w:tcPr>
                <w:p w14:paraId="08BF00B3">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0.0945kg/a</w:t>
                  </w:r>
                </w:p>
                <w:p w14:paraId="03700625">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0.00189kg/h</w:t>
                  </w:r>
                </w:p>
              </w:tc>
              <w:tc>
                <w:tcPr>
                  <w:tcW w:w="771" w:type="dxa"/>
                  <w:vMerge w:val="restart"/>
                  <w:tcBorders>
                    <w:tl2br w:val="nil"/>
                    <w:tr2bl w:val="nil"/>
                  </w:tcBorders>
                  <w:vAlign w:val="center"/>
                </w:tcPr>
                <w:p w14:paraId="0BD673D8">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50h</w:t>
                  </w:r>
                </w:p>
              </w:tc>
            </w:tr>
            <w:tr w14:paraId="4A94577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475" w:type="dxa"/>
                  <w:vMerge w:val="continue"/>
                  <w:tcBorders>
                    <w:tl2br w:val="nil"/>
                    <w:tr2bl w:val="nil"/>
                  </w:tcBorders>
                  <w:shd w:val="clear" w:color="auto" w:fill="auto"/>
                  <w:vAlign w:val="center"/>
                </w:tcPr>
                <w:p w14:paraId="5C8A67FE">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p>
              </w:tc>
              <w:tc>
                <w:tcPr>
                  <w:tcW w:w="1557" w:type="dxa"/>
                  <w:vMerge w:val="continue"/>
                  <w:tcBorders>
                    <w:tl2br w:val="nil"/>
                    <w:tr2bl w:val="nil"/>
                  </w:tcBorders>
                  <w:vAlign w:val="center"/>
                </w:tcPr>
                <w:p w14:paraId="62FA443A">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p>
              </w:tc>
              <w:tc>
                <w:tcPr>
                  <w:tcW w:w="1213" w:type="dxa"/>
                  <w:tcBorders>
                    <w:tl2br w:val="nil"/>
                    <w:tr2bl w:val="nil"/>
                  </w:tcBorders>
                  <w:vAlign w:val="center"/>
                </w:tcPr>
                <w:p w14:paraId="3E3963EC">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镍及其化合物</w:t>
                  </w:r>
                </w:p>
              </w:tc>
              <w:tc>
                <w:tcPr>
                  <w:tcW w:w="896" w:type="dxa"/>
                  <w:vMerge w:val="continue"/>
                  <w:tcBorders>
                    <w:tl2br w:val="nil"/>
                    <w:tr2bl w:val="nil"/>
                  </w:tcBorders>
                  <w:vAlign w:val="center"/>
                </w:tcPr>
                <w:p w14:paraId="7344A9F0">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p>
              </w:tc>
              <w:tc>
                <w:tcPr>
                  <w:tcW w:w="1172" w:type="dxa"/>
                  <w:vMerge w:val="continue"/>
                  <w:tcBorders>
                    <w:tl2br w:val="nil"/>
                    <w:tr2bl w:val="nil"/>
                  </w:tcBorders>
                  <w:vAlign w:val="center"/>
                </w:tcPr>
                <w:p w14:paraId="429A9B96">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p>
              </w:tc>
              <w:tc>
                <w:tcPr>
                  <w:tcW w:w="1431" w:type="dxa"/>
                  <w:tcBorders>
                    <w:tl2br w:val="nil"/>
                    <w:tr2bl w:val="nil"/>
                  </w:tcBorders>
                  <w:vAlign w:val="center"/>
                </w:tcPr>
                <w:p w14:paraId="73BD7E71">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0.04725kg/a</w:t>
                  </w:r>
                </w:p>
                <w:p w14:paraId="6187CE5F">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0.000945kg/h</w:t>
                  </w:r>
                </w:p>
              </w:tc>
              <w:tc>
                <w:tcPr>
                  <w:tcW w:w="771" w:type="dxa"/>
                  <w:vMerge w:val="continue"/>
                  <w:tcBorders>
                    <w:tl2br w:val="nil"/>
                    <w:tr2bl w:val="nil"/>
                  </w:tcBorders>
                  <w:vAlign w:val="center"/>
                </w:tcPr>
                <w:p w14:paraId="1D40ECFE">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r>
            <w:tr w14:paraId="7D7F19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475" w:type="dxa"/>
                  <w:tcBorders>
                    <w:tl2br w:val="nil"/>
                    <w:tr2bl w:val="nil"/>
                  </w:tcBorders>
                  <w:shd w:val="clear" w:color="auto" w:fill="auto"/>
                  <w:vAlign w:val="center"/>
                </w:tcPr>
                <w:p w14:paraId="3BFE63D1">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sz w:val="21"/>
                      <w:szCs w:val="21"/>
                      <w:highlight w:val="none"/>
                      <w:vertAlign w:val="baseline"/>
                      <w:lang w:val="en-US" w:eastAsia="zh-CN"/>
                    </w:rPr>
                    <w:t>9</w:t>
                  </w:r>
                </w:p>
              </w:tc>
              <w:tc>
                <w:tcPr>
                  <w:tcW w:w="1557" w:type="dxa"/>
                  <w:tcBorders>
                    <w:tl2br w:val="nil"/>
                    <w:tr2bl w:val="nil"/>
                  </w:tcBorders>
                  <w:vAlign w:val="center"/>
                </w:tcPr>
                <w:p w14:paraId="7718C9C9">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G9挥发性有机废气（电池组装）</w:t>
                  </w:r>
                </w:p>
              </w:tc>
              <w:tc>
                <w:tcPr>
                  <w:tcW w:w="1213" w:type="dxa"/>
                  <w:tcBorders>
                    <w:tl2br w:val="nil"/>
                    <w:tr2bl w:val="nil"/>
                  </w:tcBorders>
                  <w:vAlign w:val="center"/>
                </w:tcPr>
                <w:p w14:paraId="1CEB2FB5">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非甲烷总烃</w:t>
                  </w:r>
                </w:p>
              </w:tc>
              <w:tc>
                <w:tcPr>
                  <w:tcW w:w="896" w:type="dxa"/>
                  <w:tcBorders>
                    <w:tl2br w:val="nil"/>
                    <w:tr2bl w:val="nil"/>
                  </w:tcBorders>
                  <w:vAlign w:val="center"/>
                </w:tcPr>
                <w:p w14:paraId="0BDFEC93">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58.912 kg</w:t>
                  </w:r>
                </w:p>
              </w:tc>
              <w:tc>
                <w:tcPr>
                  <w:tcW w:w="1172" w:type="dxa"/>
                  <w:tcBorders>
                    <w:tl2br w:val="nil"/>
                    <w:tr2bl w:val="nil"/>
                  </w:tcBorders>
                  <w:vAlign w:val="center"/>
                </w:tcPr>
                <w:p w14:paraId="79277504">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4%</w:t>
                  </w:r>
                </w:p>
              </w:tc>
              <w:tc>
                <w:tcPr>
                  <w:tcW w:w="1431" w:type="dxa"/>
                  <w:tcBorders>
                    <w:tl2br w:val="nil"/>
                    <w:tr2bl w:val="nil"/>
                  </w:tcBorders>
                  <w:vAlign w:val="center"/>
                </w:tcPr>
                <w:p w14:paraId="634B9061">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2.3565 kg/a</w:t>
                  </w:r>
                </w:p>
                <w:p w14:paraId="04D61C39">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0.1411 kg/h</w:t>
                  </w:r>
                </w:p>
              </w:tc>
              <w:tc>
                <w:tcPr>
                  <w:tcW w:w="771" w:type="dxa"/>
                  <w:tcBorders>
                    <w:tl2br w:val="nil"/>
                    <w:tr2bl w:val="nil"/>
                  </w:tcBorders>
                  <w:vAlign w:val="center"/>
                </w:tcPr>
                <w:p w14:paraId="1CEF4BDF">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16.7</w:t>
                  </w:r>
                </w:p>
              </w:tc>
            </w:tr>
            <w:tr w14:paraId="27F3065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049" w:hRule="atLeast"/>
              </w:trPr>
              <w:tc>
                <w:tcPr>
                  <w:tcW w:w="475" w:type="dxa"/>
                  <w:tcBorders>
                    <w:tl2br w:val="nil"/>
                    <w:tr2bl w:val="nil"/>
                  </w:tcBorders>
                  <w:shd w:val="clear" w:color="auto" w:fill="auto"/>
                  <w:vAlign w:val="center"/>
                </w:tcPr>
                <w:p w14:paraId="35E60A07">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sz w:val="21"/>
                      <w:szCs w:val="21"/>
                      <w:highlight w:val="none"/>
                      <w:vertAlign w:val="baseline"/>
                      <w:lang w:val="en-US" w:eastAsia="zh-CN"/>
                    </w:rPr>
                    <w:t>10</w:t>
                  </w:r>
                </w:p>
              </w:tc>
              <w:tc>
                <w:tcPr>
                  <w:tcW w:w="1557" w:type="dxa"/>
                  <w:tcBorders>
                    <w:tl2br w:val="nil"/>
                    <w:tr2bl w:val="nil"/>
                  </w:tcBorders>
                  <w:vAlign w:val="center"/>
                </w:tcPr>
                <w:p w14:paraId="60B51C9C">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G10挥发性有机废气（浸树脂）</w:t>
                  </w:r>
                </w:p>
              </w:tc>
              <w:tc>
                <w:tcPr>
                  <w:tcW w:w="1213" w:type="dxa"/>
                  <w:tcBorders>
                    <w:tl2br w:val="nil"/>
                    <w:tr2bl w:val="nil"/>
                  </w:tcBorders>
                  <w:vAlign w:val="center"/>
                </w:tcPr>
                <w:p w14:paraId="5BFC99CC">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非甲烷总烃</w:t>
                  </w:r>
                </w:p>
              </w:tc>
              <w:tc>
                <w:tcPr>
                  <w:tcW w:w="896" w:type="dxa"/>
                  <w:tcBorders>
                    <w:tl2br w:val="nil"/>
                    <w:tr2bl w:val="nil"/>
                  </w:tcBorders>
                  <w:vAlign w:val="center"/>
                </w:tcPr>
                <w:p w14:paraId="5811BC7E">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3.2L</w:t>
                  </w:r>
                </w:p>
              </w:tc>
              <w:tc>
                <w:tcPr>
                  <w:tcW w:w="1172" w:type="dxa"/>
                  <w:tcBorders>
                    <w:tl2br w:val="nil"/>
                    <w:tr2bl w:val="nil"/>
                  </w:tcBorders>
                  <w:vAlign w:val="center"/>
                </w:tcPr>
                <w:p w14:paraId="554ECC4B">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5g/L</w:t>
                  </w:r>
                </w:p>
              </w:tc>
              <w:tc>
                <w:tcPr>
                  <w:tcW w:w="1431" w:type="dxa"/>
                  <w:tcBorders>
                    <w:tl2br w:val="nil"/>
                    <w:tr2bl w:val="nil"/>
                  </w:tcBorders>
                  <w:vAlign w:val="center"/>
                </w:tcPr>
                <w:p w14:paraId="55E9EFEE">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0.016 kg/a</w:t>
                  </w:r>
                </w:p>
                <w:p w14:paraId="18B7DAB3">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0.000067 kg/h</w:t>
                  </w:r>
                </w:p>
              </w:tc>
              <w:tc>
                <w:tcPr>
                  <w:tcW w:w="771" w:type="dxa"/>
                  <w:tcBorders>
                    <w:tl2br w:val="nil"/>
                    <w:tr2bl w:val="nil"/>
                  </w:tcBorders>
                  <w:vAlign w:val="center"/>
                </w:tcPr>
                <w:p w14:paraId="3CF8D3F8">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240h</w:t>
                  </w:r>
                </w:p>
              </w:tc>
            </w:tr>
            <w:tr w14:paraId="7E9766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01" w:hRule="atLeast"/>
              </w:trPr>
              <w:tc>
                <w:tcPr>
                  <w:tcW w:w="475" w:type="dxa"/>
                  <w:tcBorders>
                    <w:tl2br w:val="nil"/>
                    <w:tr2bl w:val="nil"/>
                  </w:tcBorders>
                  <w:vAlign w:val="center"/>
                </w:tcPr>
                <w:p w14:paraId="698187FD">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11</w:t>
                  </w:r>
                </w:p>
              </w:tc>
              <w:tc>
                <w:tcPr>
                  <w:tcW w:w="1557" w:type="dxa"/>
                  <w:tcBorders>
                    <w:tl2br w:val="nil"/>
                    <w:tr2bl w:val="nil"/>
                  </w:tcBorders>
                  <w:vAlign w:val="center"/>
                </w:tcPr>
                <w:p w14:paraId="12EC6F7D">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lang w:val="en-US" w:eastAsia="zh-CN"/>
                    </w:rPr>
                    <w:t>G11挥发性有机废气（护盒装配）</w:t>
                  </w:r>
                </w:p>
              </w:tc>
              <w:tc>
                <w:tcPr>
                  <w:tcW w:w="1213" w:type="dxa"/>
                  <w:tcBorders>
                    <w:tl2br w:val="nil"/>
                    <w:tr2bl w:val="nil"/>
                  </w:tcBorders>
                  <w:vAlign w:val="center"/>
                </w:tcPr>
                <w:p w14:paraId="62ED12B5">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lang w:val="en-US" w:eastAsia="zh-CN"/>
                    </w:rPr>
                    <w:t>非甲烷总烃</w:t>
                  </w:r>
                </w:p>
              </w:tc>
              <w:tc>
                <w:tcPr>
                  <w:tcW w:w="896" w:type="dxa"/>
                  <w:tcBorders>
                    <w:tl2br w:val="nil"/>
                    <w:tr2bl w:val="nil"/>
                  </w:tcBorders>
                  <w:vAlign w:val="center"/>
                </w:tcPr>
                <w:p w14:paraId="2B1E22B0">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lang w:val="en-US" w:eastAsia="zh-CN"/>
                    </w:rPr>
                    <w:t>0.64kg</w:t>
                  </w:r>
                </w:p>
              </w:tc>
              <w:tc>
                <w:tcPr>
                  <w:tcW w:w="1172" w:type="dxa"/>
                  <w:tcBorders>
                    <w:tl2br w:val="nil"/>
                    <w:tr2bl w:val="nil"/>
                  </w:tcBorders>
                  <w:vAlign w:val="center"/>
                </w:tcPr>
                <w:p w14:paraId="04D13929">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lang w:val="en-US" w:eastAsia="zh-CN"/>
                    </w:rPr>
                    <w:t>60千克/吨-原料</w:t>
                  </w:r>
                </w:p>
              </w:tc>
              <w:tc>
                <w:tcPr>
                  <w:tcW w:w="1431" w:type="dxa"/>
                  <w:tcBorders>
                    <w:tl2br w:val="nil"/>
                    <w:tr2bl w:val="nil"/>
                  </w:tcBorders>
                  <w:vAlign w:val="center"/>
                </w:tcPr>
                <w:p w14:paraId="201866BA">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0.0384 kg/a</w:t>
                  </w:r>
                </w:p>
                <w:p w14:paraId="005F024E">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lang w:val="en-US" w:eastAsia="zh-CN"/>
                    </w:rPr>
                    <w:t>0.00048 kg/h</w:t>
                  </w:r>
                </w:p>
              </w:tc>
              <w:tc>
                <w:tcPr>
                  <w:tcW w:w="771" w:type="dxa"/>
                  <w:tcBorders>
                    <w:tl2br w:val="nil"/>
                    <w:tr2bl w:val="nil"/>
                  </w:tcBorders>
                  <w:vAlign w:val="center"/>
                </w:tcPr>
                <w:p w14:paraId="032BC8AD">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80h</w:t>
                  </w:r>
                </w:p>
              </w:tc>
            </w:tr>
          </w:tbl>
          <w:p w14:paraId="283D4380">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（2）废气</w:t>
            </w:r>
            <w:r>
              <w:rPr>
                <w:rFonts w:hint="eastAsia" w:cs="Times New Roman"/>
                <w:sz w:val="24"/>
                <w:highlight w:val="none"/>
                <w:lang w:val="en-US" w:eastAsia="zh-CN"/>
              </w:rPr>
              <w:t>收集排放</w:t>
            </w:r>
            <w:r>
              <w:rPr>
                <w:rFonts w:hint="default" w:ascii="Times New Roman" w:hAnsi="Times New Roman" w:eastAsia="宋体" w:cs="Times New Roman"/>
                <w:sz w:val="24"/>
                <w:highlight w:val="none"/>
                <w:lang w:val="en-US" w:eastAsia="zh-CN"/>
              </w:rPr>
              <w:t xml:space="preserve">情况 </w:t>
            </w:r>
          </w:p>
          <w:p w14:paraId="0820A811">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G1熔炼废气：</w:t>
            </w:r>
          </w:p>
          <w:p w14:paraId="2AC49E4A">
            <w:pPr>
              <w:adjustRightInd w:val="0"/>
              <w:snapToGri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szCs w:val="24"/>
                <w:highlight w:val="none"/>
                <w:lang w:val="en-US" w:eastAsia="zh-CN"/>
              </w:rPr>
              <w:t>金属材料实验感应电炉/电阻炉、</w:t>
            </w:r>
            <w:r>
              <w:rPr>
                <w:rFonts w:hint="default" w:ascii="Times New Roman" w:hAnsi="Times New Roman" w:eastAsia="宋体" w:cs="Times New Roman"/>
                <w:color w:val="auto"/>
                <w:sz w:val="24"/>
                <w:highlight w:val="none"/>
                <w:lang w:val="en-US" w:eastAsia="zh-CN"/>
              </w:rPr>
              <w:t>模具上方设置集气罩，G1熔炼废气经集气罩收集后进入</w:t>
            </w:r>
            <w:r>
              <w:rPr>
                <w:rFonts w:hint="eastAsia" w:cs="Times New Roman"/>
                <w:color w:val="auto"/>
                <w:sz w:val="24"/>
                <w:highlight w:val="none"/>
                <w:lang w:val="en-US" w:eastAsia="zh-CN"/>
              </w:rPr>
              <w:t>干式过滤器器（TA001）</w:t>
            </w:r>
            <w:r>
              <w:rPr>
                <w:rFonts w:hint="default" w:ascii="Times New Roman" w:hAnsi="Times New Roman" w:eastAsia="宋体" w:cs="Times New Roman"/>
                <w:color w:val="auto"/>
                <w:sz w:val="24"/>
                <w:highlight w:val="none"/>
                <w:lang w:val="en-US" w:eastAsia="zh-CN"/>
              </w:rPr>
              <w:t>处理后经DA00</w:t>
            </w:r>
            <w:r>
              <w:rPr>
                <w:rFonts w:hint="eastAsia" w:cs="Times New Roman"/>
                <w:color w:val="auto"/>
                <w:sz w:val="24"/>
                <w:highlight w:val="none"/>
                <w:lang w:val="en-US" w:eastAsia="zh-CN"/>
              </w:rPr>
              <w:t>1</w:t>
            </w:r>
            <w:r>
              <w:rPr>
                <w:rFonts w:hint="default" w:ascii="Times New Roman" w:hAnsi="Times New Roman" w:eastAsia="宋体" w:cs="Times New Roman"/>
                <w:color w:val="auto"/>
                <w:sz w:val="24"/>
                <w:highlight w:val="none"/>
                <w:lang w:val="en-US" w:eastAsia="zh-CN"/>
              </w:rPr>
              <w:t>排放。</w:t>
            </w:r>
          </w:p>
          <w:p w14:paraId="710F2818">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G2挥发性有机废气（擦拭、晶界腐蚀、镶样）：</w:t>
            </w:r>
          </w:p>
          <w:p w14:paraId="6FDF3A90">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color w:val="auto"/>
                <w:sz w:val="24"/>
                <w:szCs w:val="24"/>
                <w:highlight w:val="none"/>
                <w:lang w:val="en-US" w:eastAsia="zh-CN"/>
              </w:rPr>
              <w:t>金属材料实验样块擦拭、晶界腐蚀、镶样在通风橱内进行，</w:t>
            </w:r>
            <w:r>
              <w:rPr>
                <w:rFonts w:hint="default" w:ascii="Times New Roman" w:hAnsi="Times New Roman" w:eastAsia="宋体" w:cs="Times New Roman"/>
                <w:sz w:val="24"/>
                <w:highlight w:val="none"/>
                <w:lang w:val="en-US" w:eastAsia="zh-CN"/>
              </w:rPr>
              <w:t>G2挥发性有机废气经通风橱收集后进入</w:t>
            </w:r>
            <w:r>
              <w:rPr>
                <w:rFonts w:hint="eastAsia" w:cs="Times New Roman"/>
                <w:sz w:val="24"/>
                <w:highlight w:val="none"/>
                <w:lang w:val="en-US" w:eastAsia="zh-CN"/>
              </w:rPr>
              <w:t>干式过滤器（TA002）</w:t>
            </w:r>
            <w:r>
              <w:rPr>
                <w:rFonts w:hint="default" w:ascii="Times New Roman" w:hAnsi="Times New Roman" w:eastAsia="宋体" w:cs="Times New Roman"/>
                <w:sz w:val="24"/>
                <w:highlight w:val="none"/>
                <w:lang w:val="en-US" w:eastAsia="zh-CN"/>
              </w:rPr>
              <w:t>处理后经DA00</w:t>
            </w:r>
            <w:r>
              <w:rPr>
                <w:rFonts w:hint="eastAsia" w:cs="Times New Roman"/>
                <w:sz w:val="24"/>
                <w:highlight w:val="none"/>
                <w:lang w:val="en-US" w:eastAsia="zh-CN"/>
              </w:rPr>
              <w:t>2</w:t>
            </w:r>
            <w:r>
              <w:rPr>
                <w:rFonts w:hint="default" w:ascii="Times New Roman" w:hAnsi="Times New Roman" w:eastAsia="宋体" w:cs="Times New Roman"/>
                <w:sz w:val="24"/>
                <w:highlight w:val="none"/>
                <w:lang w:val="en-US" w:eastAsia="zh-CN"/>
              </w:rPr>
              <w:t>排放。</w:t>
            </w:r>
          </w:p>
          <w:p w14:paraId="1E360EC1">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G3挥发性无机废气（酸解）、G4检测废气：</w:t>
            </w:r>
          </w:p>
          <w:p w14:paraId="5DB042BA">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金属材料样品酸解在通风橱内进行，光谱仪上方设集气罩，酸解废气、检测废气分别经通风橱、集气罩收集后</w:t>
            </w:r>
            <w:r>
              <w:rPr>
                <w:rFonts w:hint="default" w:ascii="Times New Roman" w:hAnsi="Times New Roman" w:eastAsia="宋体" w:cs="Times New Roman"/>
                <w:sz w:val="24"/>
                <w:highlight w:val="none"/>
                <w:lang w:val="en-US" w:eastAsia="zh-CN"/>
              </w:rPr>
              <w:t>进入喷淋塔</w:t>
            </w:r>
            <w:r>
              <w:rPr>
                <w:rFonts w:hint="eastAsia" w:cs="Times New Roman"/>
                <w:sz w:val="24"/>
                <w:highlight w:val="none"/>
                <w:lang w:val="en-US" w:eastAsia="zh-CN"/>
              </w:rPr>
              <w:t>(TA003)</w:t>
            </w:r>
            <w:r>
              <w:rPr>
                <w:rFonts w:hint="default" w:ascii="Times New Roman" w:hAnsi="Times New Roman" w:eastAsia="宋体" w:cs="Times New Roman"/>
                <w:sz w:val="24"/>
                <w:highlight w:val="none"/>
                <w:lang w:val="en-US" w:eastAsia="zh-CN"/>
              </w:rPr>
              <w:t>处理后经DA00</w:t>
            </w:r>
            <w:r>
              <w:rPr>
                <w:rFonts w:hint="eastAsia" w:cs="Times New Roman"/>
                <w:sz w:val="24"/>
                <w:highlight w:val="none"/>
                <w:lang w:val="en-US" w:eastAsia="zh-CN"/>
              </w:rPr>
              <w:t>3</w:t>
            </w:r>
            <w:r>
              <w:rPr>
                <w:rFonts w:hint="default" w:ascii="Times New Roman" w:hAnsi="Times New Roman" w:eastAsia="宋体" w:cs="Times New Roman"/>
                <w:sz w:val="24"/>
                <w:highlight w:val="none"/>
                <w:lang w:val="en-US" w:eastAsia="zh-CN"/>
              </w:rPr>
              <w:t>排放。</w:t>
            </w:r>
          </w:p>
          <w:p w14:paraId="229468C6">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G5无机含氨</w:t>
            </w:r>
            <w:r>
              <w:rPr>
                <w:rFonts w:hint="eastAsia" w:cs="Times New Roman"/>
                <w:sz w:val="24"/>
                <w:highlight w:val="none"/>
                <w:lang w:val="en-US" w:eastAsia="zh-CN"/>
              </w:rPr>
              <w:t>含氟</w:t>
            </w:r>
            <w:r>
              <w:rPr>
                <w:rFonts w:hint="default" w:ascii="Times New Roman" w:hAnsi="Times New Roman" w:eastAsia="宋体" w:cs="Times New Roman"/>
                <w:sz w:val="24"/>
                <w:highlight w:val="none"/>
                <w:lang w:val="en-US" w:eastAsia="zh-CN"/>
              </w:rPr>
              <w:t>废气（沉淀反应）：</w:t>
            </w:r>
          </w:p>
          <w:p w14:paraId="502281C5">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电池材料实验共沉淀反应罐上方设置集气罩，无机含氨</w:t>
            </w:r>
            <w:r>
              <w:rPr>
                <w:rFonts w:hint="eastAsia" w:cs="Times New Roman"/>
                <w:sz w:val="24"/>
                <w:highlight w:val="none"/>
                <w:lang w:val="en-US" w:eastAsia="zh-CN"/>
              </w:rPr>
              <w:t>含氟</w:t>
            </w:r>
            <w:r>
              <w:rPr>
                <w:rFonts w:hint="default" w:ascii="Times New Roman" w:hAnsi="Times New Roman" w:eastAsia="宋体" w:cs="Times New Roman"/>
                <w:sz w:val="24"/>
                <w:highlight w:val="none"/>
                <w:lang w:val="en-US" w:eastAsia="zh-CN"/>
              </w:rPr>
              <w:t>废气经集气罩收集进入喷淋塔</w:t>
            </w:r>
            <w:r>
              <w:rPr>
                <w:rFonts w:hint="eastAsia" w:cs="Times New Roman"/>
                <w:sz w:val="24"/>
                <w:highlight w:val="none"/>
                <w:lang w:val="en-US" w:eastAsia="zh-CN"/>
              </w:rPr>
              <w:t>(TA003)</w:t>
            </w:r>
            <w:r>
              <w:rPr>
                <w:rFonts w:hint="default" w:ascii="Times New Roman" w:hAnsi="Times New Roman" w:eastAsia="宋体" w:cs="Times New Roman"/>
                <w:sz w:val="24"/>
                <w:highlight w:val="none"/>
                <w:lang w:val="en-US" w:eastAsia="zh-CN"/>
              </w:rPr>
              <w:t>处理后经DA00</w:t>
            </w:r>
            <w:r>
              <w:rPr>
                <w:rFonts w:hint="eastAsia" w:cs="Times New Roman"/>
                <w:sz w:val="24"/>
                <w:highlight w:val="none"/>
                <w:lang w:val="en-US" w:eastAsia="zh-CN"/>
              </w:rPr>
              <w:t>3</w:t>
            </w:r>
            <w:r>
              <w:rPr>
                <w:rFonts w:hint="default" w:ascii="Times New Roman" w:hAnsi="Times New Roman" w:eastAsia="宋体" w:cs="Times New Roman"/>
                <w:sz w:val="24"/>
                <w:highlight w:val="none"/>
                <w:lang w:val="en-US" w:eastAsia="zh-CN"/>
              </w:rPr>
              <w:t>排放。</w:t>
            </w:r>
          </w:p>
          <w:p w14:paraId="17C597BA">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G6颗粒物（喷雾干燥）：</w:t>
            </w:r>
          </w:p>
          <w:p w14:paraId="68379736">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喷雾干燥机干燥后粉体产品经旋风+布袋收集后无组织排放。</w:t>
            </w:r>
          </w:p>
          <w:p w14:paraId="530D56D1">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G7/G8其他颗粒物、镍及其化合物（锂源、前驱体混合、粉碎）</w:t>
            </w:r>
          </w:p>
          <w:p w14:paraId="4EEDED06">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分别在混合机、粉碎机上方设置集气罩，混合、粉碎过程产生的颗粒物、镍及其化合物经集气罩收集进</w:t>
            </w:r>
            <w:r>
              <w:rPr>
                <w:rFonts w:hint="eastAsia" w:cs="Times New Roman"/>
                <w:sz w:val="24"/>
                <w:highlight w:val="none"/>
                <w:lang w:val="en-US" w:eastAsia="zh-CN"/>
              </w:rPr>
              <w:t>袋式除尘器（TA001）</w:t>
            </w:r>
            <w:r>
              <w:rPr>
                <w:rFonts w:hint="default" w:ascii="Times New Roman" w:hAnsi="Times New Roman" w:eastAsia="宋体" w:cs="Times New Roman"/>
                <w:sz w:val="24"/>
                <w:highlight w:val="none"/>
                <w:lang w:val="en-US" w:eastAsia="zh-CN"/>
              </w:rPr>
              <w:t>处理后经DA00</w:t>
            </w:r>
            <w:r>
              <w:rPr>
                <w:rFonts w:hint="eastAsia" w:cs="Times New Roman"/>
                <w:sz w:val="24"/>
                <w:highlight w:val="none"/>
                <w:lang w:val="en-US" w:eastAsia="zh-CN"/>
              </w:rPr>
              <w:t>1</w:t>
            </w:r>
            <w:r>
              <w:rPr>
                <w:rFonts w:hint="default" w:ascii="Times New Roman" w:hAnsi="Times New Roman" w:eastAsia="宋体" w:cs="Times New Roman"/>
                <w:sz w:val="24"/>
                <w:highlight w:val="none"/>
                <w:lang w:val="en-US" w:eastAsia="zh-CN"/>
              </w:rPr>
              <w:t>排放。</w:t>
            </w:r>
          </w:p>
          <w:p w14:paraId="46294628">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G9挥发性有机废气（电池组装）：</w:t>
            </w:r>
          </w:p>
          <w:p w14:paraId="39B7E8C3">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电池组装在手套箱内进行，在手套箱排气孔上方设集气罩，挥发性有机废气经集气罩收集后进入</w:t>
            </w:r>
            <w:r>
              <w:rPr>
                <w:rFonts w:hint="eastAsia" w:cs="Times New Roman"/>
                <w:sz w:val="24"/>
                <w:highlight w:val="none"/>
                <w:lang w:val="en-US" w:eastAsia="zh-CN"/>
              </w:rPr>
              <w:t>干式过滤器（TA004）</w:t>
            </w:r>
            <w:r>
              <w:rPr>
                <w:rFonts w:hint="default" w:ascii="Times New Roman" w:hAnsi="Times New Roman" w:eastAsia="宋体" w:cs="Times New Roman"/>
                <w:sz w:val="24"/>
                <w:highlight w:val="none"/>
                <w:lang w:val="en-US" w:eastAsia="zh-CN"/>
              </w:rPr>
              <w:t>处理后经DA00</w:t>
            </w:r>
            <w:r>
              <w:rPr>
                <w:rFonts w:hint="eastAsia" w:cs="Times New Roman"/>
                <w:sz w:val="24"/>
                <w:highlight w:val="none"/>
                <w:lang w:val="en-US" w:eastAsia="zh-CN"/>
              </w:rPr>
              <w:t>4</w:t>
            </w:r>
            <w:r>
              <w:rPr>
                <w:rFonts w:hint="default" w:ascii="Times New Roman" w:hAnsi="Times New Roman" w:eastAsia="宋体" w:cs="Times New Roman"/>
                <w:sz w:val="24"/>
                <w:highlight w:val="none"/>
                <w:lang w:val="en-US" w:eastAsia="zh-CN"/>
              </w:rPr>
              <w:t>排放。</w:t>
            </w:r>
          </w:p>
          <w:p w14:paraId="220B0D93">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G10挥发性有机废气（浸树脂）、G11挥发性有机废气（护盒装配）：</w:t>
            </w:r>
          </w:p>
          <w:p w14:paraId="4127A8D8">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纳米晶体材料实验浸树脂、护盒装配操作台上方设置集气罩，有机气经集气罩收集后进入</w:t>
            </w:r>
            <w:r>
              <w:rPr>
                <w:rFonts w:hint="eastAsia" w:cs="Times New Roman"/>
                <w:sz w:val="24"/>
                <w:highlight w:val="none"/>
                <w:lang w:val="en-US" w:eastAsia="zh-CN"/>
              </w:rPr>
              <w:t>干式过滤器（TA004）</w:t>
            </w:r>
            <w:r>
              <w:rPr>
                <w:rFonts w:hint="default" w:ascii="Times New Roman" w:hAnsi="Times New Roman" w:eastAsia="宋体" w:cs="Times New Roman"/>
                <w:sz w:val="24"/>
                <w:highlight w:val="none"/>
                <w:lang w:val="en-US" w:eastAsia="zh-CN"/>
              </w:rPr>
              <w:t>处理后经DA00</w:t>
            </w:r>
            <w:r>
              <w:rPr>
                <w:rFonts w:hint="eastAsia" w:cs="Times New Roman"/>
                <w:sz w:val="24"/>
                <w:highlight w:val="none"/>
                <w:lang w:val="en-US" w:eastAsia="zh-CN"/>
              </w:rPr>
              <w:t>4</w:t>
            </w:r>
            <w:r>
              <w:rPr>
                <w:rFonts w:hint="default" w:ascii="Times New Roman" w:hAnsi="Times New Roman" w:eastAsia="宋体" w:cs="Times New Roman"/>
                <w:sz w:val="24"/>
                <w:highlight w:val="none"/>
                <w:lang w:val="en-US" w:eastAsia="zh-CN"/>
              </w:rPr>
              <w:t>排放。</w:t>
            </w:r>
          </w:p>
          <w:p w14:paraId="1F3DA94A">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危化品间产生的有机、无机废气经干式过滤器（TA005）</w:t>
            </w:r>
            <w:r>
              <w:rPr>
                <w:rFonts w:hint="default" w:ascii="Times New Roman" w:hAnsi="Times New Roman" w:eastAsia="宋体" w:cs="Times New Roman"/>
                <w:sz w:val="24"/>
                <w:highlight w:val="none"/>
                <w:lang w:val="en-US" w:eastAsia="zh-CN"/>
              </w:rPr>
              <w:t>处理后经DA00</w:t>
            </w:r>
            <w:r>
              <w:rPr>
                <w:rFonts w:hint="eastAsia" w:cs="Times New Roman"/>
                <w:sz w:val="24"/>
                <w:highlight w:val="none"/>
                <w:lang w:val="en-US" w:eastAsia="zh-CN"/>
              </w:rPr>
              <w:t>5</w:t>
            </w:r>
            <w:r>
              <w:rPr>
                <w:rFonts w:hint="default" w:ascii="Times New Roman" w:hAnsi="Times New Roman" w:eastAsia="宋体" w:cs="Times New Roman"/>
                <w:sz w:val="24"/>
                <w:highlight w:val="none"/>
                <w:lang w:val="en-US" w:eastAsia="zh-CN"/>
              </w:rPr>
              <w:t>排放。</w:t>
            </w:r>
          </w:p>
          <w:p w14:paraId="45523444">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危险废物暂存间产生的有机、无机废气经干式过滤器（TA006）</w:t>
            </w:r>
            <w:r>
              <w:rPr>
                <w:rFonts w:hint="default" w:ascii="Times New Roman" w:hAnsi="Times New Roman" w:eastAsia="宋体" w:cs="Times New Roman"/>
                <w:sz w:val="24"/>
                <w:highlight w:val="none"/>
                <w:lang w:val="en-US" w:eastAsia="zh-CN"/>
              </w:rPr>
              <w:t>处理后经DA00</w:t>
            </w:r>
            <w:r>
              <w:rPr>
                <w:rFonts w:hint="eastAsia" w:cs="Times New Roman"/>
                <w:sz w:val="24"/>
                <w:highlight w:val="none"/>
                <w:lang w:val="en-US" w:eastAsia="zh-CN"/>
              </w:rPr>
              <w:t>6</w:t>
            </w:r>
            <w:r>
              <w:rPr>
                <w:rFonts w:hint="default" w:ascii="Times New Roman" w:hAnsi="Times New Roman" w:eastAsia="宋体" w:cs="Times New Roman"/>
                <w:sz w:val="24"/>
                <w:highlight w:val="none"/>
                <w:lang w:val="en-US" w:eastAsia="zh-CN"/>
              </w:rPr>
              <w:t>排放。</w:t>
            </w:r>
          </w:p>
          <w:p w14:paraId="44920F5F">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一层电芯测试间等未设立废气收集系统的实验室建设废气收集设施，产生废气经干式过滤器（TA007）</w:t>
            </w:r>
            <w:r>
              <w:rPr>
                <w:rFonts w:hint="default" w:ascii="Times New Roman" w:hAnsi="Times New Roman" w:eastAsia="宋体" w:cs="Times New Roman"/>
                <w:sz w:val="24"/>
                <w:highlight w:val="none"/>
                <w:lang w:val="en-US" w:eastAsia="zh-CN"/>
              </w:rPr>
              <w:t>处理后经DA00</w:t>
            </w:r>
            <w:r>
              <w:rPr>
                <w:rFonts w:hint="eastAsia" w:cs="Times New Roman"/>
                <w:sz w:val="24"/>
                <w:highlight w:val="none"/>
                <w:lang w:val="en-US" w:eastAsia="zh-CN"/>
              </w:rPr>
              <w:t>7</w:t>
            </w:r>
            <w:r>
              <w:rPr>
                <w:rFonts w:hint="default" w:ascii="Times New Roman" w:hAnsi="Times New Roman" w:eastAsia="宋体" w:cs="Times New Roman"/>
                <w:sz w:val="24"/>
                <w:highlight w:val="none"/>
                <w:lang w:val="en-US" w:eastAsia="zh-CN"/>
              </w:rPr>
              <w:t>排放。</w:t>
            </w:r>
          </w:p>
          <w:p w14:paraId="79E61875">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二层显微镜室等未设立废气收集系统的实验室建设废气收集设施，产生废气经干式过滤器（TA008）</w:t>
            </w:r>
            <w:r>
              <w:rPr>
                <w:rFonts w:hint="default" w:ascii="Times New Roman" w:hAnsi="Times New Roman" w:eastAsia="宋体" w:cs="Times New Roman"/>
                <w:sz w:val="24"/>
                <w:highlight w:val="none"/>
                <w:lang w:val="en-US" w:eastAsia="zh-CN"/>
              </w:rPr>
              <w:t>处理后经DA00</w:t>
            </w:r>
            <w:r>
              <w:rPr>
                <w:rFonts w:hint="eastAsia" w:cs="Times New Roman"/>
                <w:sz w:val="24"/>
                <w:highlight w:val="none"/>
                <w:lang w:val="en-US" w:eastAsia="zh-CN"/>
              </w:rPr>
              <w:t>8</w:t>
            </w:r>
            <w:r>
              <w:rPr>
                <w:rFonts w:hint="default" w:ascii="Times New Roman" w:hAnsi="Times New Roman" w:eastAsia="宋体" w:cs="Times New Roman"/>
                <w:sz w:val="24"/>
                <w:highlight w:val="none"/>
                <w:lang w:val="en-US" w:eastAsia="zh-CN"/>
              </w:rPr>
              <w:t>排放。</w:t>
            </w:r>
          </w:p>
          <w:p w14:paraId="0D600CFF">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w:t>
            </w:r>
            <w:r>
              <w:rPr>
                <w:rFonts w:hint="eastAsia" w:eastAsia="宋体" w:cs="Times New Roman"/>
                <w:sz w:val="24"/>
                <w:highlight w:val="none"/>
                <w:lang w:val="en-US" w:eastAsia="zh-CN"/>
              </w:rPr>
              <w:t>3</w:t>
            </w:r>
            <w:r>
              <w:rPr>
                <w:rFonts w:hint="default" w:ascii="Times New Roman" w:hAnsi="Times New Roman" w:eastAsia="宋体" w:cs="Times New Roman"/>
                <w:sz w:val="24"/>
                <w:highlight w:val="none"/>
                <w:lang w:val="en-US" w:eastAsia="zh-CN"/>
              </w:rPr>
              <w:t>）废气</w:t>
            </w:r>
            <w:r>
              <w:rPr>
                <w:rFonts w:hint="eastAsia" w:cs="Times New Roman"/>
                <w:sz w:val="24"/>
                <w:highlight w:val="none"/>
                <w:lang w:val="en-US" w:eastAsia="zh-CN"/>
              </w:rPr>
              <w:t>收集处理措施效率分析</w:t>
            </w:r>
            <w:r>
              <w:rPr>
                <w:rFonts w:hint="default" w:ascii="Times New Roman" w:hAnsi="Times New Roman" w:eastAsia="宋体" w:cs="Times New Roman"/>
                <w:sz w:val="24"/>
                <w:highlight w:val="none"/>
                <w:lang w:val="en-US" w:eastAsia="zh-CN"/>
              </w:rPr>
              <w:t xml:space="preserve"> </w:t>
            </w:r>
          </w:p>
          <w:p w14:paraId="23C1F7D6">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收集措施分析：</w:t>
            </w:r>
            <w:r>
              <w:rPr>
                <w:rFonts w:hint="default" w:ascii="Times New Roman" w:hAnsi="Times New Roman" w:eastAsia="宋体" w:cs="Times New Roman"/>
                <w:sz w:val="24"/>
                <w:highlight w:val="none"/>
                <w:lang w:val="en-US" w:eastAsia="zh-CN"/>
              </w:rPr>
              <w:t>根据《通风除尘》《局部排气管的捕集效率实验》，集气罩与污染源之间的距离对捕集效率有极大影响，集气罩与污染源距离从0.3m增为 1.5m，集气罩的捕集效率从97.6%降为55.0%。项目采用顶吸式集气罩进行收集，集气罩涉及安装按照《排风罩的分类及技术条件》（GB/T16758-2008）要求设计、安装，设置集气罩距离污染源应小于0.5m，产生点最远处风速应大于 0.3m/s，风机工作使管道产生负压，从而收集污染物。本项目按照上述要求实施后，集气罩收集废气效率可达90%以上，本次按90%计。通风橱只有一面敞口，操作时尽量减少操作面的开度，确保产生点最远处风速应大于 0.3m/s，通风橱收集效率按90%计。</w:t>
            </w:r>
          </w:p>
          <w:p w14:paraId="37E82E6C">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cs="Times New Roman"/>
                <w:sz w:val="24"/>
                <w:highlight w:val="none"/>
                <w:lang w:val="en-US" w:eastAsia="zh-CN"/>
              </w:rPr>
              <w:t>布袋除尘器：</w:t>
            </w:r>
            <w:r>
              <w:rPr>
                <w:rFonts w:hint="default" w:ascii="Times New Roman" w:hAnsi="Times New Roman" w:eastAsia="宋体" w:cs="Times New Roman"/>
                <w:sz w:val="24"/>
                <w:highlight w:val="none"/>
                <w:lang w:val="en-US" w:eastAsia="zh-CN"/>
              </w:rPr>
              <w:t>根据《排放源统计调查产排污核算方法和系数手册》（公告2021年第24号）中</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3039 其他建筑材料制造行业</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系数手册，岩石、矿石破碎颗粒物采用</w:t>
            </w:r>
            <w:r>
              <w:rPr>
                <w:rFonts w:hint="eastAsia" w:eastAsia="宋体" w:cs="Times New Roman"/>
                <w:sz w:val="24"/>
                <w:highlight w:val="none"/>
                <w:lang w:val="en-US" w:eastAsia="zh-CN"/>
              </w:rPr>
              <w:t>袋</w:t>
            </w:r>
            <w:r>
              <w:rPr>
                <w:rFonts w:hint="default" w:ascii="Times New Roman" w:hAnsi="Times New Roman" w:eastAsia="宋体" w:cs="Times New Roman"/>
                <w:sz w:val="24"/>
                <w:highlight w:val="none"/>
                <w:lang w:val="en-US" w:eastAsia="zh-CN"/>
              </w:rPr>
              <w:t>式除尘，</w:t>
            </w:r>
            <w:r>
              <w:rPr>
                <w:rFonts w:hint="default" w:ascii="Times New Roman" w:hAnsi="Times New Roman" w:eastAsia="宋体" w:cs="Times New Roman"/>
                <w:color w:val="auto"/>
                <w:sz w:val="24"/>
                <w:szCs w:val="24"/>
                <w:highlight w:val="none"/>
                <w:lang w:val="en-US" w:eastAsia="zh-CN"/>
              </w:rPr>
              <w:t>颗粒物末端治理效率为9</w:t>
            </w:r>
            <w:r>
              <w:rPr>
                <w:rFonts w:hint="eastAsia"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lang w:val="en-US" w:eastAsia="zh-CN"/>
              </w:rPr>
              <w:t>%</w:t>
            </w:r>
            <w:r>
              <w:rPr>
                <w:rFonts w:hint="eastAsia" w:eastAsia="宋体" w:cs="Times New Roman"/>
                <w:color w:val="auto"/>
                <w:sz w:val="24"/>
                <w:szCs w:val="24"/>
                <w:highlight w:val="none"/>
                <w:lang w:val="en-US" w:eastAsia="zh-CN"/>
              </w:rPr>
              <w:t>，本报告按95%计</w:t>
            </w:r>
            <w:r>
              <w:rPr>
                <w:rFonts w:hint="default" w:ascii="Times New Roman" w:hAnsi="Times New Roman" w:eastAsia="宋体" w:cs="Times New Roman"/>
                <w:color w:val="auto"/>
                <w:sz w:val="24"/>
                <w:szCs w:val="24"/>
                <w:highlight w:val="none"/>
                <w:lang w:val="en-US" w:eastAsia="zh-CN"/>
              </w:rPr>
              <w:t>。</w:t>
            </w:r>
          </w:p>
          <w:p w14:paraId="57C8DB43">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eastAsia="宋体" w:cs="Times New Roman"/>
                <w:color w:val="auto"/>
                <w:sz w:val="24"/>
                <w:szCs w:val="24"/>
                <w:highlight w:val="none"/>
                <w:lang w:val="en-US" w:eastAsia="zh-CN"/>
              </w:rPr>
              <w:t>水喷淋：</w:t>
            </w:r>
            <w:r>
              <w:rPr>
                <w:rFonts w:hint="default" w:ascii="Times New Roman" w:hAnsi="Times New Roman" w:eastAsia="宋体" w:cs="Times New Roman"/>
                <w:color w:val="auto"/>
                <w:sz w:val="24"/>
                <w:szCs w:val="24"/>
                <w:highlight w:val="none"/>
                <w:lang w:val="en-US" w:eastAsia="zh-CN"/>
              </w:rPr>
              <w:t>氨</w:t>
            </w:r>
            <w:r>
              <w:rPr>
                <w:rFonts w:hint="eastAsia" w:eastAsia="宋体" w:cs="Times New Roman"/>
                <w:color w:val="auto"/>
                <w:sz w:val="24"/>
                <w:szCs w:val="24"/>
                <w:highlight w:val="none"/>
                <w:lang w:val="en-US" w:eastAsia="zh-CN"/>
              </w:rPr>
              <w:t>、氟化氢</w:t>
            </w:r>
            <w:r>
              <w:rPr>
                <w:rFonts w:hint="default" w:ascii="Times New Roman" w:hAnsi="Times New Roman" w:eastAsia="宋体" w:cs="Times New Roman"/>
                <w:color w:val="auto"/>
                <w:sz w:val="24"/>
                <w:szCs w:val="24"/>
                <w:highlight w:val="none"/>
                <w:lang w:val="en-US" w:eastAsia="zh-CN"/>
              </w:rPr>
              <w:t>极易溶于水，采用水喷淋吸收效率可达85%-95%，本</w:t>
            </w:r>
            <w:r>
              <w:rPr>
                <w:rFonts w:hint="eastAsia" w:eastAsia="宋体" w:cs="Times New Roman"/>
                <w:color w:val="auto"/>
                <w:sz w:val="24"/>
                <w:szCs w:val="24"/>
                <w:highlight w:val="none"/>
                <w:lang w:val="en-US" w:eastAsia="zh-CN"/>
              </w:rPr>
              <w:t>报告</w:t>
            </w:r>
            <w:r>
              <w:rPr>
                <w:rFonts w:hint="default" w:ascii="Times New Roman" w:hAnsi="Times New Roman" w:eastAsia="宋体" w:cs="Times New Roman"/>
                <w:color w:val="auto"/>
                <w:sz w:val="24"/>
                <w:szCs w:val="24"/>
                <w:highlight w:val="none"/>
                <w:lang w:val="en-US" w:eastAsia="zh-CN"/>
              </w:rPr>
              <w:t>氨</w:t>
            </w:r>
            <w:r>
              <w:rPr>
                <w:rFonts w:hint="eastAsia" w:eastAsia="宋体" w:cs="Times New Roman"/>
                <w:color w:val="auto"/>
                <w:sz w:val="24"/>
                <w:szCs w:val="24"/>
                <w:highlight w:val="none"/>
                <w:lang w:val="en-US" w:eastAsia="zh-CN"/>
              </w:rPr>
              <w:t>、氟</w:t>
            </w:r>
            <w:r>
              <w:rPr>
                <w:rFonts w:hint="default" w:ascii="Times New Roman" w:hAnsi="Times New Roman" w:eastAsia="宋体" w:cs="Times New Roman"/>
                <w:color w:val="auto"/>
                <w:sz w:val="24"/>
                <w:szCs w:val="24"/>
                <w:highlight w:val="none"/>
                <w:lang w:val="en-US" w:eastAsia="zh-CN"/>
              </w:rPr>
              <w:t>的吸收效率按85%计算。</w:t>
            </w:r>
          </w:p>
          <w:p w14:paraId="61985A5E">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干式过滤器：本项目干式过滤器采用三级过滤，分别用浸渍过酸碱的吸附剂吸收碱和酸、用活性炭吸收有机废气，酸碱吸附剂的吸收效率按30%计，</w:t>
            </w:r>
            <w:r>
              <w:rPr>
                <w:rFonts w:hint="default" w:ascii="Times New Roman" w:hAnsi="Times New Roman" w:eastAsia="宋体" w:cs="Times New Roman"/>
                <w:sz w:val="24"/>
                <w:highlight w:val="none"/>
                <w:lang w:val="en-US" w:eastAsia="zh-CN"/>
              </w:rPr>
              <w:t>根据《主要污染物总量减排核算技术指南(2022年修订)》，采用一次性活性炭吸附按其再生方式测算去除效率，不再生、集中再生和集中再生并活化VOCs去除率分别按15%、30%、50%取值，本次评价活性炭吸附效率按15%计算。</w:t>
            </w:r>
          </w:p>
          <w:p w14:paraId="5F71C644">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本项目废气收集排放情况</w:t>
            </w:r>
            <w:r>
              <w:rPr>
                <w:rFonts w:hint="eastAsia" w:cs="Times New Roman"/>
                <w:color w:val="auto"/>
                <w:sz w:val="24"/>
                <w:szCs w:val="24"/>
                <w:highlight w:val="none"/>
                <w:lang w:val="en-US" w:eastAsia="zh-CN"/>
              </w:rPr>
              <w:t>汇总</w:t>
            </w:r>
            <w:r>
              <w:rPr>
                <w:rFonts w:hint="default" w:ascii="Times New Roman" w:hAnsi="Times New Roman" w:eastAsia="宋体" w:cs="Times New Roman"/>
                <w:color w:val="auto"/>
                <w:sz w:val="24"/>
                <w:szCs w:val="24"/>
                <w:highlight w:val="none"/>
                <w:lang w:val="en-US" w:eastAsia="zh-CN"/>
              </w:rPr>
              <w:t>见下表。</w:t>
            </w:r>
          </w:p>
          <w:p w14:paraId="23BA5275">
            <w:pPr>
              <w:numPr>
                <w:ilvl w:val="0"/>
                <w:numId w:val="48"/>
              </w:numPr>
              <w:adjustRightInd w:val="0"/>
              <w:snapToGrid w:val="0"/>
              <w:spacing w:line="360" w:lineRule="auto"/>
              <w:ind w:left="425" w:leftChars="0" w:hanging="425" w:firstLineChars="0"/>
              <w:jc w:val="center"/>
              <w:rPr>
                <w:rFonts w:hint="default"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本项目废气收集排放情况表</w:t>
            </w:r>
          </w:p>
          <w:tbl>
            <w:tblPr>
              <w:tblStyle w:val="18"/>
              <w:tblW w:w="7558"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64"/>
              <w:gridCol w:w="980"/>
              <w:gridCol w:w="2190"/>
              <w:gridCol w:w="1720"/>
              <w:gridCol w:w="1450"/>
              <w:gridCol w:w="654"/>
            </w:tblGrid>
            <w:tr w14:paraId="0A5C74B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64" w:type="dxa"/>
                  <w:tcBorders>
                    <w:tl2br w:val="nil"/>
                    <w:tr2bl w:val="nil"/>
                  </w:tcBorders>
                  <w:vAlign w:val="center"/>
                </w:tcPr>
                <w:p w14:paraId="16172EF7">
                  <w:pPr>
                    <w:adjustRightInd w:val="0"/>
                    <w:snapToGrid w:val="0"/>
                    <w:spacing w:line="240" w:lineRule="auto"/>
                    <w:jc w:val="center"/>
                    <w:rPr>
                      <w:rFonts w:hint="default" w:ascii="Times New Roman" w:hAnsi="Times New Roman" w:eastAsia="宋体" w:cs="Times New Roman"/>
                      <w:b/>
                      <w:bCs/>
                      <w:sz w:val="21"/>
                      <w:szCs w:val="21"/>
                      <w:highlight w:val="none"/>
                      <w:vertAlign w:val="baseline"/>
                      <w:lang w:val="en-US" w:eastAsia="zh-CN"/>
                    </w:rPr>
                  </w:pPr>
                  <w:r>
                    <w:rPr>
                      <w:rFonts w:hint="default" w:ascii="Times New Roman" w:hAnsi="Times New Roman" w:eastAsia="宋体" w:cs="Times New Roman"/>
                      <w:b/>
                      <w:bCs/>
                      <w:sz w:val="21"/>
                      <w:szCs w:val="21"/>
                      <w:highlight w:val="none"/>
                      <w:vertAlign w:val="baseline"/>
                      <w:lang w:val="en-US" w:eastAsia="zh-CN"/>
                    </w:rPr>
                    <w:t>序号</w:t>
                  </w:r>
                </w:p>
              </w:tc>
              <w:tc>
                <w:tcPr>
                  <w:tcW w:w="980" w:type="dxa"/>
                  <w:tcBorders>
                    <w:tl2br w:val="nil"/>
                    <w:tr2bl w:val="nil"/>
                  </w:tcBorders>
                  <w:shd w:val="clear" w:color="auto" w:fill="auto"/>
                  <w:vAlign w:val="center"/>
                </w:tcPr>
                <w:p w14:paraId="349B208D">
                  <w:pPr>
                    <w:adjustRightInd w:val="0"/>
                    <w:snapToGrid w:val="0"/>
                    <w:spacing w:line="240" w:lineRule="auto"/>
                    <w:jc w:val="center"/>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设施及</w:t>
                  </w:r>
                </w:p>
                <w:p w14:paraId="133349CE">
                  <w:pPr>
                    <w:adjustRightInd w:val="0"/>
                    <w:snapToGrid w:val="0"/>
                    <w:spacing w:line="240" w:lineRule="auto"/>
                    <w:jc w:val="center"/>
                    <w:rPr>
                      <w:rFonts w:hint="default" w:ascii="Times New Roman" w:hAnsi="Times New Roman" w:eastAsia="宋体"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排气筒</w:t>
                  </w:r>
                </w:p>
              </w:tc>
              <w:tc>
                <w:tcPr>
                  <w:tcW w:w="2190" w:type="dxa"/>
                  <w:tcBorders>
                    <w:tl2br w:val="nil"/>
                    <w:tr2bl w:val="nil"/>
                  </w:tcBorders>
                  <w:shd w:val="clear" w:color="auto" w:fill="auto"/>
                  <w:vAlign w:val="center"/>
                </w:tcPr>
                <w:p w14:paraId="36E4BC13">
                  <w:pPr>
                    <w:adjustRightInd w:val="0"/>
                    <w:snapToGrid w:val="0"/>
                    <w:spacing w:line="240" w:lineRule="auto"/>
                    <w:jc w:val="center"/>
                    <w:rPr>
                      <w:rFonts w:hint="default" w:ascii="Times New Roman" w:hAnsi="Times New Roman" w:eastAsia="宋体" w:cs="Times New Roman"/>
                      <w:b/>
                      <w:bCs/>
                      <w:kern w:val="2"/>
                      <w:sz w:val="21"/>
                      <w:szCs w:val="21"/>
                      <w:highlight w:val="none"/>
                      <w:vertAlign w:val="baseline"/>
                      <w:lang w:val="en-US" w:eastAsia="zh-CN" w:bidi="ar-SA"/>
                    </w:rPr>
                  </w:pPr>
                  <w:r>
                    <w:rPr>
                      <w:rFonts w:hint="default" w:ascii="Times New Roman" w:hAnsi="Times New Roman" w:eastAsia="宋体" w:cs="Times New Roman"/>
                      <w:b/>
                      <w:bCs/>
                      <w:sz w:val="21"/>
                      <w:szCs w:val="21"/>
                      <w:highlight w:val="none"/>
                      <w:vertAlign w:val="baseline"/>
                      <w:lang w:val="en-US" w:eastAsia="zh-CN"/>
                    </w:rPr>
                    <w:t>污染源</w:t>
                  </w:r>
                </w:p>
              </w:tc>
              <w:tc>
                <w:tcPr>
                  <w:tcW w:w="1720" w:type="dxa"/>
                  <w:tcBorders>
                    <w:tl2br w:val="nil"/>
                    <w:tr2bl w:val="nil"/>
                  </w:tcBorders>
                  <w:shd w:val="clear" w:color="auto" w:fill="auto"/>
                  <w:vAlign w:val="center"/>
                </w:tcPr>
                <w:p w14:paraId="0E2DEED9">
                  <w:pPr>
                    <w:adjustRightInd w:val="0"/>
                    <w:snapToGrid w:val="0"/>
                    <w:spacing w:line="240" w:lineRule="auto"/>
                    <w:jc w:val="center"/>
                    <w:rPr>
                      <w:rFonts w:hint="default" w:ascii="Times New Roman" w:hAnsi="Times New Roman" w:eastAsia="宋体" w:cs="Times New Roman"/>
                      <w:b/>
                      <w:bCs/>
                      <w:kern w:val="2"/>
                      <w:sz w:val="21"/>
                      <w:szCs w:val="21"/>
                      <w:highlight w:val="none"/>
                      <w:vertAlign w:val="baseline"/>
                      <w:lang w:val="en-US" w:eastAsia="zh-CN" w:bidi="ar-SA"/>
                    </w:rPr>
                  </w:pPr>
                  <w:r>
                    <w:rPr>
                      <w:rFonts w:hint="default" w:ascii="Times New Roman" w:hAnsi="Times New Roman" w:eastAsia="宋体" w:cs="Times New Roman"/>
                      <w:b/>
                      <w:bCs/>
                      <w:sz w:val="21"/>
                      <w:szCs w:val="21"/>
                      <w:highlight w:val="none"/>
                      <w:vertAlign w:val="baseline"/>
                      <w:lang w:val="en-US" w:eastAsia="zh-CN"/>
                    </w:rPr>
                    <w:t>污染物</w:t>
                  </w:r>
                </w:p>
              </w:tc>
              <w:tc>
                <w:tcPr>
                  <w:tcW w:w="1450" w:type="dxa"/>
                  <w:tcBorders>
                    <w:tl2br w:val="nil"/>
                    <w:tr2bl w:val="nil"/>
                  </w:tcBorders>
                  <w:vAlign w:val="center"/>
                </w:tcPr>
                <w:p w14:paraId="0010880B">
                  <w:pPr>
                    <w:adjustRightInd w:val="0"/>
                    <w:snapToGrid w:val="0"/>
                    <w:spacing w:line="240" w:lineRule="auto"/>
                    <w:jc w:val="center"/>
                    <w:rPr>
                      <w:rFonts w:hint="default" w:ascii="Times New Roman" w:hAnsi="Times New Roman" w:eastAsia="宋体"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产生量及</w:t>
                  </w:r>
                </w:p>
                <w:p w14:paraId="38CB6480">
                  <w:pPr>
                    <w:adjustRightInd w:val="0"/>
                    <w:snapToGrid w:val="0"/>
                    <w:spacing w:line="240" w:lineRule="auto"/>
                    <w:jc w:val="center"/>
                    <w:rPr>
                      <w:rFonts w:hint="default" w:ascii="Times New Roman" w:hAnsi="Times New Roman" w:eastAsia="宋体" w:cs="Times New Roman"/>
                      <w:b/>
                      <w:bCs/>
                      <w:sz w:val="21"/>
                      <w:szCs w:val="21"/>
                      <w:highlight w:val="none"/>
                      <w:vertAlign w:val="baseline"/>
                      <w:lang w:val="en-US" w:eastAsia="zh-CN"/>
                    </w:rPr>
                  </w:pPr>
                  <w:r>
                    <w:rPr>
                      <w:rFonts w:hint="default" w:ascii="Times New Roman" w:hAnsi="Times New Roman" w:eastAsia="宋体" w:cs="Times New Roman"/>
                      <w:b/>
                      <w:bCs/>
                      <w:sz w:val="21"/>
                      <w:szCs w:val="21"/>
                      <w:highlight w:val="none"/>
                      <w:vertAlign w:val="baseline"/>
                      <w:lang w:val="en-US" w:eastAsia="zh-CN"/>
                    </w:rPr>
                    <w:t>产生速率</w:t>
                  </w:r>
                  <w:r>
                    <w:rPr>
                      <w:rFonts w:hint="default" w:ascii="Times New Roman" w:hAnsi="Times New Roman" w:eastAsia="宋体" w:cs="Times New Roman"/>
                      <w:b/>
                      <w:bCs/>
                      <w:color w:val="auto"/>
                      <w:sz w:val="21"/>
                      <w:szCs w:val="21"/>
                      <w:highlight w:val="none"/>
                      <w:lang w:val="en-US" w:eastAsia="zh-CN"/>
                    </w:rPr>
                    <w:t xml:space="preserve"> </w:t>
                  </w:r>
                </w:p>
              </w:tc>
              <w:tc>
                <w:tcPr>
                  <w:tcW w:w="654" w:type="dxa"/>
                  <w:tcBorders>
                    <w:tl2br w:val="nil"/>
                    <w:tr2bl w:val="nil"/>
                  </w:tcBorders>
                  <w:vAlign w:val="center"/>
                </w:tcPr>
                <w:p w14:paraId="6E4923B4">
                  <w:pPr>
                    <w:adjustRightInd w:val="0"/>
                    <w:snapToGrid w:val="0"/>
                    <w:spacing w:line="240" w:lineRule="auto"/>
                    <w:jc w:val="center"/>
                    <w:rPr>
                      <w:rFonts w:hint="default" w:ascii="Times New Roman" w:hAnsi="Times New Roman" w:eastAsia="宋体" w:cs="Times New Roman"/>
                      <w:b/>
                      <w:bCs/>
                      <w:sz w:val="21"/>
                      <w:szCs w:val="21"/>
                      <w:highlight w:val="none"/>
                      <w:vertAlign w:val="baseline"/>
                      <w:lang w:val="en-US" w:eastAsia="zh-CN"/>
                    </w:rPr>
                  </w:pPr>
                  <w:r>
                    <w:rPr>
                      <w:rFonts w:hint="default" w:ascii="Times New Roman" w:hAnsi="Times New Roman" w:eastAsia="宋体" w:cs="Times New Roman"/>
                      <w:b/>
                      <w:bCs/>
                      <w:sz w:val="21"/>
                      <w:szCs w:val="21"/>
                      <w:highlight w:val="none"/>
                      <w:vertAlign w:val="baseline"/>
                      <w:lang w:val="en-US" w:eastAsia="zh-CN"/>
                    </w:rPr>
                    <w:t>排放时间</w:t>
                  </w:r>
                </w:p>
                <w:p w14:paraId="59AE5FA8">
                  <w:pPr>
                    <w:adjustRightInd w:val="0"/>
                    <w:snapToGrid w:val="0"/>
                    <w:spacing w:line="240" w:lineRule="auto"/>
                    <w:jc w:val="center"/>
                    <w:rPr>
                      <w:rFonts w:hint="default" w:ascii="Times New Roman" w:hAnsi="Times New Roman" w:eastAsia="宋体"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h</w:t>
                  </w:r>
                </w:p>
              </w:tc>
            </w:tr>
            <w:tr w14:paraId="2DDC74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64" w:type="dxa"/>
                  <w:tcBorders>
                    <w:tl2br w:val="nil"/>
                    <w:tr2bl w:val="nil"/>
                  </w:tcBorders>
                  <w:shd w:val="clear" w:color="auto" w:fill="auto"/>
                  <w:vAlign w:val="center"/>
                </w:tcPr>
                <w:p w14:paraId="416261FE">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1</w:t>
                  </w:r>
                </w:p>
              </w:tc>
              <w:tc>
                <w:tcPr>
                  <w:tcW w:w="980" w:type="dxa"/>
                  <w:vMerge w:val="restart"/>
                  <w:tcBorders>
                    <w:tl2br w:val="nil"/>
                    <w:tr2bl w:val="nil"/>
                  </w:tcBorders>
                  <w:shd w:val="clear" w:color="auto" w:fill="auto"/>
                  <w:vAlign w:val="center"/>
                </w:tcPr>
                <w:p w14:paraId="2143BE5D">
                  <w:pPr>
                    <w:adjustRightInd w:val="0"/>
                    <w:snapToGrid w:val="0"/>
                    <w:spacing w:line="240" w:lineRule="auto"/>
                    <w:jc w:val="center"/>
                    <w:rPr>
                      <w:rFonts w:hint="eastAsia"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TA001</w:t>
                  </w:r>
                </w:p>
                <w:p w14:paraId="77AC7294">
                  <w:pPr>
                    <w:adjustRightInd w:val="0"/>
                    <w:snapToGrid w:val="0"/>
                    <w:spacing w:line="24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DA001</w:t>
                  </w:r>
                </w:p>
              </w:tc>
              <w:tc>
                <w:tcPr>
                  <w:tcW w:w="2190" w:type="dxa"/>
                  <w:tcBorders>
                    <w:tl2br w:val="nil"/>
                    <w:tr2bl w:val="nil"/>
                  </w:tcBorders>
                  <w:shd w:val="clear" w:color="auto" w:fill="auto"/>
                  <w:vAlign w:val="center"/>
                </w:tcPr>
                <w:p w14:paraId="4AF8BB99">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lang w:val="en-US" w:eastAsia="zh-CN"/>
                    </w:rPr>
                    <w:t>G1熔炼废气</w:t>
                  </w:r>
                </w:p>
              </w:tc>
              <w:tc>
                <w:tcPr>
                  <w:tcW w:w="1720" w:type="dxa"/>
                  <w:tcBorders>
                    <w:tl2br w:val="nil"/>
                    <w:tr2bl w:val="nil"/>
                  </w:tcBorders>
                  <w:shd w:val="clear" w:color="auto" w:fill="auto"/>
                  <w:vAlign w:val="center"/>
                </w:tcPr>
                <w:p w14:paraId="770C3652">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其他颗粒物</w:t>
                  </w:r>
                </w:p>
              </w:tc>
              <w:tc>
                <w:tcPr>
                  <w:tcW w:w="1450" w:type="dxa"/>
                  <w:tcBorders>
                    <w:tl2br w:val="nil"/>
                    <w:tr2bl w:val="nil"/>
                  </w:tcBorders>
                  <w:shd w:val="clear" w:color="auto" w:fill="auto"/>
                  <w:vAlign w:val="center"/>
                </w:tcPr>
                <w:p w14:paraId="62916F0D">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0.03832 kg/a</w:t>
                  </w:r>
                </w:p>
                <w:p w14:paraId="5AFAAC1F">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lang w:val="en-US" w:eastAsia="zh-CN"/>
                    </w:rPr>
                    <w:t>0.001645</w:t>
                  </w:r>
                  <w:r>
                    <w:rPr>
                      <w:rFonts w:hint="default" w:ascii="Times New Roman" w:hAnsi="Times New Roman" w:eastAsia="宋体" w:cs="Times New Roman"/>
                      <w:sz w:val="21"/>
                      <w:szCs w:val="21"/>
                      <w:highlight w:val="none"/>
                      <w:lang w:val="en-US" w:eastAsia="zh-CN"/>
                    </w:rPr>
                    <w:t>kg/h</w:t>
                  </w:r>
                </w:p>
              </w:tc>
              <w:tc>
                <w:tcPr>
                  <w:tcW w:w="654" w:type="dxa"/>
                  <w:tcBorders>
                    <w:tl2br w:val="nil"/>
                    <w:tr2bl w:val="nil"/>
                  </w:tcBorders>
                  <w:shd w:val="clear" w:color="auto" w:fill="auto"/>
                  <w:vAlign w:val="center"/>
                </w:tcPr>
                <w:p w14:paraId="75789D24">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23.3</w:t>
                  </w:r>
                </w:p>
              </w:tc>
            </w:tr>
            <w:tr w14:paraId="26F17FA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64" w:type="dxa"/>
                  <w:tcBorders>
                    <w:tl2br w:val="nil"/>
                    <w:tr2bl w:val="nil"/>
                  </w:tcBorders>
                  <w:shd w:val="clear" w:color="auto" w:fill="auto"/>
                  <w:vAlign w:val="center"/>
                </w:tcPr>
                <w:p w14:paraId="66D9F0B2">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2</w:t>
                  </w:r>
                </w:p>
              </w:tc>
              <w:tc>
                <w:tcPr>
                  <w:tcW w:w="980" w:type="dxa"/>
                  <w:vMerge w:val="continue"/>
                  <w:tcBorders>
                    <w:tl2br w:val="nil"/>
                    <w:tr2bl w:val="nil"/>
                  </w:tcBorders>
                  <w:shd w:val="clear" w:color="auto" w:fill="auto"/>
                  <w:vAlign w:val="center"/>
                </w:tcPr>
                <w:p w14:paraId="2AA1AD35">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2190" w:type="dxa"/>
                  <w:vMerge w:val="restart"/>
                  <w:tcBorders>
                    <w:tl2br w:val="nil"/>
                    <w:tr2bl w:val="nil"/>
                  </w:tcBorders>
                  <w:shd w:val="clear" w:color="auto" w:fill="auto"/>
                  <w:vAlign w:val="center"/>
                </w:tcPr>
                <w:p w14:paraId="081F982B">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G7/G8其他颗粒物、镍及其化合物（锂源、前驱体混合、粉碎）</w:t>
                  </w:r>
                </w:p>
              </w:tc>
              <w:tc>
                <w:tcPr>
                  <w:tcW w:w="1720" w:type="dxa"/>
                  <w:tcBorders>
                    <w:tl2br w:val="nil"/>
                    <w:tr2bl w:val="nil"/>
                  </w:tcBorders>
                  <w:shd w:val="clear" w:color="auto" w:fill="auto"/>
                  <w:vAlign w:val="center"/>
                </w:tcPr>
                <w:p w14:paraId="69311898">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其他颗粒物</w:t>
                  </w:r>
                </w:p>
              </w:tc>
              <w:tc>
                <w:tcPr>
                  <w:tcW w:w="1450" w:type="dxa"/>
                  <w:tcBorders>
                    <w:tl2br w:val="nil"/>
                    <w:tr2bl w:val="nil"/>
                  </w:tcBorders>
                  <w:shd w:val="clear" w:color="auto" w:fill="auto"/>
                  <w:vAlign w:val="center"/>
                </w:tcPr>
                <w:p w14:paraId="4158817A">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0.0945kg/a</w:t>
                  </w:r>
                </w:p>
                <w:p w14:paraId="0C50BC6C">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0.00189kg/h</w:t>
                  </w:r>
                </w:p>
              </w:tc>
              <w:tc>
                <w:tcPr>
                  <w:tcW w:w="654" w:type="dxa"/>
                  <w:vMerge w:val="restart"/>
                  <w:tcBorders>
                    <w:tl2br w:val="nil"/>
                    <w:tr2bl w:val="nil"/>
                  </w:tcBorders>
                  <w:shd w:val="clear" w:color="auto" w:fill="auto"/>
                  <w:vAlign w:val="center"/>
                </w:tcPr>
                <w:p w14:paraId="5B5AE921">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50</w:t>
                  </w:r>
                </w:p>
              </w:tc>
            </w:tr>
            <w:tr w14:paraId="22782C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64" w:type="dxa"/>
                  <w:tcBorders>
                    <w:tl2br w:val="nil"/>
                    <w:tr2bl w:val="nil"/>
                  </w:tcBorders>
                  <w:shd w:val="clear" w:color="auto" w:fill="auto"/>
                  <w:vAlign w:val="center"/>
                </w:tcPr>
                <w:p w14:paraId="69AF066E">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3</w:t>
                  </w:r>
                </w:p>
              </w:tc>
              <w:tc>
                <w:tcPr>
                  <w:tcW w:w="980" w:type="dxa"/>
                  <w:vMerge w:val="continue"/>
                  <w:tcBorders>
                    <w:tl2br w:val="nil"/>
                    <w:tr2bl w:val="nil"/>
                  </w:tcBorders>
                  <w:shd w:val="clear" w:color="auto" w:fill="auto"/>
                  <w:vAlign w:val="center"/>
                </w:tcPr>
                <w:p w14:paraId="7849083E">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2190" w:type="dxa"/>
                  <w:vMerge w:val="continue"/>
                  <w:tcBorders>
                    <w:tl2br w:val="nil"/>
                    <w:tr2bl w:val="nil"/>
                  </w:tcBorders>
                  <w:shd w:val="clear" w:color="auto" w:fill="auto"/>
                  <w:vAlign w:val="center"/>
                </w:tcPr>
                <w:p w14:paraId="2EE93D16">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p>
              </w:tc>
              <w:tc>
                <w:tcPr>
                  <w:tcW w:w="1720" w:type="dxa"/>
                  <w:tcBorders>
                    <w:tl2br w:val="nil"/>
                    <w:tr2bl w:val="nil"/>
                  </w:tcBorders>
                  <w:shd w:val="clear" w:color="auto" w:fill="auto"/>
                  <w:vAlign w:val="center"/>
                </w:tcPr>
                <w:p w14:paraId="40D63AEE">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镍及其化合物</w:t>
                  </w:r>
                </w:p>
              </w:tc>
              <w:tc>
                <w:tcPr>
                  <w:tcW w:w="1450" w:type="dxa"/>
                  <w:tcBorders>
                    <w:tl2br w:val="nil"/>
                    <w:tr2bl w:val="nil"/>
                  </w:tcBorders>
                  <w:shd w:val="clear" w:color="auto" w:fill="auto"/>
                  <w:vAlign w:val="center"/>
                </w:tcPr>
                <w:p w14:paraId="2EEFF212">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0.04725kg/a</w:t>
                  </w:r>
                </w:p>
                <w:p w14:paraId="7B81AB60">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0.000945kg/h</w:t>
                  </w:r>
                </w:p>
              </w:tc>
              <w:tc>
                <w:tcPr>
                  <w:tcW w:w="654" w:type="dxa"/>
                  <w:vMerge w:val="continue"/>
                  <w:tcBorders>
                    <w:tl2br w:val="nil"/>
                    <w:tr2bl w:val="nil"/>
                  </w:tcBorders>
                  <w:shd w:val="clear" w:color="auto" w:fill="auto"/>
                  <w:vAlign w:val="center"/>
                </w:tcPr>
                <w:p w14:paraId="6CF6592F">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r>
            <w:tr w14:paraId="7E2BFB9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64" w:type="dxa"/>
                  <w:tcBorders>
                    <w:tl2br w:val="nil"/>
                    <w:tr2bl w:val="nil"/>
                  </w:tcBorders>
                  <w:shd w:val="clear" w:color="auto" w:fill="auto"/>
                  <w:vAlign w:val="center"/>
                </w:tcPr>
                <w:p w14:paraId="348B3E92">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4</w:t>
                  </w:r>
                </w:p>
              </w:tc>
              <w:tc>
                <w:tcPr>
                  <w:tcW w:w="980" w:type="dxa"/>
                  <w:vMerge w:val="restart"/>
                  <w:tcBorders>
                    <w:tl2br w:val="nil"/>
                    <w:tr2bl w:val="nil"/>
                  </w:tcBorders>
                  <w:shd w:val="clear" w:color="auto" w:fill="auto"/>
                  <w:vAlign w:val="center"/>
                </w:tcPr>
                <w:p w14:paraId="0A28C4A7">
                  <w:pPr>
                    <w:adjustRightInd w:val="0"/>
                    <w:snapToGrid w:val="0"/>
                    <w:spacing w:line="24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TA002</w:t>
                  </w:r>
                </w:p>
                <w:p w14:paraId="5E6C9799">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sz w:val="21"/>
                      <w:szCs w:val="21"/>
                      <w:highlight w:val="none"/>
                      <w:vertAlign w:val="baseline"/>
                      <w:lang w:val="en-US" w:eastAsia="zh-CN"/>
                    </w:rPr>
                    <w:t>DA002</w:t>
                  </w:r>
                </w:p>
              </w:tc>
              <w:tc>
                <w:tcPr>
                  <w:tcW w:w="2190" w:type="dxa"/>
                  <w:tcBorders>
                    <w:tl2br w:val="nil"/>
                    <w:tr2bl w:val="nil"/>
                  </w:tcBorders>
                  <w:shd w:val="clear" w:color="auto" w:fill="auto"/>
                  <w:vAlign w:val="center"/>
                </w:tcPr>
                <w:p w14:paraId="3BE30747">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G2挥发性有机废气（擦拭）</w:t>
                  </w:r>
                </w:p>
              </w:tc>
              <w:tc>
                <w:tcPr>
                  <w:tcW w:w="1720" w:type="dxa"/>
                  <w:tcBorders>
                    <w:tl2br w:val="nil"/>
                    <w:tr2bl w:val="nil"/>
                  </w:tcBorders>
                  <w:shd w:val="clear" w:color="auto" w:fill="auto"/>
                  <w:vAlign w:val="center"/>
                </w:tcPr>
                <w:p w14:paraId="3DAB3036">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非甲烷总烃</w:t>
                  </w:r>
                </w:p>
              </w:tc>
              <w:tc>
                <w:tcPr>
                  <w:tcW w:w="1450" w:type="dxa"/>
                  <w:tcBorders>
                    <w:tl2br w:val="nil"/>
                    <w:tr2bl w:val="nil"/>
                  </w:tcBorders>
                  <w:shd w:val="clear" w:color="auto" w:fill="auto"/>
                  <w:vAlign w:val="center"/>
                </w:tcPr>
                <w:p w14:paraId="70F46BD9">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2.367 kg/a</w:t>
                  </w:r>
                </w:p>
                <w:p w14:paraId="0DF40B40">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0.1184 kg/h</w:t>
                  </w:r>
                </w:p>
              </w:tc>
              <w:tc>
                <w:tcPr>
                  <w:tcW w:w="654" w:type="dxa"/>
                  <w:tcBorders>
                    <w:tl2br w:val="nil"/>
                    <w:tr2bl w:val="nil"/>
                  </w:tcBorders>
                  <w:shd w:val="clear" w:color="auto" w:fill="auto"/>
                  <w:vAlign w:val="center"/>
                </w:tcPr>
                <w:p w14:paraId="32DBFF5E">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w:t>
                  </w:r>
                </w:p>
              </w:tc>
            </w:tr>
            <w:tr w14:paraId="715CB6C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64" w:type="dxa"/>
                  <w:tcBorders>
                    <w:tl2br w:val="nil"/>
                    <w:tr2bl w:val="nil"/>
                  </w:tcBorders>
                  <w:shd w:val="clear" w:color="auto" w:fill="auto"/>
                  <w:vAlign w:val="center"/>
                </w:tcPr>
                <w:p w14:paraId="7CDB059F">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eastAsia="宋体" w:cs="Times New Roman"/>
                      <w:kern w:val="2"/>
                      <w:sz w:val="21"/>
                      <w:szCs w:val="21"/>
                      <w:highlight w:val="none"/>
                      <w:vertAlign w:val="baseline"/>
                      <w:lang w:val="en-US" w:eastAsia="zh-CN" w:bidi="ar-SA"/>
                    </w:rPr>
                    <w:t>5</w:t>
                  </w:r>
                </w:p>
              </w:tc>
              <w:tc>
                <w:tcPr>
                  <w:tcW w:w="980" w:type="dxa"/>
                  <w:vMerge w:val="continue"/>
                  <w:tcBorders>
                    <w:tl2br w:val="nil"/>
                    <w:tr2bl w:val="nil"/>
                  </w:tcBorders>
                  <w:shd w:val="clear" w:color="auto" w:fill="auto"/>
                  <w:vAlign w:val="center"/>
                </w:tcPr>
                <w:p w14:paraId="6509475F">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2190" w:type="dxa"/>
                  <w:tcBorders>
                    <w:tl2br w:val="nil"/>
                    <w:tr2bl w:val="nil"/>
                  </w:tcBorders>
                  <w:shd w:val="clear" w:color="auto" w:fill="auto"/>
                  <w:vAlign w:val="center"/>
                </w:tcPr>
                <w:p w14:paraId="21C467C3">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G2挥发性有机废气（镶样）</w:t>
                  </w:r>
                </w:p>
              </w:tc>
              <w:tc>
                <w:tcPr>
                  <w:tcW w:w="1720" w:type="dxa"/>
                  <w:tcBorders>
                    <w:tl2br w:val="nil"/>
                    <w:tr2bl w:val="nil"/>
                  </w:tcBorders>
                  <w:shd w:val="clear" w:color="auto" w:fill="auto"/>
                  <w:vAlign w:val="center"/>
                </w:tcPr>
                <w:p w14:paraId="0E36D03B">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非甲烷总烃</w:t>
                  </w:r>
                </w:p>
              </w:tc>
              <w:tc>
                <w:tcPr>
                  <w:tcW w:w="1450" w:type="dxa"/>
                  <w:tcBorders>
                    <w:tl2br w:val="nil"/>
                    <w:tr2bl w:val="nil"/>
                  </w:tcBorders>
                  <w:shd w:val="clear" w:color="auto" w:fill="auto"/>
                  <w:vAlign w:val="center"/>
                </w:tcPr>
                <w:p w14:paraId="0AFB4B81">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0.0054 kg/a</w:t>
                  </w:r>
                </w:p>
                <w:p w14:paraId="49EAEC49">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0.00027 kg/h</w:t>
                  </w:r>
                </w:p>
              </w:tc>
              <w:tc>
                <w:tcPr>
                  <w:tcW w:w="654" w:type="dxa"/>
                  <w:tcBorders>
                    <w:tl2br w:val="nil"/>
                    <w:tr2bl w:val="nil"/>
                  </w:tcBorders>
                  <w:shd w:val="clear" w:color="auto" w:fill="auto"/>
                  <w:vAlign w:val="center"/>
                </w:tcPr>
                <w:p w14:paraId="34870B66">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w:t>
                  </w:r>
                </w:p>
              </w:tc>
            </w:tr>
            <w:tr w14:paraId="6962A73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564" w:type="dxa"/>
                  <w:tcBorders>
                    <w:tl2br w:val="nil"/>
                    <w:tr2bl w:val="nil"/>
                  </w:tcBorders>
                  <w:shd w:val="clear" w:color="auto" w:fill="auto"/>
                  <w:vAlign w:val="center"/>
                </w:tcPr>
                <w:p w14:paraId="2FA9B93C">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eastAsia="宋体" w:cs="Times New Roman"/>
                      <w:kern w:val="2"/>
                      <w:sz w:val="21"/>
                      <w:szCs w:val="21"/>
                      <w:highlight w:val="none"/>
                      <w:vertAlign w:val="baseline"/>
                      <w:lang w:val="en-US" w:eastAsia="zh-CN" w:bidi="ar-SA"/>
                    </w:rPr>
                    <w:t>6</w:t>
                  </w:r>
                </w:p>
              </w:tc>
              <w:tc>
                <w:tcPr>
                  <w:tcW w:w="980" w:type="dxa"/>
                  <w:vMerge w:val="continue"/>
                  <w:tcBorders>
                    <w:tl2br w:val="nil"/>
                    <w:tr2bl w:val="nil"/>
                  </w:tcBorders>
                  <w:shd w:val="clear" w:color="auto" w:fill="auto"/>
                  <w:vAlign w:val="center"/>
                </w:tcPr>
                <w:p w14:paraId="09942A5F">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2190" w:type="dxa"/>
                  <w:vMerge w:val="restart"/>
                  <w:tcBorders>
                    <w:tl2br w:val="nil"/>
                    <w:tr2bl w:val="nil"/>
                  </w:tcBorders>
                  <w:shd w:val="clear" w:color="auto" w:fill="auto"/>
                  <w:vAlign w:val="center"/>
                </w:tcPr>
                <w:p w14:paraId="1436AB37">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lang w:val="en-US" w:eastAsia="zh-CN"/>
                    </w:rPr>
                    <w:t>G2挥发性有机废气（晶界腐蚀）</w:t>
                  </w:r>
                </w:p>
              </w:tc>
              <w:tc>
                <w:tcPr>
                  <w:tcW w:w="1720" w:type="dxa"/>
                  <w:tcBorders>
                    <w:tl2br w:val="nil"/>
                    <w:tr2bl w:val="nil"/>
                  </w:tcBorders>
                  <w:shd w:val="clear" w:color="auto" w:fill="auto"/>
                  <w:vAlign w:val="center"/>
                </w:tcPr>
                <w:p w14:paraId="1885D1F5">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非甲烷总烃</w:t>
                  </w:r>
                </w:p>
              </w:tc>
              <w:tc>
                <w:tcPr>
                  <w:tcW w:w="1450" w:type="dxa"/>
                  <w:tcBorders>
                    <w:tl2br w:val="nil"/>
                    <w:tr2bl w:val="nil"/>
                  </w:tcBorders>
                  <w:shd w:val="clear" w:color="auto" w:fill="auto"/>
                  <w:vAlign w:val="center"/>
                </w:tcPr>
                <w:p w14:paraId="6A870E72">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0.0606 kg/a</w:t>
                  </w:r>
                </w:p>
                <w:p w14:paraId="2114341B">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0.00904 kg/h</w:t>
                  </w:r>
                </w:p>
              </w:tc>
              <w:tc>
                <w:tcPr>
                  <w:tcW w:w="654" w:type="dxa"/>
                  <w:vMerge w:val="restart"/>
                  <w:tcBorders>
                    <w:tl2br w:val="nil"/>
                    <w:tr2bl w:val="nil"/>
                  </w:tcBorders>
                  <w:vAlign w:val="center"/>
                </w:tcPr>
                <w:p w14:paraId="06C34E32">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6.7</w:t>
                  </w:r>
                </w:p>
              </w:tc>
            </w:tr>
            <w:tr w14:paraId="156E8AE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564" w:type="dxa"/>
                  <w:tcBorders>
                    <w:tl2br w:val="nil"/>
                    <w:tr2bl w:val="nil"/>
                  </w:tcBorders>
                  <w:shd w:val="clear" w:color="auto" w:fill="auto"/>
                  <w:vAlign w:val="center"/>
                </w:tcPr>
                <w:p w14:paraId="18381EEE">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eastAsia="宋体" w:cs="Times New Roman"/>
                      <w:kern w:val="2"/>
                      <w:sz w:val="21"/>
                      <w:szCs w:val="21"/>
                      <w:highlight w:val="none"/>
                      <w:vertAlign w:val="baseline"/>
                      <w:lang w:val="en-US" w:eastAsia="zh-CN" w:bidi="ar-SA"/>
                    </w:rPr>
                    <w:t>7</w:t>
                  </w:r>
                </w:p>
              </w:tc>
              <w:tc>
                <w:tcPr>
                  <w:tcW w:w="980" w:type="dxa"/>
                  <w:vMerge w:val="continue"/>
                  <w:tcBorders>
                    <w:tl2br w:val="nil"/>
                    <w:tr2bl w:val="nil"/>
                  </w:tcBorders>
                  <w:shd w:val="clear" w:color="auto" w:fill="auto"/>
                  <w:vAlign w:val="center"/>
                </w:tcPr>
                <w:p w14:paraId="2D5D9093">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2190" w:type="dxa"/>
                  <w:vMerge w:val="continue"/>
                  <w:tcBorders>
                    <w:tl2br w:val="nil"/>
                    <w:tr2bl w:val="nil"/>
                  </w:tcBorders>
                  <w:shd w:val="clear" w:color="auto" w:fill="auto"/>
                  <w:vAlign w:val="center"/>
                </w:tcPr>
                <w:p w14:paraId="312B2043">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1720" w:type="dxa"/>
                  <w:tcBorders>
                    <w:tl2br w:val="nil"/>
                    <w:tr2bl w:val="nil"/>
                  </w:tcBorders>
                  <w:shd w:val="clear" w:color="auto" w:fill="auto"/>
                  <w:vAlign w:val="center"/>
                </w:tcPr>
                <w:p w14:paraId="28068B90">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硝酸（以氮氧化物计）</w:t>
                  </w:r>
                </w:p>
              </w:tc>
              <w:tc>
                <w:tcPr>
                  <w:tcW w:w="1450" w:type="dxa"/>
                  <w:tcBorders>
                    <w:tl2br w:val="nil"/>
                    <w:tr2bl w:val="nil"/>
                  </w:tcBorders>
                  <w:shd w:val="clear" w:color="auto" w:fill="auto"/>
                  <w:vAlign w:val="center"/>
                </w:tcPr>
                <w:p w14:paraId="1E543449">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 xml:space="preserve">0.0048 kg/a </w:t>
                  </w:r>
                </w:p>
                <w:p w14:paraId="4C5C8DBF">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0.00072 kg/h</w:t>
                  </w:r>
                </w:p>
              </w:tc>
              <w:tc>
                <w:tcPr>
                  <w:tcW w:w="654" w:type="dxa"/>
                  <w:vMerge w:val="continue"/>
                  <w:tcBorders>
                    <w:tl2br w:val="nil"/>
                    <w:tr2bl w:val="nil"/>
                  </w:tcBorders>
                  <w:vAlign w:val="center"/>
                </w:tcPr>
                <w:p w14:paraId="356822C7">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r>
            <w:tr w14:paraId="72459F8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564" w:type="dxa"/>
                  <w:tcBorders>
                    <w:tl2br w:val="nil"/>
                    <w:tr2bl w:val="nil"/>
                  </w:tcBorders>
                  <w:shd w:val="clear" w:color="auto" w:fill="auto"/>
                  <w:vAlign w:val="center"/>
                </w:tcPr>
                <w:p w14:paraId="7D3AE540">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eastAsia="宋体" w:cs="Times New Roman"/>
                      <w:sz w:val="21"/>
                      <w:szCs w:val="21"/>
                      <w:highlight w:val="none"/>
                      <w:vertAlign w:val="baseline"/>
                      <w:lang w:val="en-US" w:eastAsia="zh-CN"/>
                    </w:rPr>
                    <w:t>8</w:t>
                  </w:r>
                </w:p>
              </w:tc>
              <w:tc>
                <w:tcPr>
                  <w:tcW w:w="980" w:type="dxa"/>
                  <w:vMerge w:val="restart"/>
                  <w:tcBorders>
                    <w:tl2br w:val="nil"/>
                    <w:tr2bl w:val="nil"/>
                  </w:tcBorders>
                  <w:shd w:val="clear" w:color="auto" w:fill="auto"/>
                  <w:vAlign w:val="center"/>
                </w:tcPr>
                <w:p w14:paraId="0235F274">
                  <w:pPr>
                    <w:adjustRightInd w:val="0"/>
                    <w:snapToGrid w:val="0"/>
                    <w:spacing w:line="24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TA003</w:t>
                  </w:r>
                </w:p>
                <w:p w14:paraId="70CEEFF9">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DA003</w:t>
                  </w:r>
                </w:p>
              </w:tc>
              <w:tc>
                <w:tcPr>
                  <w:tcW w:w="2190" w:type="dxa"/>
                  <w:vMerge w:val="restart"/>
                  <w:tcBorders>
                    <w:tl2br w:val="nil"/>
                    <w:tr2bl w:val="nil"/>
                  </w:tcBorders>
                  <w:shd w:val="clear" w:color="auto" w:fill="auto"/>
                  <w:vAlign w:val="center"/>
                </w:tcPr>
                <w:p w14:paraId="028613A9">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G3挥发性无机废气（酸解）、G4检测废气</w:t>
                  </w:r>
                </w:p>
              </w:tc>
              <w:tc>
                <w:tcPr>
                  <w:tcW w:w="1720" w:type="dxa"/>
                  <w:tcBorders>
                    <w:tl2br w:val="nil"/>
                    <w:tr2bl w:val="nil"/>
                  </w:tcBorders>
                  <w:shd w:val="clear" w:color="auto" w:fill="auto"/>
                  <w:vAlign w:val="center"/>
                </w:tcPr>
                <w:p w14:paraId="4EE299C5">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氯化氢</w:t>
                  </w:r>
                </w:p>
              </w:tc>
              <w:tc>
                <w:tcPr>
                  <w:tcW w:w="1450" w:type="dxa"/>
                  <w:tcBorders>
                    <w:tl2br w:val="nil"/>
                    <w:tr2bl w:val="nil"/>
                  </w:tcBorders>
                  <w:shd w:val="clear" w:color="auto" w:fill="auto"/>
                  <w:vAlign w:val="center"/>
                </w:tcPr>
                <w:p w14:paraId="28279166">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0.01699kg/a</w:t>
                  </w:r>
                </w:p>
                <w:p w14:paraId="3D991B61">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0.00017 kg/h</w:t>
                  </w:r>
                </w:p>
              </w:tc>
              <w:tc>
                <w:tcPr>
                  <w:tcW w:w="654" w:type="dxa"/>
                  <w:vMerge w:val="restart"/>
                  <w:tcBorders>
                    <w:tl2br w:val="nil"/>
                    <w:tr2bl w:val="nil"/>
                  </w:tcBorders>
                  <w:shd w:val="clear" w:color="auto" w:fill="auto"/>
                  <w:vAlign w:val="center"/>
                </w:tcPr>
                <w:p w14:paraId="303E155D">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100h</w:t>
                  </w:r>
                </w:p>
              </w:tc>
            </w:tr>
            <w:tr w14:paraId="7A00A0B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564" w:type="dxa"/>
                  <w:tcBorders>
                    <w:tl2br w:val="nil"/>
                    <w:tr2bl w:val="nil"/>
                  </w:tcBorders>
                  <w:shd w:val="clear" w:color="auto" w:fill="auto"/>
                  <w:vAlign w:val="center"/>
                </w:tcPr>
                <w:p w14:paraId="490789FB">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eastAsia="宋体" w:cs="Times New Roman"/>
                      <w:sz w:val="21"/>
                      <w:szCs w:val="21"/>
                      <w:highlight w:val="none"/>
                      <w:vertAlign w:val="baseline"/>
                      <w:lang w:val="en-US" w:eastAsia="zh-CN"/>
                    </w:rPr>
                    <w:t>9</w:t>
                  </w:r>
                </w:p>
              </w:tc>
              <w:tc>
                <w:tcPr>
                  <w:tcW w:w="980" w:type="dxa"/>
                  <w:vMerge w:val="continue"/>
                  <w:tcBorders>
                    <w:tl2br w:val="nil"/>
                    <w:tr2bl w:val="nil"/>
                  </w:tcBorders>
                  <w:shd w:val="clear" w:color="auto" w:fill="auto"/>
                  <w:vAlign w:val="center"/>
                </w:tcPr>
                <w:p w14:paraId="1C0452FF">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2190" w:type="dxa"/>
                  <w:vMerge w:val="continue"/>
                  <w:tcBorders>
                    <w:tl2br w:val="nil"/>
                    <w:tr2bl w:val="nil"/>
                  </w:tcBorders>
                  <w:shd w:val="clear" w:color="auto" w:fill="auto"/>
                  <w:vAlign w:val="center"/>
                </w:tcPr>
                <w:p w14:paraId="13939F7A">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1720" w:type="dxa"/>
                  <w:tcBorders>
                    <w:tl2br w:val="nil"/>
                    <w:tr2bl w:val="nil"/>
                  </w:tcBorders>
                  <w:shd w:val="clear" w:color="auto" w:fill="auto"/>
                  <w:vAlign w:val="center"/>
                </w:tcPr>
                <w:p w14:paraId="0EAEADDF">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硝酸（以氮氧化物计）</w:t>
                  </w:r>
                </w:p>
              </w:tc>
              <w:tc>
                <w:tcPr>
                  <w:tcW w:w="1450" w:type="dxa"/>
                  <w:tcBorders>
                    <w:tl2br w:val="nil"/>
                    <w:tr2bl w:val="nil"/>
                  </w:tcBorders>
                  <w:shd w:val="clear" w:color="auto" w:fill="auto"/>
                  <w:vAlign w:val="center"/>
                </w:tcPr>
                <w:p w14:paraId="47227294">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0.01923kg/a</w:t>
                  </w:r>
                </w:p>
                <w:p w14:paraId="6F0DF922">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0.00019kg/h</w:t>
                  </w:r>
                </w:p>
              </w:tc>
              <w:tc>
                <w:tcPr>
                  <w:tcW w:w="654" w:type="dxa"/>
                  <w:vMerge w:val="continue"/>
                  <w:tcBorders>
                    <w:tl2br w:val="nil"/>
                    <w:tr2bl w:val="nil"/>
                  </w:tcBorders>
                  <w:vAlign w:val="center"/>
                </w:tcPr>
                <w:p w14:paraId="3DDACD13">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r>
            <w:tr w14:paraId="68E49AD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564" w:type="dxa"/>
                  <w:tcBorders>
                    <w:tl2br w:val="nil"/>
                    <w:tr2bl w:val="nil"/>
                  </w:tcBorders>
                  <w:shd w:val="clear" w:color="auto" w:fill="auto"/>
                  <w:vAlign w:val="center"/>
                </w:tcPr>
                <w:p w14:paraId="34345924">
                  <w:pPr>
                    <w:adjustRightInd w:val="0"/>
                    <w:snapToGrid w:val="0"/>
                    <w:spacing w:line="240" w:lineRule="auto"/>
                    <w:jc w:val="center"/>
                    <w:rPr>
                      <w:rFonts w:hint="default" w:eastAsia="宋体" w:cs="Times New Roman"/>
                      <w:sz w:val="21"/>
                      <w:szCs w:val="21"/>
                      <w:highlight w:val="none"/>
                      <w:vertAlign w:val="baseline"/>
                      <w:lang w:val="en-US" w:eastAsia="zh-CN"/>
                    </w:rPr>
                  </w:pPr>
                  <w:r>
                    <w:rPr>
                      <w:rFonts w:hint="eastAsia" w:eastAsia="宋体" w:cs="Times New Roman"/>
                      <w:sz w:val="21"/>
                      <w:szCs w:val="21"/>
                      <w:highlight w:val="none"/>
                      <w:vertAlign w:val="baseline"/>
                      <w:lang w:val="en-US" w:eastAsia="zh-CN"/>
                    </w:rPr>
                    <w:t>10</w:t>
                  </w:r>
                </w:p>
              </w:tc>
              <w:tc>
                <w:tcPr>
                  <w:tcW w:w="980" w:type="dxa"/>
                  <w:vMerge w:val="continue"/>
                  <w:tcBorders>
                    <w:tl2br w:val="nil"/>
                    <w:tr2bl w:val="nil"/>
                  </w:tcBorders>
                  <w:shd w:val="clear" w:color="auto" w:fill="auto"/>
                  <w:vAlign w:val="center"/>
                </w:tcPr>
                <w:p w14:paraId="5B78EACB">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2190" w:type="dxa"/>
                  <w:vMerge w:val="restart"/>
                  <w:tcBorders>
                    <w:tl2br w:val="nil"/>
                    <w:tr2bl w:val="nil"/>
                  </w:tcBorders>
                  <w:shd w:val="clear" w:color="auto" w:fill="auto"/>
                  <w:vAlign w:val="center"/>
                </w:tcPr>
                <w:p w14:paraId="4533F307">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lang w:val="en-US" w:eastAsia="zh-CN"/>
                    </w:rPr>
                    <w:t>G5无机含氨废气（沉淀反应）</w:t>
                  </w:r>
                </w:p>
              </w:tc>
              <w:tc>
                <w:tcPr>
                  <w:tcW w:w="1720" w:type="dxa"/>
                  <w:tcBorders>
                    <w:tl2br w:val="nil"/>
                    <w:tr2bl w:val="nil"/>
                  </w:tcBorders>
                  <w:shd w:val="clear" w:color="auto" w:fill="auto"/>
                  <w:vAlign w:val="center"/>
                </w:tcPr>
                <w:p w14:paraId="12132F77">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氨</w:t>
                  </w:r>
                </w:p>
              </w:tc>
              <w:tc>
                <w:tcPr>
                  <w:tcW w:w="1450" w:type="dxa"/>
                  <w:tcBorders>
                    <w:tl2br w:val="nil"/>
                    <w:tr2bl w:val="nil"/>
                  </w:tcBorders>
                  <w:shd w:val="clear" w:color="auto" w:fill="auto"/>
                  <w:vAlign w:val="center"/>
                </w:tcPr>
                <w:p w14:paraId="06895819">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1.814 kg/a</w:t>
                  </w:r>
                </w:p>
                <w:p w14:paraId="0EC46DC9">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lang w:val="en-US" w:eastAsia="zh-CN"/>
                    </w:rPr>
                    <w:t>0.001209kg/h</w:t>
                  </w:r>
                </w:p>
              </w:tc>
              <w:tc>
                <w:tcPr>
                  <w:tcW w:w="654" w:type="dxa"/>
                  <w:vMerge w:val="restart"/>
                  <w:tcBorders>
                    <w:tl2br w:val="nil"/>
                    <w:tr2bl w:val="nil"/>
                  </w:tcBorders>
                  <w:shd w:val="clear" w:color="auto" w:fill="auto"/>
                  <w:vAlign w:val="center"/>
                </w:tcPr>
                <w:p w14:paraId="49B8A3D2">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1500</w:t>
                  </w:r>
                </w:p>
              </w:tc>
            </w:tr>
            <w:tr w14:paraId="0D3CFD3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564" w:type="dxa"/>
                  <w:tcBorders>
                    <w:tl2br w:val="nil"/>
                    <w:tr2bl w:val="nil"/>
                  </w:tcBorders>
                  <w:shd w:val="clear" w:color="auto" w:fill="auto"/>
                  <w:vAlign w:val="center"/>
                </w:tcPr>
                <w:p w14:paraId="31E855CB">
                  <w:pPr>
                    <w:adjustRightInd w:val="0"/>
                    <w:snapToGrid w:val="0"/>
                    <w:spacing w:line="240" w:lineRule="auto"/>
                    <w:jc w:val="center"/>
                    <w:rPr>
                      <w:rFonts w:hint="default" w:eastAsia="宋体" w:cs="Times New Roman"/>
                      <w:sz w:val="21"/>
                      <w:szCs w:val="21"/>
                      <w:highlight w:val="none"/>
                      <w:vertAlign w:val="baseline"/>
                      <w:lang w:val="en-US" w:eastAsia="zh-CN"/>
                    </w:rPr>
                  </w:pPr>
                  <w:r>
                    <w:rPr>
                      <w:rFonts w:hint="eastAsia" w:eastAsia="宋体" w:cs="Times New Roman"/>
                      <w:sz w:val="21"/>
                      <w:szCs w:val="21"/>
                      <w:highlight w:val="none"/>
                      <w:vertAlign w:val="baseline"/>
                      <w:lang w:val="en-US" w:eastAsia="zh-CN"/>
                    </w:rPr>
                    <w:t>11</w:t>
                  </w:r>
                </w:p>
              </w:tc>
              <w:tc>
                <w:tcPr>
                  <w:tcW w:w="980" w:type="dxa"/>
                  <w:vMerge w:val="continue"/>
                  <w:tcBorders>
                    <w:tl2br w:val="nil"/>
                    <w:tr2bl w:val="nil"/>
                  </w:tcBorders>
                  <w:shd w:val="clear" w:color="auto" w:fill="auto"/>
                  <w:vAlign w:val="center"/>
                </w:tcPr>
                <w:p w14:paraId="3B5653E6">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2190" w:type="dxa"/>
                  <w:vMerge w:val="continue"/>
                  <w:tcBorders>
                    <w:tl2br w:val="nil"/>
                    <w:tr2bl w:val="nil"/>
                  </w:tcBorders>
                  <w:shd w:val="clear" w:color="auto" w:fill="auto"/>
                  <w:vAlign w:val="center"/>
                </w:tcPr>
                <w:p w14:paraId="7FEE8EE2">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1720" w:type="dxa"/>
                  <w:tcBorders>
                    <w:tl2br w:val="nil"/>
                    <w:tr2bl w:val="nil"/>
                  </w:tcBorders>
                  <w:shd w:val="clear" w:color="auto" w:fill="auto"/>
                  <w:vAlign w:val="center"/>
                </w:tcPr>
                <w:p w14:paraId="6CD5C900">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sz w:val="21"/>
                      <w:szCs w:val="21"/>
                      <w:highlight w:val="none"/>
                      <w:vertAlign w:val="baseline"/>
                      <w:lang w:val="en-US" w:eastAsia="zh-CN"/>
                    </w:rPr>
                    <w:t>氟</w:t>
                  </w:r>
                </w:p>
              </w:tc>
              <w:tc>
                <w:tcPr>
                  <w:tcW w:w="1450" w:type="dxa"/>
                  <w:tcBorders>
                    <w:tl2br w:val="nil"/>
                    <w:tr2bl w:val="nil"/>
                  </w:tcBorders>
                  <w:shd w:val="clear" w:color="auto" w:fill="auto"/>
                  <w:vAlign w:val="center"/>
                </w:tcPr>
                <w:p w14:paraId="1C2DBFCD">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0.175</w:t>
                  </w:r>
                  <w:r>
                    <w:rPr>
                      <w:rFonts w:hint="default" w:ascii="Times New Roman" w:hAnsi="Times New Roman" w:eastAsia="宋体" w:cs="Times New Roman"/>
                      <w:sz w:val="21"/>
                      <w:szCs w:val="21"/>
                      <w:highlight w:val="none"/>
                      <w:lang w:val="en-US" w:eastAsia="zh-CN"/>
                    </w:rPr>
                    <w:t>kg/a</w:t>
                  </w:r>
                </w:p>
                <w:p w14:paraId="7D699152">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w:t>
                  </w:r>
                  <w:r>
                    <w:rPr>
                      <w:rFonts w:hint="eastAsia" w:ascii="Times New Roman" w:hAnsi="Times New Roman" w:eastAsia="宋体" w:cs="Times New Roman"/>
                      <w:sz w:val="21"/>
                      <w:szCs w:val="21"/>
                      <w:highlight w:val="none"/>
                      <w:lang w:val="en-US" w:eastAsia="zh-CN"/>
                    </w:rPr>
                    <w:t>012</w:t>
                  </w:r>
                  <w:r>
                    <w:rPr>
                      <w:rFonts w:hint="default" w:ascii="Times New Roman" w:hAnsi="Times New Roman" w:eastAsia="宋体" w:cs="Times New Roman"/>
                      <w:sz w:val="21"/>
                      <w:szCs w:val="21"/>
                      <w:highlight w:val="none"/>
                      <w:lang w:val="en-US" w:eastAsia="zh-CN"/>
                    </w:rPr>
                    <w:t>kg/h</w:t>
                  </w:r>
                </w:p>
              </w:tc>
              <w:tc>
                <w:tcPr>
                  <w:tcW w:w="654" w:type="dxa"/>
                  <w:vMerge w:val="continue"/>
                  <w:tcBorders>
                    <w:tl2br w:val="nil"/>
                    <w:tr2bl w:val="nil"/>
                  </w:tcBorders>
                  <w:vAlign w:val="center"/>
                </w:tcPr>
                <w:p w14:paraId="1AA931E0">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r>
            <w:tr w14:paraId="4E09AB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64" w:type="dxa"/>
                  <w:tcBorders>
                    <w:tl2br w:val="nil"/>
                    <w:tr2bl w:val="nil"/>
                  </w:tcBorders>
                  <w:shd w:val="clear" w:color="auto" w:fill="auto"/>
                  <w:vAlign w:val="center"/>
                </w:tcPr>
                <w:p w14:paraId="7E5C61B0">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eastAsia="宋体" w:cs="Times New Roman"/>
                      <w:sz w:val="21"/>
                      <w:szCs w:val="21"/>
                      <w:highlight w:val="none"/>
                      <w:vertAlign w:val="baseline"/>
                      <w:lang w:val="en-US" w:eastAsia="zh-CN"/>
                    </w:rPr>
                    <w:t>12</w:t>
                  </w:r>
                </w:p>
              </w:tc>
              <w:tc>
                <w:tcPr>
                  <w:tcW w:w="980" w:type="dxa"/>
                  <w:vMerge w:val="restart"/>
                  <w:tcBorders>
                    <w:tl2br w:val="nil"/>
                    <w:tr2bl w:val="nil"/>
                  </w:tcBorders>
                  <w:shd w:val="clear" w:color="auto" w:fill="auto"/>
                  <w:vAlign w:val="center"/>
                </w:tcPr>
                <w:p w14:paraId="2EC664BF">
                  <w:pPr>
                    <w:adjustRightInd w:val="0"/>
                    <w:snapToGrid w:val="0"/>
                    <w:spacing w:line="24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TA004</w:t>
                  </w:r>
                </w:p>
                <w:p w14:paraId="26A60ECF">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DA004</w:t>
                  </w:r>
                </w:p>
              </w:tc>
              <w:tc>
                <w:tcPr>
                  <w:tcW w:w="2190" w:type="dxa"/>
                  <w:tcBorders>
                    <w:tl2br w:val="nil"/>
                    <w:tr2bl w:val="nil"/>
                  </w:tcBorders>
                  <w:shd w:val="clear" w:color="auto" w:fill="auto"/>
                  <w:vAlign w:val="center"/>
                </w:tcPr>
                <w:p w14:paraId="2D3978E7">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G9挥发性有机废气（电池组装）</w:t>
                  </w:r>
                </w:p>
              </w:tc>
              <w:tc>
                <w:tcPr>
                  <w:tcW w:w="1720" w:type="dxa"/>
                  <w:tcBorders>
                    <w:tl2br w:val="nil"/>
                    <w:tr2bl w:val="nil"/>
                  </w:tcBorders>
                  <w:shd w:val="clear" w:color="auto" w:fill="auto"/>
                  <w:vAlign w:val="center"/>
                </w:tcPr>
                <w:p w14:paraId="40CC13D5">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非甲烷总烃</w:t>
                  </w:r>
                </w:p>
              </w:tc>
              <w:tc>
                <w:tcPr>
                  <w:tcW w:w="1450" w:type="dxa"/>
                  <w:tcBorders>
                    <w:tl2br w:val="nil"/>
                    <w:tr2bl w:val="nil"/>
                  </w:tcBorders>
                  <w:shd w:val="clear" w:color="auto" w:fill="auto"/>
                  <w:vAlign w:val="center"/>
                </w:tcPr>
                <w:p w14:paraId="422C6650">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2.3565 kg/a</w:t>
                  </w:r>
                </w:p>
                <w:p w14:paraId="1968BD90">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0.1411 kg/h</w:t>
                  </w:r>
                </w:p>
              </w:tc>
              <w:tc>
                <w:tcPr>
                  <w:tcW w:w="654" w:type="dxa"/>
                  <w:tcBorders>
                    <w:tl2br w:val="nil"/>
                    <w:tr2bl w:val="nil"/>
                  </w:tcBorders>
                  <w:shd w:val="clear" w:color="auto" w:fill="auto"/>
                  <w:vAlign w:val="center"/>
                </w:tcPr>
                <w:p w14:paraId="67EAD3B7">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16.7</w:t>
                  </w:r>
                </w:p>
              </w:tc>
            </w:tr>
            <w:tr w14:paraId="183A847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64" w:type="dxa"/>
                  <w:tcBorders>
                    <w:tl2br w:val="nil"/>
                    <w:tr2bl w:val="nil"/>
                  </w:tcBorders>
                  <w:shd w:val="clear" w:color="auto" w:fill="auto"/>
                  <w:vAlign w:val="center"/>
                </w:tcPr>
                <w:p w14:paraId="46777979">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eastAsia="宋体" w:cs="Times New Roman"/>
                      <w:sz w:val="21"/>
                      <w:szCs w:val="21"/>
                      <w:highlight w:val="none"/>
                      <w:vertAlign w:val="baseline"/>
                      <w:lang w:val="en-US" w:eastAsia="zh-CN"/>
                    </w:rPr>
                    <w:t>13</w:t>
                  </w:r>
                </w:p>
              </w:tc>
              <w:tc>
                <w:tcPr>
                  <w:tcW w:w="980" w:type="dxa"/>
                  <w:vMerge w:val="continue"/>
                  <w:tcBorders>
                    <w:tl2br w:val="nil"/>
                    <w:tr2bl w:val="nil"/>
                  </w:tcBorders>
                  <w:shd w:val="clear" w:color="auto" w:fill="auto"/>
                  <w:vAlign w:val="center"/>
                </w:tcPr>
                <w:p w14:paraId="4EE1CF6B">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2190" w:type="dxa"/>
                  <w:tcBorders>
                    <w:tl2br w:val="nil"/>
                    <w:tr2bl w:val="nil"/>
                  </w:tcBorders>
                  <w:shd w:val="clear" w:color="auto" w:fill="auto"/>
                  <w:vAlign w:val="center"/>
                </w:tcPr>
                <w:p w14:paraId="5A1619F0">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G10挥发性有机废气（浸树脂）</w:t>
                  </w:r>
                </w:p>
              </w:tc>
              <w:tc>
                <w:tcPr>
                  <w:tcW w:w="1720" w:type="dxa"/>
                  <w:tcBorders>
                    <w:tl2br w:val="nil"/>
                    <w:tr2bl w:val="nil"/>
                  </w:tcBorders>
                  <w:shd w:val="clear" w:color="auto" w:fill="auto"/>
                  <w:vAlign w:val="center"/>
                </w:tcPr>
                <w:p w14:paraId="5CDE3D47">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非甲烷总烃</w:t>
                  </w:r>
                </w:p>
              </w:tc>
              <w:tc>
                <w:tcPr>
                  <w:tcW w:w="1450" w:type="dxa"/>
                  <w:tcBorders>
                    <w:tl2br w:val="nil"/>
                    <w:tr2bl w:val="nil"/>
                  </w:tcBorders>
                  <w:shd w:val="clear" w:color="auto" w:fill="auto"/>
                  <w:vAlign w:val="center"/>
                </w:tcPr>
                <w:p w14:paraId="0A38F43C">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0.016 kg/a</w:t>
                  </w:r>
                </w:p>
                <w:p w14:paraId="7E2C090C">
                  <w:pPr>
                    <w:adjustRightInd w:val="0"/>
                    <w:snapToGrid w:val="0"/>
                    <w:spacing w:line="240" w:lineRule="auto"/>
                    <w:jc w:val="both"/>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0.000067kg/h</w:t>
                  </w:r>
                </w:p>
              </w:tc>
              <w:tc>
                <w:tcPr>
                  <w:tcW w:w="654" w:type="dxa"/>
                  <w:tcBorders>
                    <w:tl2br w:val="nil"/>
                    <w:tr2bl w:val="nil"/>
                  </w:tcBorders>
                  <w:shd w:val="clear" w:color="auto" w:fill="auto"/>
                  <w:vAlign w:val="center"/>
                </w:tcPr>
                <w:p w14:paraId="3A2BB98B">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240</w:t>
                  </w:r>
                </w:p>
              </w:tc>
            </w:tr>
            <w:tr w14:paraId="16BA0C5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64" w:type="dxa"/>
                  <w:tcBorders>
                    <w:tl2br w:val="nil"/>
                    <w:tr2bl w:val="nil"/>
                  </w:tcBorders>
                  <w:shd w:val="clear" w:color="auto" w:fill="auto"/>
                  <w:vAlign w:val="center"/>
                </w:tcPr>
                <w:p w14:paraId="162BE399">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eastAsia="宋体" w:cs="Times New Roman"/>
                      <w:sz w:val="21"/>
                      <w:szCs w:val="21"/>
                      <w:highlight w:val="none"/>
                      <w:vertAlign w:val="baseline"/>
                      <w:lang w:val="en-US" w:eastAsia="zh-CN"/>
                    </w:rPr>
                    <w:t>14</w:t>
                  </w:r>
                </w:p>
              </w:tc>
              <w:tc>
                <w:tcPr>
                  <w:tcW w:w="980" w:type="dxa"/>
                  <w:vMerge w:val="continue"/>
                  <w:tcBorders>
                    <w:tl2br w:val="nil"/>
                    <w:tr2bl w:val="nil"/>
                  </w:tcBorders>
                  <w:shd w:val="clear" w:color="auto" w:fill="auto"/>
                  <w:vAlign w:val="center"/>
                </w:tcPr>
                <w:p w14:paraId="2C906E94">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2190" w:type="dxa"/>
                  <w:tcBorders>
                    <w:tl2br w:val="nil"/>
                    <w:tr2bl w:val="nil"/>
                  </w:tcBorders>
                  <w:shd w:val="clear" w:color="auto" w:fill="auto"/>
                  <w:vAlign w:val="center"/>
                </w:tcPr>
                <w:p w14:paraId="3DE67B2F">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lang w:val="en-US" w:eastAsia="zh-CN"/>
                    </w:rPr>
                    <w:t>G11挥发性有机废气（护盒装配）</w:t>
                  </w:r>
                </w:p>
              </w:tc>
              <w:tc>
                <w:tcPr>
                  <w:tcW w:w="1720" w:type="dxa"/>
                  <w:tcBorders>
                    <w:tl2br w:val="nil"/>
                    <w:tr2bl w:val="nil"/>
                  </w:tcBorders>
                  <w:shd w:val="clear" w:color="auto" w:fill="auto"/>
                  <w:vAlign w:val="center"/>
                </w:tcPr>
                <w:p w14:paraId="00A99274">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lang w:val="en-US" w:eastAsia="zh-CN"/>
                    </w:rPr>
                    <w:t>非甲烷总烃</w:t>
                  </w:r>
                </w:p>
              </w:tc>
              <w:tc>
                <w:tcPr>
                  <w:tcW w:w="1450" w:type="dxa"/>
                  <w:tcBorders>
                    <w:tl2br w:val="nil"/>
                    <w:tr2bl w:val="nil"/>
                  </w:tcBorders>
                  <w:shd w:val="clear" w:color="auto" w:fill="auto"/>
                  <w:vAlign w:val="center"/>
                </w:tcPr>
                <w:p w14:paraId="59E4542D">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0.0384 kg/a</w:t>
                  </w:r>
                </w:p>
                <w:p w14:paraId="67E32C03">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lang w:val="en-US" w:eastAsia="zh-CN"/>
                    </w:rPr>
                    <w:t>0.00048 kg/h</w:t>
                  </w:r>
                </w:p>
              </w:tc>
              <w:tc>
                <w:tcPr>
                  <w:tcW w:w="654" w:type="dxa"/>
                  <w:tcBorders>
                    <w:tl2br w:val="nil"/>
                    <w:tr2bl w:val="nil"/>
                  </w:tcBorders>
                  <w:shd w:val="clear" w:color="auto" w:fill="auto"/>
                  <w:vAlign w:val="center"/>
                </w:tcPr>
                <w:p w14:paraId="3B9BE66B">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80</w:t>
                  </w:r>
                </w:p>
              </w:tc>
            </w:tr>
            <w:tr w14:paraId="52EEB7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564" w:type="dxa"/>
                  <w:tcBorders>
                    <w:tl2br w:val="nil"/>
                    <w:tr2bl w:val="nil"/>
                  </w:tcBorders>
                  <w:shd w:val="clear" w:color="auto" w:fill="auto"/>
                  <w:vAlign w:val="center"/>
                </w:tcPr>
                <w:p w14:paraId="656CF1E6">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eastAsia="宋体" w:cs="Times New Roman"/>
                      <w:kern w:val="2"/>
                      <w:sz w:val="21"/>
                      <w:szCs w:val="21"/>
                      <w:highlight w:val="none"/>
                      <w:vertAlign w:val="baseline"/>
                      <w:lang w:val="en-US" w:eastAsia="zh-CN" w:bidi="ar-SA"/>
                    </w:rPr>
                    <w:t>15</w:t>
                  </w:r>
                </w:p>
              </w:tc>
              <w:tc>
                <w:tcPr>
                  <w:tcW w:w="980" w:type="dxa"/>
                  <w:tcBorders>
                    <w:tl2br w:val="nil"/>
                    <w:tr2bl w:val="nil"/>
                  </w:tcBorders>
                  <w:shd w:val="clear" w:color="auto" w:fill="auto"/>
                  <w:vAlign w:val="center"/>
                </w:tcPr>
                <w:p w14:paraId="7AA780DA">
                  <w:pPr>
                    <w:adjustRightInd w:val="0"/>
                    <w:snapToGrid w:val="0"/>
                    <w:spacing w:line="24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TA005</w:t>
                  </w:r>
                </w:p>
                <w:p w14:paraId="5E5A826A">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DA005</w:t>
                  </w:r>
                </w:p>
              </w:tc>
              <w:tc>
                <w:tcPr>
                  <w:tcW w:w="2190" w:type="dxa"/>
                  <w:tcBorders>
                    <w:tl2br w:val="nil"/>
                    <w:tr2bl w:val="nil"/>
                  </w:tcBorders>
                  <w:shd w:val="clear" w:color="auto" w:fill="auto"/>
                  <w:vAlign w:val="center"/>
                </w:tcPr>
                <w:p w14:paraId="36DDB0DA">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kern w:val="2"/>
                      <w:sz w:val="21"/>
                      <w:szCs w:val="21"/>
                      <w:highlight w:val="none"/>
                      <w:vertAlign w:val="baseline"/>
                      <w:lang w:val="en-US" w:eastAsia="zh-CN" w:bidi="ar-SA"/>
                    </w:rPr>
                    <w:t>危化品间</w:t>
                  </w:r>
                </w:p>
              </w:tc>
              <w:tc>
                <w:tcPr>
                  <w:tcW w:w="1720" w:type="dxa"/>
                  <w:tcBorders>
                    <w:tl2br w:val="nil"/>
                    <w:tr2bl w:val="nil"/>
                  </w:tcBorders>
                  <w:shd w:val="clear" w:color="auto" w:fill="auto"/>
                  <w:vAlign w:val="center"/>
                </w:tcPr>
                <w:p w14:paraId="4C2889EE">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lang w:val="en-US" w:eastAsia="zh-CN"/>
                    </w:rPr>
                    <w:t>非甲烷总烃</w:t>
                  </w:r>
                </w:p>
              </w:tc>
              <w:tc>
                <w:tcPr>
                  <w:tcW w:w="1450" w:type="dxa"/>
                  <w:tcBorders>
                    <w:tl2br w:val="nil"/>
                    <w:tr2bl w:val="nil"/>
                  </w:tcBorders>
                  <w:shd w:val="clear" w:color="auto" w:fill="auto"/>
                  <w:vAlign w:val="center"/>
                </w:tcPr>
                <w:p w14:paraId="68CE255C">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kern w:val="2"/>
                      <w:sz w:val="21"/>
                      <w:szCs w:val="21"/>
                      <w:highlight w:val="none"/>
                      <w:vertAlign w:val="baseline"/>
                      <w:lang w:val="en-US" w:eastAsia="zh-CN" w:bidi="ar-SA"/>
                    </w:rPr>
                    <w:t>/</w:t>
                  </w:r>
                </w:p>
              </w:tc>
              <w:tc>
                <w:tcPr>
                  <w:tcW w:w="654" w:type="dxa"/>
                  <w:tcBorders>
                    <w:tl2br w:val="nil"/>
                    <w:tr2bl w:val="nil"/>
                  </w:tcBorders>
                  <w:shd w:val="clear" w:color="auto" w:fill="auto"/>
                  <w:vAlign w:val="center"/>
                </w:tcPr>
                <w:p w14:paraId="438D3CD4">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kern w:val="2"/>
                      <w:sz w:val="21"/>
                      <w:szCs w:val="21"/>
                      <w:highlight w:val="none"/>
                      <w:vertAlign w:val="baseline"/>
                      <w:lang w:val="en-US" w:eastAsia="zh-CN" w:bidi="ar-SA"/>
                    </w:rPr>
                    <w:t>全年</w:t>
                  </w:r>
                </w:p>
              </w:tc>
            </w:tr>
            <w:tr w14:paraId="3676757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564" w:type="dxa"/>
                  <w:tcBorders>
                    <w:tl2br w:val="nil"/>
                    <w:tr2bl w:val="nil"/>
                  </w:tcBorders>
                  <w:shd w:val="clear" w:color="auto" w:fill="auto"/>
                  <w:vAlign w:val="center"/>
                </w:tcPr>
                <w:p w14:paraId="3124612A">
                  <w:pPr>
                    <w:adjustRightInd w:val="0"/>
                    <w:snapToGrid w:val="0"/>
                    <w:spacing w:line="240" w:lineRule="auto"/>
                    <w:jc w:val="center"/>
                    <w:rPr>
                      <w:rFonts w:hint="default" w:eastAsia="宋体" w:cs="Times New Roman"/>
                      <w:kern w:val="2"/>
                      <w:sz w:val="21"/>
                      <w:szCs w:val="21"/>
                      <w:highlight w:val="none"/>
                      <w:vertAlign w:val="baseline"/>
                      <w:lang w:val="en-US" w:eastAsia="zh-CN" w:bidi="ar-SA"/>
                    </w:rPr>
                  </w:pPr>
                  <w:r>
                    <w:rPr>
                      <w:rFonts w:hint="eastAsia" w:eastAsia="宋体" w:cs="Times New Roman"/>
                      <w:kern w:val="2"/>
                      <w:sz w:val="21"/>
                      <w:szCs w:val="21"/>
                      <w:highlight w:val="none"/>
                      <w:vertAlign w:val="baseline"/>
                      <w:lang w:val="en-US" w:eastAsia="zh-CN" w:bidi="ar-SA"/>
                    </w:rPr>
                    <w:t>16</w:t>
                  </w:r>
                </w:p>
              </w:tc>
              <w:tc>
                <w:tcPr>
                  <w:tcW w:w="980" w:type="dxa"/>
                  <w:tcBorders>
                    <w:tl2br w:val="nil"/>
                    <w:tr2bl w:val="nil"/>
                  </w:tcBorders>
                  <w:shd w:val="clear" w:color="auto" w:fill="auto"/>
                  <w:vAlign w:val="center"/>
                </w:tcPr>
                <w:p w14:paraId="0019077E">
                  <w:pPr>
                    <w:adjustRightInd w:val="0"/>
                    <w:snapToGrid w:val="0"/>
                    <w:spacing w:line="24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TA006</w:t>
                  </w:r>
                </w:p>
                <w:p w14:paraId="45F5911E">
                  <w:pPr>
                    <w:adjustRightInd w:val="0"/>
                    <w:snapToGrid w:val="0"/>
                    <w:spacing w:line="24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DA006</w:t>
                  </w:r>
                </w:p>
              </w:tc>
              <w:tc>
                <w:tcPr>
                  <w:tcW w:w="2190" w:type="dxa"/>
                  <w:tcBorders>
                    <w:tl2br w:val="nil"/>
                    <w:tr2bl w:val="nil"/>
                  </w:tcBorders>
                  <w:shd w:val="clear" w:color="auto" w:fill="auto"/>
                  <w:vAlign w:val="center"/>
                </w:tcPr>
                <w:p w14:paraId="1132514A">
                  <w:pPr>
                    <w:adjustRightInd w:val="0"/>
                    <w:snapToGrid w:val="0"/>
                    <w:spacing w:line="240" w:lineRule="auto"/>
                    <w:jc w:val="center"/>
                    <w:rPr>
                      <w:rFonts w:hint="default" w:cs="Times New Roman"/>
                      <w:kern w:val="2"/>
                      <w:sz w:val="21"/>
                      <w:szCs w:val="21"/>
                      <w:highlight w:val="none"/>
                      <w:vertAlign w:val="baseline"/>
                      <w:lang w:val="en-US" w:eastAsia="zh-CN" w:bidi="ar-SA"/>
                    </w:rPr>
                  </w:pPr>
                  <w:r>
                    <w:rPr>
                      <w:rFonts w:hint="eastAsia" w:cs="Times New Roman"/>
                      <w:kern w:val="2"/>
                      <w:sz w:val="21"/>
                      <w:szCs w:val="21"/>
                      <w:highlight w:val="none"/>
                      <w:vertAlign w:val="baseline"/>
                      <w:lang w:val="en-US" w:eastAsia="zh-CN" w:bidi="ar-SA"/>
                    </w:rPr>
                    <w:t>危险废物暂存间</w:t>
                  </w:r>
                </w:p>
              </w:tc>
              <w:tc>
                <w:tcPr>
                  <w:tcW w:w="1720" w:type="dxa"/>
                  <w:tcBorders>
                    <w:tl2br w:val="nil"/>
                    <w:tr2bl w:val="nil"/>
                  </w:tcBorders>
                  <w:shd w:val="clear" w:color="auto" w:fill="auto"/>
                  <w:vAlign w:val="center"/>
                </w:tcPr>
                <w:p w14:paraId="207A92B7">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lang w:val="en-US" w:eastAsia="zh-CN"/>
                    </w:rPr>
                    <w:t>非甲烷总烃</w:t>
                  </w:r>
                </w:p>
              </w:tc>
              <w:tc>
                <w:tcPr>
                  <w:tcW w:w="1450" w:type="dxa"/>
                  <w:tcBorders>
                    <w:tl2br w:val="nil"/>
                    <w:tr2bl w:val="nil"/>
                  </w:tcBorders>
                  <w:shd w:val="clear" w:color="auto" w:fill="auto"/>
                  <w:vAlign w:val="center"/>
                </w:tcPr>
                <w:p w14:paraId="47D62541">
                  <w:pPr>
                    <w:adjustRightInd w:val="0"/>
                    <w:snapToGrid w:val="0"/>
                    <w:spacing w:line="240" w:lineRule="auto"/>
                    <w:jc w:val="center"/>
                    <w:rPr>
                      <w:rFonts w:hint="eastAsia" w:cs="Times New Roman"/>
                      <w:kern w:val="2"/>
                      <w:sz w:val="21"/>
                      <w:szCs w:val="21"/>
                      <w:highlight w:val="none"/>
                      <w:vertAlign w:val="baseline"/>
                      <w:lang w:val="en-US" w:eastAsia="zh-CN" w:bidi="ar-SA"/>
                    </w:rPr>
                  </w:pPr>
                  <w:r>
                    <w:rPr>
                      <w:rFonts w:hint="eastAsia" w:cs="Times New Roman"/>
                      <w:kern w:val="2"/>
                      <w:sz w:val="21"/>
                      <w:szCs w:val="21"/>
                      <w:highlight w:val="none"/>
                      <w:vertAlign w:val="baseline"/>
                      <w:lang w:val="en-US" w:eastAsia="zh-CN" w:bidi="ar-SA"/>
                    </w:rPr>
                    <w:t>/</w:t>
                  </w:r>
                </w:p>
              </w:tc>
              <w:tc>
                <w:tcPr>
                  <w:tcW w:w="654" w:type="dxa"/>
                  <w:tcBorders>
                    <w:tl2br w:val="nil"/>
                    <w:tr2bl w:val="nil"/>
                  </w:tcBorders>
                  <w:shd w:val="clear" w:color="auto" w:fill="auto"/>
                  <w:vAlign w:val="center"/>
                </w:tcPr>
                <w:p w14:paraId="5FC290C6">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kern w:val="2"/>
                      <w:sz w:val="21"/>
                      <w:szCs w:val="21"/>
                      <w:highlight w:val="none"/>
                      <w:vertAlign w:val="baseline"/>
                      <w:lang w:val="en-US" w:eastAsia="zh-CN" w:bidi="ar-SA"/>
                    </w:rPr>
                    <w:t>全年</w:t>
                  </w:r>
                </w:p>
              </w:tc>
            </w:tr>
            <w:tr w14:paraId="069DBF5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564" w:type="dxa"/>
                  <w:tcBorders>
                    <w:tl2br w:val="nil"/>
                    <w:tr2bl w:val="nil"/>
                  </w:tcBorders>
                  <w:shd w:val="clear" w:color="auto" w:fill="auto"/>
                  <w:vAlign w:val="center"/>
                </w:tcPr>
                <w:p w14:paraId="61535DCD">
                  <w:pPr>
                    <w:adjustRightInd w:val="0"/>
                    <w:snapToGrid w:val="0"/>
                    <w:spacing w:line="240" w:lineRule="auto"/>
                    <w:jc w:val="center"/>
                    <w:rPr>
                      <w:rFonts w:hint="default" w:eastAsia="宋体" w:cs="Times New Roman"/>
                      <w:kern w:val="2"/>
                      <w:sz w:val="21"/>
                      <w:szCs w:val="21"/>
                      <w:highlight w:val="none"/>
                      <w:vertAlign w:val="baseline"/>
                      <w:lang w:val="en-US" w:eastAsia="zh-CN" w:bidi="ar-SA"/>
                    </w:rPr>
                  </w:pPr>
                  <w:r>
                    <w:rPr>
                      <w:rFonts w:hint="eastAsia" w:eastAsia="宋体" w:cs="Times New Roman"/>
                      <w:kern w:val="2"/>
                      <w:sz w:val="21"/>
                      <w:szCs w:val="21"/>
                      <w:highlight w:val="none"/>
                      <w:vertAlign w:val="baseline"/>
                      <w:lang w:val="en-US" w:eastAsia="zh-CN" w:bidi="ar-SA"/>
                    </w:rPr>
                    <w:t>17</w:t>
                  </w:r>
                </w:p>
              </w:tc>
              <w:tc>
                <w:tcPr>
                  <w:tcW w:w="980" w:type="dxa"/>
                  <w:tcBorders>
                    <w:tl2br w:val="nil"/>
                    <w:tr2bl w:val="nil"/>
                  </w:tcBorders>
                  <w:shd w:val="clear" w:color="auto" w:fill="auto"/>
                  <w:vAlign w:val="center"/>
                </w:tcPr>
                <w:p w14:paraId="0E95CE92">
                  <w:pPr>
                    <w:adjustRightInd w:val="0"/>
                    <w:snapToGrid w:val="0"/>
                    <w:spacing w:line="24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TA007</w:t>
                  </w:r>
                </w:p>
                <w:p w14:paraId="436DD785">
                  <w:pPr>
                    <w:adjustRightInd w:val="0"/>
                    <w:snapToGrid w:val="0"/>
                    <w:spacing w:line="24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DA007</w:t>
                  </w:r>
                </w:p>
              </w:tc>
              <w:tc>
                <w:tcPr>
                  <w:tcW w:w="2190" w:type="dxa"/>
                  <w:tcBorders>
                    <w:tl2br w:val="nil"/>
                    <w:tr2bl w:val="nil"/>
                  </w:tcBorders>
                  <w:shd w:val="clear" w:color="auto" w:fill="auto"/>
                  <w:vAlign w:val="center"/>
                </w:tcPr>
                <w:p w14:paraId="1EBCE762">
                  <w:pPr>
                    <w:adjustRightInd w:val="0"/>
                    <w:snapToGrid w:val="0"/>
                    <w:spacing w:line="240" w:lineRule="auto"/>
                    <w:jc w:val="center"/>
                    <w:rPr>
                      <w:rFonts w:hint="default" w:cs="Times New Roman"/>
                      <w:kern w:val="2"/>
                      <w:sz w:val="21"/>
                      <w:szCs w:val="21"/>
                      <w:highlight w:val="none"/>
                      <w:vertAlign w:val="baseline"/>
                      <w:lang w:val="en-US" w:eastAsia="zh-CN" w:bidi="ar-SA"/>
                    </w:rPr>
                  </w:pPr>
                  <w:r>
                    <w:rPr>
                      <w:rFonts w:hint="eastAsia" w:cs="Times New Roman"/>
                      <w:kern w:val="2"/>
                      <w:sz w:val="21"/>
                      <w:szCs w:val="21"/>
                      <w:highlight w:val="none"/>
                      <w:vertAlign w:val="baseline"/>
                      <w:lang w:val="en-US" w:eastAsia="zh-CN" w:bidi="ar-SA"/>
                    </w:rPr>
                    <w:t>一层其他实验区域</w:t>
                  </w:r>
                </w:p>
              </w:tc>
              <w:tc>
                <w:tcPr>
                  <w:tcW w:w="1720" w:type="dxa"/>
                  <w:tcBorders>
                    <w:tl2br w:val="nil"/>
                    <w:tr2bl w:val="nil"/>
                  </w:tcBorders>
                  <w:shd w:val="clear" w:color="auto" w:fill="auto"/>
                  <w:vAlign w:val="center"/>
                </w:tcPr>
                <w:p w14:paraId="695FFB45">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lang w:val="en-US" w:eastAsia="zh-CN"/>
                    </w:rPr>
                    <w:t>非甲烷总烃</w:t>
                  </w:r>
                </w:p>
              </w:tc>
              <w:tc>
                <w:tcPr>
                  <w:tcW w:w="1450" w:type="dxa"/>
                  <w:tcBorders>
                    <w:tl2br w:val="nil"/>
                    <w:tr2bl w:val="nil"/>
                  </w:tcBorders>
                  <w:shd w:val="clear" w:color="auto" w:fill="auto"/>
                  <w:vAlign w:val="center"/>
                </w:tcPr>
                <w:p w14:paraId="348A9037">
                  <w:pPr>
                    <w:adjustRightInd w:val="0"/>
                    <w:snapToGrid w:val="0"/>
                    <w:spacing w:line="240" w:lineRule="auto"/>
                    <w:jc w:val="center"/>
                    <w:rPr>
                      <w:rFonts w:hint="eastAsia" w:cs="Times New Roman"/>
                      <w:kern w:val="2"/>
                      <w:sz w:val="21"/>
                      <w:szCs w:val="21"/>
                      <w:highlight w:val="none"/>
                      <w:vertAlign w:val="baseline"/>
                      <w:lang w:val="en-US" w:eastAsia="zh-CN" w:bidi="ar-SA"/>
                    </w:rPr>
                  </w:pPr>
                  <w:r>
                    <w:rPr>
                      <w:rFonts w:hint="eastAsia" w:cs="Times New Roman"/>
                      <w:kern w:val="2"/>
                      <w:sz w:val="21"/>
                      <w:szCs w:val="21"/>
                      <w:highlight w:val="none"/>
                      <w:vertAlign w:val="baseline"/>
                      <w:lang w:val="en-US" w:eastAsia="zh-CN" w:bidi="ar-SA"/>
                    </w:rPr>
                    <w:t>/</w:t>
                  </w:r>
                </w:p>
              </w:tc>
              <w:tc>
                <w:tcPr>
                  <w:tcW w:w="654" w:type="dxa"/>
                  <w:tcBorders>
                    <w:tl2br w:val="nil"/>
                    <w:tr2bl w:val="nil"/>
                  </w:tcBorders>
                  <w:shd w:val="clear" w:color="auto" w:fill="auto"/>
                  <w:vAlign w:val="center"/>
                </w:tcPr>
                <w:p w14:paraId="39C1FA95">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kern w:val="2"/>
                      <w:sz w:val="21"/>
                      <w:szCs w:val="21"/>
                      <w:highlight w:val="none"/>
                      <w:vertAlign w:val="baseline"/>
                      <w:lang w:val="en-US" w:eastAsia="zh-CN" w:bidi="ar-SA"/>
                    </w:rPr>
                    <w:t>昼间</w:t>
                  </w:r>
                </w:p>
              </w:tc>
            </w:tr>
            <w:tr w14:paraId="56C830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564" w:type="dxa"/>
                  <w:tcBorders>
                    <w:tl2br w:val="nil"/>
                    <w:tr2bl w:val="nil"/>
                  </w:tcBorders>
                  <w:shd w:val="clear" w:color="auto" w:fill="auto"/>
                  <w:vAlign w:val="center"/>
                </w:tcPr>
                <w:p w14:paraId="65B7571B">
                  <w:pPr>
                    <w:adjustRightInd w:val="0"/>
                    <w:snapToGrid w:val="0"/>
                    <w:spacing w:line="240" w:lineRule="auto"/>
                    <w:jc w:val="center"/>
                    <w:rPr>
                      <w:rFonts w:hint="default" w:eastAsia="宋体" w:cs="Times New Roman"/>
                      <w:kern w:val="2"/>
                      <w:sz w:val="21"/>
                      <w:szCs w:val="21"/>
                      <w:highlight w:val="none"/>
                      <w:vertAlign w:val="baseline"/>
                      <w:lang w:val="en-US" w:eastAsia="zh-CN" w:bidi="ar-SA"/>
                    </w:rPr>
                  </w:pPr>
                  <w:r>
                    <w:rPr>
                      <w:rFonts w:hint="eastAsia" w:eastAsia="宋体" w:cs="Times New Roman"/>
                      <w:kern w:val="2"/>
                      <w:sz w:val="21"/>
                      <w:szCs w:val="21"/>
                      <w:highlight w:val="none"/>
                      <w:vertAlign w:val="baseline"/>
                      <w:lang w:val="en-US" w:eastAsia="zh-CN" w:bidi="ar-SA"/>
                    </w:rPr>
                    <w:t>18</w:t>
                  </w:r>
                </w:p>
              </w:tc>
              <w:tc>
                <w:tcPr>
                  <w:tcW w:w="980" w:type="dxa"/>
                  <w:tcBorders>
                    <w:tl2br w:val="nil"/>
                    <w:tr2bl w:val="nil"/>
                  </w:tcBorders>
                  <w:shd w:val="clear" w:color="auto" w:fill="auto"/>
                  <w:vAlign w:val="center"/>
                </w:tcPr>
                <w:p w14:paraId="2F381034">
                  <w:pPr>
                    <w:adjustRightInd w:val="0"/>
                    <w:snapToGrid w:val="0"/>
                    <w:spacing w:line="24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TA008</w:t>
                  </w:r>
                </w:p>
                <w:p w14:paraId="44FDC6E5">
                  <w:pPr>
                    <w:adjustRightInd w:val="0"/>
                    <w:snapToGrid w:val="0"/>
                    <w:spacing w:line="24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DA008</w:t>
                  </w:r>
                </w:p>
              </w:tc>
              <w:tc>
                <w:tcPr>
                  <w:tcW w:w="2190" w:type="dxa"/>
                  <w:tcBorders>
                    <w:tl2br w:val="nil"/>
                    <w:tr2bl w:val="nil"/>
                  </w:tcBorders>
                  <w:shd w:val="clear" w:color="auto" w:fill="auto"/>
                  <w:vAlign w:val="center"/>
                </w:tcPr>
                <w:p w14:paraId="3D73CDA4">
                  <w:pPr>
                    <w:adjustRightInd w:val="0"/>
                    <w:snapToGrid w:val="0"/>
                    <w:spacing w:line="240" w:lineRule="auto"/>
                    <w:jc w:val="center"/>
                    <w:rPr>
                      <w:rFonts w:hint="default" w:cs="Times New Roman"/>
                      <w:kern w:val="2"/>
                      <w:sz w:val="21"/>
                      <w:szCs w:val="21"/>
                      <w:highlight w:val="none"/>
                      <w:vertAlign w:val="baseline"/>
                      <w:lang w:val="en-US" w:eastAsia="zh-CN" w:bidi="ar-SA"/>
                    </w:rPr>
                  </w:pPr>
                  <w:r>
                    <w:rPr>
                      <w:rFonts w:hint="eastAsia" w:cs="Times New Roman"/>
                      <w:kern w:val="2"/>
                      <w:sz w:val="21"/>
                      <w:szCs w:val="21"/>
                      <w:highlight w:val="none"/>
                      <w:vertAlign w:val="baseline"/>
                      <w:lang w:val="en-US" w:eastAsia="zh-CN" w:bidi="ar-SA"/>
                    </w:rPr>
                    <w:t>二层其他实验区域</w:t>
                  </w:r>
                </w:p>
              </w:tc>
              <w:tc>
                <w:tcPr>
                  <w:tcW w:w="1720" w:type="dxa"/>
                  <w:tcBorders>
                    <w:tl2br w:val="nil"/>
                    <w:tr2bl w:val="nil"/>
                  </w:tcBorders>
                  <w:shd w:val="clear" w:color="auto" w:fill="auto"/>
                  <w:vAlign w:val="center"/>
                </w:tcPr>
                <w:p w14:paraId="2D09733B">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lang w:val="en-US" w:eastAsia="zh-CN"/>
                    </w:rPr>
                    <w:t>非甲烷总烃</w:t>
                  </w:r>
                </w:p>
              </w:tc>
              <w:tc>
                <w:tcPr>
                  <w:tcW w:w="1450" w:type="dxa"/>
                  <w:tcBorders>
                    <w:tl2br w:val="nil"/>
                    <w:tr2bl w:val="nil"/>
                  </w:tcBorders>
                  <w:shd w:val="clear" w:color="auto" w:fill="auto"/>
                  <w:vAlign w:val="center"/>
                </w:tcPr>
                <w:p w14:paraId="046B27B2">
                  <w:pPr>
                    <w:adjustRightInd w:val="0"/>
                    <w:snapToGrid w:val="0"/>
                    <w:spacing w:line="240" w:lineRule="auto"/>
                    <w:jc w:val="center"/>
                    <w:rPr>
                      <w:rFonts w:hint="eastAsia" w:cs="Times New Roman"/>
                      <w:kern w:val="2"/>
                      <w:sz w:val="21"/>
                      <w:szCs w:val="21"/>
                      <w:highlight w:val="none"/>
                      <w:vertAlign w:val="baseline"/>
                      <w:lang w:val="en-US" w:eastAsia="zh-CN" w:bidi="ar-SA"/>
                    </w:rPr>
                  </w:pPr>
                  <w:r>
                    <w:rPr>
                      <w:rFonts w:hint="eastAsia" w:cs="Times New Roman"/>
                      <w:kern w:val="2"/>
                      <w:sz w:val="21"/>
                      <w:szCs w:val="21"/>
                      <w:highlight w:val="none"/>
                      <w:vertAlign w:val="baseline"/>
                      <w:lang w:val="en-US" w:eastAsia="zh-CN" w:bidi="ar-SA"/>
                    </w:rPr>
                    <w:t>/</w:t>
                  </w:r>
                </w:p>
              </w:tc>
              <w:tc>
                <w:tcPr>
                  <w:tcW w:w="654" w:type="dxa"/>
                  <w:tcBorders>
                    <w:tl2br w:val="nil"/>
                    <w:tr2bl w:val="nil"/>
                  </w:tcBorders>
                  <w:shd w:val="clear" w:color="auto" w:fill="auto"/>
                  <w:vAlign w:val="center"/>
                </w:tcPr>
                <w:p w14:paraId="65E5A1C6">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kern w:val="2"/>
                      <w:sz w:val="21"/>
                      <w:szCs w:val="21"/>
                      <w:highlight w:val="none"/>
                      <w:vertAlign w:val="baseline"/>
                      <w:lang w:val="en-US" w:eastAsia="zh-CN" w:bidi="ar-SA"/>
                    </w:rPr>
                    <w:t>昼间</w:t>
                  </w:r>
                </w:p>
              </w:tc>
            </w:tr>
            <w:tr w14:paraId="048FBE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564" w:type="dxa"/>
                  <w:vMerge w:val="restart"/>
                  <w:tcBorders>
                    <w:tl2br w:val="nil"/>
                    <w:tr2bl w:val="nil"/>
                  </w:tcBorders>
                  <w:vAlign w:val="center"/>
                </w:tcPr>
                <w:p w14:paraId="52F968C0">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合计</w:t>
                  </w:r>
                </w:p>
              </w:tc>
              <w:tc>
                <w:tcPr>
                  <w:tcW w:w="980" w:type="dxa"/>
                  <w:vMerge w:val="restart"/>
                  <w:tcBorders>
                    <w:tl2br w:val="nil"/>
                    <w:tr2bl w:val="nil"/>
                  </w:tcBorders>
                  <w:shd w:val="clear" w:color="auto" w:fill="auto"/>
                  <w:vAlign w:val="center"/>
                </w:tcPr>
                <w:p w14:paraId="4F10DE92">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DA001</w:t>
                  </w:r>
                </w:p>
              </w:tc>
              <w:tc>
                <w:tcPr>
                  <w:tcW w:w="2190" w:type="dxa"/>
                  <w:tcBorders>
                    <w:tl2br w:val="nil"/>
                    <w:tr2bl w:val="nil"/>
                  </w:tcBorders>
                  <w:shd w:val="clear" w:color="auto" w:fill="auto"/>
                  <w:vAlign w:val="center"/>
                </w:tcPr>
                <w:p w14:paraId="6D2EFB0C">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颗粒物</w:t>
                  </w:r>
                </w:p>
              </w:tc>
              <w:tc>
                <w:tcPr>
                  <w:tcW w:w="1720" w:type="dxa"/>
                  <w:tcBorders>
                    <w:tl2br w:val="nil"/>
                    <w:tr2bl w:val="nil"/>
                  </w:tcBorders>
                  <w:shd w:val="clear" w:color="auto" w:fill="auto"/>
                  <w:vAlign w:val="center"/>
                </w:tcPr>
                <w:p w14:paraId="1C58D10D">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c>
                <w:tcPr>
                  <w:tcW w:w="1450" w:type="dxa"/>
                  <w:tcBorders>
                    <w:tl2br w:val="nil"/>
                    <w:tr2bl w:val="nil"/>
                  </w:tcBorders>
                  <w:shd w:val="clear" w:color="auto" w:fill="auto"/>
                  <w:vAlign w:val="center"/>
                </w:tcPr>
                <w:p w14:paraId="2D5D7315">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0.13282</w:t>
                  </w:r>
                  <w:r>
                    <w:rPr>
                      <w:rFonts w:hint="default" w:ascii="Times New Roman" w:hAnsi="Times New Roman" w:eastAsia="宋体" w:cs="Times New Roman"/>
                      <w:kern w:val="2"/>
                      <w:sz w:val="21"/>
                      <w:szCs w:val="21"/>
                      <w:highlight w:val="none"/>
                      <w:lang w:val="en-US" w:eastAsia="zh-CN" w:bidi="ar-SA"/>
                    </w:rPr>
                    <w:t xml:space="preserve"> </w:t>
                  </w:r>
                  <w:r>
                    <w:rPr>
                      <w:rFonts w:hint="default" w:ascii="Times New Roman" w:hAnsi="Times New Roman" w:eastAsia="宋体" w:cs="Times New Roman"/>
                      <w:sz w:val="21"/>
                      <w:szCs w:val="21"/>
                      <w:highlight w:val="none"/>
                      <w:lang w:val="en-US" w:eastAsia="zh-CN"/>
                    </w:rPr>
                    <w:t>kg/a</w:t>
                  </w:r>
                </w:p>
                <w:p w14:paraId="4476E0A9">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0.003535</w:t>
                  </w:r>
                  <w:r>
                    <w:rPr>
                      <w:rFonts w:hint="default" w:ascii="Times New Roman" w:hAnsi="Times New Roman" w:eastAsia="宋体" w:cs="Times New Roman"/>
                      <w:kern w:val="2"/>
                      <w:sz w:val="21"/>
                      <w:szCs w:val="21"/>
                      <w:highlight w:val="none"/>
                      <w:lang w:val="en-US" w:eastAsia="zh-CN" w:bidi="ar-SA"/>
                    </w:rPr>
                    <w:t xml:space="preserve"> </w:t>
                  </w:r>
                  <w:r>
                    <w:rPr>
                      <w:rFonts w:hint="default" w:ascii="Times New Roman" w:hAnsi="Times New Roman" w:eastAsia="宋体" w:cs="Times New Roman"/>
                      <w:sz w:val="21"/>
                      <w:szCs w:val="21"/>
                      <w:highlight w:val="none"/>
                      <w:lang w:val="en-US" w:eastAsia="zh-CN"/>
                    </w:rPr>
                    <w:t>kg/h</w:t>
                  </w:r>
                </w:p>
              </w:tc>
              <w:tc>
                <w:tcPr>
                  <w:tcW w:w="654" w:type="dxa"/>
                  <w:vMerge w:val="restart"/>
                  <w:tcBorders>
                    <w:tl2br w:val="nil"/>
                    <w:tr2bl w:val="nil"/>
                  </w:tcBorders>
                  <w:vAlign w:val="center"/>
                </w:tcPr>
                <w:p w14:paraId="2B9B4145">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09547D7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564" w:type="dxa"/>
                  <w:vMerge w:val="continue"/>
                  <w:tcBorders>
                    <w:tl2br w:val="nil"/>
                    <w:tr2bl w:val="nil"/>
                  </w:tcBorders>
                  <w:vAlign w:val="center"/>
                </w:tcPr>
                <w:p w14:paraId="4920D556">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980" w:type="dxa"/>
                  <w:vMerge w:val="continue"/>
                  <w:tcBorders>
                    <w:tl2br w:val="nil"/>
                    <w:tr2bl w:val="nil"/>
                  </w:tcBorders>
                  <w:shd w:val="clear" w:color="auto" w:fill="auto"/>
                  <w:vAlign w:val="center"/>
                </w:tcPr>
                <w:p w14:paraId="46A1E093">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2190" w:type="dxa"/>
                  <w:tcBorders>
                    <w:tl2br w:val="nil"/>
                    <w:tr2bl w:val="nil"/>
                  </w:tcBorders>
                  <w:shd w:val="clear" w:color="auto" w:fill="auto"/>
                  <w:vAlign w:val="center"/>
                </w:tcPr>
                <w:p w14:paraId="239BC08C">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镍及其化合物</w:t>
                  </w:r>
                </w:p>
              </w:tc>
              <w:tc>
                <w:tcPr>
                  <w:tcW w:w="1720" w:type="dxa"/>
                  <w:tcBorders>
                    <w:tl2br w:val="nil"/>
                    <w:tr2bl w:val="nil"/>
                  </w:tcBorders>
                  <w:shd w:val="clear" w:color="auto" w:fill="auto"/>
                  <w:vAlign w:val="center"/>
                </w:tcPr>
                <w:p w14:paraId="4C7C08A4">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c>
                <w:tcPr>
                  <w:tcW w:w="1450" w:type="dxa"/>
                  <w:tcBorders>
                    <w:tl2br w:val="nil"/>
                    <w:tr2bl w:val="nil"/>
                  </w:tcBorders>
                  <w:shd w:val="clear" w:color="auto" w:fill="auto"/>
                  <w:vAlign w:val="center"/>
                </w:tcPr>
                <w:p w14:paraId="4CDEF51A">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0.04725kg/a</w:t>
                  </w:r>
                </w:p>
                <w:p w14:paraId="1F433068">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0.000945kg/h</w:t>
                  </w:r>
                </w:p>
              </w:tc>
              <w:tc>
                <w:tcPr>
                  <w:tcW w:w="654" w:type="dxa"/>
                  <w:vMerge w:val="continue"/>
                  <w:tcBorders>
                    <w:tl2br w:val="nil"/>
                    <w:tr2bl w:val="nil"/>
                  </w:tcBorders>
                  <w:vAlign w:val="center"/>
                </w:tcPr>
                <w:p w14:paraId="6F0476E6">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p>
              </w:tc>
            </w:tr>
            <w:tr w14:paraId="22D744F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564" w:type="dxa"/>
                  <w:vMerge w:val="continue"/>
                  <w:tcBorders>
                    <w:tl2br w:val="nil"/>
                    <w:tr2bl w:val="nil"/>
                  </w:tcBorders>
                  <w:vAlign w:val="center"/>
                </w:tcPr>
                <w:p w14:paraId="62A16662">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980" w:type="dxa"/>
                  <w:vMerge w:val="restart"/>
                  <w:tcBorders>
                    <w:tl2br w:val="nil"/>
                    <w:tr2bl w:val="nil"/>
                  </w:tcBorders>
                  <w:shd w:val="clear" w:color="auto" w:fill="auto"/>
                  <w:vAlign w:val="center"/>
                </w:tcPr>
                <w:p w14:paraId="34741BC9">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DA002</w:t>
                  </w:r>
                </w:p>
              </w:tc>
              <w:tc>
                <w:tcPr>
                  <w:tcW w:w="2190" w:type="dxa"/>
                  <w:tcBorders>
                    <w:tl2br w:val="nil"/>
                    <w:tr2bl w:val="nil"/>
                  </w:tcBorders>
                  <w:shd w:val="clear" w:color="auto" w:fill="auto"/>
                  <w:vAlign w:val="center"/>
                </w:tcPr>
                <w:p w14:paraId="43446DBF">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非甲烷总烃</w:t>
                  </w:r>
                </w:p>
              </w:tc>
              <w:tc>
                <w:tcPr>
                  <w:tcW w:w="1720" w:type="dxa"/>
                  <w:tcBorders>
                    <w:tl2br w:val="nil"/>
                    <w:tr2bl w:val="nil"/>
                  </w:tcBorders>
                  <w:shd w:val="clear" w:color="auto" w:fill="auto"/>
                  <w:vAlign w:val="center"/>
                </w:tcPr>
                <w:p w14:paraId="7C74B134">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c>
                <w:tcPr>
                  <w:tcW w:w="1450" w:type="dxa"/>
                  <w:tcBorders>
                    <w:tl2br w:val="nil"/>
                    <w:tr2bl w:val="nil"/>
                  </w:tcBorders>
                  <w:shd w:val="clear" w:color="auto" w:fill="auto"/>
                  <w:vAlign w:val="center"/>
                </w:tcPr>
                <w:p w14:paraId="76EC0254">
                  <w:pPr>
                    <w:adjustRightInd w:val="0"/>
                    <w:snapToGrid w:val="0"/>
                    <w:spacing w:line="240" w:lineRule="auto"/>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2.433</w:t>
                  </w:r>
                  <w:r>
                    <w:rPr>
                      <w:rFonts w:hint="default" w:ascii="Times New Roman" w:hAnsi="Times New Roman" w:eastAsia="宋体" w:cs="Times New Roman"/>
                      <w:sz w:val="21"/>
                      <w:szCs w:val="21"/>
                      <w:highlight w:val="none"/>
                      <w:lang w:val="en-US" w:eastAsia="zh-CN"/>
                    </w:rPr>
                    <w:t xml:space="preserve">kg/a </w:t>
                  </w:r>
                </w:p>
                <w:p w14:paraId="19B5529A">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0.12771</w:t>
                  </w:r>
                  <w:r>
                    <w:rPr>
                      <w:rFonts w:hint="default" w:ascii="Times New Roman" w:hAnsi="Times New Roman" w:eastAsia="宋体" w:cs="Times New Roman"/>
                      <w:sz w:val="21"/>
                      <w:szCs w:val="21"/>
                      <w:highlight w:val="none"/>
                      <w:lang w:val="en-US" w:eastAsia="zh-CN"/>
                    </w:rPr>
                    <w:t>kg/h</w:t>
                  </w:r>
                </w:p>
              </w:tc>
              <w:tc>
                <w:tcPr>
                  <w:tcW w:w="654" w:type="dxa"/>
                  <w:vMerge w:val="continue"/>
                  <w:tcBorders>
                    <w:tl2br w:val="nil"/>
                    <w:tr2bl w:val="nil"/>
                  </w:tcBorders>
                  <w:vAlign w:val="center"/>
                </w:tcPr>
                <w:p w14:paraId="69839AD8">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p>
              </w:tc>
            </w:tr>
            <w:tr w14:paraId="312E24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564" w:type="dxa"/>
                  <w:vMerge w:val="continue"/>
                  <w:tcBorders>
                    <w:tl2br w:val="nil"/>
                    <w:tr2bl w:val="nil"/>
                  </w:tcBorders>
                  <w:vAlign w:val="center"/>
                </w:tcPr>
                <w:p w14:paraId="322259DC">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980" w:type="dxa"/>
                  <w:vMerge w:val="continue"/>
                  <w:tcBorders>
                    <w:tl2br w:val="nil"/>
                    <w:tr2bl w:val="nil"/>
                  </w:tcBorders>
                  <w:shd w:val="clear" w:color="auto" w:fill="auto"/>
                  <w:vAlign w:val="center"/>
                </w:tcPr>
                <w:p w14:paraId="1EF751C0">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2190" w:type="dxa"/>
                  <w:tcBorders>
                    <w:tl2br w:val="nil"/>
                    <w:tr2bl w:val="nil"/>
                  </w:tcBorders>
                  <w:shd w:val="clear" w:color="auto" w:fill="auto"/>
                  <w:vAlign w:val="center"/>
                </w:tcPr>
                <w:p w14:paraId="3E4E1130">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硝酸（以氮氧化物计）</w:t>
                  </w:r>
                </w:p>
              </w:tc>
              <w:tc>
                <w:tcPr>
                  <w:tcW w:w="1720" w:type="dxa"/>
                  <w:tcBorders>
                    <w:tl2br w:val="nil"/>
                    <w:tr2bl w:val="nil"/>
                  </w:tcBorders>
                  <w:shd w:val="clear" w:color="auto" w:fill="auto"/>
                  <w:vAlign w:val="center"/>
                </w:tcPr>
                <w:p w14:paraId="733B7C01">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c>
                <w:tcPr>
                  <w:tcW w:w="1450" w:type="dxa"/>
                  <w:tcBorders>
                    <w:tl2br w:val="nil"/>
                    <w:tr2bl w:val="nil"/>
                  </w:tcBorders>
                  <w:shd w:val="clear" w:color="auto" w:fill="auto"/>
                  <w:vAlign w:val="center"/>
                </w:tcPr>
                <w:p w14:paraId="082DD9BC">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 xml:space="preserve">0.0048 kg/a </w:t>
                  </w:r>
                </w:p>
                <w:p w14:paraId="4A69A981">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0.00072 kg/h</w:t>
                  </w:r>
                </w:p>
              </w:tc>
              <w:tc>
                <w:tcPr>
                  <w:tcW w:w="654" w:type="dxa"/>
                  <w:vMerge w:val="continue"/>
                  <w:tcBorders>
                    <w:tl2br w:val="nil"/>
                    <w:tr2bl w:val="nil"/>
                  </w:tcBorders>
                  <w:vAlign w:val="center"/>
                </w:tcPr>
                <w:p w14:paraId="4E7DE098">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p>
              </w:tc>
            </w:tr>
            <w:tr w14:paraId="4F89CD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564" w:type="dxa"/>
                  <w:vMerge w:val="continue"/>
                  <w:tcBorders>
                    <w:tl2br w:val="nil"/>
                    <w:tr2bl w:val="nil"/>
                  </w:tcBorders>
                  <w:vAlign w:val="center"/>
                </w:tcPr>
                <w:p w14:paraId="377286F1">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980" w:type="dxa"/>
                  <w:vMerge w:val="restart"/>
                  <w:tcBorders>
                    <w:tl2br w:val="nil"/>
                    <w:tr2bl w:val="nil"/>
                  </w:tcBorders>
                  <w:shd w:val="clear" w:color="auto" w:fill="auto"/>
                  <w:vAlign w:val="center"/>
                </w:tcPr>
                <w:p w14:paraId="40E5B7B8">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DA003</w:t>
                  </w:r>
                </w:p>
              </w:tc>
              <w:tc>
                <w:tcPr>
                  <w:tcW w:w="2190" w:type="dxa"/>
                  <w:tcBorders>
                    <w:tl2br w:val="nil"/>
                    <w:tr2bl w:val="nil"/>
                  </w:tcBorders>
                  <w:shd w:val="clear" w:color="auto" w:fill="auto"/>
                  <w:vAlign w:val="center"/>
                </w:tcPr>
                <w:p w14:paraId="14FF9803">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氯化氢</w:t>
                  </w:r>
                </w:p>
              </w:tc>
              <w:tc>
                <w:tcPr>
                  <w:tcW w:w="1720" w:type="dxa"/>
                  <w:tcBorders>
                    <w:tl2br w:val="nil"/>
                    <w:tr2bl w:val="nil"/>
                  </w:tcBorders>
                  <w:shd w:val="clear" w:color="auto" w:fill="auto"/>
                  <w:vAlign w:val="center"/>
                </w:tcPr>
                <w:p w14:paraId="194CB336">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c>
                <w:tcPr>
                  <w:tcW w:w="1450" w:type="dxa"/>
                  <w:tcBorders>
                    <w:tl2br w:val="nil"/>
                    <w:tr2bl w:val="nil"/>
                  </w:tcBorders>
                  <w:shd w:val="clear" w:color="auto" w:fill="auto"/>
                  <w:vAlign w:val="center"/>
                </w:tcPr>
                <w:p w14:paraId="18B21E24">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0.01699kg/a</w:t>
                  </w:r>
                </w:p>
                <w:p w14:paraId="2C3EA241">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0.00017 kg/h</w:t>
                  </w:r>
                </w:p>
              </w:tc>
              <w:tc>
                <w:tcPr>
                  <w:tcW w:w="654" w:type="dxa"/>
                  <w:vMerge w:val="continue"/>
                  <w:tcBorders>
                    <w:tl2br w:val="nil"/>
                    <w:tr2bl w:val="nil"/>
                  </w:tcBorders>
                  <w:vAlign w:val="center"/>
                </w:tcPr>
                <w:p w14:paraId="4095B861">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p>
              </w:tc>
            </w:tr>
            <w:tr w14:paraId="322849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564" w:type="dxa"/>
                  <w:vMerge w:val="continue"/>
                  <w:tcBorders>
                    <w:tl2br w:val="nil"/>
                    <w:tr2bl w:val="nil"/>
                  </w:tcBorders>
                  <w:vAlign w:val="center"/>
                </w:tcPr>
                <w:p w14:paraId="289A463C">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980" w:type="dxa"/>
                  <w:vMerge w:val="continue"/>
                  <w:tcBorders>
                    <w:tl2br w:val="nil"/>
                    <w:tr2bl w:val="nil"/>
                  </w:tcBorders>
                  <w:shd w:val="clear" w:color="auto" w:fill="auto"/>
                  <w:vAlign w:val="center"/>
                </w:tcPr>
                <w:p w14:paraId="7CBF4100">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2190" w:type="dxa"/>
                  <w:tcBorders>
                    <w:tl2br w:val="nil"/>
                    <w:tr2bl w:val="nil"/>
                  </w:tcBorders>
                  <w:shd w:val="clear" w:color="auto" w:fill="auto"/>
                  <w:vAlign w:val="center"/>
                </w:tcPr>
                <w:p w14:paraId="6FD317C8">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硝酸（以氮氧化物计）</w:t>
                  </w:r>
                </w:p>
              </w:tc>
              <w:tc>
                <w:tcPr>
                  <w:tcW w:w="1720" w:type="dxa"/>
                  <w:tcBorders>
                    <w:tl2br w:val="nil"/>
                    <w:tr2bl w:val="nil"/>
                  </w:tcBorders>
                  <w:shd w:val="clear" w:color="auto" w:fill="auto"/>
                  <w:vAlign w:val="center"/>
                </w:tcPr>
                <w:p w14:paraId="3655F8C4">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c>
                <w:tcPr>
                  <w:tcW w:w="1450" w:type="dxa"/>
                  <w:tcBorders>
                    <w:tl2br w:val="nil"/>
                    <w:tr2bl w:val="nil"/>
                  </w:tcBorders>
                  <w:shd w:val="clear" w:color="auto" w:fill="auto"/>
                  <w:vAlign w:val="center"/>
                </w:tcPr>
                <w:p w14:paraId="4502B77E">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0.01923kg/a</w:t>
                  </w:r>
                </w:p>
                <w:p w14:paraId="26FCC78C">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0.00019kg/h</w:t>
                  </w:r>
                </w:p>
              </w:tc>
              <w:tc>
                <w:tcPr>
                  <w:tcW w:w="654" w:type="dxa"/>
                  <w:vMerge w:val="continue"/>
                  <w:tcBorders>
                    <w:tl2br w:val="nil"/>
                    <w:tr2bl w:val="nil"/>
                  </w:tcBorders>
                  <w:vAlign w:val="center"/>
                </w:tcPr>
                <w:p w14:paraId="3ACF48F2">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p>
              </w:tc>
            </w:tr>
            <w:tr w14:paraId="5C4B13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564" w:type="dxa"/>
                  <w:vMerge w:val="continue"/>
                  <w:tcBorders>
                    <w:tl2br w:val="nil"/>
                    <w:tr2bl w:val="nil"/>
                  </w:tcBorders>
                  <w:vAlign w:val="center"/>
                </w:tcPr>
                <w:p w14:paraId="01C44F76">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980" w:type="dxa"/>
                  <w:vMerge w:val="continue"/>
                  <w:tcBorders>
                    <w:tl2br w:val="nil"/>
                    <w:tr2bl w:val="nil"/>
                  </w:tcBorders>
                  <w:shd w:val="clear" w:color="auto" w:fill="auto"/>
                  <w:vAlign w:val="center"/>
                </w:tcPr>
                <w:p w14:paraId="62B28F7D">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2190" w:type="dxa"/>
                  <w:tcBorders>
                    <w:tl2br w:val="nil"/>
                    <w:tr2bl w:val="nil"/>
                  </w:tcBorders>
                  <w:shd w:val="clear" w:color="auto" w:fill="auto"/>
                  <w:vAlign w:val="center"/>
                </w:tcPr>
                <w:p w14:paraId="53EE6125">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氨</w:t>
                  </w:r>
                </w:p>
              </w:tc>
              <w:tc>
                <w:tcPr>
                  <w:tcW w:w="1720" w:type="dxa"/>
                  <w:tcBorders>
                    <w:tl2br w:val="nil"/>
                    <w:tr2bl w:val="nil"/>
                  </w:tcBorders>
                  <w:shd w:val="clear" w:color="auto" w:fill="auto"/>
                  <w:vAlign w:val="center"/>
                </w:tcPr>
                <w:p w14:paraId="5042C709">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c>
                <w:tcPr>
                  <w:tcW w:w="1450" w:type="dxa"/>
                  <w:tcBorders>
                    <w:tl2br w:val="nil"/>
                    <w:tr2bl w:val="nil"/>
                  </w:tcBorders>
                  <w:shd w:val="clear" w:color="auto" w:fill="auto"/>
                  <w:vAlign w:val="center"/>
                </w:tcPr>
                <w:p w14:paraId="026130EB">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1.814 kg/a</w:t>
                  </w:r>
                </w:p>
                <w:p w14:paraId="0BE06A8C">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lang w:val="en-US" w:eastAsia="zh-CN"/>
                    </w:rPr>
                    <w:t>0.001209kg/h</w:t>
                  </w:r>
                </w:p>
              </w:tc>
              <w:tc>
                <w:tcPr>
                  <w:tcW w:w="654" w:type="dxa"/>
                  <w:vMerge w:val="continue"/>
                  <w:tcBorders>
                    <w:tl2br w:val="nil"/>
                    <w:tr2bl w:val="nil"/>
                  </w:tcBorders>
                  <w:vAlign w:val="center"/>
                </w:tcPr>
                <w:p w14:paraId="37FBC5D6">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p>
              </w:tc>
            </w:tr>
            <w:tr w14:paraId="3BA774E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564" w:type="dxa"/>
                  <w:vMerge w:val="continue"/>
                  <w:tcBorders>
                    <w:tl2br w:val="nil"/>
                    <w:tr2bl w:val="nil"/>
                  </w:tcBorders>
                  <w:vAlign w:val="center"/>
                </w:tcPr>
                <w:p w14:paraId="442F0B5A">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980" w:type="dxa"/>
                  <w:vMerge w:val="continue"/>
                  <w:tcBorders>
                    <w:tl2br w:val="nil"/>
                    <w:tr2bl w:val="nil"/>
                  </w:tcBorders>
                  <w:shd w:val="clear" w:color="auto" w:fill="auto"/>
                  <w:vAlign w:val="center"/>
                </w:tcPr>
                <w:p w14:paraId="10ACCCEF">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2190" w:type="dxa"/>
                  <w:tcBorders>
                    <w:tl2br w:val="nil"/>
                    <w:tr2bl w:val="nil"/>
                  </w:tcBorders>
                  <w:shd w:val="clear" w:color="auto" w:fill="auto"/>
                  <w:vAlign w:val="center"/>
                </w:tcPr>
                <w:p w14:paraId="1EA98F92">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sz w:val="21"/>
                      <w:szCs w:val="21"/>
                      <w:highlight w:val="none"/>
                      <w:vertAlign w:val="baseline"/>
                      <w:lang w:val="en-US" w:eastAsia="zh-CN"/>
                    </w:rPr>
                    <w:t>氟</w:t>
                  </w:r>
                </w:p>
              </w:tc>
              <w:tc>
                <w:tcPr>
                  <w:tcW w:w="1720" w:type="dxa"/>
                  <w:tcBorders>
                    <w:tl2br w:val="nil"/>
                    <w:tr2bl w:val="nil"/>
                  </w:tcBorders>
                  <w:shd w:val="clear" w:color="auto" w:fill="auto"/>
                  <w:vAlign w:val="center"/>
                </w:tcPr>
                <w:p w14:paraId="26F75B1D">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w:t>
                  </w:r>
                </w:p>
              </w:tc>
              <w:tc>
                <w:tcPr>
                  <w:tcW w:w="1450" w:type="dxa"/>
                  <w:tcBorders>
                    <w:tl2br w:val="nil"/>
                    <w:tr2bl w:val="nil"/>
                  </w:tcBorders>
                  <w:shd w:val="clear" w:color="auto" w:fill="auto"/>
                  <w:vAlign w:val="center"/>
                </w:tcPr>
                <w:p w14:paraId="32CB69CE">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0.175</w:t>
                  </w:r>
                  <w:r>
                    <w:rPr>
                      <w:rFonts w:hint="default" w:ascii="Times New Roman" w:hAnsi="Times New Roman" w:eastAsia="宋体" w:cs="Times New Roman"/>
                      <w:sz w:val="21"/>
                      <w:szCs w:val="21"/>
                      <w:highlight w:val="none"/>
                      <w:lang w:val="en-US" w:eastAsia="zh-CN"/>
                    </w:rPr>
                    <w:t>kg/a</w:t>
                  </w:r>
                </w:p>
                <w:p w14:paraId="6F6E6720">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w:t>
                  </w:r>
                  <w:r>
                    <w:rPr>
                      <w:rFonts w:hint="eastAsia" w:ascii="Times New Roman" w:hAnsi="Times New Roman" w:eastAsia="宋体" w:cs="Times New Roman"/>
                      <w:sz w:val="21"/>
                      <w:szCs w:val="21"/>
                      <w:highlight w:val="none"/>
                      <w:lang w:val="en-US" w:eastAsia="zh-CN"/>
                    </w:rPr>
                    <w:t>012</w:t>
                  </w:r>
                  <w:r>
                    <w:rPr>
                      <w:rFonts w:hint="default" w:ascii="Times New Roman" w:hAnsi="Times New Roman" w:eastAsia="宋体" w:cs="Times New Roman"/>
                      <w:sz w:val="21"/>
                      <w:szCs w:val="21"/>
                      <w:highlight w:val="none"/>
                      <w:lang w:val="en-US" w:eastAsia="zh-CN"/>
                    </w:rPr>
                    <w:t>kg/h</w:t>
                  </w:r>
                </w:p>
              </w:tc>
              <w:tc>
                <w:tcPr>
                  <w:tcW w:w="654" w:type="dxa"/>
                  <w:vMerge w:val="continue"/>
                  <w:tcBorders>
                    <w:tl2br w:val="nil"/>
                    <w:tr2bl w:val="nil"/>
                  </w:tcBorders>
                  <w:vAlign w:val="center"/>
                </w:tcPr>
                <w:p w14:paraId="46C02430">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p>
              </w:tc>
            </w:tr>
            <w:tr w14:paraId="5A54DD0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564" w:type="dxa"/>
                  <w:vMerge w:val="continue"/>
                  <w:tcBorders>
                    <w:tl2br w:val="nil"/>
                    <w:tr2bl w:val="nil"/>
                  </w:tcBorders>
                  <w:vAlign w:val="center"/>
                </w:tcPr>
                <w:p w14:paraId="39C5DD64">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p>
              </w:tc>
              <w:tc>
                <w:tcPr>
                  <w:tcW w:w="980" w:type="dxa"/>
                  <w:tcBorders>
                    <w:tl2br w:val="nil"/>
                    <w:tr2bl w:val="nil"/>
                  </w:tcBorders>
                  <w:shd w:val="clear" w:color="auto" w:fill="auto"/>
                  <w:vAlign w:val="center"/>
                </w:tcPr>
                <w:p w14:paraId="51C708B1">
                  <w:pPr>
                    <w:adjustRightInd w:val="0"/>
                    <w:snapToGrid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DA004</w:t>
                  </w:r>
                </w:p>
              </w:tc>
              <w:tc>
                <w:tcPr>
                  <w:tcW w:w="2190" w:type="dxa"/>
                  <w:tcBorders>
                    <w:tl2br w:val="nil"/>
                    <w:tr2bl w:val="nil"/>
                  </w:tcBorders>
                  <w:shd w:val="clear" w:color="auto" w:fill="auto"/>
                  <w:vAlign w:val="center"/>
                </w:tcPr>
                <w:p w14:paraId="5F7A3546">
                  <w:pPr>
                    <w:adjustRightInd w:val="0"/>
                    <w:snapToGrid w:val="0"/>
                    <w:spacing w:line="24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非甲烷总烃</w:t>
                  </w:r>
                </w:p>
              </w:tc>
              <w:tc>
                <w:tcPr>
                  <w:tcW w:w="1720" w:type="dxa"/>
                  <w:tcBorders>
                    <w:tl2br w:val="nil"/>
                    <w:tr2bl w:val="nil"/>
                  </w:tcBorders>
                  <w:shd w:val="clear" w:color="auto" w:fill="auto"/>
                  <w:vAlign w:val="center"/>
                </w:tcPr>
                <w:p w14:paraId="4837A1BA">
                  <w:pPr>
                    <w:adjustRightInd w:val="0"/>
                    <w:snapToGrid w:val="0"/>
                    <w:spacing w:line="240" w:lineRule="auto"/>
                    <w:jc w:val="center"/>
                    <w:rPr>
                      <w:rFonts w:hint="default" w:cs="Times New Roman"/>
                      <w:kern w:val="2"/>
                      <w:sz w:val="21"/>
                      <w:szCs w:val="21"/>
                      <w:highlight w:val="none"/>
                      <w:lang w:val="en-US" w:eastAsia="zh-CN" w:bidi="ar-SA"/>
                    </w:rPr>
                  </w:pPr>
                  <w:r>
                    <w:rPr>
                      <w:rFonts w:hint="eastAsia" w:cs="Times New Roman"/>
                      <w:kern w:val="2"/>
                      <w:sz w:val="21"/>
                      <w:szCs w:val="21"/>
                      <w:highlight w:val="none"/>
                      <w:lang w:val="en-US" w:eastAsia="zh-CN" w:bidi="ar-SA"/>
                    </w:rPr>
                    <w:t>/</w:t>
                  </w:r>
                </w:p>
              </w:tc>
              <w:tc>
                <w:tcPr>
                  <w:tcW w:w="1450" w:type="dxa"/>
                  <w:tcBorders>
                    <w:tl2br w:val="nil"/>
                    <w:tr2bl w:val="nil"/>
                  </w:tcBorders>
                  <w:shd w:val="clear" w:color="auto" w:fill="auto"/>
                  <w:vAlign w:val="center"/>
                </w:tcPr>
                <w:p w14:paraId="0E0C4F0F">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eastAsia" w:eastAsia="宋体" w:cs="Times New Roman"/>
                      <w:sz w:val="21"/>
                      <w:szCs w:val="21"/>
                      <w:highlight w:val="none"/>
                      <w:lang w:val="en-US" w:eastAsia="zh-CN"/>
                    </w:rPr>
                    <w:t>2.3965</w:t>
                  </w:r>
                  <w:r>
                    <w:rPr>
                      <w:rFonts w:hint="default" w:ascii="Times New Roman" w:hAnsi="Times New Roman" w:eastAsia="宋体" w:cs="Times New Roman"/>
                      <w:sz w:val="21"/>
                      <w:szCs w:val="21"/>
                      <w:highlight w:val="none"/>
                      <w:lang w:val="en-US" w:eastAsia="zh-CN"/>
                    </w:rPr>
                    <w:t xml:space="preserve"> kg/a</w:t>
                  </w:r>
                </w:p>
                <w:p w14:paraId="4039EA0E">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r>
                    <w:rPr>
                      <w:rFonts w:hint="eastAsia" w:eastAsia="宋体" w:cs="Times New Roman"/>
                      <w:sz w:val="21"/>
                      <w:szCs w:val="21"/>
                      <w:highlight w:val="none"/>
                      <w:lang w:val="en-US" w:eastAsia="zh-CN"/>
                    </w:rPr>
                    <w:t>0.14165</w:t>
                  </w:r>
                  <w:r>
                    <w:rPr>
                      <w:rFonts w:hint="default" w:ascii="Times New Roman" w:hAnsi="Times New Roman" w:eastAsia="宋体" w:cs="Times New Roman"/>
                      <w:sz w:val="21"/>
                      <w:szCs w:val="21"/>
                      <w:highlight w:val="none"/>
                      <w:lang w:val="en-US" w:eastAsia="zh-CN"/>
                    </w:rPr>
                    <w:t xml:space="preserve"> kg/h</w:t>
                  </w:r>
                </w:p>
              </w:tc>
              <w:tc>
                <w:tcPr>
                  <w:tcW w:w="654" w:type="dxa"/>
                  <w:tcBorders>
                    <w:tl2br w:val="nil"/>
                    <w:tr2bl w:val="nil"/>
                  </w:tcBorders>
                  <w:vAlign w:val="center"/>
                </w:tcPr>
                <w:p w14:paraId="3261A906">
                  <w:pPr>
                    <w:adjustRightInd w:val="0"/>
                    <w:snapToGrid w:val="0"/>
                    <w:spacing w:line="240" w:lineRule="auto"/>
                    <w:jc w:val="center"/>
                    <w:rPr>
                      <w:rFonts w:hint="default" w:ascii="Times New Roman" w:hAnsi="Times New Roman" w:eastAsia="宋体" w:cs="Times New Roman"/>
                      <w:sz w:val="21"/>
                      <w:szCs w:val="21"/>
                      <w:highlight w:val="none"/>
                      <w:lang w:val="en-US" w:eastAsia="zh-CN"/>
                    </w:rPr>
                  </w:pPr>
                </w:p>
              </w:tc>
            </w:tr>
            <w:tr w14:paraId="36CDCA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558" w:type="dxa"/>
                  <w:gridSpan w:val="6"/>
                  <w:tcBorders>
                    <w:tl2br w:val="nil"/>
                    <w:tr2bl w:val="nil"/>
                  </w:tcBorders>
                  <w:vAlign w:val="center"/>
                </w:tcPr>
                <w:p w14:paraId="5A5920E9">
                  <w:pPr>
                    <w:adjustRightInd w:val="0"/>
                    <w:snapToGrid w:val="0"/>
                    <w:spacing w:line="240" w:lineRule="auto"/>
                    <w:jc w:val="both"/>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注：DA005-DA008分别为收集排放的危化品间、危险废物暂存间、一层二层未设置废气收集设施的其他实验室废气，废气排放量很小，污染源强不进行统计，只对排放口的非甲烷总烃进行检测。</w:t>
                  </w:r>
                </w:p>
              </w:tc>
            </w:tr>
          </w:tbl>
          <w:p w14:paraId="4F34386F">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本项目废气产排情况见下表。</w:t>
            </w:r>
          </w:p>
          <w:p w14:paraId="4CD0E760">
            <w:pPr>
              <w:numPr>
                <w:ilvl w:val="0"/>
                <w:numId w:val="48"/>
              </w:numPr>
              <w:adjustRightInd w:val="0"/>
              <w:snapToGrid w:val="0"/>
              <w:spacing w:line="360" w:lineRule="auto"/>
              <w:ind w:left="425" w:leftChars="0" w:hanging="425" w:firstLineChars="0"/>
              <w:jc w:val="center"/>
              <w:rPr>
                <w:rFonts w:hint="default" w:ascii="Times New Roman" w:hAnsi="Times New Roman" w:eastAsia="宋体" w:cs="Times New Roman"/>
              </w:rPr>
            </w:pPr>
            <w:r>
              <w:rPr>
                <w:rFonts w:hint="default" w:ascii="Times New Roman" w:hAnsi="Times New Roman" w:eastAsia="宋体" w:cs="Times New Roman"/>
                <w:b/>
                <w:bCs/>
                <w:color w:val="000000"/>
                <w:kern w:val="0"/>
                <w:sz w:val="24"/>
                <w:szCs w:val="24"/>
                <w:lang w:val="en-US" w:eastAsia="zh-CN" w:bidi="ar"/>
              </w:rPr>
              <w:t>本项目产排情况一览表</w:t>
            </w:r>
          </w:p>
          <w:tbl>
            <w:tblPr>
              <w:tblStyle w:val="18"/>
              <w:tblW w:w="7554"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8"/>
              <w:gridCol w:w="542"/>
              <w:gridCol w:w="632"/>
              <w:gridCol w:w="697"/>
              <w:gridCol w:w="750"/>
              <w:gridCol w:w="577"/>
              <w:gridCol w:w="647"/>
              <w:gridCol w:w="515"/>
              <w:gridCol w:w="575"/>
              <w:gridCol w:w="695"/>
              <w:gridCol w:w="779"/>
              <w:gridCol w:w="697"/>
            </w:tblGrid>
            <w:tr w14:paraId="3F8C0E9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448" w:type="dxa"/>
                  <w:vMerge w:val="restart"/>
                  <w:tcBorders>
                    <w:tl2br w:val="nil"/>
                    <w:tr2bl w:val="nil"/>
                  </w:tcBorders>
                  <w:vAlign w:val="center"/>
                </w:tcPr>
                <w:p w14:paraId="74B74E14">
                  <w:pPr>
                    <w:adjustRightInd w:val="0"/>
                    <w:jc w:val="center"/>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排气筒</w:t>
                  </w:r>
                </w:p>
              </w:tc>
              <w:tc>
                <w:tcPr>
                  <w:tcW w:w="542" w:type="dxa"/>
                  <w:vMerge w:val="restart"/>
                  <w:tcBorders>
                    <w:tl2br w:val="nil"/>
                    <w:tr2bl w:val="nil"/>
                  </w:tcBorders>
                  <w:vAlign w:val="center"/>
                </w:tcPr>
                <w:p w14:paraId="2C4572CA">
                  <w:pPr>
                    <w:adjustRightInd w:val="0"/>
                    <w:jc w:val="center"/>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风量</w:t>
                  </w:r>
                </w:p>
                <w:p w14:paraId="07720880">
                  <w:pPr>
                    <w:adjustRightInd w:val="0"/>
                    <w:jc w:val="center"/>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m</w:t>
                  </w:r>
                  <w:r>
                    <w:rPr>
                      <w:rFonts w:hint="default" w:ascii="Times New Roman" w:hAnsi="Times New Roman" w:eastAsia="宋体" w:cs="Times New Roman"/>
                      <w:b/>
                      <w:bCs/>
                      <w:sz w:val="18"/>
                      <w:szCs w:val="18"/>
                      <w:highlight w:val="none"/>
                      <w:vertAlign w:val="superscript"/>
                      <w:lang w:val="en-US" w:eastAsia="zh-CN"/>
                    </w:rPr>
                    <w:t>3</w:t>
                  </w:r>
                  <w:r>
                    <w:rPr>
                      <w:rFonts w:hint="default" w:ascii="Times New Roman" w:hAnsi="Times New Roman" w:eastAsia="宋体" w:cs="Times New Roman"/>
                      <w:b/>
                      <w:bCs/>
                      <w:sz w:val="18"/>
                      <w:szCs w:val="18"/>
                      <w:highlight w:val="none"/>
                      <w:lang w:val="en-US" w:eastAsia="zh-CN"/>
                    </w:rPr>
                    <w:t>/h</w:t>
                  </w:r>
                </w:p>
              </w:tc>
              <w:tc>
                <w:tcPr>
                  <w:tcW w:w="632" w:type="dxa"/>
                  <w:vMerge w:val="restart"/>
                  <w:tcBorders>
                    <w:tl2br w:val="nil"/>
                    <w:tr2bl w:val="nil"/>
                  </w:tcBorders>
                  <w:vAlign w:val="center"/>
                </w:tcPr>
                <w:p w14:paraId="0885951E">
                  <w:pPr>
                    <w:adjustRightInd w:val="0"/>
                    <w:jc w:val="center"/>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污染物名称</w:t>
                  </w:r>
                </w:p>
              </w:tc>
              <w:tc>
                <w:tcPr>
                  <w:tcW w:w="2024" w:type="dxa"/>
                  <w:gridSpan w:val="3"/>
                  <w:tcBorders>
                    <w:tl2br w:val="nil"/>
                    <w:tr2bl w:val="nil"/>
                  </w:tcBorders>
                  <w:vAlign w:val="center"/>
                </w:tcPr>
                <w:p w14:paraId="018AB434">
                  <w:pPr>
                    <w:adjustRightInd w:val="0"/>
                    <w:jc w:val="center"/>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产生情况</w:t>
                  </w:r>
                </w:p>
              </w:tc>
              <w:tc>
                <w:tcPr>
                  <w:tcW w:w="647" w:type="dxa"/>
                  <w:vMerge w:val="restart"/>
                  <w:tcBorders>
                    <w:tl2br w:val="nil"/>
                    <w:tr2bl w:val="nil"/>
                  </w:tcBorders>
                  <w:vAlign w:val="center"/>
                </w:tcPr>
                <w:p w14:paraId="4C18562F">
                  <w:pPr>
                    <w:adjustRightInd w:val="0"/>
                    <w:jc w:val="center"/>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污染</w:t>
                  </w:r>
                </w:p>
                <w:p w14:paraId="50143F52">
                  <w:pPr>
                    <w:adjustRightInd w:val="0"/>
                    <w:jc w:val="center"/>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防治</w:t>
                  </w:r>
                </w:p>
                <w:p w14:paraId="6288B62A">
                  <w:pPr>
                    <w:adjustRightInd w:val="0"/>
                    <w:jc w:val="center"/>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措施</w:t>
                  </w:r>
                </w:p>
              </w:tc>
              <w:tc>
                <w:tcPr>
                  <w:tcW w:w="515" w:type="dxa"/>
                  <w:vMerge w:val="restart"/>
                  <w:tcBorders>
                    <w:tl2br w:val="nil"/>
                    <w:tr2bl w:val="nil"/>
                  </w:tcBorders>
                  <w:vAlign w:val="center"/>
                </w:tcPr>
                <w:p w14:paraId="04A89423">
                  <w:pPr>
                    <w:adjustRightInd w:val="0"/>
                    <w:jc w:val="center"/>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收集效率</w:t>
                  </w:r>
                </w:p>
                <w:p w14:paraId="254FBDD4">
                  <w:pPr>
                    <w:adjustRightInd w:val="0"/>
                    <w:jc w:val="center"/>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w:t>
                  </w:r>
                </w:p>
              </w:tc>
              <w:tc>
                <w:tcPr>
                  <w:tcW w:w="575" w:type="dxa"/>
                  <w:vMerge w:val="restart"/>
                  <w:tcBorders>
                    <w:tl2br w:val="nil"/>
                    <w:tr2bl w:val="nil"/>
                  </w:tcBorders>
                  <w:vAlign w:val="center"/>
                </w:tcPr>
                <w:p w14:paraId="3DDE2DAC">
                  <w:pPr>
                    <w:adjustRightInd w:val="0"/>
                    <w:jc w:val="center"/>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去除率%</w:t>
                  </w:r>
                </w:p>
              </w:tc>
              <w:tc>
                <w:tcPr>
                  <w:tcW w:w="2171" w:type="dxa"/>
                  <w:gridSpan w:val="3"/>
                  <w:tcBorders>
                    <w:tl2br w:val="nil"/>
                    <w:tr2bl w:val="nil"/>
                  </w:tcBorders>
                  <w:vAlign w:val="center"/>
                </w:tcPr>
                <w:p w14:paraId="2C088C7F">
                  <w:pPr>
                    <w:adjustRightInd w:val="0"/>
                    <w:jc w:val="center"/>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排放情况</w:t>
                  </w:r>
                </w:p>
              </w:tc>
            </w:tr>
            <w:tr w14:paraId="693D0E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3" w:hRule="atLeast"/>
              </w:trPr>
              <w:tc>
                <w:tcPr>
                  <w:tcW w:w="448" w:type="dxa"/>
                  <w:vMerge w:val="continue"/>
                  <w:tcBorders>
                    <w:tl2br w:val="nil"/>
                    <w:tr2bl w:val="nil"/>
                  </w:tcBorders>
                  <w:vAlign w:val="center"/>
                </w:tcPr>
                <w:p w14:paraId="77A43A3A">
                  <w:pPr>
                    <w:adjustRightInd w:val="0"/>
                    <w:jc w:val="center"/>
                    <w:rPr>
                      <w:rFonts w:hint="default" w:ascii="Times New Roman" w:hAnsi="Times New Roman" w:eastAsia="宋体" w:cs="Times New Roman"/>
                      <w:b/>
                      <w:bCs/>
                      <w:sz w:val="18"/>
                      <w:szCs w:val="18"/>
                      <w:highlight w:val="none"/>
                      <w:lang w:val="en-US" w:eastAsia="zh-CN"/>
                    </w:rPr>
                  </w:pPr>
                </w:p>
              </w:tc>
              <w:tc>
                <w:tcPr>
                  <w:tcW w:w="542" w:type="dxa"/>
                  <w:vMerge w:val="continue"/>
                  <w:tcBorders>
                    <w:tl2br w:val="nil"/>
                    <w:tr2bl w:val="nil"/>
                  </w:tcBorders>
                  <w:vAlign w:val="center"/>
                </w:tcPr>
                <w:p w14:paraId="63C0C896">
                  <w:pPr>
                    <w:adjustRightInd w:val="0"/>
                    <w:jc w:val="center"/>
                    <w:rPr>
                      <w:rFonts w:hint="default" w:ascii="Times New Roman" w:hAnsi="Times New Roman" w:eastAsia="宋体" w:cs="Times New Roman"/>
                      <w:b/>
                      <w:bCs/>
                      <w:sz w:val="18"/>
                      <w:szCs w:val="18"/>
                      <w:highlight w:val="none"/>
                      <w:lang w:val="en-US" w:eastAsia="zh-CN"/>
                    </w:rPr>
                  </w:pPr>
                </w:p>
              </w:tc>
              <w:tc>
                <w:tcPr>
                  <w:tcW w:w="632" w:type="dxa"/>
                  <w:vMerge w:val="continue"/>
                  <w:tcBorders>
                    <w:tl2br w:val="nil"/>
                    <w:tr2bl w:val="nil"/>
                  </w:tcBorders>
                  <w:vAlign w:val="center"/>
                </w:tcPr>
                <w:p w14:paraId="11B1A975">
                  <w:pPr>
                    <w:adjustRightInd w:val="0"/>
                    <w:jc w:val="center"/>
                    <w:rPr>
                      <w:rFonts w:hint="default" w:ascii="Times New Roman" w:hAnsi="Times New Roman" w:eastAsia="宋体" w:cs="Times New Roman"/>
                      <w:b/>
                      <w:bCs/>
                      <w:sz w:val="18"/>
                      <w:szCs w:val="18"/>
                      <w:highlight w:val="none"/>
                      <w:lang w:val="en-US" w:eastAsia="zh-CN"/>
                    </w:rPr>
                  </w:pPr>
                </w:p>
              </w:tc>
              <w:tc>
                <w:tcPr>
                  <w:tcW w:w="697" w:type="dxa"/>
                  <w:tcBorders>
                    <w:tl2br w:val="nil"/>
                    <w:tr2bl w:val="nil"/>
                  </w:tcBorders>
                  <w:vAlign w:val="center"/>
                </w:tcPr>
                <w:p w14:paraId="7E91D9E1">
                  <w:pPr>
                    <w:adjustRightInd w:val="0"/>
                    <w:jc w:val="center"/>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产生量kg/a</w:t>
                  </w:r>
                </w:p>
              </w:tc>
              <w:tc>
                <w:tcPr>
                  <w:tcW w:w="750" w:type="dxa"/>
                  <w:tcBorders>
                    <w:tl2br w:val="nil"/>
                    <w:tr2bl w:val="nil"/>
                  </w:tcBorders>
                  <w:vAlign w:val="center"/>
                </w:tcPr>
                <w:p w14:paraId="2723ED02">
                  <w:pPr>
                    <w:adjustRightInd w:val="0"/>
                    <w:jc w:val="center"/>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产生浓度mg/m</w:t>
                  </w:r>
                  <w:r>
                    <w:rPr>
                      <w:rFonts w:hint="default" w:ascii="Times New Roman" w:hAnsi="Times New Roman" w:eastAsia="宋体" w:cs="Times New Roman"/>
                      <w:b/>
                      <w:bCs/>
                      <w:sz w:val="18"/>
                      <w:szCs w:val="18"/>
                      <w:highlight w:val="none"/>
                      <w:vertAlign w:val="superscript"/>
                      <w:lang w:val="en-US" w:eastAsia="zh-CN"/>
                    </w:rPr>
                    <w:t>3</w:t>
                  </w:r>
                </w:p>
              </w:tc>
              <w:tc>
                <w:tcPr>
                  <w:tcW w:w="577" w:type="dxa"/>
                  <w:tcBorders>
                    <w:tl2br w:val="nil"/>
                    <w:tr2bl w:val="nil"/>
                  </w:tcBorders>
                  <w:vAlign w:val="center"/>
                </w:tcPr>
                <w:p w14:paraId="69335911">
                  <w:pPr>
                    <w:adjustRightInd w:val="0"/>
                    <w:jc w:val="center"/>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产生速率kg/h</w:t>
                  </w:r>
                </w:p>
              </w:tc>
              <w:tc>
                <w:tcPr>
                  <w:tcW w:w="647" w:type="dxa"/>
                  <w:vMerge w:val="continue"/>
                  <w:tcBorders>
                    <w:tl2br w:val="nil"/>
                    <w:tr2bl w:val="nil"/>
                  </w:tcBorders>
                  <w:vAlign w:val="center"/>
                </w:tcPr>
                <w:p w14:paraId="536AF68A">
                  <w:pPr>
                    <w:adjustRightInd w:val="0"/>
                    <w:jc w:val="center"/>
                    <w:rPr>
                      <w:rFonts w:hint="default" w:ascii="Times New Roman" w:hAnsi="Times New Roman" w:eastAsia="宋体" w:cs="Times New Roman"/>
                      <w:b/>
                      <w:bCs/>
                      <w:sz w:val="18"/>
                      <w:szCs w:val="18"/>
                      <w:highlight w:val="none"/>
                      <w:lang w:val="en-US" w:eastAsia="zh-CN"/>
                    </w:rPr>
                  </w:pPr>
                </w:p>
              </w:tc>
              <w:tc>
                <w:tcPr>
                  <w:tcW w:w="515" w:type="dxa"/>
                  <w:vMerge w:val="continue"/>
                  <w:tcBorders>
                    <w:tl2br w:val="nil"/>
                    <w:tr2bl w:val="nil"/>
                  </w:tcBorders>
                  <w:vAlign w:val="center"/>
                </w:tcPr>
                <w:p w14:paraId="4B06B9F5">
                  <w:pPr>
                    <w:adjustRightInd w:val="0"/>
                    <w:jc w:val="center"/>
                    <w:rPr>
                      <w:rFonts w:hint="default" w:ascii="Times New Roman" w:hAnsi="Times New Roman" w:eastAsia="宋体" w:cs="Times New Roman"/>
                      <w:b/>
                      <w:bCs/>
                      <w:sz w:val="18"/>
                      <w:szCs w:val="18"/>
                      <w:highlight w:val="none"/>
                      <w:lang w:val="en-US" w:eastAsia="zh-CN"/>
                    </w:rPr>
                  </w:pPr>
                </w:p>
              </w:tc>
              <w:tc>
                <w:tcPr>
                  <w:tcW w:w="575" w:type="dxa"/>
                  <w:vMerge w:val="continue"/>
                  <w:tcBorders>
                    <w:tl2br w:val="nil"/>
                    <w:tr2bl w:val="nil"/>
                  </w:tcBorders>
                  <w:vAlign w:val="center"/>
                </w:tcPr>
                <w:p w14:paraId="2CE0E79A">
                  <w:pPr>
                    <w:adjustRightInd w:val="0"/>
                    <w:jc w:val="center"/>
                    <w:rPr>
                      <w:rFonts w:hint="default" w:ascii="Times New Roman" w:hAnsi="Times New Roman" w:eastAsia="宋体" w:cs="Times New Roman"/>
                      <w:b/>
                      <w:bCs/>
                      <w:sz w:val="18"/>
                      <w:szCs w:val="18"/>
                      <w:highlight w:val="none"/>
                      <w:lang w:val="en-US" w:eastAsia="zh-CN"/>
                    </w:rPr>
                  </w:pPr>
                </w:p>
              </w:tc>
              <w:tc>
                <w:tcPr>
                  <w:tcW w:w="695" w:type="dxa"/>
                  <w:tcBorders>
                    <w:tl2br w:val="nil"/>
                    <w:tr2bl w:val="nil"/>
                  </w:tcBorders>
                  <w:shd w:val="clear" w:color="auto" w:fill="auto"/>
                  <w:vAlign w:val="center"/>
                </w:tcPr>
                <w:p w14:paraId="179CC3E1">
                  <w:pPr>
                    <w:adjustRightInd w:val="0"/>
                    <w:jc w:val="center"/>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排放量kg/a</w:t>
                  </w:r>
                </w:p>
              </w:tc>
              <w:tc>
                <w:tcPr>
                  <w:tcW w:w="779" w:type="dxa"/>
                  <w:tcBorders>
                    <w:tl2br w:val="nil"/>
                    <w:tr2bl w:val="nil"/>
                  </w:tcBorders>
                  <w:shd w:val="clear" w:color="auto" w:fill="auto"/>
                  <w:vAlign w:val="center"/>
                </w:tcPr>
                <w:p w14:paraId="3D8C6E4A">
                  <w:pPr>
                    <w:adjustRightInd w:val="0"/>
                    <w:jc w:val="center"/>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排放浓度mg/m</w:t>
                  </w:r>
                  <w:r>
                    <w:rPr>
                      <w:rFonts w:hint="default" w:ascii="Times New Roman" w:hAnsi="Times New Roman" w:eastAsia="宋体" w:cs="Times New Roman"/>
                      <w:b/>
                      <w:bCs/>
                      <w:sz w:val="18"/>
                      <w:szCs w:val="18"/>
                      <w:highlight w:val="none"/>
                      <w:vertAlign w:val="superscript"/>
                      <w:lang w:val="en-US" w:eastAsia="zh-CN"/>
                    </w:rPr>
                    <w:t>3</w:t>
                  </w:r>
                </w:p>
              </w:tc>
              <w:tc>
                <w:tcPr>
                  <w:tcW w:w="697" w:type="dxa"/>
                  <w:tcBorders>
                    <w:tl2br w:val="nil"/>
                    <w:tr2bl w:val="nil"/>
                  </w:tcBorders>
                  <w:shd w:val="clear" w:color="auto" w:fill="auto"/>
                  <w:vAlign w:val="center"/>
                </w:tcPr>
                <w:p w14:paraId="2587FD02">
                  <w:pPr>
                    <w:adjustRightInd w:val="0"/>
                    <w:jc w:val="center"/>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排放速率kg/h</w:t>
                  </w:r>
                </w:p>
              </w:tc>
            </w:tr>
            <w:tr w14:paraId="78F211D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448" w:type="dxa"/>
                  <w:vMerge w:val="restart"/>
                  <w:tcBorders>
                    <w:tl2br w:val="nil"/>
                    <w:tr2bl w:val="nil"/>
                  </w:tcBorders>
                  <w:vAlign w:val="center"/>
                </w:tcPr>
                <w:p w14:paraId="11D12214">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DA001</w:t>
                  </w:r>
                </w:p>
              </w:tc>
              <w:tc>
                <w:tcPr>
                  <w:tcW w:w="542" w:type="dxa"/>
                  <w:vMerge w:val="restart"/>
                  <w:tcBorders>
                    <w:tl2br w:val="nil"/>
                    <w:tr2bl w:val="nil"/>
                  </w:tcBorders>
                  <w:vAlign w:val="center"/>
                </w:tcPr>
                <w:p w14:paraId="617E61EC">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2000</w:t>
                  </w:r>
                </w:p>
              </w:tc>
              <w:tc>
                <w:tcPr>
                  <w:tcW w:w="632" w:type="dxa"/>
                  <w:tcBorders>
                    <w:tl2br w:val="nil"/>
                    <w:tr2bl w:val="nil"/>
                  </w:tcBorders>
                  <w:shd w:val="clear" w:color="auto" w:fill="auto"/>
                  <w:vAlign w:val="center"/>
                </w:tcPr>
                <w:p w14:paraId="67286841">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颗粒物</w:t>
                  </w:r>
                </w:p>
              </w:tc>
              <w:tc>
                <w:tcPr>
                  <w:tcW w:w="697" w:type="dxa"/>
                  <w:tcBorders>
                    <w:tl2br w:val="nil"/>
                    <w:tr2bl w:val="nil"/>
                  </w:tcBorders>
                  <w:shd w:val="clear" w:color="auto" w:fill="auto"/>
                  <w:vAlign w:val="center"/>
                </w:tcPr>
                <w:p w14:paraId="17787593">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0.13282</w:t>
                  </w:r>
                  <w:r>
                    <w:rPr>
                      <w:rFonts w:hint="default" w:ascii="Times New Roman" w:hAnsi="Times New Roman" w:eastAsia="宋体" w:cs="Times New Roman"/>
                      <w:kern w:val="2"/>
                      <w:sz w:val="21"/>
                      <w:szCs w:val="21"/>
                      <w:highlight w:val="none"/>
                      <w:lang w:val="en-US" w:eastAsia="zh-CN" w:bidi="ar-SA"/>
                    </w:rPr>
                    <w:t xml:space="preserve"> </w:t>
                  </w:r>
                </w:p>
              </w:tc>
              <w:tc>
                <w:tcPr>
                  <w:tcW w:w="750" w:type="dxa"/>
                  <w:tcBorders>
                    <w:tl2br w:val="nil"/>
                    <w:tr2bl w:val="nil"/>
                  </w:tcBorders>
                  <w:shd w:val="clear" w:color="auto" w:fill="auto"/>
                  <w:vAlign w:val="center"/>
                </w:tcPr>
                <w:p w14:paraId="65030489">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 xml:space="preserve"> </w:t>
                  </w:r>
                  <w:r>
                    <w:rPr>
                      <w:rFonts w:hint="eastAsia" w:eastAsia="宋体" w:cs="Times New Roman"/>
                      <w:kern w:val="2"/>
                      <w:sz w:val="21"/>
                      <w:szCs w:val="21"/>
                      <w:highlight w:val="none"/>
                      <w:lang w:val="en-US" w:eastAsia="zh-CN" w:bidi="ar-SA"/>
                    </w:rPr>
                    <w:t>1.77</w:t>
                  </w:r>
                </w:p>
              </w:tc>
              <w:tc>
                <w:tcPr>
                  <w:tcW w:w="577" w:type="dxa"/>
                  <w:tcBorders>
                    <w:tl2br w:val="nil"/>
                    <w:tr2bl w:val="nil"/>
                  </w:tcBorders>
                  <w:vAlign w:val="center"/>
                </w:tcPr>
                <w:p w14:paraId="48137D48">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kern w:val="2"/>
                      <w:sz w:val="21"/>
                      <w:szCs w:val="21"/>
                      <w:highlight w:val="none"/>
                      <w:lang w:val="en-US" w:eastAsia="zh-CN" w:bidi="ar-SA"/>
                    </w:rPr>
                    <w:t>0.003535</w:t>
                  </w:r>
                </w:p>
              </w:tc>
              <w:tc>
                <w:tcPr>
                  <w:tcW w:w="647" w:type="dxa"/>
                  <w:vMerge w:val="restart"/>
                  <w:tcBorders>
                    <w:tl2br w:val="nil"/>
                    <w:tr2bl w:val="nil"/>
                  </w:tcBorders>
                  <w:vAlign w:val="center"/>
                </w:tcPr>
                <w:p w14:paraId="446A24B0">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袋式除尘器</w:t>
                  </w:r>
                </w:p>
              </w:tc>
              <w:tc>
                <w:tcPr>
                  <w:tcW w:w="515" w:type="dxa"/>
                  <w:vMerge w:val="restart"/>
                  <w:tcBorders>
                    <w:tl2br w:val="nil"/>
                    <w:tr2bl w:val="nil"/>
                  </w:tcBorders>
                  <w:vAlign w:val="center"/>
                </w:tcPr>
                <w:p w14:paraId="7455D632">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90</w:t>
                  </w:r>
                </w:p>
              </w:tc>
              <w:tc>
                <w:tcPr>
                  <w:tcW w:w="575" w:type="dxa"/>
                  <w:vMerge w:val="restart"/>
                  <w:tcBorders>
                    <w:tl2br w:val="nil"/>
                    <w:tr2bl w:val="nil"/>
                  </w:tcBorders>
                  <w:vAlign w:val="center"/>
                </w:tcPr>
                <w:p w14:paraId="18DFEED8">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95</w:t>
                  </w:r>
                </w:p>
              </w:tc>
              <w:tc>
                <w:tcPr>
                  <w:tcW w:w="695" w:type="dxa"/>
                  <w:tcBorders>
                    <w:tl2br w:val="nil"/>
                    <w:tr2bl w:val="nil"/>
                  </w:tcBorders>
                  <w:shd w:val="clear" w:color="auto" w:fill="auto"/>
                  <w:vAlign w:val="center"/>
                </w:tcPr>
                <w:p w14:paraId="6EF75E85">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0.00598</w:t>
                  </w:r>
                </w:p>
              </w:tc>
              <w:tc>
                <w:tcPr>
                  <w:tcW w:w="779" w:type="dxa"/>
                  <w:tcBorders>
                    <w:tl2br w:val="nil"/>
                    <w:tr2bl w:val="nil"/>
                  </w:tcBorders>
                  <w:shd w:val="clear" w:color="auto" w:fill="auto"/>
                  <w:vAlign w:val="center"/>
                </w:tcPr>
                <w:p w14:paraId="46B81CE7">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0.08</w:t>
                  </w:r>
                </w:p>
              </w:tc>
              <w:tc>
                <w:tcPr>
                  <w:tcW w:w="697" w:type="dxa"/>
                  <w:tcBorders>
                    <w:tl2br w:val="nil"/>
                    <w:tr2bl w:val="nil"/>
                  </w:tcBorders>
                  <w:shd w:val="clear" w:color="auto" w:fill="auto"/>
                  <w:vAlign w:val="center"/>
                </w:tcPr>
                <w:p w14:paraId="17C88E59">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0.00016</w:t>
                  </w:r>
                </w:p>
              </w:tc>
            </w:tr>
            <w:tr w14:paraId="5E9D810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448" w:type="dxa"/>
                  <w:vMerge w:val="continue"/>
                  <w:tcBorders>
                    <w:tl2br w:val="nil"/>
                    <w:tr2bl w:val="nil"/>
                  </w:tcBorders>
                  <w:vAlign w:val="center"/>
                </w:tcPr>
                <w:p w14:paraId="407B29B6">
                  <w:pPr>
                    <w:adjustRightInd w:val="0"/>
                    <w:jc w:val="center"/>
                    <w:rPr>
                      <w:rFonts w:hint="eastAsia" w:cs="Times New Roman"/>
                      <w:b w:val="0"/>
                      <w:bCs w:val="0"/>
                      <w:sz w:val="18"/>
                      <w:szCs w:val="18"/>
                      <w:highlight w:val="none"/>
                      <w:lang w:val="en-US" w:eastAsia="zh-CN"/>
                    </w:rPr>
                  </w:pPr>
                </w:p>
              </w:tc>
              <w:tc>
                <w:tcPr>
                  <w:tcW w:w="542" w:type="dxa"/>
                  <w:vMerge w:val="continue"/>
                  <w:tcBorders>
                    <w:tl2br w:val="nil"/>
                    <w:tr2bl w:val="nil"/>
                  </w:tcBorders>
                  <w:vAlign w:val="center"/>
                </w:tcPr>
                <w:p w14:paraId="6BBBCDD7">
                  <w:pPr>
                    <w:adjustRightInd w:val="0"/>
                    <w:jc w:val="center"/>
                    <w:rPr>
                      <w:rFonts w:hint="eastAsia" w:cs="Times New Roman"/>
                      <w:b w:val="0"/>
                      <w:bCs w:val="0"/>
                      <w:sz w:val="18"/>
                      <w:szCs w:val="18"/>
                      <w:highlight w:val="none"/>
                      <w:lang w:val="en-US" w:eastAsia="zh-CN"/>
                    </w:rPr>
                  </w:pPr>
                </w:p>
              </w:tc>
              <w:tc>
                <w:tcPr>
                  <w:tcW w:w="632" w:type="dxa"/>
                  <w:tcBorders>
                    <w:tl2br w:val="nil"/>
                    <w:tr2bl w:val="nil"/>
                  </w:tcBorders>
                  <w:shd w:val="clear" w:color="auto" w:fill="auto"/>
                  <w:vAlign w:val="center"/>
                </w:tcPr>
                <w:p w14:paraId="0AB9D2C2">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镍及其化合物</w:t>
                  </w:r>
                </w:p>
              </w:tc>
              <w:tc>
                <w:tcPr>
                  <w:tcW w:w="697" w:type="dxa"/>
                  <w:tcBorders>
                    <w:tl2br w:val="nil"/>
                    <w:tr2bl w:val="nil"/>
                  </w:tcBorders>
                  <w:shd w:val="clear" w:color="auto" w:fill="auto"/>
                  <w:vAlign w:val="center"/>
                </w:tcPr>
                <w:p w14:paraId="7F813503">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0.04725</w:t>
                  </w:r>
                </w:p>
              </w:tc>
              <w:tc>
                <w:tcPr>
                  <w:tcW w:w="750" w:type="dxa"/>
                  <w:tcBorders>
                    <w:tl2br w:val="nil"/>
                    <w:tr2bl w:val="nil"/>
                  </w:tcBorders>
                  <w:shd w:val="clear" w:color="auto" w:fill="auto"/>
                  <w:vAlign w:val="center"/>
                </w:tcPr>
                <w:p w14:paraId="50F9A6BF">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eastAsia="宋体" w:cs="Times New Roman"/>
                      <w:kern w:val="2"/>
                      <w:sz w:val="21"/>
                      <w:szCs w:val="21"/>
                      <w:highlight w:val="none"/>
                      <w:lang w:val="en-US" w:eastAsia="zh-CN" w:bidi="ar-SA"/>
                    </w:rPr>
                    <w:t>0.47</w:t>
                  </w:r>
                </w:p>
              </w:tc>
              <w:tc>
                <w:tcPr>
                  <w:tcW w:w="577" w:type="dxa"/>
                  <w:tcBorders>
                    <w:tl2br w:val="nil"/>
                    <w:tr2bl w:val="nil"/>
                  </w:tcBorders>
                  <w:vAlign w:val="center"/>
                </w:tcPr>
                <w:p w14:paraId="1F8255D8">
                  <w:pPr>
                    <w:adjustRightInd w:val="0"/>
                    <w:jc w:val="center"/>
                    <w:rPr>
                      <w:rFonts w:hint="default" w:ascii="Times New Roman" w:hAnsi="Times New Roman" w:eastAsia="宋体" w:cs="Times New Roman"/>
                      <w:b w:val="0"/>
                      <w:bCs w:val="0"/>
                      <w:sz w:val="18"/>
                      <w:szCs w:val="18"/>
                      <w:highlight w:val="none"/>
                      <w:lang w:val="en-US" w:eastAsia="zh-CN"/>
                    </w:rPr>
                  </w:pPr>
                  <w:r>
                    <w:rPr>
                      <w:rFonts w:hint="default" w:ascii="Times New Roman" w:hAnsi="Times New Roman" w:eastAsia="宋体" w:cs="Times New Roman"/>
                      <w:sz w:val="21"/>
                      <w:szCs w:val="21"/>
                      <w:highlight w:val="none"/>
                      <w:lang w:val="en-US" w:eastAsia="zh-CN"/>
                    </w:rPr>
                    <w:t>0.000945</w:t>
                  </w:r>
                </w:p>
              </w:tc>
              <w:tc>
                <w:tcPr>
                  <w:tcW w:w="647" w:type="dxa"/>
                  <w:vMerge w:val="continue"/>
                  <w:tcBorders>
                    <w:tl2br w:val="nil"/>
                    <w:tr2bl w:val="nil"/>
                  </w:tcBorders>
                  <w:vAlign w:val="center"/>
                </w:tcPr>
                <w:p w14:paraId="21ADF25A">
                  <w:pPr>
                    <w:adjustRightInd w:val="0"/>
                    <w:jc w:val="center"/>
                    <w:rPr>
                      <w:rFonts w:hint="default" w:ascii="Times New Roman" w:hAnsi="Times New Roman" w:eastAsia="宋体" w:cs="Times New Roman"/>
                      <w:b w:val="0"/>
                      <w:bCs w:val="0"/>
                      <w:sz w:val="18"/>
                      <w:szCs w:val="18"/>
                      <w:highlight w:val="none"/>
                      <w:lang w:val="en-US" w:eastAsia="zh-CN"/>
                    </w:rPr>
                  </w:pPr>
                </w:p>
              </w:tc>
              <w:tc>
                <w:tcPr>
                  <w:tcW w:w="515" w:type="dxa"/>
                  <w:vMerge w:val="continue"/>
                  <w:tcBorders>
                    <w:tl2br w:val="nil"/>
                    <w:tr2bl w:val="nil"/>
                  </w:tcBorders>
                  <w:vAlign w:val="center"/>
                </w:tcPr>
                <w:p w14:paraId="46C4EB3B">
                  <w:pPr>
                    <w:adjustRightInd w:val="0"/>
                    <w:jc w:val="center"/>
                    <w:rPr>
                      <w:rFonts w:hint="default" w:ascii="Times New Roman" w:hAnsi="Times New Roman" w:eastAsia="宋体" w:cs="Times New Roman"/>
                      <w:b w:val="0"/>
                      <w:bCs w:val="0"/>
                      <w:sz w:val="18"/>
                      <w:szCs w:val="18"/>
                      <w:highlight w:val="none"/>
                      <w:lang w:val="en-US" w:eastAsia="zh-CN"/>
                    </w:rPr>
                  </w:pPr>
                </w:p>
              </w:tc>
              <w:tc>
                <w:tcPr>
                  <w:tcW w:w="575" w:type="dxa"/>
                  <w:vMerge w:val="continue"/>
                  <w:tcBorders>
                    <w:tl2br w:val="nil"/>
                    <w:tr2bl w:val="nil"/>
                  </w:tcBorders>
                  <w:vAlign w:val="center"/>
                </w:tcPr>
                <w:p w14:paraId="10A19A7B">
                  <w:pPr>
                    <w:adjustRightInd w:val="0"/>
                    <w:jc w:val="center"/>
                    <w:rPr>
                      <w:rFonts w:hint="default" w:ascii="Times New Roman" w:hAnsi="Times New Roman" w:eastAsia="宋体" w:cs="Times New Roman"/>
                      <w:b w:val="0"/>
                      <w:bCs w:val="0"/>
                      <w:sz w:val="18"/>
                      <w:szCs w:val="18"/>
                      <w:highlight w:val="none"/>
                      <w:lang w:val="en-US" w:eastAsia="zh-CN"/>
                    </w:rPr>
                  </w:pPr>
                </w:p>
              </w:tc>
              <w:tc>
                <w:tcPr>
                  <w:tcW w:w="695" w:type="dxa"/>
                  <w:tcBorders>
                    <w:tl2br w:val="nil"/>
                    <w:tr2bl w:val="nil"/>
                  </w:tcBorders>
                  <w:shd w:val="clear" w:color="auto" w:fill="auto"/>
                  <w:vAlign w:val="center"/>
                </w:tcPr>
                <w:p w14:paraId="208F5583">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0.00213</w:t>
                  </w:r>
                </w:p>
              </w:tc>
              <w:tc>
                <w:tcPr>
                  <w:tcW w:w="779" w:type="dxa"/>
                  <w:tcBorders>
                    <w:tl2br w:val="nil"/>
                    <w:tr2bl w:val="nil"/>
                  </w:tcBorders>
                  <w:shd w:val="clear" w:color="auto" w:fill="auto"/>
                  <w:vAlign w:val="center"/>
                </w:tcPr>
                <w:p w14:paraId="5079A441">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0.021</w:t>
                  </w:r>
                </w:p>
              </w:tc>
              <w:tc>
                <w:tcPr>
                  <w:tcW w:w="697" w:type="dxa"/>
                  <w:tcBorders>
                    <w:tl2br w:val="nil"/>
                    <w:tr2bl w:val="nil"/>
                  </w:tcBorders>
                  <w:shd w:val="clear" w:color="auto" w:fill="auto"/>
                  <w:vAlign w:val="center"/>
                </w:tcPr>
                <w:p w14:paraId="512E43EE">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0.000043</w:t>
                  </w:r>
                </w:p>
              </w:tc>
            </w:tr>
            <w:tr w14:paraId="26E8E11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448" w:type="dxa"/>
                  <w:vMerge w:val="restart"/>
                  <w:tcBorders>
                    <w:tl2br w:val="nil"/>
                    <w:tr2bl w:val="nil"/>
                  </w:tcBorders>
                  <w:vAlign w:val="center"/>
                </w:tcPr>
                <w:p w14:paraId="56643D52">
                  <w:pPr>
                    <w:adjustRightInd w:val="0"/>
                    <w:jc w:val="center"/>
                    <w:rPr>
                      <w:rFonts w:hint="default" w:cs="Times New Roman"/>
                      <w:b w:val="0"/>
                      <w:bCs w:val="0"/>
                      <w:sz w:val="18"/>
                      <w:szCs w:val="18"/>
                      <w:highlight w:val="none"/>
                      <w:lang w:val="en-US" w:eastAsia="zh-CN"/>
                    </w:rPr>
                  </w:pPr>
                  <w:r>
                    <w:rPr>
                      <w:rFonts w:hint="eastAsia" w:cs="Times New Roman"/>
                      <w:b w:val="0"/>
                      <w:bCs w:val="0"/>
                      <w:sz w:val="18"/>
                      <w:szCs w:val="18"/>
                      <w:highlight w:val="none"/>
                      <w:lang w:val="en-US" w:eastAsia="zh-CN"/>
                    </w:rPr>
                    <w:t>DA002</w:t>
                  </w:r>
                </w:p>
              </w:tc>
              <w:tc>
                <w:tcPr>
                  <w:tcW w:w="542" w:type="dxa"/>
                  <w:vMerge w:val="restart"/>
                  <w:tcBorders>
                    <w:tl2br w:val="nil"/>
                    <w:tr2bl w:val="nil"/>
                  </w:tcBorders>
                  <w:vAlign w:val="center"/>
                </w:tcPr>
                <w:p w14:paraId="22BE15A9">
                  <w:pPr>
                    <w:adjustRightInd w:val="0"/>
                    <w:jc w:val="center"/>
                    <w:rPr>
                      <w:rFonts w:hint="default" w:cs="Times New Roman"/>
                      <w:b w:val="0"/>
                      <w:bCs w:val="0"/>
                      <w:sz w:val="18"/>
                      <w:szCs w:val="18"/>
                      <w:highlight w:val="none"/>
                      <w:lang w:val="en-US" w:eastAsia="zh-CN"/>
                    </w:rPr>
                  </w:pPr>
                  <w:r>
                    <w:rPr>
                      <w:rFonts w:hint="eastAsia" w:cs="Times New Roman"/>
                      <w:b w:val="0"/>
                      <w:bCs w:val="0"/>
                      <w:sz w:val="18"/>
                      <w:szCs w:val="18"/>
                      <w:highlight w:val="none"/>
                      <w:lang w:val="en-US" w:eastAsia="zh-CN"/>
                    </w:rPr>
                    <w:t>5000</w:t>
                  </w:r>
                </w:p>
              </w:tc>
              <w:tc>
                <w:tcPr>
                  <w:tcW w:w="632" w:type="dxa"/>
                  <w:tcBorders>
                    <w:tl2br w:val="nil"/>
                    <w:tr2bl w:val="nil"/>
                  </w:tcBorders>
                  <w:shd w:val="clear" w:color="auto" w:fill="auto"/>
                  <w:vAlign w:val="center"/>
                </w:tcPr>
                <w:p w14:paraId="49E5BF0F">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非甲烷总烃</w:t>
                  </w:r>
                </w:p>
              </w:tc>
              <w:tc>
                <w:tcPr>
                  <w:tcW w:w="697" w:type="dxa"/>
                  <w:tcBorders>
                    <w:tl2br w:val="nil"/>
                    <w:tr2bl w:val="nil"/>
                  </w:tcBorders>
                  <w:shd w:val="clear" w:color="auto" w:fill="auto"/>
                  <w:vAlign w:val="center"/>
                </w:tcPr>
                <w:p w14:paraId="12D6379C">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2.433</w:t>
                  </w:r>
                </w:p>
              </w:tc>
              <w:tc>
                <w:tcPr>
                  <w:tcW w:w="750" w:type="dxa"/>
                  <w:tcBorders>
                    <w:tl2br w:val="nil"/>
                    <w:tr2bl w:val="nil"/>
                  </w:tcBorders>
                  <w:shd w:val="clear" w:color="auto" w:fill="auto"/>
                  <w:vAlign w:val="center"/>
                </w:tcPr>
                <w:p w14:paraId="687B0BA1">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eastAsia="宋体" w:cs="Times New Roman"/>
                      <w:kern w:val="2"/>
                      <w:sz w:val="21"/>
                      <w:szCs w:val="21"/>
                      <w:highlight w:val="none"/>
                      <w:lang w:val="en-US" w:eastAsia="zh-CN" w:bidi="ar-SA"/>
                    </w:rPr>
                    <w:t>25.54</w:t>
                  </w:r>
                </w:p>
              </w:tc>
              <w:tc>
                <w:tcPr>
                  <w:tcW w:w="577" w:type="dxa"/>
                  <w:tcBorders>
                    <w:tl2br w:val="nil"/>
                    <w:tr2bl w:val="nil"/>
                  </w:tcBorders>
                  <w:vAlign w:val="center"/>
                </w:tcPr>
                <w:p w14:paraId="630CF000">
                  <w:pPr>
                    <w:adjustRightInd w:val="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0.12771</w:t>
                  </w:r>
                </w:p>
              </w:tc>
              <w:tc>
                <w:tcPr>
                  <w:tcW w:w="647" w:type="dxa"/>
                  <w:vMerge w:val="restart"/>
                  <w:tcBorders>
                    <w:tl2br w:val="nil"/>
                    <w:tr2bl w:val="nil"/>
                  </w:tcBorders>
                  <w:vAlign w:val="center"/>
                </w:tcPr>
                <w:p w14:paraId="79F6DDA8">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干式三级过滤器</w:t>
                  </w:r>
                </w:p>
              </w:tc>
              <w:tc>
                <w:tcPr>
                  <w:tcW w:w="515" w:type="dxa"/>
                  <w:vMerge w:val="restart"/>
                  <w:tcBorders>
                    <w:tl2br w:val="nil"/>
                    <w:tr2bl w:val="nil"/>
                  </w:tcBorders>
                  <w:vAlign w:val="center"/>
                </w:tcPr>
                <w:p w14:paraId="225AE311">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90</w:t>
                  </w:r>
                </w:p>
              </w:tc>
              <w:tc>
                <w:tcPr>
                  <w:tcW w:w="575" w:type="dxa"/>
                  <w:tcBorders>
                    <w:tl2br w:val="nil"/>
                    <w:tr2bl w:val="nil"/>
                  </w:tcBorders>
                  <w:vAlign w:val="center"/>
                </w:tcPr>
                <w:p w14:paraId="68DA8DA3">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15</w:t>
                  </w:r>
                </w:p>
              </w:tc>
              <w:tc>
                <w:tcPr>
                  <w:tcW w:w="695" w:type="dxa"/>
                  <w:tcBorders>
                    <w:tl2br w:val="nil"/>
                    <w:tr2bl w:val="nil"/>
                  </w:tcBorders>
                  <w:shd w:val="clear" w:color="auto" w:fill="auto"/>
                  <w:vAlign w:val="center"/>
                </w:tcPr>
                <w:p w14:paraId="160C9F88">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1.8612</w:t>
                  </w:r>
                </w:p>
              </w:tc>
              <w:tc>
                <w:tcPr>
                  <w:tcW w:w="779" w:type="dxa"/>
                  <w:tcBorders>
                    <w:tl2br w:val="nil"/>
                    <w:tr2bl w:val="nil"/>
                  </w:tcBorders>
                  <w:shd w:val="clear" w:color="auto" w:fill="auto"/>
                  <w:vAlign w:val="center"/>
                </w:tcPr>
                <w:p w14:paraId="6287B4DB">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19.54</w:t>
                  </w:r>
                </w:p>
              </w:tc>
              <w:tc>
                <w:tcPr>
                  <w:tcW w:w="697" w:type="dxa"/>
                  <w:tcBorders>
                    <w:tl2br w:val="nil"/>
                    <w:tr2bl w:val="nil"/>
                  </w:tcBorders>
                  <w:shd w:val="clear" w:color="auto" w:fill="auto"/>
                  <w:vAlign w:val="center"/>
                </w:tcPr>
                <w:p w14:paraId="1A85DD6E">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0.0977</w:t>
                  </w:r>
                </w:p>
              </w:tc>
            </w:tr>
            <w:tr w14:paraId="5D5B16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448" w:type="dxa"/>
                  <w:vMerge w:val="continue"/>
                  <w:tcBorders>
                    <w:tl2br w:val="nil"/>
                    <w:tr2bl w:val="nil"/>
                  </w:tcBorders>
                  <w:vAlign w:val="center"/>
                </w:tcPr>
                <w:p w14:paraId="71B45578">
                  <w:pPr>
                    <w:adjustRightInd w:val="0"/>
                    <w:jc w:val="center"/>
                    <w:rPr>
                      <w:rFonts w:hint="eastAsia" w:cs="Times New Roman"/>
                      <w:b w:val="0"/>
                      <w:bCs w:val="0"/>
                      <w:sz w:val="18"/>
                      <w:szCs w:val="18"/>
                      <w:highlight w:val="none"/>
                      <w:lang w:val="en-US" w:eastAsia="zh-CN"/>
                    </w:rPr>
                  </w:pPr>
                </w:p>
              </w:tc>
              <w:tc>
                <w:tcPr>
                  <w:tcW w:w="542" w:type="dxa"/>
                  <w:vMerge w:val="continue"/>
                  <w:tcBorders>
                    <w:tl2br w:val="nil"/>
                    <w:tr2bl w:val="nil"/>
                  </w:tcBorders>
                  <w:vAlign w:val="center"/>
                </w:tcPr>
                <w:p w14:paraId="004B973C">
                  <w:pPr>
                    <w:adjustRightInd w:val="0"/>
                    <w:jc w:val="center"/>
                    <w:rPr>
                      <w:rFonts w:hint="eastAsia" w:cs="Times New Roman"/>
                      <w:b w:val="0"/>
                      <w:bCs w:val="0"/>
                      <w:sz w:val="18"/>
                      <w:szCs w:val="18"/>
                      <w:highlight w:val="none"/>
                      <w:lang w:val="en-US" w:eastAsia="zh-CN"/>
                    </w:rPr>
                  </w:pPr>
                </w:p>
              </w:tc>
              <w:tc>
                <w:tcPr>
                  <w:tcW w:w="632" w:type="dxa"/>
                  <w:tcBorders>
                    <w:tl2br w:val="nil"/>
                    <w:tr2bl w:val="nil"/>
                  </w:tcBorders>
                  <w:shd w:val="clear" w:color="auto" w:fill="auto"/>
                  <w:vAlign w:val="center"/>
                </w:tcPr>
                <w:p w14:paraId="25851353">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氮氧化物</w:t>
                  </w:r>
                </w:p>
              </w:tc>
              <w:tc>
                <w:tcPr>
                  <w:tcW w:w="697" w:type="dxa"/>
                  <w:tcBorders>
                    <w:tl2br w:val="nil"/>
                    <w:tr2bl w:val="nil"/>
                  </w:tcBorders>
                  <w:shd w:val="clear" w:color="auto" w:fill="auto"/>
                  <w:vAlign w:val="center"/>
                </w:tcPr>
                <w:p w14:paraId="1EA0AAA0">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 xml:space="preserve">0.0048 </w:t>
                  </w:r>
                </w:p>
              </w:tc>
              <w:tc>
                <w:tcPr>
                  <w:tcW w:w="750" w:type="dxa"/>
                  <w:tcBorders>
                    <w:tl2br w:val="nil"/>
                    <w:tr2bl w:val="nil"/>
                  </w:tcBorders>
                  <w:shd w:val="clear" w:color="auto" w:fill="auto"/>
                  <w:vAlign w:val="center"/>
                </w:tcPr>
                <w:p w14:paraId="25EBBB87">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eastAsia="宋体" w:cs="Times New Roman"/>
                      <w:kern w:val="2"/>
                      <w:sz w:val="21"/>
                      <w:szCs w:val="21"/>
                      <w:highlight w:val="none"/>
                      <w:lang w:val="en-US" w:eastAsia="zh-CN" w:bidi="ar-SA"/>
                    </w:rPr>
                    <w:t>0.144</w:t>
                  </w:r>
                </w:p>
              </w:tc>
              <w:tc>
                <w:tcPr>
                  <w:tcW w:w="577" w:type="dxa"/>
                  <w:tcBorders>
                    <w:tl2br w:val="nil"/>
                    <w:tr2bl w:val="nil"/>
                  </w:tcBorders>
                  <w:vAlign w:val="center"/>
                </w:tcPr>
                <w:p w14:paraId="1D6B12A7">
                  <w:pPr>
                    <w:adjustRightInd w:val="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 xml:space="preserve">0.00072 </w:t>
                  </w:r>
                </w:p>
              </w:tc>
              <w:tc>
                <w:tcPr>
                  <w:tcW w:w="647" w:type="dxa"/>
                  <w:vMerge w:val="continue"/>
                  <w:tcBorders>
                    <w:tl2br w:val="nil"/>
                    <w:tr2bl w:val="nil"/>
                  </w:tcBorders>
                  <w:vAlign w:val="center"/>
                </w:tcPr>
                <w:p w14:paraId="59296B2A">
                  <w:pPr>
                    <w:adjustRightInd w:val="0"/>
                    <w:jc w:val="center"/>
                    <w:rPr>
                      <w:rFonts w:hint="default" w:ascii="Times New Roman" w:hAnsi="Times New Roman" w:eastAsia="宋体" w:cs="Times New Roman"/>
                      <w:b w:val="0"/>
                      <w:bCs w:val="0"/>
                      <w:sz w:val="18"/>
                      <w:szCs w:val="18"/>
                      <w:highlight w:val="none"/>
                      <w:lang w:val="en-US" w:eastAsia="zh-CN"/>
                    </w:rPr>
                  </w:pPr>
                </w:p>
              </w:tc>
              <w:tc>
                <w:tcPr>
                  <w:tcW w:w="515" w:type="dxa"/>
                  <w:vMerge w:val="continue"/>
                  <w:tcBorders>
                    <w:tl2br w:val="nil"/>
                    <w:tr2bl w:val="nil"/>
                  </w:tcBorders>
                  <w:vAlign w:val="center"/>
                </w:tcPr>
                <w:p w14:paraId="21B089D5">
                  <w:pPr>
                    <w:adjustRightInd w:val="0"/>
                    <w:jc w:val="center"/>
                    <w:rPr>
                      <w:rFonts w:hint="default" w:ascii="Times New Roman" w:hAnsi="Times New Roman" w:eastAsia="宋体" w:cs="Times New Roman"/>
                      <w:b w:val="0"/>
                      <w:bCs w:val="0"/>
                      <w:sz w:val="18"/>
                      <w:szCs w:val="18"/>
                      <w:highlight w:val="none"/>
                      <w:lang w:val="en-US" w:eastAsia="zh-CN"/>
                    </w:rPr>
                  </w:pPr>
                </w:p>
              </w:tc>
              <w:tc>
                <w:tcPr>
                  <w:tcW w:w="575" w:type="dxa"/>
                  <w:tcBorders>
                    <w:tl2br w:val="nil"/>
                    <w:tr2bl w:val="nil"/>
                  </w:tcBorders>
                  <w:vAlign w:val="center"/>
                </w:tcPr>
                <w:p w14:paraId="01796E59">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30</w:t>
                  </w:r>
                </w:p>
              </w:tc>
              <w:tc>
                <w:tcPr>
                  <w:tcW w:w="695" w:type="dxa"/>
                  <w:tcBorders>
                    <w:tl2br w:val="nil"/>
                    <w:tr2bl w:val="nil"/>
                  </w:tcBorders>
                  <w:shd w:val="clear" w:color="auto" w:fill="auto"/>
                  <w:vAlign w:val="center"/>
                </w:tcPr>
                <w:p w14:paraId="20853E8A">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0.00302</w:t>
                  </w:r>
                </w:p>
              </w:tc>
              <w:tc>
                <w:tcPr>
                  <w:tcW w:w="779" w:type="dxa"/>
                  <w:tcBorders>
                    <w:tl2br w:val="nil"/>
                    <w:tr2bl w:val="nil"/>
                  </w:tcBorders>
                  <w:shd w:val="clear" w:color="auto" w:fill="auto"/>
                  <w:vAlign w:val="center"/>
                </w:tcPr>
                <w:p w14:paraId="5A7A064D">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0.09</w:t>
                  </w:r>
                </w:p>
              </w:tc>
              <w:tc>
                <w:tcPr>
                  <w:tcW w:w="697" w:type="dxa"/>
                  <w:tcBorders>
                    <w:tl2br w:val="nil"/>
                    <w:tr2bl w:val="nil"/>
                  </w:tcBorders>
                  <w:shd w:val="clear" w:color="auto" w:fill="auto"/>
                  <w:vAlign w:val="center"/>
                </w:tcPr>
                <w:p w14:paraId="74CECD93">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0.00045</w:t>
                  </w:r>
                </w:p>
              </w:tc>
            </w:tr>
            <w:tr w14:paraId="324012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448" w:type="dxa"/>
                  <w:vMerge w:val="restart"/>
                  <w:tcBorders>
                    <w:tl2br w:val="nil"/>
                    <w:tr2bl w:val="nil"/>
                  </w:tcBorders>
                  <w:vAlign w:val="center"/>
                </w:tcPr>
                <w:p w14:paraId="2C7163D2">
                  <w:pPr>
                    <w:adjustRightInd w:val="0"/>
                    <w:jc w:val="center"/>
                    <w:rPr>
                      <w:rFonts w:hint="default" w:cs="Times New Roman"/>
                      <w:b w:val="0"/>
                      <w:bCs w:val="0"/>
                      <w:sz w:val="18"/>
                      <w:szCs w:val="18"/>
                      <w:highlight w:val="none"/>
                      <w:lang w:val="en-US" w:eastAsia="zh-CN"/>
                    </w:rPr>
                  </w:pPr>
                  <w:r>
                    <w:rPr>
                      <w:rFonts w:hint="eastAsia" w:cs="Times New Roman"/>
                      <w:b w:val="0"/>
                      <w:bCs w:val="0"/>
                      <w:sz w:val="18"/>
                      <w:szCs w:val="18"/>
                      <w:highlight w:val="none"/>
                      <w:lang w:val="en-US" w:eastAsia="zh-CN"/>
                    </w:rPr>
                    <w:t>DA003</w:t>
                  </w:r>
                </w:p>
              </w:tc>
              <w:tc>
                <w:tcPr>
                  <w:tcW w:w="542" w:type="dxa"/>
                  <w:vMerge w:val="restart"/>
                  <w:tcBorders>
                    <w:tl2br w:val="nil"/>
                    <w:tr2bl w:val="nil"/>
                  </w:tcBorders>
                  <w:vAlign w:val="center"/>
                </w:tcPr>
                <w:p w14:paraId="5C31EFE8">
                  <w:pPr>
                    <w:adjustRightInd w:val="0"/>
                    <w:jc w:val="center"/>
                    <w:rPr>
                      <w:rFonts w:hint="default" w:cs="Times New Roman"/>
                      <w:b w:val="0"/>
                      <w:bCs w:val="0"/>
                      <w:sz w:val="18"/>
                      <w:szCs w:val="18"/>
                      <w:highlight w:val="none"/>
                      <w:lang w:val="en-US" w:eastAsia="zh-CN"/>
                    </w:rPr>
                  </w:pPr>
                  <w:r>
                    <w:rPr>
                      <w:rFonts w:hint="eastAsia" w:cs="Times New Roman"/>
                      <w:b w:val="0"/>
                      <w:bCs w:val="0"/>
                      <w:sz w:val="18"/>
                      <w:szCs w:val="18"/>
                      <w:highlight w:val="none"/>
                      <w:lang w:val="en-US" w:eastAsia="zh-CN"/>
                    </w:rPr>
                    <w:t>2000</w:t>
                  </w:r>
                </w:p>
              </w:tc>
              <w:tc>
                <w:tcPr>
                  <w:tcW w:w="632" w:type="dxa"/>
                  <w:tcBorders>
                    <w:tl2br w:val="nil"/>
                    <w:tr2bl w:val="nil"/>
                  </w:tcBorders>
                  <w:shd w:val="clear" w:color="auto" w:fill="auto"/>
                  <w:vAlign w:val="center"/>
                </w:tcPr>
                <w:p w14:paraId="0B5137EA">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氯化氢</w:t>
                  </w:r>
                </w:p>
              </w:tc>
              <w:tc>
                <w:tcPr>
                  <w:tcW w:w="697" w:type="dxa"/>
                  <w:tcBorders>
                    <w:tl2br w:val="nil"/>
                    <w:tr2bl w:val="nil"/>
                  </w:tcBorders>
                  <w:shd w:val="clear" w:color="auto" w:fill="auto"/>
                  <w:vAlign w:val="center"/>
                </w:tcPr>
                <w:p w14:paraId="7B4DA19A">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0.01699</w:t>
                  </w:r>
                </w:p>
              </w:tc>
              <w:tc>
                <w:tcPr>
                  <w:tcW w:w="750" w:type="dxa"/>
                  <w:tcBorders>
                    <w:tl2br w:val="nil"/>
                    <w:tr2bl w:val="nil"/>
                  </w:tcBorders>
                  <w:shd w:val="clear" w:color="auto" w:fill="auto"/>
                  <w:vAlign w:val="center"/>
                </w:tcPr>
                <w:p w14:paraId="7841583B">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eastAsia="宋体" w:cs="Times New Roman"/>
                      <w:kern w:val="2"/>
                      <w:sz w:val="21"/>
                      <w:szCs w:val="21"/>
                      <w:highlight w:val="none"/>
                      <w:lang w:val="en-US" w:eastAsia="zh-CN" w:bidi="ar-SA"/>
                    </w:rPr>
                    <w:t>0.085</w:t>
                  </w:r>
                </w:p>
              </w:tc>
              <w:tc>
                <w:tcPr>
                  <w:tcW w:w="577" w:type="dxa"/>
                  <w:tcBorders>
                    <w:tl2br w:val="nil"/>
                    <w:tr2bl w:val="nil"/>
                  </w:tcBorders>
                  <w:vAlign w:val="center"/>
                </w:tcPr>
                <w:p w14:paraId="1A483208">
                  <w:pPr>
                    <w:adjustRightInd w:val="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0.00017</w:t>
                  </w:r>
                </w:p>
              </w:tc>
              <w:tc>
                <w:tcPr>
                  <w:tcW w:w="647" w:type="dxa"/>
                  <w:vMerge w:val="restart"/>
                  <w:tcBorders>
                    <w:tl2br w:val="nil"/>
                    <w:tr2bl w:val="nil"/>
                  </w:tcBorders>
                  <w:vAlign w:val="center"/>
                </w:tcPr>
                <w:p w14:paraId="3A09007D">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喷淋塔</w:t>
                  </w:r>
                </w:p>
              </w:tc>
              <w:tc>
                <w:tcPr>
                  <w:tcW w:w="515" w:type="dxa"/>
                  <w:vMerge w:val="restart"/>
                  <w:tcBorders>
                    <w:tl2br w:val="nil"/>
                    <w:tr2bl w:val="nil"/>
                  </w:tcBorders>
                  <w:vAlign w:val="center"/>
                </w:tcPr>
                <w:p w14:paraId="5583E53F">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90</w:t>
                  </w:r>
                </w:p>
              </w:tc>
              <w:tc>
                <w:tcPr>
                  <w:tcW w:w="575" w:type="dxa"/>
                  <w:vMerge w:val="restart"/>
                  <w:tcBorders>
                    <w:tl2br w:val="nil"/>
                    <w:tr2bl w:val="nil"/>
                  </w:tcBorders>
                  <w:vAlign w:val="center"/>
                </w:tcPr>
                <w:p w14:paraId="160A802D">
                  <w:pPr>
                    <w:adjustRightInd w:val="0"/>
                    <w:jc w:val="center"/>
                    <w:rPr>
                      <w:rFonts w:hint="default" w:cs="Times New Roman"/>
                      <w:b w:val="0"/>
                      <w:bCs w:val="0"/>
                      <w:sz w:val="18"/>
                      <w:szCs w:val="18"/>
                      <w:highlight w:val="none"/>
                      <w:lang w:val="en-US" w:eastAsia="zh-CN"/>
                    </w:rPr>
                  </w:pPr>
                  <w:r>
                    <w:rPr>
                      <w:rFonts w:hint="eastAsia" w:cs="Times New Roman"/>
                      <w:b w:val="0"/>
                      <w:bCs w:val="0"/>
                      <w:sz w:val="18"/>
                      <w:szCs w:val="18"/>
                      <w:highlight w:val="none"/>
                      <w:lang w:val="en-US" w:eastAsia="zh-CN"/>
                    </w:rPr>
                    <w:t>85</w:t>
                  </w:r>
                </w:p>
              </w:tc>
              <w:tc>
                <w:tcPr>
                  <w:tcW w:w="695" w:type="dxa"/>
                  <w:tcBorders>
                    <w:tl2br w:val="nil"/>
                    <w:tr2bl w:val="nil"/>
                  </w:tcBorders>
                  <w:shd w:val="clear" w:color="auto" w:fill="auto"/>
                  <w:vAlign w:val="center"/>
                </w:tcPr>
                <w:p w14:paraId="38F5BDCA">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0.00229</w:t>
                  </w:r>
                </w:p>
              </w:tc>
              <w:tc>
                <w:tcPr>
                  <w:tcW w:w="779" w:type="dxa"/>
                  <w:tcBorders>
                    <w:tl2br w:val="nil"/>
                    <w:tr2bl w:val="nil"/>
                  </w:tcBorders>
                  <w:shd w:val="clear" w:color="auto" w:fill="auto"/>
                  <w:vAlign w:val="center"/>
                </w:tcPr>
                <w:p w14:paraId="7BEF009C">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0.0115</w:t>
                  </w:r>
                </w:p>
              </w:tc>
              <w:tc>
                <w:tcPr>
                  <w:tcW w:w="697" w:type="dxa"/>
                  <w:tcBorders>
                    <w:tl2br w:val="nil"/>
                    <w:tr2bl w:val="nil"/>
                  </w:tcBorders>
                  <w:shd w:val="clear" w:color="auto" w:fill="auto"/>
                  <w:vAlign w:val="center"/>
                </w:tcPr>
                <w:p w14:paraId="133A7D52">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0.000023</w:t>
                  </w:r>
                </w:p>
              </w:tc>
            </w:tr>
            <w:tr w14:paraId="2D10975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448" w:type="dxa"/>
                  <w:vMerge w:val="continue"/>
                  <w:tcBorders>
                    <w:tl2br w:val="nil"/>
                    <w:tr2bl w:val="nil"/>
                  </w:tcBorders>
                  <w:vAlign w:val="center"/>
                </w:tcPr>
                <w:p w14:paraId="249B1585">
                  <w:pPr>
                    <w:adjustRightInd w:val="0"/>
                    <w:jc w:val="center"/>
                    <w:rPr>
                      <w:rFonts w:hint="eastAsia" w:cs="Times New Roman"/>
                      <w:b w:val="0"/>
                      <w:bCs w:val="0"/>
                      <w:sz w:val="18"/>
                      <w:szCs w:val="18"/>
                      <w:highlight w:val="none"/>
                      <w:lang w:val="en-US" w:eastAsia="zh-CN"/>
                    </w:rPr>
                  </w:pPr>
                </w:p>
              </w:tc>
              <w:tc>
                <w:tcPr>
                  <w:tcW w:w="542" w:type="dxa"/>
                  <w:vMerge w:val="continue"/>
                  <w:tcBorders>
                    <w:tl2br w:val="nil"/>
                    <w:tr2bl w:val="nil"/>
                  </w:tcBorders>
                  <w:vAlign w:val="center"/>
                </w:tcPr>
                <w:p w14:paraId="4AABA2B1">
                  <w:pPr>
                    <w:adjustRightInd w:val="0"/>
                    <w:jc w:val="center"/>
                    <w:rPr>
                      <w:rFonts w:hint="eastAsia" w:cs="Times New Roman"/>
                      <w:b w:val="0"/>
                      <w:bCs w:val="0"/>
                      <w:sz w:val="18"/>
                      <w:szCs w:val="18"/>
                      <w:highlight w:val="none"/>
                      <w:lang w:val="en-US" w:eastAsia="zh-CN"/>
                    </w:rPr>
                  </w:pPr>
                </w:p>
              </w:tc>
              <w:tc>
                <w:tcPr>
                  <w:tcW w:w="632" w:type="dxa"/>
                  <w:tcBorders>
                    <w:tl2br w:val="nil"/>
                    <w:tr2bl w:val="nil"/>
                  </w:tcBorders>
                  <w:shd w:val="clear" w:color="auto" w:fill="auto"/>
                  <w:vAlign w:val="center"/>
                </w:tcPr>
                <w:p w14:paraId="0435987E">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氮氧化物</w:t>
                  </w:r>
                </w:p>
              </w:tc>
              <w:tc>
                <w:tcPr>
                  <w:tcW w:w="697" w:type="dxa"/>
                  <w:tcBorders>
                    <w:tl2br w:val="nil"/>
                    <w:tr2bl w:val="nil"/>
                  </w:tcBorders>
                  <w:shd w:val="clear" w:color="auto" w:fill="auto"/>
                  <w:vAlign w:val="center"/>
                </w:tcPr>
                <w:p w14:paraId="543BD902">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0.01923</w:t>
                  </w:r>
                </w:p>
              </w:tc>
              <w:tc>
                <w:tcPr>
                  <w:tcW w:w="750" w:type="dxa"/>
                  <w:tcBorders>
                    <w:tl2br w:val="nil"/>
                    <w:tr2bl w:val="nil"/>
                  </w:tcBorders>
                  <w:shd w:val="clear" w:color="auto" w:fill="auto"/>
                  <w:vAlign w:val="center"/>
                </w:tcPr>
                <w:p w14:paraId="1A793D7C">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eastAsia="宋体" w:cs="Times New Roman"/>
                      <w:kern w:val="2"/>
                      <w:sz w:val="21"/>
                      <w:szCs w:val="21"/>
                      <w:highlight w:val="none"/>
                      <w:lang w:val="en-US" w:eastAsia="zh-CN" w:bidi="ar-SA"/>
                    </w:rPr>
                    <w:t>0.095</w:t>
                  </w:r>
                </w:p>
              </w:tc>
              <w:tc>
                <w:tcPr>
                  <w:tcW w:w="577" w:type="dxa"/>
                  <w:tcBorders>
                    <w:tl2br w:val="nil"/>
                    <w:tr2bl w:val="nil"/>
                  </w:tcBorders>
                  <w:vAlign w:val="center"/>
                </w:tcPr>
                <w:p w14:paraId="7D6289E4">
                  <w:pPr>
                    <w:adjustRightInd w:val="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0.00019</w:t>
                  </w:r>
                </w:p>
              </w:tc>
              <w:tc>
                <w:tcPr>
                  <w:tcW w:w="647" w:type="dxa"/>
                  <w:vMerge w:val="continue"/>
                  <w:tcBorders>
                    <w:tl2br w:val="nil"/>
                    <w:tr2bl w:val="nil"/>
                  </w:tcBorders>
                  <w:vAlign w:val="center"/>
                </w:tcPr>
                <w:p w14:paraId="2B524AE7">
                  <w:pPr>
                    <w:adjustRightInd w:val="0"/>
                    <w:jc w:val="center"/>
                    <w:rPr>
                      <w:rFonts w:hint="default" w:ascii="Times New Roman" w:hAnsi="Times New Roman" w:eastAsia="宋体" w:cs="Times New Roman"/>
                      <w:b w:val="0"/>
                      <w:bCs w:val="0"/>
                      <w:sz w:val="18"/>
                      <w:szCs w:val="18"/>
                      <w:highlight w:val="none"/>
                      <w:lang w:val="en-US" w:eastAsia="zh-CN"/>
                    </w:rPr>
                  </w:pPr>
                </w:p>
              </w:tc>
              <w:tc>
                <w:tcPr>
                  <w:tcW w:w="515" w:type="dxa"/>
                  <w:vMerge w:val="continue"/>
                  <w:tcBorders>
                    <w:tl2br w:val="nil"/>
                    <w:tr2bl w:val="nil"/>
                  </w:tcBorders>
                  <w:vAlign w:val="center"/>
                </w:tcPr>
                <w:p w14:paraId="5261E4A8">
                  <w:pPr>
                    <w:adjustRightInd w:val="0"/>
                    <w:jc w:val="center"/>
                    <w:rPr>
                      <w:rFonts w:hint="default" w:ascii="Times New Roman" w:hAnsi="Times New Roman" w:eastAsia="宋体" w:cs="Times New Roman"/>
                      <w:b w:val="0"/>
                      <w:bCs w:val="0"/>
                      <w:sz w:val="18"/>
                      <w:szCs w:val="18"/>
                      <w:highlight w:val="none"/>
                      <w:lang w:val="en-US" w:eastAsia="zh-CN"/>
                    </w:rPr>
                  </w:pPr>
                </w:p>
              </w:tc>
              <w:tc>
                <w:tcPr>
                  <w:tcW w:w="575" w:type="dxa"/>
                  <w:vMerge w:val="continue"/>
                  <w:tcBorders>
                    <w:tl2br w:val="nil"/>
                    <w:tr2bl w:val="nil"/>
                  </w:tcBorders>
                  <w:vAlign w:val="center"/>
                </w:tcPr>
                <w:p w14:paraId="73EAC4A1">
                  <w:pPr>
                    <w:adjustRightInd w:val="0"/>
                    <w:jc w:val="center"/>
                    <w:rPr>
                      <w:rFonts w:hint="eastAsia" w:cs="Times New Roman"/>
                      <w:b w:val="0"/>
                      <w:bCs w:val="0"/>
                      <w:sz w:val="18"/>
                      <w:szCs w:val="18"/>
                      <w:highlight w:val="none"/>
                      <w:lang w:val="en-US" w:eastAsia="zh-CN"/>
                    </w:rPr>
                  </w:pPr>
                </w:p>
              </w:tc>
              <w:tc>
                <w:tcPr>
                  <w:tcW w:w="695" w:type="dxa"/>
                  <w:tcBorders>
                    <w:tl2br w:val="nil"/>
                    <w:tr2bl w:val="nil"/>
                  </w:tcBorders>
                  <w:shd w:val="clear" w:color="auto" w:fill="auto"/>
                  <w:vAlign w:val="center"/>
                </w:tcPr>
                <w:p w14:paraId="298EA14D">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0.002596</w:t>
                  </w:r>
                </w:p>
              </w:tc>
              <w:tc>
                <w:tcPr>
                  <w:tcW w:w="779" w:type="dxa"/>
                  <w:tcBorders>
                    <w:tl2br w:val="nil"/>
                    <w:tr2bl w:val="nil"/>
                  </w:tcBorders>
                  <w:shd w:val="clear" w:color="auto" w:fill="auto"/>
                  <w:vAlign w:val="center"/>
                </w:tcPr>
                <w:p w14:paraId="045BA55F">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0.0128</w:t>
                  </w:r>
                </w:p>
              </w:tc>
              <w:tc>
                <w:tcPr>
                  <w:tcW w:w="697" w:type="dxa"/>
                  <w:tcBorders>
                    <w:tl2br w:val="nil"/>
                    <w:tr2bl w:val="nil"/>
                  </w:tcBorders>
                  <w:shd w:val="clear" w:color="auto" w:fill="auto"/>
                  <w:vAlign w:val="center"/>
                </w:tcPr>
                <w:p w14:paraId="72582498">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0.000026</w:t>
                  </w:r>
                </w:p>
              </w:tc>
            </w:tr>
            <w:tr w14:paraId="42BBCE2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448" w:type="dxa"/>
                  <w:vMerge w:val="continue"/>
                  <w:tcBorders>
                    <w:tl2br w:val="nil"/>
                    <w:tr2bl w:val="nil"/>
                  </w:tcBorders>
                  <w:vAlign w:val="center"/>
                </w:tcPr>
                <w:p w14:paraId="1187B407">
                  <w:pPr>
                    <w:adjustRightInd w:val="0"/>
                    <w:jc w:val="center"/>
                    <w:rPr>
                      <w:rFonts w:hint="eastAsia" w:cs="Times New Roman"/>
                      <w:b w:val="0"/>
                      <w:bCs w:val="0"/>
                      <w:sz w:val="18"/>
                      <w:szCs w:val="18"/>
                      <w:highlight w:val="none"/>
                      <w:lang w:val="en-US" w:eastAsia="zh-CN"/>
                    </w:rPr>
                  </w:pPr>
                </w:p>
              </w:tc>
              <w:tc>
                <w:tcPr>
                  <w:tcW w:w="542" w:type="dxa"/>
                  <w:vMerge w:val="continue"/>
                  <w:tcBorders>
                    <w:tl2br w:val="nil"/>
                    <w:tr2bl w:val="nil"/>
                  </w:tcBorders>
                  <w:vAlign w:val="center"/>
                </w:tcPr>
                <w:p w14:paraId="007F9518">
                  <w:pPr>
                    <w:adjustRightInd w:val="0"/>
                    <w:jc w:val="center"/>
                    <w:rPr>
                      <w:rFonts w:hint="eastAsia" w:cs="Times New Roman"/>
                      <w:b w:val="0"/>
                      <w:bCs w:val="0"/>
                      <w:sz w:val="18"/>
                      <w:szCs w:val="18"/>
                      <w:highlight w:val="none"/>
                      <w:lang w:val="en-US" w:eastAsia="zh-CN"/>
                    </w:rPr>
                  </w:pPr>
                </w:p>
              </w:tc>
              <w:tc>
                <w:tcPr>
                  <w:tcW w:w="632" w:type="dxa"/>
                  <w:tcBorders>
                    <w:tl2br w:val="nil"/>
                    <w:tr2bl w:val="nil"/>
                  </w:tcBorders>
                  <w:shd w:val="clear" w:color="auto" w:fill="auto"/>
                  <w:vAlign w:val="center"/>
                </w:tcPr>
                <w:p w14:paraId="72650702">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氨</w:t>
                  </w:r>
                </w:p>
              </w:tc>
              <w:tc>
                <w:tcPr>
                  <w:tcW w:w="697" w:type="dxa"/>
                  <w:tcBorders>
                    <w:tl2br w:val="nil"/>
                    <w:tr2bl w:val="nil"/>
                  </w:tcBorders>
                  <w:shd w:val="clear" w:color="auto" w:fill="auto"/>
                  <w:vAlign w:val="center"/>
                </w:tcPr>
                <w:p w14:paraId="3B772860">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 xml:space="preserve">1.814 </w:t>
                  </w:r>
                </w:p>
              </w:tc>
              <w:tc>
                <w:tcPr>
                  <w:tcW w:w="750" w:type="dxa"/>
                  <w:tcBorders>
                    <w:tl2br w:val="nil"/>
                    <w:tr2bl w:val="nil"/>
                  </w:tcBorders>
                  <w:shd w:val="clear" w:color="auto" w:fill="auto"/>
                  <w:vAlign w:val="center"/>
                </w:tcPr>
                <w:p w14:paraId="782249D2">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eastAsia="宋体" w:cs="Times New Roman"/>
                      <w:kern w:val="2"/>
                      <w:sz w:val="21"/>
                      <w:szCs w:val="21"/>
                      <w:highlight w:val="none"/>
                      <w:vertAlign w:val="baseline"/>
                      <w:lang w:val="en-US" w:eastAsia="zh-CN" w:bidi="ar-SA"/>
                    </w:rPr>
                    <w:t>0.6045</w:t>
                  </w:r>
                </w:p>
              </w:tc>
              <w:tc>
                <w:tcPr>
                  <w:tcW w:w="577" w:type="dxa"/>
                  <w:tcBorders>
                    <w:tl2br w:val="nil"/>
                    <w:tr2bl w:val="nil"/>
                  </w:tcBorders>
                  <w:vAlign w:val="center"/>
                </w:tcPr>
                <w:p w14:paraId="4720D751">
                  <w:pPr>
                    <w:adjustRightInd w:val="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0.001209</w:t>
                  </w:r>
                </w:p>
              </w:tc>
              <w:tc>
                <w:tcPr>
                  <w:tcW w:w="647" w:type="dxa"/>
                  <w:vMerge w:val="continue"/>
                  <w:tcBorders>
                    <w:tl2br w:val="nil"/>
                    <w:tr2bl w:val="nil"/>
                  </w:tcBorders>
                  <w:vAlign w:val="center"/>
                </w:tcPr>
                <w:p w14:paraId="0CA2A86C">
                  <w:pPr>
                    <w:adjustRightInd w:val="0"/>
                    <w:jc w:val="center"/>
                    <w:rPr>
                      <w:rFonts w:hint="default" w:ascii="Times New Roman" w:hAnsi="Times New Roman" w:eastAsia="宋体" w:cs="Times New Roman"/>
                      <w:b w:val="0"/>
                      <w:bCs w:val="0"/>
                      <w:sz w:val="18"/>
                      <w:szCs w:val="18"/>
                      <w:highlight w:val="none"/>
                      <w:lang w:val="en-US" w:eastAsia="zh-CN"/>
                    </w:rPr>
                  </w:pPr>
                </w:p>
              </w:tc>
              <w:tc>
                <w:tcPr>
                  <w:tcW w:w="515" w:type="dxa"/>
                  <w:vMerge w:val="continue"/>
                  <w:tcBorders>
                    <w:tl2br w:val="nil"/>
                    <w:tr2bl w:val="nil"/>
                  </w:tcBorders>
                  <w:vAlign w:val="center"/>
                </w:tcPr>
                <w:p w14:paraId="0C3BAADA">
                  <w:pPr>
                    <w:adjustRightInd w:val="0"/>
                    <w:jc w:val="center"/>
                    <w:rPr>
                      <w:rFonts w:hint="default" w:ascii="Times New Roman" w:hAnsi="Times New Roman" w:eastAsia="宋体" w:cs="Times New Roman"/>
                      <w:b w:val="0"/>
                      <w:bCs w:val="0"/>
                      <w:sz w:val="18"/>
                      <w:szCs w:val="18"/>
                      <w:highlight w:val="none"/>
                      <w:lang w:val="en-US" w:eastAsia="zh-CN"/>
                    </w:rPr>
                  </w:pPr>
                </w:p>
              </w:tc>
              <w:tc>
                <w:tcPr>
                  <w:tcW w:w="575" w:type="dxa"/>
                  <w:vMerge w:val="continue"/>
                  <w:tcBorders>
                    <w:tl2br w:val="nil"/>
                    <w:tr2bl w:val="nil"/>
                  </w:tcBorders>
                  <w:vAlign w:val="center"/>
                </w:tcPr>
                <w:p w14:paraId="693520F7">
                  <w:pPr>
                    <w:adjustRightInd w:val="0"/>
                    <w:jc w:val="center"/>
                    <w:rPr>
                      <w:rFonts w:hint="eastAsia" w:cs="Times New Roman"/>
                      <w:b w:val="0"/>
                      <w:bCs w:val="0"/>
                      <w:sz w:val="18"/>
                      <w:szCs w:val="18"/>
                      <w:highlight w:val="none"/>
                      <w:lang w:val="en-US" w:eastAsia="zh-CN"/>
                    </w:rPr>
                  </w:pPr>
                </w:p>
              </w:tc>
              <w:tc>
                <w:tcPr>
                  <w:tcW w:w="695" w:type="dxa"/>
                  <w:tcBorders>
                    <w:tl2br w:val="nil"/>
                    <w:tr2bl w:val="nil"/>
                  </w:tcBorders>
                  <w:shd w:val="clear" w:color="auto" w:fill="auto"/>
                  <w:vAlign w:val="center"/>
                </w:tcPr>
                <w:p w14:paraId="6FFCF87C">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0.24489</w:t>
                  </w:r>
                </w:p>
              </w:tc>
              <w:tc>
                <w:tcPr>
                  <w:tcW w:w="779" w:type="dxa"/>
                  <w:tcBorders>
                    <w:tl2br w:val="nil"/>
                    <w:tr2bl w:val="nil"/>
                  </w:tcBorders>
                  <w:shd w:val="clear" w:color="auto" w:fill="auto"/>
                  <w:vAlign w:val="center"/>
                </w:tcPr>
                <w:p w14:paraId="52B93A5A">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0.08</w:t>
                  </w:r>
                </w:p>
              </w:tc>
              <w:tc>
                <w:tcPr>
                  <w:tcW w:w="697" w:type="dxa"/>
                  <w:tcBorders>
                    <w:tl2br w:val="nil"/>
                    <w:tr2bl w:val="nil"/>
                  </w:tcBorders>
                  <w:shd w:val="clear" w:color="auto" w:fill="auto"/>
                  <w:vAlign w:val="center"/>
                </w:tcPr>
                <w:p w14:paraId="405577A4">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0.00016</w:t>
                  </w:r>
                </w:p>
              </w:tc>
            </w:tr>
            <w:tr w14:paraId="3275A2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448" w:type="dxa"/>
                  <w:vMerge w:val="continue"/>
                  <w:tcBorders>
                    <w:tl2br w:val="nil"/>
                    <w:tr2bl w:val="nil"/>
                  </w:tcBorders>
                  <w:vAlign w:val="center"/>
                </w:tcPr>
                <w:p w14:paraId="496E35C4">
                  <w:pPr>
                    <w:adjustRightInd w:val="0"/>
                    <w:jc w:val="center"/>
                    <w:rPr>
                      <w:rFonts w:hint="eastAsia" w:cs="Times New Roman"/>
                      <w:b w:val="0"/>
                      <w:bCs w:val="0"/>
                      <w:sz w:val="18"/>
                      <w:szCs w:val="18"/>
                      <w:highlight w:val="none"/>
                      <w:lang w:val="en-US" w:eastAsia="zh-CN"/>
                    </w:rPr>
                  </w:pPr>
                </w:p>
              </w:tc>
              <w:tc>
                <w:tcPr>
                  <w:tcW w:w="542" w:type="dxa"/>
                  <w:vMerge w:val="continue"/>
                  <w:tcBorders>
                    <w:tl2br w:val="nil"/>
                    <w:tr2bl w:val="nil"/>
                  </w:tcBorders>
                  <w:vAlign w:val="center"/>
                </w:tcPr>
                <w:p w14:paraId="3974FD69">
                  <w:pPr>
                    <w:adjustRightInd w:val="0"/>
                    <w:jc w:val="center"/>
                    <w:rPr>
                      <w:rFonts w:hint="eastAsia" w:cs="Times New Roman"/>
                      <w:b w:val="0"/>
                      <w:bCs w:val="0"/>
                      <w:sz w:val="18"/>
                      <w:szCs w:val="18"/>
                      <w:highlight w:val="none"/>
                      <w:lang w:val="en-US" w:eastAsia="zh-CN"/>
                    </w:rPr>
                  </w:pPr>
                </w:p>
              </w:tc>
              <w:tc>
                <w:tcPr>
                  <w:tcW w:w="632" w:type="dxa"/>
                  <w:tcBorders>
                    <w:tl2br w:val="nil"/>
                    <w:tr2bl w:val="nil"/>
                  </w:tcBorders>
                  <w:shd w:val="clear" w:color="auto" w:fill="auto"/>
                  <w:vAlign w:val="center"/>
                </w:tcPr>
                <w:p w14:paraId="790FF375">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sz w:val="21"/>
                      <w:szCs w:val="21"/>
                      <w:highlight w:val="none"/>
                      <w:vertAlign w:val="baseline"/>
                      <w:lang w:val="en-US" w:eastAsia="zh-CN"/>
                    </w:rPr>
                    <w:t>氟</w:t>
                  </w:r>
                </w:p>
              </w:tc>
              <w:tc>
                <w:tcPr>
                  <w:tcW w:w="697" w:type="dxa"/>
                  <w:tcBorders>
                    <w:tl2br w:val="nil"/>
                    <w:tr2bl w:val="nil"/>
                  </w:tcBorders>
                  <w:shd w:val="clear" w:color="auto" w:fill="auto"/>
                  <w:vAlign w:val="center"/>
                </w:tcPr>
                <w:p w14:paraId="4043C7DF">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0.175</w:t>
                  </w:r>
                </w:p>
              </w:tc>
              <w:tc>
                <w:tcPr>
                  <w:tcW w:w="750" w:type="dxa"/>
                  <w:tcBorders>
                    <w:tl2br w:val="nil"/>
                    <w:tr2bl w:val="nil"/>
                  </w:tcBorders>
                  <w:shd w:val="clear" w:color="auto" w:fill="auto"/>
                  <w:vAlign w:val="center"/>
                </w:tcPr>
                <w:p w14:paraId="74FABC27">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eastAsia="宋体" w:cs="Times New Roman"/>
                      <w:kern w:val="2"/>
                      <w:sz w:val="21"/>
                      <w:szCs w:val="21"/>
                      <w:highlight w:val="none"/>
                      <w:lang w:val="en-US" w:eastAsia="zh-CN" w:bidi="ar-SA"/>
                    </w:rPr>
                    <w:t>0.06</w:t>
                  </w:r>
                </w:p>
              </w:tc>
              <w:tc>
                <w:tcPr>
                  <w:tcW w:w="577" w:type="dxa"/>
                  <w:tcBorders>
                    <w:tl2br w:val="nil"/>
                    <w:tr2bl w:val="nil"/>
                  </w:tcBorders>
                  <w:vAlign w:val="center"/>
                </w:tcPr>
                <w:p w14:paraId="05FFA3F4">
                  <w:pPr>
                    <w:adjustRightInd w:val="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w:t>
                  </w:r>
                  <w:r>
                    <w:rPr>
                      <w:rFonts w:hint="eastAsia" w:ascii="Times New Roman" w:hAnsi="Times New Roman" w:eastAsia="宋体" w:cs="Times New Roman"/>
                      <w:sz w:val="21"/>
                      <w:szCs w:val="21"/>
                      <w:highlight w:val="none"/>
                      <w:lang w:val="en-US" w:eastAsia="zh-CN"/>
                    </w:rPr>
                    <w:t>012</w:t>
                  </w:r>
                </w:p>
              </w:tc>
              <w:tc>
                <w:tcPr>
                  <w:tcW w:w="647" w:type="dxa"/>
                  <w:vMerge w:val="continue"/>
                  <w:tcBorders>
                    <w:tl2br w:val="nil"/>
                    <w:tr2bl w:val="nil"/>
                  </w:tcBorders>
                  <w:vAlign w:val="center"/>
                </w:tcPr>
                <w:p w14:paraId="441ABD92">
                  <w:pPr>
                    <w:adjustRightInd w:val="0"/>
                    <w:jc w:val="center"/>
                    <w:rPr>
                      <w:rFonts w:hint="default" w:ascii="Times New Roman" w:hAnsi="Times New Roman" w:eastAsia="宋体" w:cs="Times New Roman"/>
                      <w:b w:val="0"/>
                      <w:bCs w:val="0"/>
                      <w:sz w:val="18"/>
                      <w:szCs w:val="18"/>
                      <w:highlight w:val="none"/>
                      <w:lang w:val="en-US" w:eastAsia="zh-CN"/>
                    </w:rPr>
                  </w:pPr>
                </w:p>
              </w:tc>
              <w:tc>
                <w:tcPr>
                  <w:tcW w:w="515" w:type="dxa"/>
                  <w:vMerge w:val="continue"/>
                  <w:tcBorders>
                    <w:tl2br w:val="nil"/>
                    <w:tr2bl w:val="nil"/>
                  </w:tcBorders>
                  <w:vAlign w:val="center"/>
                </w:tcPr>
                <w:p w14:paraId="15C32A53">
                  <w:pPr>
                    <w:adjustRightInd w:val="0"/>
                    <w:jc w:val="center"/>
                    <w:rPr>
                      <w:rFonts w:hint="default" w:ascii="Times New Roman" w:hAnsi="Times New Roman" w:eastAsia="宋体" w:cs="Times New Roman"/>
                      <w:b w:val="0"/>
                      <w:bCs w:val="0"/>
                      <w:sz w:val="18"/>
                      <w:szCs w:val="18"/>
                      <w:highlight w:val="none"/>
                      <w:lang w:val="en-US" w:eastAsia="zh-CN"/>
                    </w:rPr>
                  </w:pPr>
                </w:p>
              </w:tc>
              <w:tc>
                <w:tcPr>
                  <w:tcW w:w="575" w:type="dxa"/>
                  <w:vMerge w:val="continue"/>
                  <w:tcBorders>
                    <w:tl2br w:val="nil"/>
                    <w:tr2bl w:val="nil"/>
                  </w:tcBorders>
                  <w:vAlign w:val="center"/>
                </w:tcPr>
                <w:p w14:paraId="3BA8FBE6">
                  <w:pPr>
                    <w:adjustRightInd w:val="0"/>
                    <w:jc w:val="center"/>
                    <w:rPr>
                      <w:rFonts w:hint="eastAsia" w:cs="Times New Roman"/>
                      <w:b w:val="0"/>
                      <w:bCs w:val="0"/>
                      <w:sz w:val="18"/>
                      <w:szCs w:val="18"/>
                      <w:highlight w:val="none"/>
                      <w:lang w:val="en-US" w:eastAsia="zh-CN"/>
                    </w:rPr>
                  </w:pPr>
                </w:p>
              </w:tc>
              <w:tc>
                <w:tcPr>
                  <w:tcW w:w="695" w:type="dxa"/>
                  <w:tcBorders>
                    <w:tl2br w:val="nil"/>
                    <w:tr2bl w:val="nil"/>
                  </w:tcBorders>
                  <w:shd w:val="clear" w:color="auto" w:fill="auto"/>
                  <w:vAlign w:val="center"/>
                </w:tcPr>
                <w:p w14:paraId="62D3ACC7">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0.02363</w:t>
                  </w:r>
                </w:p>
              </w:tc>
              <w:tc>
                <w:tcPr>
                  <w:tcW w:w="779" w:type="dxa"/>
                  <w:tcBorders>
                    <w:tl2br w:val="nil"/>
                    <w:tr2bl w:val="nil"/>
                  </w:tcBorders>
                  <w:shd w:val="clear" w:color="auto" w:fill="auto"/>
                  <w:vAlign w:val="center"/>
                </w:tcPr>
                <w:p w14:paraId="21C0DB2E">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0.008</w:t>
                  </w:r>
                </w:p>
              </w:tc>
              <w:tc>
                <w:tcPr>
                  <w:tcW w:w="697" w:type="dxa"/>
                  <w:tcBorders>
                    <w:tl2br w:val="nil"/>
                    <w:tr2bl w:val="nil"/>
                  </w:tcBorders>
                  <w:shd w:val="clear" w:color="auto" w:fill="auto"/>
                  <w:vAlign w:val="center"/>
                </w:tcPr>
                <w:p w14:paraId="22C4BA4B">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0.000016</w:t>
                  </w:r>
                </w:p>
              </w:tc>
            </w:tr>
            <w:tr w14:paraId="7A1423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448" w:type="dxa"/>
                  <w:tcBorders>
                    <w:tl2br w:val="nil"/>
                    <w:tr2bl w:val="nil"/>
                  </w:tcBorders>
                  <w:vAlign w:val="center"/>
                </w:tcPr>
                <w:p w14:paraId="15405D5D">
                  <w:pPr>
                    <w:adjustRightInd w:val="0"/>
                    <w:jc w:val="center"/>
                    <w:rPr>
                      <w:rFonts w:hint="default" w:cs="Times New Roman"/>
                      <w:b w:val="0"/>
                      <w:bCs w:val="0"/>
                      <w:sz w:val="18"/>
                      <w:szCs w:val="18"/>
                      <w:highlight w:val="none"/>
                      <w:lang w:val="en-US" w:eastAsia="zh-CN"/>
                    </w:rPr>
                  </w:pPr>
                  <w:r>
                    <w:rPr>
                      <w:rFonts w:hint="eastAsia" w:cs="Times New Roman"/>
                      <w:b w:val="0"/>
                      <w:bCs w:val="0"/>
                      <w:sz w:val="18"/>
                      <w:szCs w:val="18"/>
                      <w:highlight w:val="none"/>
                      <w:lang w:val="en-US" w:eastAsia="zh-CN"/>
                    </w:rPr>
                    <w:t>DA004</w:t>
                  </w:r>
                </w:p>
              </w:tc>
              <w:tc>
                <w:tcPr>
                  <w:tcW w:w="542" w:type="dxa"/>
                  <w:tcBorders>
                    <w:tl2br w:val="nil"/>
                    <w:tr2bl w:val="nil"/>
                  </w:tcBorders>
                  <w:vAlign w:val="center"/>
                </w:tcPr>
                <w:p w14:paraId="1E94FA32">
                  <w:pPr>
                    <w:adjustRightInd w:val="0"/>
                    <w:jc w:val="center"/>
                    <w:rPr>
                      <w:rFonts w:hint="default" w:cs="Times New Roman"/>
                      <w:b w:val="0"/>
                      <w:bCs w:val="0"/>
                      <w:sz w:val="18"/>
                      <w:szCs w:val="18"/>
                      <w:highlight w:val="none"/>
                      <w:lang w:val="en-US" w:eastAsia="zh-CN"/>
                    </w:rPr>
                  </w:pPr>
                  <w:r>
                    <w:rPr>
                      <w:rFonts w:hint="eastAsia" w:cs="Times New Roman"/>
                      <w:b w:val="0"/>
                      <w:bCs w:val="0"/>
                      <w:sz w:val="18"/>
                      <w:szCs w:val="18"/>
                      <w:highlight w:val="none"/>
                      <w:lang w:val="en-US" w:eastAsia="zh-CN"/>
                    </w:rPr>
                    <w:t>5000</w:t>
                  </w:r>
                </w:p>
              </w:tc>
              <w:tc>
                <w:tcPr>
                  <w:tcW w:w="632" w:type="dxa"/>
                  <w:tcBorders>
                    <w:tl2br w:val="nil"/>
                    <w:tr2bl w:val="nil"/>
                  </w:tcBorders>
                  <w:shd w:val="clear" w:color="auto" w:fill="auto"/>
                  <w:vAlign w:val="center"/>
                </w:tcPr>
                <w:p w14:paraId="40613964">
                  <w:pPr>
                    <w:adjustRightInd w:val="0"/>
                    <w:snapToGrid w:val="0"/>
                    <w:spacing w:line="240" w:lineRule="auto"/>
                    <w:jc w:val="center"/>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sz w:val="21"/>
                      <w:szCs w:val="21"/>
                      <w:highlight w:val="none"/>
                      <w:vertAlign w:val="baseline"/>
                      <w:lang w:val="en-US" w:eastAsia="zh-CN"/>
                    </w:rPr>
                    <w:t>非甲烷总烃</w:t>
                  </w:r>
                </w:p>
              </w:tc>
              <w:tc>
                <w:tcPr>
                  <w:tcW w:w="697" w:type="dxa"/>
                  <w:tcBorders>
                    <w:tl2br w:val="nil"/>
                    <w:tr2bl w:val="nil"/>
                  </w:tcBorders>
                  <w:shd w:val="clear" w:color="auto" w:fill="auto"/>
                  <w:vAlign w:val="center"/>
                </w:tcPr>
                <w:p w14:paraId="2778597E">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eastAsia="宋体" w:cs="Times New Roman"/>
                      <w:sz w:val="21"/>
                      <w:szCs w:val="21"/>
                      <w:highlight w:val="none"/>
                      <w:lang w:val="en-US" w:eastAsia="zh-CN"/>
                    </w:rPr>
                    <w:t>2.3965</w:t>
                  </w:r>
                </w:p>
              </w:tc>
              <w:tc>
                <w:tcPr>
                  <w:tcW w:w="750" w:type="dxa"/>
                  <w:tcBorders>
                    <w:tl2br w:val="nil"/>
                    <w:tr2bl w:val="nil"/>
                  </w:tcBorders>
                  <w:shd w:val="clear" w:color="auto" w:fill="auto"/>
                  <w:vAlign w:val="center"/>
                </w:tcPr>
                <w:p w14:paraId="0EB7157E">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eastAsia="宋体" w:cs="Times New Roman"/>
                      <w:kern w:val="2"/>
                      <w:sz w:val="21"/>
                      <w:szCs w:val="21"/>
                      <w:highlight w:val="none"/>
                      <w:lang w:val="en-US" w:eastAsia="zh-CN" w:bidi="ar-SA"/>
                    </w:rPr>
                    <w:t>28.33</w:t>
                  </w:r>
                </w:p>
              </w:tc>
              <w:tc>
                <w:tcPr>
                  <w:tcW w:w="577" w:type="dxa"/>
                  <w:tcBorders>
                    <w:tl2br w:val="nil"/>
                    <w:tr2bl w:val="nil"/>
                  </w:tcBorders>
                  <w:vAlign w:val="center"/>
                </w:tcPr>
                <w:p w14:paraId="32132A2F">
                  <w:pPr>
                    <w:adjustRightInd w:val="0"/>
                    <w:jc w:val="center"/>
                    <w:rPr>
                      <w:rFonts w:hint="default" w:ascii="Times New Roman" w:hAnsi="Times New Roman" w:eastAsia="宋体" w:cs="Times New Roman"/>
                      <w:sz w:val="21"/>
                      <w:szCs w:val="21"/>
                      <w:highlight w:val="none"/>
                      <w:lang w:val="en-US" w:eastAsia="zh-CN"/>
                    </w:rPr>
                  </w:pPr>
                  <w:r>
                    <w:rPr>
                      <w:rFonts w:hint="eastAsia" w:eastAsia="宋体" w:cs="Times New Roman"/>
                      <w:sz w:val="21"/>
                      <w:szCs w:val="21"/>
                      <w:highlight w:val="none"/>
                      <w:lang w:val="en-US" w:eastAsia="zh-CN"/>
                    </w:rPr>
                    <w:t>0.14165</w:t>
                  </w:r>
                </w:p>
              </w:tc>
              <w:tc>
                <w:tcPr>
                  <w:tcW w:w="647" w:type="dxa"/>
                  <w:tcBorders>
                    <w:tl2br w:val="nil"/>
                    <w:tr2bl w:val="nil"/>
                  </w:tcBorders>
                  <w:vAlign w:val="center"/>
                </w:tcPr>
                <w:p w14:paraId="7A85A783">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干式三级过滤器</w:t>
                  </w:r>
                  <w:r>
                    <w:rPr>
                      <w:rFonts w:hint="default" w:ascii="Times New Roman" w:hAnsi="Times New Roman" w:eastAsia="宋体" w:cs="Times New Roman"/>
                      <w:sz w:val="21"/>
                      <w:szCs w:val="21"/>
                      <w:highlight w:val="none"/>
                      <w:lang w:val="en-US" w:eastAsia="zh-CN"/>
                    </w:rPr>
                    <w:t xml:space="preserve"> </w:t>
                  </w:r>
                </w:p>
              </w:tc>
              <w:tc>
                <w:tcPr>
                  <w:tcW w:w="515" w:type="dxa"/>
                  <w:tcBorders>
                    <w:tl2br w:val="nil"/>
                    <w:tr2bl w:val="nil"/>
                  </w:tcBorders>
                  <w:vAlign w:val="center"/>
                </w:tcPr>
                <w:p w14:paraId="6570EC94">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90</w:t>
                  </w:r>
                </w:p>
              </w:tc>
              <w:tc>
                <w:tcPr>
                  <w:tcW w:w="575" w:type="dxa"/>
                  <w:tcBorders>
                    <w:tl2br w:val="nil"/>
                    <w:tr2bl w:val="nil"/>
                  </w:tcBorders>
                  <w:vAlign w:val="center"/>
                </w:tcPr>
                <w:p w14:paraId="4BFE87C2">
                  <w:pPr>
                    <w:adjustRightInd w:val="0"/>
                    <w:jc w:val="center"/>
                    <w:rPr>
                      <w:rFonts w:hint="default" w:cs="Times New Roman"/>
                      <w:b w:val="0"/>
                      <w:bCs w:val="0"/>
                      <w:sz w:val="18"/>
                      <w:szCs w:val="18"/>
                      <w:highlight w:val="none"/>
                      <w:lang w:val="en-US" w:eastAsia="zh-CN"/>
                    </w:rPr>
                  </w:pPr>
                  <w:r>
                    <w:rPr>
                      <w:rFonts w:hint="eastAsia" w:cs="Times New Roman"/>
                      <w:b w:val="0"/>
                      <w:bCs w:val="0"/>
                      <w:sz w:val="18"/>
                      <w:szCs w:val="18"/>
                      <w:highlight w:val="none"/>
                      <w:lang w:val="en-US" w:eastAsia="zh-CN"/>
                    </w:rPr>
                    <w:t>15</w:t>
                  </w:r>
                </w:p>
              </w:tc>
              <w:tc>
                <w:tcPr>
                  <w:tcW w:w="695" w:type="dxa"/>
                  <w:tcBorders>
                    <w:tl2br w:val="nil"/>
                    <w:tr2bl w:val="nil"/>
                  </w:tcBorders>
                  <w:shd w:val="clear" w:color="auto" w:fill="auto"/>
                  <w:vAlign w:val="center"/>
                </w:tcPr>
                <w:p w14:paraId="051FDF83">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1.8333</w:t>
                  </w:r>
                </w:p>
              </w:tc>
              <w:tc>
                <w:tcPr>
                  <w:tcW w:w="779" w:type="dxa"/>
                  <w:tcBorders>
                    <w:tl2br w:val="nil"/>
                    <w:tr2bl w:val="nil"/>
                  </w:tcBorders>
                  <w:shd w:val="clear" w:color="auto" w:fill="auto"/>
                  <w:vAlign w:val="center"/>
                </w:tcPr>
                <w:p w14:paraId="19AD2818">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21.67</w:t>
                  </w:r>
                </w:p>
              </w:tc>
              <w:tc>
                <w:tcPr>
                  <w:tcW w:w="697" w:type="dxa"/>
                  <w:tcBorders>
                    <w:tl2br w:val="nil"/>
                    <w:tr2bl w:val="nil"/>
                  </w:tcBorders>
                  <w:shd w:val="clear" w:color="auto" w:fill="auto"/>
                  <w:vAlign w:val="center"/>
                </w:tcPr>
                <w:p w14:paraId="2BFCA77D">
                  <w:pPr>
                    <w:adjustRightInd w:val="0"/>
                    <w:jc w:val="center"/>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0.10836</w:t>
                  </w:r>
                </w:p>
              </w:tc>
            </w:tr>
            <w:tr w14:paraId="2377EC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7554" w:type="dxa"/>
                  <w:gridSpan w:val="12"/>
                  <w:tcBorders>
                    <w:tl2br w:val="nil"/>
                    <w:tr2bl w:val="nil"/>
                  </w:tcBorders>
                  <w:vAlign w:val="center"/>
                </w:tcPr>
                <w:p w14:paraId="2F8AA4B6">
                  <w:pPr>
                    <w:adjustRightInd w:val="0"/>
                    <w:jc w:val="both"/>
                    <w:rPr>
                      <w:rFonts w:hint="default" w:ascii="Times New Roman" w:hAnsi="Times New Roman" w:eastAsia="宋体" w:cs="Times New Roman"/>
                      <w:b w:val="0"/>
                      <w:bCs w:val="0"/>
                      <w:sz w:val="18"/>
                      <w:szCs w:val="18"/>
                      <w:highlight w:val="none"/>
                      <w:lang w:val="en-US" w:eastAsia="zh-CN"/>
                    </w:rPr>
                  </w:pPr>
                  <w:r>
                    <w:rPr>
                      <w:rFonts w:hint="eastAsia" w:cs="Times New Roman"/>
                      <w:b w:val="0"/>
                      <w:bCs w:val="0"/>
                      <w:sz w:val="18"/>
                      <w:szCs w:val="18"/>
                      <w:highlight w:val="none"/>
                      <w:lang w:val="en-US" w:eastAsia="zh-CN"/>
                    </w:rPr>
                    <w:t>注：</w:t>
                  </w:r>
                  <w:r>
                    <w:rPr>
                      <w:rFonts w:hint="eastAsia" w:eastAsia="宋体" w:cs="Times New Roman"/>
                      <w:b w:val="0"/>
                      <w:bCs w:val="0"/>
                      <w:sz w:val="18"/>
                      <w:szCs w:val="18"/>
                      <w:highlight w:val="none"/>
                      <w:lang w:val="en-US" w:eastAsia="zh-CN"/>
                    </w:rPr>
                    <w:t>DA005-DA008风量2000</w:t>
                  </w:r>
                  <w:r>
                    <w:rPr>
                      <w:rFonts w:hint="default" w:eastAsia="宋体" w:cs="Times New Roman"/>
                      <w:b w:val="0"/>
                      <w:bCs w:val="0"/>
                      <w:sz w:val="18"/>
                      <w:szCs w:val="18"/>
                      <w:highlight w:val="none"/>
                      <w:lang w:val="en-US" w:eastAsia="zh-CN"/>
                    </w:rPr>
                    <w:t>m</w:t>
                  </w:r>
                  <w:r>
                    <w:rPr>
                      <w:rFonts w:hint="default" w:eastAsia="宋体" w:cs="Times New Roman"/>
                      <w:b w:val="0"/>
                      <w:bCs w:val="0"/>
                      <w:sz w:val="18"/>
                      <w:szCs w:val="18"/>
                      <w:highlight w:val="none"/>
                      <w:vertAlign w:val="superscript"/>
                      <w:lang w:val="en-US" w:eastAsia="zh-CN"/>
                    </w:rPr>
                    <w:t>3</w:t>
                  </w:r>
                  <w:r>
                    <w:rPr>
                      <w:rFonts w:hint="default" w:eastAsia="宋体" w:cs="Times New Roman"/>
                      <w:b w:val="0"/>
                      <w:bCs w:val="0"/>
                      <w:sz w:val="18"/>
                      <w:szCs w:val="18"/>
                      <w:highlight w:val="none"/>
                      <w:lang w:val="en-US" w:eastAsia="zh-CN"/>
                    </w:rPr>
                    <w:t>/h</w:t>
                  </w:r>
                  <w:r>
                    <w:rPr>
                      <w:rFonts w:hint="eastAsia" w:eastAsia="宋体" w:cs="Times New Roman"/>
                      <w:b w:val="0"/>
                      <w:bCs w:val="0"/>
                      <w:sz w:val="18"/>
                      <w:szCs w:val="18"/>
                      <w:highlight w:val="none"/>
                      <w:lang w:val="en-US" w:eastAsia="zh-CN"/>
                    </w:rPr>
                    <w:t>。</w:t>
                  </w:r>
                </w:p>
              </w:tc>
            </w:tr>
          </w:tbl>
          <w:p w14:paraId="5BCD1A1D">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（3）废气排放口情况</w:t>
            </w:r>
          </w:p>
          <w:p w14:paraId="76326AF1">
            <w:pPr>
              <w:numPr>
                <w:ilvl w:val="0"/>
                <w:numId w:val="48"/>
              </w:numPr>
              <w:adjustRightInd w:val="0"/>
              <w:snapToGrid w:val="0"/>
              <w:spacing w:line="360" w:lineRule="auto"/>
              <w:ind w:left="425" w:leftChars="0" w:hanging="425" w:firstLineChars="0"/>
              <w:jc w:val="center"/>
              <w:rPr>
                <w:rFonts w:hint="default" w:ascii="Times New Roman" w:hAnsi="Times New Roman" w:eastAsia="宋体" w:cs="Times New Roman"/>
              </w:rPr>
            </w:pPr>
            <w:r>
              <w:rPr>
                <w:rFonts w:hint="default" w:ascii="Times New Roman" w:hAnsi="Times New Roman" w:eastAsia="宋体" w:cs="Times New Roman"/>
                <w:b/>
                <w:bCs/>
                <w:color w:val="000000"/>
                <w:kern w:val="0"/>
                <w:sz w:val="24"/>
                <w:szCs w:val="24"/>
                <w:lang w:val="en-US" w:eastAsia="zh-CN" w:bidi="ar"/>
              </w:rPr>
              <w:t>排气筒基本情况</w:t>
            </w:r>
          </w:p>
          <w:tbl>
            <w:tblPr>
              <w:tblStyle w:val="18"/>
              <w:tblW w:w="7568"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46"/>
              <w:gridCol w:w="946"/>
              <w:gridCol w:w="820"/>
              <w:gridCol w:w="1691"/>
              <w:gridCol w:w="791"/>
              <w:gridCol w:w="791"/>
              <w:gridCol w:w="791"/>
              <w:gridCol w:w="792"/>
            </w:tblGrid>
            <w:tr w14:paraId="6E6F025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46" w:type="dxa"/>
                  <w:tcBorders>
                    <w:tl2br w:val="nil"/>
                    <w:tr2bl w:val="nil"/>
                  </w:tcBorders>
                  <w:vAlign w:val="center"/>
                </w:tcPr>
                <w:p w14:paraId="148B9368">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编号</w:t>
                  </w:r>
                </w:p>
              </w:tc>
              <w:tc>
                <w:tcPr>
                  <w:tcW w:w="946" w:type="dxa"/>
                  <w:tcBorders>
                    <w:tl2br w:val="nil"/>
                    <w:tr2bl w:val="nil"/>
                  </w:tcBorders>
                  <w:vAlign w:val="center"/>
                </w:tcPr>
                <w:p w14:paraId="4216C38F">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名称</w:t>
                  </w:r>
                </w:p>
              </w:tc>
              <w:tc>
                <w:tcPr>
                  <w:tcW w:w="820" w:type="dxa"/>
                  <w:tcBorders>
                    <w:tl2br w:val="nil"/>
                    <w:tr2bl w:val="nil"/>
                  </w:tcBorders>
                  <w:vAlign w:val="center"/>
                </w:tcPr>
                <w:p w14:paraId="42AB69F9">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类型</w:t>
                  </w:r>
                </w:p>
              </w:tc>
              <w:tc>
                <w:tcPr>
                  <w:tcW w:w="1691" w:type="dxa"/>
                  <w:tcBorders>
                    <w:tl2br w:val="nil"/>
                    <w:tr2bl w:val="nil"/>
                  </w:tcBorders>
                  <w:vAlign w:val="center"/>
                </w:tcPr>
                <w:p w14:paraId="3C9D17E2">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坐标</w:t>
                  </w:r>
                </w:p>
              </w:tc>
              <w:tc>
                <w:tcPr>
                  <w:tcW w:w="791" w:type="dxa"/>
                  <w:tcBorders>
                    <w:tl2br w:val="nil"/>
                    <w:tr2bl w:val="nil"/>
                  </w:tcBorders>
                  <w:vAlign w:val="center"/>
                </w:tcPr>
                <w:p w14:paraId="53A914FA">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高度</w:t>
                  </w:r>
                </w:p>
              </w:tc>
              <w:tc>
                <w:tcPr>
                  <w:tcW w:w="791" w:type="dxa"/>
                  <w:tcBorders>
                    <w:tl2br w:val="nil"/>
                    <w:tr2bl w:val="nil"/>
                  </w:tcBorders>
                  <w:vAlign w:val="center"/>
                </w:tcPr>
                <w:p w14:paraId="295E24CF">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烟道</w:t>
                  </w:r>
                </w:p>
                <w:p w14:paraId="6BD9940C">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尺寸</w:t>
                  </w:r>
                </w:p>
              </w:tc>
              <w:tc>
                <w:tcPr>
                  <w:tcW w:w="791" w:type="dxa"/>
                  <w:tcBorders>
                    <w:tl2br w:val="nil"/>
                    <w:tr2bl w:val="nil"/>
                  </w:tcBorders>
                  <w:vAlign w:val="center"/>
                </w:tcPr>
                <w:p w14:paraId="6C35EB39">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温度</w:t>
                  </w:r>
                </w:p>
              </w:tc>
              <w:tc>
                <w:tcPr>
                  <w:tcW w:w="792" w:type="dxa"/>
                  <w:tcBorders>
                    <w:tl2br w:val="nil"/>
                    <w:tr2bl w:val="nil"/>
                  </w:tcBorders>
                  <w:vAlign w:val="center"/>
                </w:tcPr>
                <w:p w14:paraId="769F4560">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风量m</w:t>
                  </w:r>
                  <w:r>
                    <w:rPr>
                      <w:rFonts w:hint="default" w:ascii="Times New Roman" w:hAnsi="Times New Roman" w:eastAsia="宋体" w:cs="Times New Roman"/>
                      <w:b/>
                      <w:bCs/>
                      <w:sz w:val="22"/>
                      <w:szCs w:val="22"/>
                      <w:highlight w:val="none"/>
                      <w:vertAlign w:val="superscript"/>
                      <w:lang w:val="en-US" w:eastAsia="zh-CN"/>
                    </w:rPr>
                    <w:t>3</w:t>
                  </w:r>
                  <w:r>
                    <w:rPr>
                      <w:rFonts w:hint="default" w:ascii="Times New Roman" w:hAnsi="Times New Roman" w:eastAsia="宋体" w:cs="Times New Roman"/>
                      <w:b/>
                      <w:bCs/>
                      <w:sz w:val="22"/>
                      <w:szCs w:val="22"/>
                      <w:highlight w:val="none"/>
                      <w:lang w:val="en-US" w:eastAsia="zh-CN"/>
                    </w:rPr>
                    <w:t>/h</w:t>
                  </w:r>
                </w:p>
              </w:tc>
            </w:tr>
            <w:tr w14:paraId="3AB50D5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46" w:type="dxa"/>
                  <w:tcBorders>
                    <w:tl2br w:val="nil"/>
                    <w:tr2bl w:val="nil"/>
                  </w:tcBorders>
                  <w:vAlign w:val="center"/>
                </w:tcPr>
                <w:p w14:paraId="1EA5E284">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DA00</w:t>
                  </w:r>
                  <w:r>
                    <w:rPr>
                      <w:rFonts w:hint="eastAsia" w:cs="Times New Roman"/>
                      <w:sz w:val="22"/>
                      <w:szCs w:val="22"/>
                      <w:highlight w:val="none"/>
                      <w:lang w:val="en-US" w:eastAsia="zh-CN"/>
                    </w:rPr>
                    <w:t>1</w:t>
                  </w:r>
                </w:p>
              </w:tc>
              <w:tc>
                <w:tcPr>
                  <w:tcW w:w="946" w:type="dxa"/>
                  <w:tcBorders>
                    <w:tl2br w:val="nil"/>
                    <w:tr2bl w:val="nil"/>
                  </w:tcBorders>
                  <w:vAlign w:val="center"/>
                </w:tcPr>
                <w:p w14:paraId="3B729D60">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实验废气排放口</w:t>
                  </w:r>
                </w:p>
              </w:tc>
              <w:tc>
                <w:tcPr>
                  <w:tcW w:w="820" w:type="dxa"/>
                  <w:tcBorders>
                    <w:tl2br w:val="nil"/>
                    <w:tr2bl w:val="nil"/>
                  </w:tcBorders>
                  <w:vAlign w:val="center"/>
                </w:tcPr>
                <w:p w14:paraId="61EFF3C6">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一般排放口</w:t>
                  </w:r>
                </w:p>
              </w:tc>
              <w:tc>
                <w:tcPr>
                  <w:tcW w:w="1691" w:type="dxa"/>
                  <w:tcBorders>
                    <w:tl2br w:val="nil"/>
                    <w:tr2bl w:val="nil"/>
                  </w:tcBorders>
                  <w:vAlign w:val="center"/>
                </w:tcPr>
                <w:p w14:paraId="6E992DB4">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E：116.53478°</w:t>
                  </w:r>
                </w:p>
                <w:p w14:paraId="50FF015C">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N： 39.77387°</w:t>
                  </w:r>
                </w:p>
              </w:tc>
              <w:tc>
                <w:tcPr>
                  <w:tcW w:w="791" w:type="dxa"/>
                  <w:tcBorders>
                    <w:tl2br w:val="nil"/>
                    <w:tr2bl w:val="nil"/>
                  </w:tcBorders>
                  <w:vAlign w:val="center"/>
                </w:tcPr>
                <w:p w14:paraId="549A01B6">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21.5m</w:t>
                  </w:r>
                </w:p>
              </w:tc>
              <w:tc>
                <w:tcPr>
                  <w:tcW w:w="791" w:type="dxa"/>
                  <w:tcBorders>
                    <w:tl2br w:val="nil"/>
                    <w:tr2bl w:val="nil"/>
                  </w:tcBorders>
                  <w:vAlign w:val="center"/>
                </w:tcPr>
                <w:p w14:paraId="5EDBC903">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0.</w:t>
                  </w:r>
                  <w:r>
                    <w:rPr>
                      <w:rFonts w:hint="eastAsia" w:cs="Times New Roman"/>
                      <w:sz w:val="22"/>
                      <w:szCs w:val="22"/>
                      <w:highlight w:val="none"/>
                      <w:lang w:val="en-US" w:eastAsia="zh-CN"/>
                    </w:rPr>
                    <w:t>2</w:t>
                  </w:r>
                  <w:r>
                    <w:rPr>
                      <w:rFonts w:hint="default" w:ascii="Times New Roman" w:hAnsi="Times New Roman" w:eastAsia="宋体" w:cs="Times New Roman"/>
                      <w:sz w:val="22"/>
                      <w:szCs w:val="22"/>
                      <w:highlight w:val="none"/>
                      <w:lang w:val="en-US" w:eastAsia="zh-CN"/>
                    </w:rPr>
                    <w:t>m</w:t>
                  </w:r>
                </w:p>
              </w:tc>
              <w:tc>
                <w:tcPr>
                  <w:tcW w:w="791" w:type="dxa"/>
                  <w:tcBorders>
                    <w:tl2br w:val="nil"/>
                    <w:tr2bl w:val="nil"/>
                  </w:tcBorders>
                  <w:vAlign w:val="center"/>
                </w:tcPr>
                <w:p w14:paraId="13317DC3">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25℃</w:t>
                  </w:r>
                </w:p>
              </w:tc>
              <w:tc>
                <w:tcPr>
                  <w:tcW w:w="792" w:type="dxa"/>
                  <w:tcBorders>
                    <w:tl2br w:val="nil"/>
                    <w:tr2bl w:val="nil"/>
                  </w:tcBorders>
                  <w:vAlign w:val="center"/>
                </w:tcPr>
                <w:p w14:paraId="44057D84">
                  <w:pPr>
                    <w:adjustRightInd w:val="0"/>
                    <w:jc w:val="center"/>
                    <w:rPr>
                      <w:rFonts w:hint="default" w:ascii="Times New Roman" w:hAnsi="Times New Roman" w:eastAsia="宋体" w:cs="Times New Roman"/>
                      <w:sz w:val="22"/>
                      <w:szCs w:val="22"/>
                      <w:highlight w:val="none"/>
                      <w:lang w:val="en-US" w:eastAsia="zh-CN"/>
                    </w:rPr>
                  </w:pPr>
                  <w:r>
                    <w:rPr>
                      <w:rFonts w:hint="eastAsia" w:cs="Times New Roman"/>
                      <w:sz w:val="22"/>
                      <w:szCs w:val="22"/>
                      <w:highlight w:val="none"/>
                      <w:lang w:val="en-US" w:eastAsia="zh-CN"/>
                    </w:rPr>
                    <w:t>2</w:t>
                  </w:r>
                  <w:r>
                    <w:rPr>
                      <w:rFonts w:hint="default" w:ascii="Times New Roman" w:hAnsi="Times New Roman" w:eastAsia="宋体" w:cs="Times New Roman"/>
                      <w:sz w:val="22"/>
                      <w:szCs w:val="22"/>
                      <w:highlight w:val="none"/>
                      <w:lang w:val="en-US" w:eastAsia="zh-CN"/>
                    </w:rPr>
                    <w:t>000</w:t>
                  </w:r>
                </w:p>
              </w:tc>
            </w:tr>
            <w:tr w14:paraId="025664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46" w:type="dxa"/>
                  <w:tcBorders>
                    <w:tl2br w:val="nil"/>
                    <w:tr2bl w:val="nil"/>
                  </w:tcBorders>
                  <w:shd w:val="clear" w:color="auto" w:fill="auto"/>
                  <w:vAlign w:val="center"/>
                </w:tcPr>
                <w:p w14:paraId="7C3646EE">
                  <w:pPr>
                    <w:adjustRightInd w:val="0"/>
                    <w:jc w:val="center"/>
                    <w:rPr>
                      <w:rFonts w:hint="default" w:ascii="Times New Roman" w:hAnsi="Times New Roman" w:eastAsia="宋体" w:cs="Times New Roman"/>
                      <w:kern w:val="2"/>
                      <w:sz w:val="22"/>
                      <w:szCs w:val="22"/>
                      <w:highlight w:val="none"/>
                      <w:lang w:val="en-US" w:eastAsia="zh-CN" w:bidi="ar-SA"/>
                    </w:rPr>
                  </w:pPr>
                  <w:r>
                    <w:rPr>
                      <w:rFonts w:hint="default" w:ascii="Times New Roman" w:hAnsi="Times New Roman" w:eastAsia="宋体" w:cs="Times New Roman"/>
                      <w:sz w:val="22"/>
                      <w:szCs w:val="22"/>
                      <w:highlight w:val="none"/>
                      <w:lang w:val="en-US" w:eastAsia="zh-CN"/>
                    </w:rPr>
                    <w:t>DA00</w:t>
                  </w:r>
                  <w:r>
                    <w:rPr>
                      <w:rFonts w:hint="eastAsia" w:cs="Times New Roman"/>
                      <w:sz w:val="22"/>
                      <w:szCs w:val="22"/>
                      <w:highlight w:val="none"/>
                      <w:lang w:val="en-US" w:eastAsia="zh-CN"/>
                    </w:rPr>
                    <w:t>2</w:t>
                  </w:r>
                </w:p>
              </w:tc>
              <w:tc>
                <w:tcPr>
                  <w:tcW w:w="946" w:type="dxa"/>
                  <w:tcBorders>
                    <w:tl2br w:val="nil"/>
                    <w:tr2bl w:val="nil"/>
                  </w:tcBorders>
                  <w:shd w:val="clear" w:color="auto" w:fill="auto"/>
                  <w:vAlign w:val="center"/>
                </w:tcPr>
                <w:p w14:paraId="304129CC">
                  <w:pPr>
                    <w:adjustRightInd w:val="0"/>
                    <w:jc w:val="center"/>
                    <w:rPr>
                      <w:rFonts w:hint="default" w:ascii="Times New Roman" w:hAnsi="Times New Roman" w:eastAsia="宋体" w:cs="Times New Roman"/>
                      <w:kern w:val="2"/>
                      <w:sz w:val="22"/>
                      <w:szCs w:val="22"/>
                      <w:highlight w:val="none"/>
                      <w:lang w:val="en-US" w:eastAsia="zh-CN" w:bidi="ar-SA"/>
                    </w:rPr>
                  </w:pPr>
                  <w:r>
                    <w:rPr>
                      <w:rFonts w:hint="default" w:ascii="Times New Roman" w:hAnsi="Times New Roman" w:eastAsia="宋体" w:cs="Times New Roman"/>
                      <w:sz w:val="22"/>
                      <w:szCs w:val="22"/>
                      <w:highlight w:val="none"/>
                      <w:lang w:val="en-US" w:eastAsia="zh-CN"/>
                    </w:rPr>
                    <w:t>实验废气排放口</w:t>
                  </w:r>
                </w:p>
              </w:tc>
              <w:tc>
                <w:tcPr>
                  <w:tcW w:w="820" w:type="dxa"/>
                  <w:tcBorders>
                    <w:tl2br w:val="nil"/>
                    <w:tr2bl w:val="nil"/>
                  </w:tcBorders>
                  <w:shd w:val="clear" w:color="auto" w:fill="auto"/>
                  <w:vAlign w:val="center"/>
                </w:tcPr>
                <w:p w14:paraId="1D589DE0">
                  <w:pPr>
                    <w:adjustRightInd w:val="0"/>
                    <w:jc w:val="center"/>
                    <w:rPr>
                      <w:rFonts w:hint="default" w:ascii="Times New Roman" w:hAnsi="Times New Roman" w:eastAsia="宋体" w:cs="Times New Roman"/>
                      <w:kern w:val="2"/>
                      <w:sz w:val="22"/>
                      <w:szCs w:val="22"/>
                      <w:highlight w:val="none"/>
                      <w:lang w:val="en-US" w:eastAsia="zh-CN" w:bidi="ar-SA"/>
                    </w:rPr>
                  </w:pPr>
                  <w:r>
                    <w:rPr>
                      <w:rFonts w:hint="default" w:ascii="Times New Roman" w:hAnsi="Times New Roman" w:eastAsia="宋体" w:cs="Times New Roman"/>
                      <w:sz w:val="22"/>
                      <w:szCs w:val="22"/>
                      <w:highlight w:val="none"/>
                      <w:lang w:val="en-US" w:eastAsia="zh-CN"/>
                    </w:rPr>
                    <w:t>一般排放口</w:t>
                  </w:r>
                </w:p>
              </w:tc>
              <w:tc>
                <w:tcPr>
                  <w:tcW w:w="1691" w:type="dxa"/>
                  <w:tcBorders>
                    <w:tl2br w:val="nil"/>
                    <w:tr2bl w:val="nil"/>
                  </w:tcBorders>
                  <w:shd w:val="clear" w:color="auto" w:fill="auto"/>
                  <w:vAlign w:val="center"/>
                </w:tcPr>
                <w:p w14:paraId="329F6818">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E：116.53475°</w:t>
                  </w:r>
                </w:p>
                <w:p w14:paraId="1A44A640">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N： 39.77387°</w:t>
                  </w:r>
                </w:p>
              </w:tc>
              <w:tc>
                <w:tcPr>
                  <w:tcW w:w="791" w:type="dxa"/>
                  <w:tcBorders>
                    <w:tl2br w:val="nil"/>
                    <w:tr2bl w:val="nil"/>
                  </w:tcBorders>
                  <w:shd w:val="clear" w:color="auto" w:fill="auto"/>
                  <w:vAlign w:val="center"/>
                </w:tcPr>
                <w:p w14:paraId="127AB293">
                  <w:pPr>
                    <w:adjustRightInd w:val="0"/>
                    <w:jc w:val="center"/>
                    <w:rPr>
                      <w:rFonts w:hint="default" w:ascii="Times New Roman" w:hAnsi="Times New Roman" w:eastAsia="宋体" w:cs="Times New Roman"/>
                      <w:kern w:val="2"/>
                      <w:sz w:val="22"/>
                      <w:szCs w:val="22"/>
                      <w:highlight w:val="none"/>
                      <w:lang w:val="en-US" w:eastAsia="zh-CN" w:bidi="ar-SA"/>
                    </w:rPr>
                  </w:pPr>
                  <w:r>
                    <w:rPr>
                      <w:rFonts w:hint="default" w:ascii="Times New Roman" w:hAnsi="Times New Roman" w:eastAsia="宋体" w:cs="Times New Roman"/>
                      <w:sz w:val="22"/>
                      <w:szCs w:val="22"/>
                      <w:highlight w:val="none"/>
                      <w:lang w:val="en-US" w:eastAsia="zh-CN"/>
                    </w:rPr>
                    <w:t>21.5m</w:t>
                  </w:r>
                </w:p>
              </w:tc>
              <w:tc>
                <w:tcPr>
                  <w:tcW w:w="791" w:type="dxa"/>
                  <w:tcBorders>
                    <w:tl2br w:val="nil"/>
                    <w:tr2bl w:val="nil"/>
                  </w:tcBorders>
                  <w:shd w:val="clear" w:color="auto" w:fill="auto"/>
                  <w:vAlign w:val="center"/>
                </w:tcPr>
                <w:p w14:paraId="76FCA67F">
                  <w:pPr>
                    <w:adjustRightInd w:val="0"/>
                    <w:jc w:val="center"/>
                    <w:rPr>
                      <w:rFonts w:hint="default" w:ascii="Times New Roman" w:hAnsi="Times New Roman" w:eastAsia="宋体" w:cs="Times New Roman"/>
                      <w:kern w:val="2"/>
                      <w:sz w:val="22"/>
                      <w:szCs w:val="22"/>
                      <w:highlight w:val="none"/>
                      <w:lang w:val="en-US" w:eastAsia="zh-CN" w:bidi="ar-SA"/>
                    </w:rPr>
                  </w:pPr>
                  <w:r>
                    <w:rPr>
                      <w:rFonts w:hint="default" w:ascii="Times New Roman" w:hAnsi="Times New Roman" w:eastAsia="宋体" w:cs="Times New Roman"/>
                      <w:sz w:val="22"/>
                      <w:szCs w:val="22"/>
                      <w:highlight w:val="none"/>
                      <w:lang w:val="en-US" w:eastAsia="zh-CN"/>
                    </w:rPr>
                    <w:t>0.</w:t>
                  </w:r>
                  <w:r>
                    <w:rPr>
                      <w:rFonts w:hint="eastAsia" w:cs="Times New Roman"/>
                      <w:sz w:val="22"/>
                      <w:szCs w:val="22"/>
                      <w:highlight w:val="none"/>
                      <w:lang w:val="en-US" w:eastAsia="zh-CN"/>
                    </w:rPr>
                    <w:t>4</w:t>
                  </w:r>
                  <w:r>
                    <w:rPr>
                      <w:rFonts w:hint="default" w:ascii="Times New Roman" w:hAnsi="Times New Roman" w:eastAsia="宋体" w:cs="Times New Roman"/>
                      <w:sz w:val="22"/>
                      <w:szCs w:val="22"/>
                      <w:highlight w:val="none"/>
                      <w:lang w:val="en-US" w:eastAsia="zh-CN"/>
                    </w:rPr>
                    <w:t>m</w:t>
                  </w:r>
                </w:p>
              </w:tc>
              <w:tc>
                <w:tcPr>
                  <w:tcW w:w="791" w:type="dxa"/>
                  <w:tcBorders>
                    <w:tl2br w:val="nil"/>
                    <w:tr2bl w:val="nil"/>
                  </w:tcBorders>
                  <w:shd w:val="clear" w:color="auto" w:fill="auto"/>
                  <w:vAlign w:val="center"/>
                </w:tcPr>
                <w:p w14:paraId="73125F8E">
                  <w:pPr>
                    <w:adjustRightInd w:val="0"/>
                    <w:jc w:val="center"/>
                    <w:rPr>
                      <w:rFonts w:hint="default" w:ascii="Times New Roman" w:hAnsi="Times New Roman" w:eastAsia="宋体" w:cs="Times New Roman"/>
                      <w:kern w:val="2"/>
                      <w:sz w:val="22"/>
                      <w:szCs w:val="22"/>
                      <w:highlight w:val="none"/>
                      <w:lang w:val="en-US" w:eastAsia="zh-CN" w:bidi="ar-SA"/>
                    </w:rPr>
                  </w:pPr>
                  <w:r>
                    <w:rPr>
                      <w:rFonts w:hint="default" w:ascii="Times New Roman" w:hAnsi="Times New Roman" w:eastAsia="宋体" w:cs="Times New Roman"/>
                      <w:sz w:val="22"/>
                      <w:szCs w:val="22"/>
                      <w:highlight w:val="none"/>
                      <w:lang w:val="en-US" w:eastAsia="zh-CN"/>
                    </w:rPr>
                    <w:t>25℃</w:t>
                  </w:r>
                </w:p>
              </w:tc>
              <w:tc>
                <w:tcPr>
                  <w:tcW w:w="792" w:type="dxa"/>
                  <w:tcBorders>
                    <w:tl2br w:val="nil"/>
                    <w:tr2bl w:val="nil"/>
                  </w:tcBorders>
                  <w:shd w:val="clear" w:color="auto" w:fill="auto"/>
                  <w:vAlign w:val="center"/>
                </w:tcPr>
                <w:p w14:paraId="5B7DD88C">
                  <w:pPr>
                    <w:adjustRightInd w:val="0"/>
                    <w:jc w:val="center"/>
                    <w:rPr>
                      <w:rFonts w:hint="default" w:ascii="Times New Roman" w:hAnsi="Times New Roman" w:eastAsia="宋体" w:cs="Times New Roman"/>
                      <w:sz w:val="22"/>
                      <w:szCs w:val="22"/>
                      <w:highlight w:val="none"/>
                      <w:lang w:val="en-US" w:eastAsia="zh-CN"/>
                    </w:rPr>
                  </w:pPr>
                  <w:r>
                    <w:rPr>
                      <w:rFonts w:hint="eastAsia" w:cs="Times New Roman"/>
                      <w:sz w:val="22"/>
                      <w:szCs w:val="22"/>
                      <w:highlight w:val="none"/>
                      <w:lang w:val="en-US" w:eastAsia="zh-CN"/>
                    </w:rPr>
                    <w:t>5</w:t>
                  </w:r>
                  <w:r>
                    <w:rPr>
                      <w:rFonts w:hint="default" w:ascii="Times New Roman" w:hAnsi="Times New Roman" w:eastAsia="宋体" w:cs="Times New Roman"/>
                      <w:sz w:val="22"/>
                      <w:szCs w:val="22"/>
                      <w:highlight w:val="none"/>
                      <w:lang w:val="en-US" w:eastAsia="zh-CN"/>
                    </w:rPr>
                    <w:t>000</w:t>
                  </w:r>
                </w:p>
              </w:tc>
            </w:tr>
            <w:tr w14:paraId="2A6C0C7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46" w:type="dxa"/>
                  <w:tcBorders>
                    <w:tl2br w:val="nil"/>
                    <w:tr2bl w:val="nil"/>
                  </w:tcBorders>
                  <w:shd w:val="clear" w:color="auto" w:fill="auto"/>
                  <w:vAlign w:val="center"/>
                </w:tcPr>
                <w:p w14:paraId="6361EFE3">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DA00</w:t>
                  </w:r>
                  <w:r>
                    <w:rPr>
                      <w:rFonts w:hint="eastAsia" w:eastAsia="宋体" w:cs="Times New Roman"/>
                      <w:sz w:val="22"/>
                      <w:szCs w:val="22"/>
                      <w:highlight w:val="none"/>
                      <w:lang w:val="en-US" w:eastAsia="zh-CN"/>
                    </w:rPr>
                    <w:t>3</w:t>
                  </w:r>
                </w:p>
              </w:tc>
              <w:tc>
                <w:tcPr>
                  <w:tcW w:w="946" w:type="dxa"/>
                  <w:tcBorders>
                    <w:tl2br w:val="nil"/>
                    <w:tr2bl w:val="nil"/>
                  </w:tcBorders>
                  <w:shd w:val="clear" w:color="auto" w:fill="auto"/>
                  <w:vAlign w:val="center"/>
                </w:tcPr>
                <w:p w14:paraId="6C64235B">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实验废气排放口</w:t>
                  </w:r>
                </w:p>
              </w:tc>
              <w:tc>
                <w:tcPr>
                  <w:tcW w:w="820" w:type="dxa"/>
                  <w:tcBorders>
                    <w:tl2br w:val="nil"/>
                    <w:tr2bl w:val="nil"/>
                  </w:tcBorders>
                  <w:shd w:val="clear" w:color="auto" w:fill="auto"/>
                  <w:vAlign w:val="center"/>
                </w:tcPr>
                <w:p w14:paraId="4E7ED51C">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一般排放口</w:t>
                  </w:r>
                </w:p>
              </w:tc>
              <w:tc>
                <w:tcPr>
                  <w:tcW w:w="1691" w:type="dxa"/>
                  <w:tcBorders>
                    <w:tl2br w:val="nil"/>
                    <w:tr2bl w:val="nil"/>
                  </w:tcBorders>
                  <w:shd w:val="clear" w:color="auto" w:fill="auto"/>
                  <w:vAlign w:val="center"/>
                </w:tcPr>
                <w:p w14:paraId="5CCD7E87">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E：116.</w:t>
                  </w:r>
                  <w:r>
                    <w:rPr>
                      <w:rFonts w:hint="eastAsia" w:ascii="Times New Roman" w:hAnsi="Times New Roman" w:eastAsia="宋体" w:cs="Times New Roman"/>
                      <w:sz w:val="22"/>
                      <w:szCs w:val="22"/>
                      <w:highlight w:val="none"/>
                      <w:lang w:val="en-US" w:eastAsia="zh-CN"/>
                    </w:rPr>
                    <w:t>53469</w:t>
                  </w:r>
                  <w:r>
                    <w:rPr>
                      <w:rFonts w:hint="default" w:ascii="Times New Roman" w:hAnsi="Times New Roman" w:eastAsia="宋体" w:cs="Times New Roman"/>
                      <w:sz w:val="22"/>
                      <w:szCs w:val="22"/>
                      <w:highlight w:val="none"/>
                      <w:lang w:val="en-US" w:eastAsia="zh-CN"/>
                    </w:rPr>
                    <w:t>°</w:t>
                  </w:r>
                </w:p>
                <w:p w14:paraId="7A7E7300">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N： 39.</w:t>
                  </w:r>
                  <w:r>
                    <w:rPr>
                      <w:rFonts w:hint="eastAsia" w:ascii="Times New Roman" w:hAnsi="Times New Roman" w:eastAsia="宋体" w:cs="Times New Roman"/>
                      <w:sz w:val="22"/>
                      <w:szCs w:val="22"/>
                      <w:highlight w:val="none"/>
                      <w:lang w:val="en-US" w:eastAsia="zh-CN"/>
                    </w:rPr>
                    <w:t>77393</w:t>
                  </w:r>
                  <w:r>
                    <w:rPr>
                      <w:rFonts w:hint="default" w:ascii="Times New Roman" w:hAnsi="Times New Roman" w:eastAsia="宋体" w:cs="Times New Roman"/>
                      <w:sz w:val="22"/>
                      <w:szCs w:val="22"/>
                      <w:highlight w:val="none"/>
                      <w:lang w:val="en-US" w:eastAsia="zh-CN"/>
                    </w:rPr>
                    <w:t>°</w:t>
                  </w:r>
                </w:p>
              </w:tc>
              <w:tc>
                <w:tcPr>
                  <w:tcW w:w="791" w:type="dxa"/>
                  <w:tcBorders>
                    <w:tl2br w:val="nil"/>
                    <w:tr2bl w:val="nil"/>
                  </w:tcBorders>
                  <w:shd w:val="clear" w:color="auto" w:fill="auto"/>
                  <w:vAlign w:val="center"/>
                </w:tcPr>
                <w:p w14:paraId="2C06C30C">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21.5m</w:t>
                  </w:r>
                </w:p>
              </w:tc>
              <w:tc>
                <w:tcPr>
                  <w:tcW w:w="791" w:type="dxa"/>
                  <w:tcBorders>
                    <w:tl2br w:val="nil"/>
                    <w:tr2bl w:val="nil"/>
                  </w:tcBorders>
                  <w:shd w:val="clear" w:color="auto" w:fill="auto"/>
                  <w:vAlign w:val="center"/>
                </w:tcPr>
                <w:p w14:paraId="51A4DACE">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0.</w:t>
                  </w:r>
                  <w:r>
                    <w:rPr>
                      <w:rFonts w:hint="eastAsia" w:cs="Times New Roman"/>
                      <w:sz w:val="22"/>
                      <w:szCs w:val="22"/>
                      <w:highlight w:val="none"/>
                      <w:lang w:val="en-US" w:eastAsia="zh-CN"/>
                    </w:rPr>
                    <w:t>2</w:t>
                  </w:r>
                  <w:r>
                    <w:rPr>
                      <w:rFonts w:hint="default" w:ascii="Times New Roman" w:hAnsi="Times New Roman" w:eastAsia="宋体" w:cs="Times New Roman"/>
                      <w:sz w:val="22"/>
                      <w:szCs w:val="22"/>
                      <w:highlight w:val="none"/>
                      <w:lang w:val="en-US" w:eastAsia="zh-CN"/>
                    </w:rPr>
                    <w:t>m</w:t>
                  </w:r>
                </w:p>
              </w:tc>
              <w:tc>
                <w:tcPr>
                  <w:tcW w:w="791" w:type="dxa"/>
                  <w:tcBorders>
                    <w:tl2br w:val="nil"/>
                    <w:tr2bl w:val="nil"/>
                  </w:tcBorders>
                  <w:shd w:val="clear" w:color="auto" w:fill="auto"/>
                  <w:vAlign w:val="center"/>
                </w:tcPr>
                <w:p w14:paraId="199DB07E">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25℃</w:t>
                  </w:r>
                </w:p>
              </w:tc>
              <w:tc>
                <w:tcPr>
                  <w:tcW w:w="792" w:type="dxa"/>
                  <w:tcBorders>
                    <w:tl2br w:val="nil"/>
                    <w:tr2bl w:val="nil"/>
                  </w:tcBorders>
                  <w:shd w:val="clear" w:color="auto" w:fill="auto"/>
                  <w:vAlign w:val="center"/>
                </w:tcPr>
                <w:p w14:paraId="7B730042">
                  <w:pPr>
                    <w:adjustRightInd w:val="0"/>
                    <w:jc w:val="center"/>
                    <w:rPr>
                      <w:rFonts w:hint="default" w:ascii="Times New Roman" w:hAnsi="Times New Roman" w:eastAsia="宋体" w:cs="Times New Roman"/>
                      <w:sz w:val="22"/>
                      <w:szCs w:val="22"/>
                      <w:highlight w:val="none"/>
                      <w:lang w:val="en-US" w:eastAsia="zh-CN"/>
                    </w:rPr>
                  </w:pPr>
                  <w:r>
                    <w:rPr>
                      <w:rFonts w:hint="eastAsia" w:eastAsia="宋体" w:cs="Times New Roman"/>
                      <w:sz w:val="22"/>
                      <w:szCs w:val="22"/>
                      <w:highlight w:val="none"/>
                      <w:lang w:val="en-US" w:eastAsia="zh-CN"/>
                    </w:rPr>
                    <w:t>2</w:t>
                  </w:r>
                  <w:r>
                    <w:rPr>
                      <w:rFonts w:hint="default" w:ascii="Times New Roman" w:hAnsi="Times New Roman" w:eastAsia="宋体" w:cs="Times New Roman"/>
                      <w:sz w:val="22"/>
                      <w:szCs w:val="22"/>
                      <w:highlight w:val="none"/>
                      <w:lang w:val="en-US" w:eastAsia="zh-CN"/>
                    </w:rPr>
                    <w:t>000</w:t>
                  </w:r>
                </w:p>
              </w:tc>
            </w:tr>
            <w:tr w14:paraId="19B8E44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46" w:type="dxa"/>
                  <w:tcBorders>
                    <w:tl2br w:val="nil"/>
                    <w:tr2bl w:val="nil"/>
                  </w:tcBorders>
                  <w:shd w:val="clear" w:color="auto" w:fill="auto"/>
                  <w:vAlign w:val="center"/>
                </w:tcPr>
                <w:p w14:paraId="2FE03DA9">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DA00</w:t>
                  </w:r>
                  <w:r>
                    <w:rPr>
                      <w:rFonts w:hint="eastAsia" w:eastAsia="宋体" w:cs="Times New Roman"/>
                      <w:sz w:val="22"/>
                      <w:szCs w:val="22"/>
                      <w:highlight w:val="none"/>
                      <w:lang w:val="en-US" w:eastAsia="zh-CN"/>
                    </w:rPr>
                    <w:t>4</w:t>
                  </w:r>
                </w:p>
              </w:tc>
              <w:tc>
                <w:tcPr>
                  <w:tcW w:w="946" w:type="dxa"/>
                  <w:tcBorders>
                    <w:tl2br w:val="nil"/>
                    <w:tr2bl w:val="nil"/>
                  </w:tcBorders>
                  <w:shd w:val="clear" w:color="auto" w:fill="auto"/>
                  <w:vAlign w:val="center"/>
                </w:tcPr>
                <w:p w14:paraId="00F3A5BE">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实验废气排放口</w:t>
                  </w:r>
                </w:p>
              </w:tc>
              <w:tc>
                <w:tcPr>
                  <w:tcW w:w="820" w:type="dxa"/>
                  <w:tcBorders>
                    <w:tl2br w:val="nil"/>
                    <w:tr2bl w:val="nil"/>
                  </w:tcBorders>
                  <w:shd w:val="clear" w:color="auto" w:fill="auto"/>
                  <w:vAlign w:val="center"/>
                </w:tcPr>
                <w:p w14:paraId="40DC5D80">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一般排放口</w:t>
                  </w:r>
                </w:p>
              </w:tc>
              <w:tc>
                <w:tcPr>
                  <w:tcW w:w="1691" w:type="dxa"/>
                  <w:tcBorders>
                    <w:tl2br w:val="nil"/>
                    <w:tr2bl w:val="nil"/>
                  </w:tcBorders>
                  <w:shd w:val="clear" w:color="auto" w:fill="auto"/>
                  <w:vAlign w:val="center"/>
                </w:tcPr>
                <w:p w14:paraId="091BFF7E">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E：116.</w:t>
                  </w:r>
                  <w:r>
                    <w:rPr>
                      <w:rFonts w:hint="eastAsia" w:ascii="Times New Roman" w:hAnsi="Times New Roman" w:eastAsia="宋体" w:cs="Times New Roman"/>
                      <w:sz w:val="22"/>
                      <w:szCs w:val="22"/>
                      <w:highlight w:val="none"/>
                      <w:lang w:val="en-US" w:eastAsia="zh-CN"/>
                    </w:rPr>
                    <w:t>53478</w:t>
                  </w:r>
                  <w:r>
                    <w:rPr>
                      <w:rFonts w:hint="default" w:ascii="Times New Roman" w:hAnsi="Times New Roman" w:eastAsia="宋体" w:cs="Times New Roman"/>
                      <w:sz w:val="22"/>
                      <w:szCs w:val="22"/>
                      <w:highlight w:val="none"/>
                      <w:lang w:val="en-US" w:eastAsia="zh-CN"/>
                    </w:rPr>
                    <w:t>°</w:t>
                  </w:r>
                </w:p>
                <w:p w14:paraId="6C2AE48E">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N： 39.</w:t>
                  </w:r>
                  <w:r>
                    <w:rPr>
                      <w:rFonts w:hint="eastAsia" w:ascii="Times New Roman" w:hAnsi="Times New Roman" w:eastAsia="宋体" w:cs="Times New Roman"/>
                      <w:sz w:val="22"/>
                      <w:szCs w:val="22"/>
                      <w:highlight w:val="none"/>
                      <w:lang w:val="en-US" w:eastAsia="zh-CN"/>
                    </w:rPr>
                    <w:t>77384</w:t>
                  </w:r>
                  <w:r>
                    <w:rPr>
                      <w:rFonts w:hint="default" w:ascii="Times New Roman" w:hAnsi="Times New Roman" w:eastAsia="宋体" w:cs="Times New Roman"/>
                      <w:sz w:val="22"/>
                      <w:szCs w:val="22"/>
                      <w:highlight w:val="none"/>
                      <w:lang w:val="en-US" w:eastAsia="zh-CN"/>
                    </w:rPr>
                    <w:t>°</w:t>
                  </w:r>
                </w:p>
              </w:tc>
              <w:tc>
                <w:tcPr>
                  <w:tcW w:w="791" w:type="dxa"/>
                  <w:tcBorders>
                    <w:tl2br w:val="nil"/>
                    <w:tr2bl w:val="nil"/>
                  </w:tcBorders>
                  <w:shd w:val="clear" w:color="auto" w:fill="auto"/>
                  <w:vAlign w:val="center"/>
                </w:tcPr>
                <w:p w14:paraId="03A805FD">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21.5m</w:t>
                  </w:r>
                </w:p>
              </w:tc>
              <w:tc>
                <w:tcPr>
                  <w:tcW w:w="791" w:type="dxa"/>
                  <w:tcBorders>
                    <w:tl2br w:val="nil"/>
                    <w:tr2bl w:val="nil"/>
                  </w:tcBorders>
                  <w:shd w:val="clear" w:color="auto" w:fill="auto"/>
                  <w:vAlign w:val="center"/>
                </w:tcPr>
                <w:p w14:paraId="24D5C2A6">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0.</w:t>
                  </w:r>
                  <w:r>
                    <w:rPr>
                      <w:rFonts w:hint="eastAsia" w:cs="Times New Roman"/>
                      <w:sz w:val="22"/>
                      <w:szCs w:val="22"/>
                      <w:highlight w:val="none"/>
                      <w:lang w:val="en-US" w:eastAsia="zh-CN"/>
                    </w:rPr>
                    <w:t>4</w:t>
                  </w:r>
                  <w:r>
                    <w:rPr>
                      <w:rFonts w:hint="default" w:ascii="Times New Roman" w:hAnsi="Times New Roman" w:eastAsia="宋体" w:cs="Times New Roman"/>
                      <w:sz w:val="22"/>
                      <w:szCs w:val="22"/>
                      <w:highlight w:val="none"/>
                      <w:lang w:val="en-US" w:eastAsia="zh-CN"/>
                    </w:rPr>
                    <w:t>m</w:t>
                  </w:r>
                </w:p>
              </w:tc>
              <w:tc>
                <w:tcPr>
                  <w:tcW w:w="791" w:type="dxa"/>
                  <w:tcBorders>
                    <w:tl2br w:val="nil"/>
                    <w:tr2bl w:val="nil"/>
                  </w:tcBorders>
                  <w:shd w:val="clear" w:color="auto" w:fill="auto"/>
                  <w:vAlign w:val="center"/>
                </w:tcPr>
                <w:p w14:paraId="4E6DEDD0">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25℃</w:t>
                  </w:r>
                </w:p>
              </w:tc>
              <w:tc>
                <w:tcPr>
                  <w:tcW w:w="792" w:type="dxa"/>
                  <w:tcBorders>
                    <w:tl2br w:val="nil"/>
                    <w:tr2bl w:val="nil"/>
                  </w:tcBorders>
                  <w:shd w:val="clear" w:color="auto" w:fill="auto"/>
                  <w:vAlign w:val="center"/>
                </w:tcPr>
                <w:p w14:paraId="7AC97B09">
                  <w:pPr>
                    <w:adjustRightInd w:val="0"/>
                    <w:jc w:val="center"/>
                    <w:rPr>
                      <w:rFonts w:hint="default" w:ascii="Times New Roman" w:hAnsi="Times New Roman" w:eastAsia="宋体" w:cs="Times New Roman"/>
                      <w:sz w:val="22"/>
                      <w:szCs w:val="22"/>
                      <w:highlight w:val="none"/>
                      <w:lang w:val="en-US" w:eastAsia="zh-CN"/>
                    </w:rPr>
                  </w:pPr>
                  <w:r>
                    <w:rPr>
                      <w:rFonts w:hint="eastAsia" w:eastAsia="宋体" w:cs="Times New Roman"/>
                      <w:sz w:val="22"/>
                      <w:szCs w:val="22"/>
                      <w:highlight w:val="none"/>
                      <w:lang w:val="en-US" w:eastAsia="zh-CN"/>
                    </w:rPr>
                    <w:t>5</w:t>
                  </w:r>
                  <w:r>
                    <w:rPr>
                      <w:rFonts w:hint="default" w:ascii="Times New Roman" w:hAnsi="Times New Roman" w:eastAsia="宋体" w:cs="Times New Roman"/>
                      <w:sz w:val="22"/>
                      <w:szCs w:val="22"/>
                      <w:highlight w:val="none"/>
                      <w:lang w:val="en-US" w:eastAsia="zh-CN"/>
                    </w:rPr>
                    <w:t>000</w:t>
                  </w:r>
                </w:p>
              </w:tc>
            </w:tr>
            <w:tr w14:paraId="7B78A2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46" w:type="dxa"/>
                  <w:tcBorders>
                    <w:tl2br w:val="nil"/>
                    <w:tr2bl w:val="nil"/>
                  </w:tcBorders>
                  <w:shd w:val="clear" w:color="auto" w:fill="auto"/>
                  <w:vAlign w:val="center"/>
                </w:tcPr>
                <w:p w14:paraId="18B9DBE9">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DA00</w:t>
                  </w:r>
                  <w:r>
                    <w:rPr>
                      <w:rFonts w:hint="eastAsia" w:eastAsia="宋体" w:cs="Times New Roman"/>
                      <w:sz w:val="22"/>
                      <w:szCs w:val="22"/>
                      <w:highlight w:val="none"/>
                      <w:lang w:val="en-US" w:eastAsia="zh-CN"/>
                    </w:rPr>
                    <w:t>5</w:t>
                  </w:r>
                </w:p>
              </w:tc>
              <w:tc>
                <w:tcPr>
                  <w:tcW w:w="946" w:type="dxa"/>
                  <w:tcBorders>
                    <w:tl2br w:val="nil"/>
                    <w:tr2bl w:val="nil"/>
                  </w:tcBorders>
                  <w:shd w:val="clear" w:color="auto" w:fill="auto"/>
                  <w:vAlign w:val="center"/>
                </w:tcPr>
                <w:p w14:paraId="7680DFD5">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实验废气排放口</w:t>
                  </w:r>
                </w:p>
              </w:tc>
              <w:tc>
                <w:tcPr>
                  <w:tcW w:w="820" w:type="dxa"/>
                  <w:tcBorders>
                    <w:tl2br w:val="nil"/>
                    <w:tr2bl w:val="nil"/>
                  </w:tcBorders>
                  <w:shd w:val="clear" w:color="auto" w:fill="auto"/>
                  <w:vAlign w:val="center"/>
                </w:tcPr>
                <w:p w14:paraId="154B9829">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一般排放口</w:t>
                  </w:r>
                </w:p>
              </w:tc>
              <w:tc>
                <w:tcPr>
                  <w:tcW w:w="1691" w:type="dxa"/>
                  <w:tcBorders>
                    <w:tl2br w:val="nil"/>
                    <w:tr2bl w:val="nil"/>
                  </w:tcBorders>
                  <w:shd w:val="clear" w:color="auto" w:fill="auto"/>
                  <w:vAlign w:val="center"/>
                </w:tcPr>
                <w:p w14:paraId="5A4FFCF6">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E：116.</w:t>
                  </w:r>
                  <w:r>
                    <w:rPr>
                      <w:rFonts w:hint="eastAsia" w:ascii="Times New Roman" w:hAnsi="Times New Roman" w:eastAsia="宋体" w:cs="Times New Roman"/>
                      <w:sz w:val="22"/>
                      <w:szCs w:val="22"/>
                      <w:highlight w:val="none"/>
                      <w:lang w:val="en-US" w:eastAsia="zh-CN"/>
                    </w:rPr>
                    <w:t>53456</w:t>
                  </w:r>
                  <w:r>
                    <w:rPr>
                      <w:rFonts w:hint="default" w:ascii="Times New Roman" w:hAnsi="Times New Roman" w:eastAsia="宋体" w:cs="Times New Roman"/>
                      <w:sz w:val="22"/>
                      <w:szCs w:val="22"/>
                      <w:highlight w:val="none"/>
                      <w:lang w:val="en-US" w:eastAsia="zh-CN"/>
                    </w:rPr>
                    <w:t>°</w:t>
                  </w:r>
                </w:p>
                <w:p w14:paraId="43A75991">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N： 39.</w:t>
                  </w:r>
                  <w:r>
                    <w:rPr>
                      <w:rFonts w:hint="eastAsia" w:ascii="Times New Roman" w:hAnsi="Times New Roman" w:eastAsia="宋体" w:cs="Times New Roman"/>
                      <w:sz w:val="22"/>
                      <w:szCs w:val="22"/>
                      <w:highlight w:val="none"/>
                      <w:lang w:val="en-US" w:eastAsia="zh-CN"/>
                    </w:rPr>
                    <w:t>77387</w:t>
                  </w:r>
                  <w:r>
                    <w:rPr>
                      <w:rFonts w:hint="default" w:ascii="Times New Roman" w:hAnsi="Times New Roman" w:eastAsia="宋体" w:cs="Times New Roman"/>
                      <w:sz w:val="22"/>
                      <w:szCs w:val="22"/>
                      <w:highlight w:val="none"/>
                      <w:lang w:val="en-US" w:eastAsia="zh-CN"/>
                    </w:rPr>
                    <w:t>°</w:t>
                  </w:r>
                </w:p>
              </w:tc>
              <w:tc>
                <w:tcPr>
                  <w:tcW w:w="791" w:type="dxa"/>
                  <w:tcBorders>
                    <w:tl2br w:val="nil"/>
                    <w:tr2bl w:val="nil"/>
                  </w:tcBorders>
                  <w:shd w:val="clear" w:color="auto" w:fill="auto"/>
                  <w:vAlign w:val="center"/>
                </w:tcPr>
                <w:p w14:paraId="32EA5F6F">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21.5m</w:t>
                  </w:r>
                </w:p>
              </w:tc>
              <w:tc>
                <w:tcPr>
                  <w:tcW w:w="791" w:type="dxa"/>
                  <w:tcBorders>
                    <w:tl2br w:val="nil"/>
                    <w:tr2bl w:val="nil"/>
                  </w:tcBorders>
                  <w:shd w:val="clear" w:color="auto" w:fill="auto"/>
                  <w:vAlign w:val="center"/>
                </w:tcPr>
                <w:p w14:paraId="73A95138">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0.</w:t>
                  </w:r>
                  <w:r>
                    <w:rPr>
                      <w:rFonts w:hint="eastAsia" w:cs="Times New Roman"/>
                      <w:sz w:val="22"/>
                      <w:szCs w:val="22"/>
                      <w:highlight w:val="none"/>
                      <w:lang w:val="en-US" w:eastAsia="zh-CN"/>
                    </w:rPr>
                    <w:t>2</w:t>
                  </w:r>
                  <w:r>
                    <w:rPr>
                      <w:rFonts w:hint="default" w:ascii="Times New Roman" w:hAnsi="Times New Roman" w:eastAsia="宋体" w:cs="Times New Roman"/>
                      <w:sz w:val="22"/>
                      <w:szCs w:val="22"/>
                      <w:highlight w:val="none"/>
                      <w:lang w:val="en-US" w:eastAsia="zh-CN"/>
                    </w:rPr>
                    <w:t>m</w:t>
                  </w:r>
                </w:p>
              </w:tc>
              <w:tc>
                <w:tcPr>
                  <w:tcW w:w="791" w:type="dxa"/>
                  <w:tcBorders>
                    <w:tl2br w:val="nil"/>
                    <w:tr2bl w:val="nil"/>
                  </w:tcBorders>
                  <w:shd w:val="clear" w:color="auto" w:fill="auto"/>
                  <w:vAlign w:val="center"/>
                </w:tcPr>
                <w:p w14:paraId="4DE85034">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25℃</w:t>
                  </w:r>
                </w:p>
              </w:tc>
              <w:tc>
                <w:tcPr>
                  <w:tcW w:w="792" w:type="dxa"/>
                  <w:tcBorders>
                    <w:tl2br w:val="nil"/>
                    <w:tr2bl w:val="nil"/>
                  </w:tcBorders>
                  <w:shd w:val="clear" w:color="auto" w:fill="auto"/>
                  <w:vAlign w:val="center"/>
                </w:tcPr>
                <w:p w14:paraId="46B607C1">
                  <w:pPr>
                    <w:adjustRightInd w:val="0"/>
                    <w:jc w:val="center"/>
                    <w:rPr>
                      <w:rFonts w:hint="default" w:ascii="Times New Roman" w:hAnsi="Times New Roman" w:eastAsia="宋体" w:cs="Times New Roman"/>
                      <w:sz w:val="22"/>
                      <w:szCs w:val="22"/>
                      <w:highlight w:val="none"/>
                      <w:lang w:val="en-US" w:eastAsia="zh-CN"/>
                    </w:rPr>
                  </w:pPr>
                  <w:r>
                    <w:rPr>
                      <w:rFonts w:hint="eastAsia" w:cs="Times New Roman"/>
                      <w:sz w:val="22"/>
                      <w:szCs w:val="22"/>
                      <w:highlight w:val="none"/>
                      <w:lang w:val="en-US" w:eastAsia="zh-CN"/>
                    </w:rPr>
                    <w:t>2</w:t>
                  </w:r>
                  <w:r>
                    <w:rPr>
                      <w:rFonts w:hint="default" w:ascii="Times New Roman" w:hAnsi="Times New Roman" w:eastAsia="宋体" w:cs="Times New Roman"/>
                      <w:sz w:val="22"/>
                      <w:szCs w:val="22"/>
                      <w:highlight w:val="none"/>
                      <w:lang w:val="en-US" w:eastAsia="zh-CN"/>
                    </w:rPr>
                    <w:t>000</w:t>
                  </w:r>
                </w:p>
              </w:tc>
            </w:tr>
            <w:tr w14:paraId="216ED0E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46" w:type="dxa"/>
                  <w:tcBorders>
                    <w:tl2br w:val="nil"/>
                    <w:tr2bl w:val="nil"/>
                  </w:tcBorders>
                  <w:shd w:val="clear" w:color="auto" w:fill="auto"/>
                  <w:vAlign w:val="center"/>
                </w:tcPr>
                <w:p w14:paraId="49C7F4E9">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DA00</w:t>
                  </w:r>
                  <w:r>
                    <w:rPr>
                      <w:rFonts w:hint="eastAsia" w:eastAsia="宋体" w:cs="Times New Roman"/>
                      <w:sz w:val="22"/>
                      <w:szCs w:val="22"/>
                      <w:highlight w:val="none"/>
                      <w:lang w:val="en-US" w:eastAsia="zh-CN"/>
                    </w:rPr>
                    <w:t>6</w:t>
                  </w:r>
                </w:p>
              </w:tc>
              <w:tc>
                <w:tcPr>
                  <w:tcW w:w="946" w:type="dxa"/>
                  <w:tcBorders>
                    <w:tl2br w:val="nil"/>
                    <w:tr2bl w:val="nil"/>
                  </w:tcBorders>
                  <w:shd w:val="clear" w:color="auto" w:fill="auto"/>
                  <w:vAlign w:val="center"/>
                </w:tcPr>
                <w:p w14:paraId="694E878E">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实验废气排放口</w:t>
                  </w:r>
                </w:p>
              </w:tc>
              <w:tc>
                <w:tcPr>
                  <w:tcW w:w="820" w:type="dxa"/>
                  <w:tcBorders>
                    <w:tl2br w:val="nil"/>
                    <w:tr2bl w:val="nil"/>
                  </w:tcBorders>
                  <w:shd w:val="clear" w:color="auto" w:fill="auto"/>
                  <w:vAlign w:val="center"/>
                </w:tcPr>
                <w:p w14:paraId="1A40D9C6">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一般排放口</w:t>
                  </w:r>
                </w:p>
              </w:tc>
              <w:tc>
                <w:tcPr>
                  <w:tcW w:w="1691" w:type="dxa"/>
                  <w:tcBorders>
                    <w:tl2br w:val="nil"/>
                    <w:tr2bl w:val="nil"/>
                  </w:tcBorders>
                  <w:shd w:val="clear" w:color="auto" w:fill="auto"/>
                  <w:vAlign w:val="center"/>
                </w:tcPr>
                <w:p w14:paraId="2AF4A56C">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E：116.</w:t>
                  </w:r>
                  <w:r>
                    <w:rPr>
                      <w:rFonts w:hint="eastAsia" w:ascii="Times New Roman" w:hAnsi="Times New Roman" w:eastAsia="宋体" w:cs="Times New Roman"/>
                      <w:sz w:val="22"/>
                      <w:szCs w:val="22"/>
                      <w:highlight w:val="none"/>
                      <w:lang w:val="en-US" w:eastAsia="zh-CN"/>
                    </w:rPr>
                    <w:t>53445</w:t>
                  </w:r>
                  <w:r>
                    <w:rPr>
                      <w:rFonts w:hint="default" w:ascii="Times New Roman" w:hAnsi="Times New Roman" w:eastAsia="宋体" w:cs="Times New Roman"/>
                      <w:sz w:val="22"/>
                      <w:szCs w:val="22"/>
                      <w:highlight w:val="none"/>
                      <w:lang w:val="en-US" w:eastAsia="zh-CN"/>
                    </w:rPr>
                    <w:t>°</w:t>
                  </w:r>
                </w:p>
                <w:p w14:paraId="0B950A00">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N： 39.</w:t>
                  </w:r>
                  <w:r>
                    <w:rPr>
                      <w:rFonts w:hint="eastAsia" w:ascii="Times New Roman" w:hAnsi="Times New Roman" w:eastAsia="宋体" w:cs="Times New Roman"/>
                      <w:sz w:val="22"/>
                      <w:szCs w:val="22"/>
                      <w:highlight w:val="none"/>
                      <w:lang w:val="en-US" w:eastAsia="zh-CN"/>
                    </w:rPr>
                    <w:t>77384</w:t>
                  </w:r>
                  <w:r>
                    <w:rPr>
                      <w:rFonts w:hint="default" w:ascii="Times New Roman" w:hAnsi="Times New Roman" w:eastAsia="宋体" w:cs="Times New Roman"/>
                      <w:sz w:val="22"/>
                      <w:szCs w:val="22"/>
                      <w:highlight w:val="none"/>
                      <w:lang w:val="en-US" w:eastAsia="zh-CN"/>
                    </w:rPr>
                    <w:t>°</w:t>
                  </w:r>
                </w:p>
              </w:tc>
              <w:tc>
                <w:tcPr>
                  <w:tcW w:w="791" w:type="dxa"/>
                  <w:tcBorders>
                    <w:tl2br w:val="nil"/>
                    <w:tr2bl w:val="nil"/>
                  </w:tcBorders>
                  <w:shd w:val="clear" w:color="auto" w:fill="auto"/>
                  <w:vAlign w:val="center"/>
                </w:tcPr>
                <w:p w14:paraId="62F3A3FD">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21.5m</w:t>
                  </w:r>
                </w:p>
              </w:tc>
              <w:tc>
                <w:tcPr>
                  <w:tcW w:w="791" w:type="dxa"/>
                  <w:tcBorders>
                    <w:tl2br w:val="nil"/>
                    <w:tr2bl w:val="nil"/>
                  </w:tcBorders>
                  <w:shd w:val="clear" w:color="auto" w:fill="auto"/>
                  <w:vAlign w:val="center"/>
                </w:tcPr>
                <w:p w14:paraId="0693CC4A">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0.2m</w:t>
                  </w:r>
                </w:p>
              </w:tc>
              <w:tc>
                <w:tcPr>
                  <w:tcW w:w="791" w:type="dxa"/>
                  <w:tcBorders>
                    <w:tl2br w:val="nil"/>
                    <w:tr2bl w:val="nil"/>
                  </w:tcBorders>
                  <w:shd w:val="clear" w:color="auto" w:fill="auto"/>
                  <w:vAlign w:val="center"/>
                </w:tcPr>
                <w:p w14:paraId="719AD92F">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25℃</w:t>
                  </w:r>
                </w:p>
              </w:tc>
              <w:tc>
                <w:tcPr>
                  <w:tcW w:w="792" w:type="dxa"/>
                  <w:tcBorders>
                    <w:tl2br w:val="nil"/>
                    <w:tr2bl w:val="nil"/>
                  </w:tcBorders>
                  <w:shd w:val="clear" w:color="auto" w:fill="auto"/>
                  <w:vAlign w:val="center"/>
                </w:tcPr>
                <w:p w14:paraId="612F9028">
                  <w:pPr>
                    <w:adjustRightInd w:val="0"/>
                    <w:jc w:val="center"/>
                    <w:rPr>
                      <w:rFonts w:hint="default" w:ascii="Times New Roman" w:hAnsi="Times New Roman" w:eastAsia="宋体" w:cs="Times New Roman"/>
                      <w:sz w:val="22"/>
                      <w:szCs w:val="22"/>
                      <w:highlight w:val="none"/>
                      <w:lang w:val="en-US" w:eastAsia="zh-CN"/>
                    </w:rPr>
                  </w:pPr>
                  <w:r>
                    <w:rPr>
                      <w:rFonts w:hint="eastAsia" w:cs="Times New Roman"/>
                      <w:sz w:val="22"/>
                      <w:szCs w:val="22"/>
                      <w:highlight w:val="none"/>
                      <w:lang w:val="en-US" w:eastAsia="zh-CN"/>
                    </w:rPr>
                    <w:t>2</w:t>
                  </w:r>
                  <w:r>
                    <w:rPr>
                      <w:rFonts w:hint="default" w:ascii="Times New Roman" w:hAnsi="Times New Roman" w:eastAsia="宋体" w:cs="Times New Roman"/>
                      <w:sz w:val="22"/>
                      <w:szCs w:val="22"/>
                      <w:highlight w:val="none"/>
                      <w:lang w:val="en-US" w:eastAsia="zh-CN"/>
                    </w:rPr>
                    <w:t>000</w:t>
                  </w:r>
                </w:p>
              </w:tc>
            </w:tr>
            <w:tr w14:paraId="269462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46" w:type="dxa"/>
                  <w:tcBorders>
                    <w:tl2br w:val="nil"/>
                    <w:tr2bl w:val="nil"/>
                  </w:tcBorders>
                  <w:shd w:val="clear" w:color="auto" w:fill="auto"/>
                  <w:vAlign w:val="center"/>
                </w:tcPr>
                <w:p w14:paraId="0099FBBC">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DA00</w:t>
                  </w:r>
                  <w:r>
                    <w:rPr>
                      <w:rFonts w:hint="eastAsia" w:eastAsia="宋体" w:cs="Times New Roman"/>
                      <w:sz w:val="22"/>
                      <w:szCs w:val="22"/>
                      <w:highlight w:val="none"/>
                      <w:lang w:val="en-US" w:eastAsia="zh-CN"/>
                    </w:rPr>
                    <w:t>7</w:t>
                  </w:r>
                </w:p>
              </w:tc>
              <w:tc>
                <w:tcPr>
                  <w:tcW w:w="946" w:type="dxa"/>
                  <w:tcBorders>
                    <w:tl2br w:val="nil"/>
                    <w:tr2bl w:val="nil"/>
                  </w:tcBorders>
                  <w:shd w:val="clear" w:color="auto" w:fill="auto"/>
                  <w:vAlign w:val="center"/>
                </w:tcPr>
                <w:p w14:paraId="5D175C3A">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实验废气排放口</w:t>
                  </w:r>
                </w:p>
              </w:tc>
              <w:tc>
                <w:tcPr>
                  <w:tcW w:w="820" w:type="dxa"/>
                  <w:tcBorders>
                    <w:tl2br w:val="nil"/>
                    <w:tr2bl w:val="nil"/>
                  </w:tcBorders>
                  <w:shd w:val="clear" w:color="auto" w:fill="auto"/>
                  <w:vAlign w:val="center"/>
                </w:tcPr>
                <w:p w14:paraId="427AC0A8">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一般排放口</w:t>
                  </w:r>
                </w:p>
              </w:tc>
              <w:tc>
                <w:tcPr>
                  <w:tcW w:w="1691" w:type="dxa"/>
                  <w:tcBorders>
                    <w:tl2br w:val="nil"/>
                    <w:tr2bl w:val="nil"/>
                  </w:tcBorders>
                  <w:shd w:val="clear" w:color="auto" w:fill="auto"/>
                  <w:vAlign w:val="center"/>
                </w:tcPr>
                <w:p w14:paraId="79C582C7">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E：116.</w:t>
                  </w:r>
                  <w:r>
                    <w:rPr>
                      <w:rFonts w:hint="eastAsia" w:ascii="Times New Roman" w:hAnsi="Times New Roman" w:eastAsia="宋体" w:cs="Times New Roman"/>
                      <w:sz w:val="22"/>
                      <w:szCs w:val="22"/>
                      <w:highlight w:val="none"/>
                      <w:lang w:val="en-US" w:eastAsia="zh-CN"/>
                    </w:rPr>
                    <w:t>53437</w:t>
                  </w:r>
                  <w:r>
                    <w:rPr>
                      <w:rFonts w:hint="default" w:ascii="Times New Roman" w:hAnsi="Times New Roman" w:eastAsia="宋体" w:cs="Times New Roman"/>
                      <w:sz w:val="22"/>
                      <w:szCs w:val="22"/>
                      <w:highlight w:val="none"/>
                      <w:lang w:val="en-US" w:eastAsia="zh-CN"/>
                    </w:rPr>
                    <w:t>°</w:t>
                  </w:r>
                </w:p>
                <w:p w14:paraId="61D50CE3">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N： 39.</w:t>
                  </w:r>
                  <w:r>
                    <w:rPr>
                      <w:rFonts w:hint="eastAsia" w:ascii="Times New Roman" w:hAnsi="Times New Roman" w:eastAsia="宋体" w:cs="Times New Roman"/>
                      <w:sz w:val="22"/>
                      <w:szCs w:val="22"/>
                      <w:highlight w:val="none"/>
                      <w:lang w:val="en-US" w:eastAsia="zh-CN"/>
                    </w:rPr>
                    <w:t>77377</w:t>
                  </w:r>
                  <w:r>
                    <w:rPr>
                      <w:rFonts w:hint="default" w:ascii="Times New Roman" w:hAnsi="Times New Roman" w:eastAsia="宋体" w:cs="Times New Roman"/>
                      <w:sz w:val="22"/>
                      <w:szCs w:val="22"/>
                      <w:highlight w:val="none"/>
                      <w:lang w:val="en-US" w:eastAsia="zh-CN"/>
                    </w:rPr>
                    <w:t>°</w:t>
                  </w:r>
                </w:p>
              </w:tc>
              <w:tc>
                <w:tcPr>
                  <w:tcW w:w="791" w:type="dxa"/>
                  <w:tcBorders>
                    <w:tl2br w:val="nil"/>
                    <w:tr2bl w:val="nil"/>
                  </w:tcBorders>
                  <w:shd w:val="clear" w:color="auto" w:fill="auto"/>
                  <w:vAlign w:val="center"/>
                </w:tcPr>
                <w:p w14:paraId="01FADC65">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21.5m</w:t>
                  </w:r>
                </w:p>
              </w:tc>
              <w:tc>
                <w:tcPr>
                  <w:tcW w:w="791" w:type="dxa"/>
                  <w:tcBorders>
                    <w:tl2br w:val="nil"/>
                    <w:tr2bl w:val="nil"/>
                  </w:tcBorders>
                  <w:shd w:val="clear" w:color="auto" w:fill="auto"/>
                  <w:vAlign w:val="center"/>
                </w:tcPr>
                <w:p w14:paraId="7CED690C">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0.</w:t>
                  </w:r>
                  <w:r>
                    <w:rPr>
                      <w:rFonts w:hint="eastAsia" w:cs="Times New Roman"/>
                      <w:sz w:val="22"/>
                      <w:szCs w:val="22"/>
                      <w:highlight w:val="none"/>
                      <w:lang w:val="en-US" w:eastAsia="zh-CN"/>
                    </w:rPr>
                    <w:t>2</w:t>
                  </w:r>
                  <w:r>
                    <w:rPr>
                      <w:rFonts w:hint="default" w:ascii="Times New Roman" w:hAnsi="Times New Roman" w:eastAsia="宋体" w:cs="Times New Roman"/>
                      <w:sz w:val="22"/>
                      <w:szCs w:val="22"/>
                      <w:highlight w:val="none"/>
                      <w:lang w:val="en-US" w:eastAsia="zh-CN"/>
                    </w:rPr>
                    <w:t>m</w:t>
                  </w:r>
                </w:p>
              </w:tc>
              <w:tc>
                <w:tcPr>
                  <w:tcW w:w="791" w:type="dxa"/>
                  <w:tcBorders>
                    <w:tl2br w:val="nil"/>
                    <w:tr2bl w:val="nil"/>
                  </w:tcBorders>
                  <w:shd w:val="clear" w:color="auto" w:fill="auto"/>
                  <w:vAlign w:val="center"/>
                </w:tcPr>
                <w:p w14:paraId="1BDB9911">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25℃</w:t>
                  </w:r>
                </w:p>
              </w:tc>
              <w:tc>
                <w:tcPr>
                  <w:tcW w:w="792" w:type="dxa"/>
                  <w:tcBorders>
                    <w:tl2br w:val="nil"/>
                    <w:tr2bl w:val="nil"/>
                  </w:tcBorders>
                  <w:shd w:val="clear" w:color="auto" w:fill="auto"/>
                  <w:vAlign w:val="center"/>
                </w:tcPr>
                <w:p w14:paraId="73DE8486">
                  <w:pPr>
                    <w:adjustRightInd w:val="0"/>
                    <w:jc w:val="center"/>
                    <w:rPr>
                      <w:rFonts w:hint="default" w:ascii="Times New Roman" w:hAnsi="Times New Roman" w:eastAsia="宋体" w:cs="Times New Roman"/>
                      <w:sz w:val="22"/>
                      <w:szCs w:val="22"/>
                      <w:highlight w:val="none"/>
                      <w:lang w:val="en-US" w:eastAsia="zh-CN"/>
                    </w:rPr>
                  </w:pPr>
                  <w:r>
                    <w:rPr>
                      <w:rFonts w:hint="eastAsia" w:cs="Times New Roman"/>
                      <w:sz w:val="22"/>
                      <w:szCs w:val="22"/>
                      <w:highlight w:val="none"/>
                      <w:lang w:val="en-US" w:eastAsia="zh-CN"/>
                    </w:rPr>
                    <w:t>2</w:t>
                  </w:r>
                  <w:r>
                    <w:rPr>
                      <w:rFonts w:hint="default" w:ascii="Times New Roman" w:hAnsi="Times New Roman" w:eastAsia="宋体" w:cs="Times New Roman"/>
                      <w:sz w:val="22"/>
                      <w:szCs w:val="22"/>
                      <w:highlight w:val="none"/>
                      <w:lang w:val="en-US" w:eastAsia="zh-CN"/>
                    </w:rPr>
                    <w:t>000</w:t>
                  </w:r>
                </w:p>
              </w:tc>
            </w:tr>
            <w:tr w14:paraId="0CD715D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46" w:type="dxa"/>
                  <w:tcBorders>
                    <w:tl2br w:val="nil"/>
                    <w:tr2bl w:val="nil"/>
                  </w:tcBorders>
                  <w:shd w:val="clear" w:color="auto" w:fill="auto"/>
                  <w:vAlign w:val="center"/>
                </w:tcPr>
                <w:p w14:paraId="62313C94">
                  <w:pPr>
                    <w:adjustRightInd w:val="0"/>
                    <w:jc w:val="center"/>
                    <w:rPr>
                      <w:rFonts w:hint="default" w:ascii="Times New Roman" w:hAnsi="Times New Roman" w:eastAsia="宋体" w:cs="Times New Roman"/>
                      <w:sz w:val="22"/>
                      <w:szCs w:val="22"/>
                      <w:highlight w:val="none"/>
                      <w:lang w:val="en-US" w:eastAsia="zh-CN"/>
                    </w:rPr>
                  </w:pPr>
                  <w:r>
                    <w:rPr>
                      <w:rFonts w:hint="eastAsia" w:eastAsia="宋体" w:cs="Times New Roman"/>
                      <w:sz w:val="22"/>
                      <w:szCs w:val="22"/>
                      <w:highlight w:val="none"/>
                      <w:lang w:val="en-US" w:eastAsia="zh-CN"/>
                    </w:rPr>
                    <w:t>DA008</w:t>
                  </w:r>
                </w:p>
              </w:tc>
              <w:tc>
                <w:tcPr>
                  <w:tcW w:w="946" w:type="dxa"/>
                  <w:tcBorders>
                    <w:tl2br w:val="nil"/>
                    <w:tr2bl w:val="nil"/>
                  </w:tcBorders>
                  <w:shd w:val="clear" w:color="auto" w:fill="auto"/>
                  <w:vAlign w:val="center"/>
                </w:tcPr>
                <w:p w14:paraId="6C9F0EDF">
                  <w:pPr>
                    <w:adjustRightInd w:val="0"/>
                    <w:jc w:val="center"/>
                    <w:rPr>
                      <w:rFonts w:hint="default" w:ascii="Times New Roman" w:hAnsi="Times New Roman" w:eastAsia="宋体" w:cs="Times New Roman"/>
                      <w:kern w:val="2"/>
                      <w:sz w:val="22"/>
                      <w:szCs w:val="22"/>
                      <w:highlight w:val="none"/>
                      <w:lang w:val="en-US" w:eastAsia="zh-CN" w:bidi="ar-SA"/>
                    </w:rPr>
                  </w:pPr>
                  <w:r>
                    <w:rPr>
                      <w:rFonts w:hint="default" w:ascii="Times New Roman" w:hAnsi="Times New Roman" w:eastAsia="宋体" w:cs="Times New Roman"/>
                      <w:sz w:val="22"/>
                      <w:szCs w:val="22"/>
                      <w:highlight w:val="none"/>
                      <w:lang w:val="en-US" w:eastAsia="zh-CN"/>
                    </w:rPr>
                    <w:t>实验废气排放口</w:t>
                  </w:r>
                </w:p>
              </w:tc>
              <w:tc>
                <w:tcPr>
                  <w:tcW w:w="820" w:type="dxa"/>
                  <w:tcBorders>
                    <w:tl2br w:val="nil"/>
                    <w:tr2bl w:val="nil"/>
                  </w:tcBorders>
                  <w:shd w:val="clear" w:color="auto" w:fill="auto"/>
                  <w:vAlign w:val="center"/>
                </w:tcPr>
                <w:p w14:paraId="7C075B21">
                  <w:pPr>
                    <w:adjustRightInd w:val="0"/>
                    <w:jc w:val="center"/>
                    <w:rPr>
                      <w:rFonts w:hint="default" w:ascii="Times New Roman" w:hAnsi="Times New Roman" w:eastAsia="宋体" w:cs="Times New Roman"/>
                      <w:kern w:val="2"/>
                      <w:sz w:val="22"/>
                      <w:szCs w:val="22"/>
                      <w:highlight w:val="none"/>
                      <w:lang w:val="en-US" w:eastAsia="zh-CN" w:bidi="ar-SA"/>
                    </w:rPr>
                  </w:pPr>
                  <w:r>
                    <w:rPr>
                      <w:rFonts w:hint="default" w:ascii="Times New Roman" w:hAnsi="Times New Roman" w:eastAsia="宋体" w:cs="Times New Roman"/>
                      <w:sz w:val="22"/>
                      <w:szCs w:val="22"/>
                      <w:highlight w:val="none"/>
                      <w:lang w:val="en-US" w:eastAsia="zh-CN"/>
                    </w:rPr>
                    <w:t>一般排放口</w:t>
                  </w:r>
                </w:p>
              </w:tc>
              <w:tc>
                <w:tcPr>
                  <w:tcW w:w="1691" w:type="dxa"/>
                  <w:tcBorders>
                    <w:tl2br w:val="nil"/>
                    <w:tr2bl w:val="nil"/>
                  </w:tcBorders>
                  <w:shd w:val="clear" w:color="auto" w:fill="auto"/>
                  <w:vAlign w:val="center"/>
                </w:tcPr>
                <w:p w14:paraId="683D1A58">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E：116.</w:t>
                  </w:r>
                  <w:r>
                    <w:rPr>
                      <w:rFonts w:hint="eastAsia" w:ascii="Times New Roman" w:hAnsi="Times New Roman" w:eastAsia="宋体" w:cs="Times New Roman"/>
                      <w:sz w:val="22"/>
                      <w:szCs w:val="22"/>
                      <w:highlight w:val="none"/>
                      <w:lang w:val="en-US" w:eastAsia="zh-CN"/>
                    </w:rPr>
                    <w:t>53442</w:t>
                  </w:r>
                  <w:r>
                    <w:rPr>
                      <w:rFonts w:hint="default" w:ascii="Times New Roman" w:hAnsi="Times New Roman" w:eastAsia="宋体" w:cs="Times New Roman"/>
                      <w:sz w:val="22"/>
                      <w:szCs w:val="22"/>
                      <w:highlight w:val="none"/>
                      <w:lang w:val="en-US" w:eastAsia="zh-CN"/>
                    </w:rPr>
                    <w:t>°</w:t>
                  </w:r>
                </w:p>
                <w:p w14:paraId="4A8F7CBA">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N： 39.</w:t>
                  </w:r>
                  <w:r>
                    <w:rPr>
                      <w:rFonts w:hint="eastAsia" w:ascii="Times New Roman" w:hAnsi="Times New Roman" w:eastAsia="宋体" w:cs="Times New Roman"/>
                      <w:sz w:val="22"/>
                      <w:szCs w:val="22"/>
                      <w:highlight w:val="none"/>
                      <w:lang w:val="en-US" w:eastAsia="zh-CN"/>
                    </w:rPr>
                    <w:t>77369</w:t>
                  </w:r>
                  <w:r>
                    <w:rPr>
                      <w:rFonts w:hint="default" w:ascii="Times New Roman" w:hAnsi="Times New Roman" w:eastAsia="宋体" w:cs="Times New Roman"/>
                      <w:sz w:val="22"/>
                      <w:szCs w:val="22"/>
                      <w:highlight w:val="none"/>
                      <w:lang w:val="en-US" w:eastAsia="zh-CN"/>
                    </w:rPr>
                    <w:t>°</w:t>
                  </w:r>
                </w:p>
              </w:tc>
              <w:tc>
                <w:tcPr>
                  <w:tcW w:w="791" w:type="dxa"/>
                  <w:tcBorders>
                    <w:tl2br w:val="nil"/>
                    <w:tr2bl w:val="nil"/>
                  </w:tcBorders>
                  <w:shd w:val="clear" w:color="auto" w:fill="auto"/>
                  <w:vAlign w:val="center"/>
                </w:tcPr>
                <w:p w14:paraId="6AB79591">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21.5m</w:t>
                  </w:r>
                </w:p>
              </w:tc>
              <w:tc>
                <w:tcPr>
                  <w:tcW w:w="791" w:type="dxa"/>
                  <w:tcBorders>
                    <w:tl2br w:val="nil"/>
                    <w:tr2bl w:val="nil"/>
                  </w:tcBorders>
                  <w:shd w:val="clear" w:color="auto" w:fill="auto"/>
                  <w:vAlign w:val="center"/>
                </w:tcPr>
                <w:p w14:paraId="49089906">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0.2m</w:t>
                  </w:r>
                </w:p>
              </w:tc>
              <w:tc>
                <w:tcPr>
                  <w:tcW w:w="791" w:type="dxa"/>
                  <w:tcBorders>
                    <w:tl2br w:val="nil"/>
                    <w:tr2bl w:val="nil"/>
                  </w:tcBorders>
                  <w:shd w:val="clear" w:color="auto" w:fill="auto"/>
                  <w:vAlign w:val="center"/>
                </w:tcPr>
                <w:p w14:paraId="444B3CA1">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25℃</w:t>
                  </w:r>
                </w:p>
              </w:tc>
              <w:tc>
                <w:tcPr>
                  <w:tcW w:w="792" w:type="dxa"/>
                  <w:tcBorders>
                    <w:tl2br w:val="nil"/>
                    <w:tr2bl w:val="nil"/>
                  </w:tcBorders>
                  <w:shd w:val="clear" w:color="auto" w:fill="auto"/>
                  <w:vAlign w:val="center"/>
                </w:tcPr>
                <w:p w14:paraId="21A35DC7">
                  <w:pPr>
                    <w:adjustRightInd w:val="0"/>
                    <w:jc w:val="center"/>
                    <w:rPr>
                      <w:rFonts w:hint="default" w:ascii="Times New Roman" w:hAnsi="Times New Roman" w:eastAsia="宋体" w:cs="Times New Roman"/>
                      <w:sz w:val="22"/>
                      <w:szCs w:val="22"/>
                      <w:highlight w:val="none"/>
                      <w:lang w:val="en-US" w:eastAsia="zh-CN"/>
                    </w:rPr>
                  </w:pPr>
                  <w:r>
                    <w:rPr>
                      <w:rFonts w:hint="eastAsia" w:cs="Times New Roman"/>
                      <w:sz w:val="22"/>
                      <w:szCs w:val="22"/>
                      <w:highlight w:val="none"/>
                      <w:lang w:val="en-US" w:eastAsia="zh-CN"/>
                    </w:rPr>
                    <w:t>2</w:t>
                  </w:r>
                  <w:r>
                    <w:rPr>
                      <w:rFonts w:hint="default" w:ascii="Times New Roman" w:hAnsi="Times New Roman" w:eastAsia="宋体" w:cs="Times New Roman"/>
                      <w:sz w:val="22"/>
                      <w:szCs w:val="22"/>
                      <w:highlight w:val="none"/>
                      <w:lang w:val="en-US" w:eastAsia="zh-CN"/>
                    </w:rPr>
                    <w:t>000</w:t>
                  </w:r>
                </w:p>
              </w:tc>
            </w:tr>
          </w:tbl>
          <w:p w14:paraId="0F198D56">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（4）废气治理措施可行性分析</w:t>
            </w:r>
          </w:p>
          <w:p w14:paraId="45513D33">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eastAsia" w:eastAsia="宋体" w:cs="Times New Roman"/>
                <w:color w:val="auto"/>
                <w:sz w:val="24"/>
                <w:highlight w:val="none"/>
                <w:lang w:val="en-US" w:eastAsia="zh-CN"/>
              </w:rPr>
              <w:t>干式过滤器采用三级过滤，分别用酸碱浸渍处理的吸附剂吸收碱性、酸性废气、用活性炭吸附挥发性有机物，</w:t>
            </w:r>
            <w:r>
              <w:rPr>
                <w:rFonts w:hint="default" w:ascii="Times New Roman" w:hAnsi="Times New Roman" w:eastAsia="宋体" w:cs="Times New Roman"/>
                <w:color w:val="auto"/>
                <w:sz w:val="24"/>
                <w:highlight w:val="none"/>
                <w:lang w:val="en-US" w:eastAsia="zh-CN"/>
              </w:rPr>
              <w:t>吸附剂是一种具有大比表面积的固体颗粒无机物，当被净化气体中的酸</w:t>
            </w:r>
            <w:r>
              <w:rPr>
                <w:rFonts w:hint="eastAsia" w:eastAsia="宋体" w:cs="Times New Roman"/>
                <w:color w:val="auto"/>
                <w:sz w:val="24"/>
                <w:highlight w:val="none"/>
                <w:lang w:val="en-US" w:eastAsia="zh-CN"/>
              </w:rPr>
              <w:t>碱</w:t>
            </w:r>
            <w:r>
              <w:rPr>
                <w:rFonts w:hint="default" w:ascii="Times New Roman" w:hAnsi="Times New Roman" w:eastAsia="宋体" w:cs="Times New Roman"/>
                <w:color w:val="auto"/>
                <w:sz w:val="24"/>
                <w:highlight w:val="none"/>
                <w:lang w:val="en-US" w:eastAsia="zh-CN"/>
              </w:rPr>
              <w:t>气体扩散到吸附剂表面的吸附力场时，固定在其表面，然后与其中的活性成分发生化学反应，生成新的中性盐类物质，储存在吸附剂的结构</w:t>
            </w:r>
            <w:r>
              <w:rPr>
                <w:rFonts w:hint="eastAsia"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吸附剂净化酸</w:t>
            </w:r>
            <w:r>
              <w:rPr>
                <w:rFonts w:hint="eastAsia" w:eastAsia="宋体" w:cs="Times New Roman"/>
                <w:color w:val="auto"/>
                <w:sz w:val="24"/>
                <w:highlight w:val="none"/>
                <w:lang w:val="en-US" w:eastAsia="zh-CN"/>
              </w:rPr>
              <w:t>碱</w:t>
            </w:r>
            <w:r>
              <w:rPr>
                <w:rFonts w:hint="default" w:ascii="Times New Roman" w:hAnsi="Times New Roman" w:eastAsia="宋体" w:cs="Times New Roman"/>
                <w:color w:val="auto"/>
                <w:sz w:val="24"/>
                <w:highlight w:val="none"/>
                <w:lang w:val="en-US" w:eastAsia="zh-CN"/>
              </w:rPr>
              <w:t>气体是一种多功能的综合功能，除了一般的物理吸附外，还包括化学吸附、颗粒吸附、催化和化学反应。</w:t>
            </w:r>
            <w:r>
              <w:rPr>
                <w:rFonts w:hint="default" w:ascii="Times New Roman" w:hAnsi="Times New Roman" w:eastAsia="宋体" w:cs="Times New Roman"/>
                <w:color w:val="auto"/>
                <w:sz w:val="24"/>
                <w:highlight w:val="none"/>
              </w:rPr>
              <w:t>活性炭吸附原理</w:t>
            </w:r>
            <w:r>
              <w:rPr>
                <w:rFonts w:hint="default" w:ascii="Times New Roman" w:hAnsi="Times New Roman" w:eastAsia="宋体" w:cs="Times New Roman"/>
                <w:color w:val="auto"/>
                <w:sz w:val="24"/>
                <w:highlight w:val="none"/>
                <w:lang w:val="en-US" w:eastAsia="zh-CN"/>
              </w:rPr>
              <w:t>是</w:t>
            </w:r>
            <w:r>
              <w:rPr>
                <w:rFonts w:hint="default" w:ascii="Times New Roman" w:hAnsi="Times New Roman" w:eastAsia="宋体" w:cs="Times New Roman"/>
                <w:color w:val="auto"/>
                <w:sz w:val="24"/>
                <w:highlight w:val="none"/>
              </w:rPr>
              <w:t>当废气由风机提供动力，负压进入吸附箱后进入活性炭吸附层，由于活性炭吸附剂表面上存在着未平衡和未饱和的分子引力或化学键力，因此，当活性炭吸附剂的表面与气体接触时，就能吸引气体分子，使其浓聚并保持在活性炭表面，此现象称为吸附。利用活性炭吸附剂表面的吸附能力，使废气与大表面的多孔性活性炭吸附剂相接触，废气中的污染物被吸附在活性炭表面上，使其与其他混合物分离，净化后的气体高空排放。《实验室挥发性有机物污染防治技术规范》（DB11/T1736-2020）（2020年10月01日实施）中</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7.1.2 吸附法可采用活性炭、活性炭纤维、分子筛等作为吸附介质</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《排污许可证申请与核发技术规范 总则》（HJ 942-2018）“4.5.2.1 废气产排污环节、污染物种类、排放形式及污染治理设施”中有“废气污染治理设施工艺包括有机废气收集治理设施（吸附）及其他废气收集处理设施（活性炭吸附）”等。</w:t>
            </w:r>
          </w:p>
          <w:p w14:paraId="6F730185">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喷淋塔是一种常用于工业废气治理的设备，其工作原理是利用喷淋水与废气之间的接触与反应，实现废气中污染物的降解与分离。通过合理的设计和操作，可以实现高效的环保排放。喷淋塔的主要工作原理包括吸附、溶解、冲刷和分离四个过程。吸附过程：废气通过喷淋塔底部进入，首先与喷淋水接触，废气中的颗粒物、污染物会被水滴吸附到水中，从而净化废气。 溶解过程：废气中的气态污染物在与水滴接触的同时，会发生物理吸收和化学反应，部分污染物会溶解到水中。冲刷过程：废气与水滴的接触会产生冲击、碰撞等力，使得废气中的污染物更好地与水滴接触，并促进溶解和吸附过程。此外，喷淋水会形成水幕，通过不断的冲刷作用，将废气中的污染物彻底清洗。分离过程：经过喷淋塔处理后的废气进入塔顶，经过集气板的引导，使废气与水滴进一步分离，形成液滴状。接下来，废气从塔顶排出，而水滴则回流回底部，循环使用。</w:t>
            </w:r>
          </w:p>
          <w:p w14:paraId="396FA795">
            <w:pPr>
              <w:adjustRightIn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2025年《国家污染防治技术指导目录》把烧结机头（球团）烟气袋式除尘技术列为鼓励类技术，《排污许可证申请与核发技术规范 陶瓷砖瓦工业》把“袋式除尘”列为污染防治可行性技术。</w:t>
            </w:r>
          </w:p>
          <w:p w14:paraId="5B866C79">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综上，本项目废气治理设施</w:t>
            </w:r>
            <w:r>
              <w:rPr>
                <w:rFonts w:hint="eastAsia" w:ascii="Times New Roman" w:hAnsi="Times New Roman" w:eastAsia="宋体" w:cs="Times New Roman"/>
                <w:color w:val="auto"/>
                <w:sz w:val="24"/>
                <w:highlight w:val="none"/>
                <w:lang w:val="en-US" w:eastAsia="zh-CN"/>
              </w:rPr>
              <w:t>分别采用袋式除尘器、喷淋塔、干式过滤器处理技术</w:t>
            </w:r>
            <w:r>
              <w:rPr>
                <w:rFonts w:hint="default" w:ascii="Times New Roman" w:hAnsi="Times New Roman" w:eastAsia="宋体" w:cs="Times New Roman"/>
                <w:color w:val="auto"/>
                <w:sz w:val="24"/>
                <w:highlight w:val="none"/>
                <w:lang w:val="en-US" w:eastAsia="zh-CN"/>
              </w:rPr>
              <w:t>属于可行性技术。</w:t>
            </w:r>
          </w:p>
          <w:p w14:paraId="507F9A55">
            <w:pPr>
              <w:numPr>
                <w:ilvl w:val="0"/>
                <w:numId w:val="34"/>
              </w:numPr>
              <w:adjustRightInd w:val="0"/>
              <w:snapToGrid w:val="0"/>
              <w:spacing w:line="360" w:lineRule="auto"/>
              <w:ind w:left="0" w:leftChars="0"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废气达标排分析</w:t>
            </w:r>
          </w:p>
          <w:p w14:paraId="10393CA5">
            <w:pPr>
              <w:numPr>
                <w:ilvl w:val="0"/>
                <w:numId w:val="49"/>
              </w:numPr>
              <w:adjustRightInd w:val="0"/>
              <w:snapToGrid w:val="0"/>
              <w:spacing w:line="360" w:lineRule="auto"/>
              <w:ind w:left="0" w:leftChars="0"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有组织排放分析</w:t>
            </w:r>
          </w:p>
          <w:p w14:paraId="6F58BEDF">
            <w:pPr>
              <w:numPr>
                <w:ilvl w:val="0"/>
                <w:numId w:val="48"/>
              </w:numPr>
              <w:adjustRightInd w:val="0"/>
              <w:snapToGrid w:val="0"/>
              <w:spacing w:line="360" w:lineRule="auto"/>
              <w:ind w:left="425" w:leftChars="0" w:hanging="425" w:firstLineChars="0"/>
              <w:jc w:val="center"/>
              <w:rPr>
                <w:rFonts w:hint="default" w:ascii="Times New Roman" w:hAnsi="Times New Roman" w:eastAsia="宋体" w:cs="Times New Roman"/>
              </w:rPr>
            </w:pPr>
            <w:r>
              <w:rPr>
                <w:rFonts w:hint="default" w:ascii="Times New Roman" w:hAnsi="Times New Roman" w:eastAsia="宋体" w:cs="Times New Roman"/>
                <w:b/>
                <w:bCs/>
                <w:color w:val="000000"/>
                <w:kern w:val="0"/>
                <w:sz w:val="24"/>
                <w:szCs w:val="24"/>
                <w:lang w:val="en-US" w:eastAsia="zh-CN" w:bidi="ar"/>
              </w:rPr>
              <w:t>本项目有组织废气达标排放情况</w:t>
            </w:r>
          </w:p>
          <w:tbl>
            <w:tblPr>
              <w:tblStyle w:val="18"/>
              <w:tblW w:w="7626" w:type="dxa"/>
              <w:tblInd w:w="-53"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8"/>
              <w:gridCol w:w="923"/>
              <w:gridCol w:w="928"/>
              <w:gridCol w:w="861"/>
              <w:gridCol w:w="808"/>
              <w:gridCol w:w="883"/>
              <w:gridCol w:w="709"/>
              <w:gridCol w:w="949"/>
              <w:gridCol w:w="667"/>
            </w:tblGrid>
            <w:tr w14:paraId="589C67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8" w:type="dxa"/>
                  <w:vMerge w:val="restart"/>
                  <w:tcBorders>
                    <w:tl2br w:val="nil"/>
                    <w:tr2bl w:val="nil"/>
                  </w:tcBorders>
                  <w:vAlign w:val="center"/>
                </w:tcPr>
                <w:p w14:paraId="6E25B71A">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排气筒</w:t>
                  </w:r>
                </w:p>
              </w:tc>
              <w:tc>
                <w:tcPr>
                  <w:tcW w:w="923" w:type="dxa"/>
                  <w:vMerge w:val="restart"/>
                  <w:tcBorders>
                    <w:tl2br w:val="nil"/>
                    <w:tr2bl w:val="nil"/>
                  </w:tcBorders>
                  <w:vAlign w:val="center"/>
                </w:tcPr>
                <w:p w14:paraId="731C4119">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排气量m</w:t>
                  </w:r>
                  <w:r>
                    <w:rPr>
                      <w:rFonts w:hint="default" w:ascii="Times New Roman" w:hAnsi="Times New Roman" w:eastAsia="宋体" w:cs="Times New Roman"/>
                      <w:b/>
                      <w:bCs/>
                      <w:sz w:val="22"/>
                      <w:szCs w:val="22"/>
                      <w:highlight w:val="none"/>
                      <w:vertAlign w:val="superscript"/>
                      <w:lang w:val="en-US" w:eastAsia="zh-CN"/>
                    </w:rPr>
                    <w:t>3</w:t>
                  </w:r>
                  <w:r>
                    <w:rPr>
                      <w:rFonts w:hint="default" w:ascii="Times New Roman" w:hAnsi="Times New Roman" w:eastAsia="宋体" w:cs="Times New Roman"/>
                      <w:b/>
                      <w:bCs/>
                      <w:sz w:val="22"/>
                      <w:szCs w:val="22"/>
                      <w:highlight w:val="none"/>
                      <w:lang w:val="en-US" w:eastAsia="zh-CN"/>
                    </w:rPr>
                    <w:t>/h</w:t>
                  </w:r>
                </w:p>
              </w:tc>
              <w:tc>
                <w:tcPr>
                  <w:tcW w:w="928" w:type="dxa"/>
                  <w:vMerge w:val="restart"/>
                  <w:tcBorders>
                    <w:tl2br w:val="nil"/>
                    <w:tr2bl w:val="nil"/>
                  </w:tcBorders>
                  <w:vAlign w:val="center"/>
                </w:tcPr>
                <w:p w14:paraId="40BAB64B">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污染物名称</w:t>
                  </w:r>
                </w:p>
              </w:tc>
              <w:tc>
                <w:tcPr>
                  <w:tcW w:w="1669" w:type="dxa"/>
                  <w:gridSpan w:val="2"/>
                  <w:tcBorders>
                    <w:tl2br w:val="nil"/>
                    <w:tr2bl w:val="nil"/>
                  </w:tcBorders>
                  <w:vAlign w:val="center"/>
                </w:tcPr>
                <w:p w14:paraId="0488A5DB">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排放情况</w:t>
                  </w:r>
                </w:p>
              </w:tc>
              <w:tc>
                <w:tcPr>
                  <w:tcW w:w="1592" w:type="dxa"/>
                  <w:gridSpan w:val="2"/>
                  <w:tcBorders>
                    <w:tl2br w:val="nil"/>
                    <w:tr2bl w:val="nil"/>
                  </w:tcBorders>
                  <w:vAlign w:val="center"/>
                </w:tcPr>
                <w:p w14:paraId="1D658A82">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执行标准</w:t>
                  </w:r>
                </w:p>
              </w:tc>
              <w:tc>
                <w:tcPr>
                  <w:tcW w:w="949" w:type="dxa"/>
                  <w:vMerge w:val="restart"/>
                  <w:tcBorders>
                    <w:tl2br w:val="nil"/>
                    <w:tr2bl w:val="nil"/>
                  </w:tcBorders>
                  <w:vAlign w:val="center"/>
                </w:tcPr>
                <w:p w14:paraId="2E1859D9">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标准</w:t>
                  </w:r>
                </w:p>
                <w:p w14:paraId="7FBABFE4">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名称</w:t>
                  </w:r>
                </w:p>
              </w:tc>
              <w:tc>
                <w:tcPr>
                  <w:tcW w:w="667" w:type="dxa"/>
                  <w:vMerge w:val="restart"/>
                  <w:tcBorders>
                    <w:tl2br w:val="nil"/>
                    <w:tr2bl w:val="nil"/>
                  </w:tcBorders>
                  <w:vAlign w:val="center"/>
                </w:tcPr>
                <w:p w14:paraId="4018EF01">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达标情况</w:t>
                  </w:r>
                </w:p>
              </w:tc>
            </w:tr>
            <w:tr w14:paraId="1405134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8" w:type="dxa"/>
                  <w:vMerge w:val="continue"/>
                  <w:tcBorders>
                    <w:tl2br w:val="nil"/>
                    <w:tr2bl w:val="nil"/>
                  </w:tcBorders>
                  <w:vAlign w:val="center"/>
                </w:tcPr>
                <w:p w14:paraId="2D4DE896">
                  <w:pPr>
                    <w:adjustRightInd w:val="0"/>
                    <w:snapToGrid w:val="0"/>
                    <w:spacing w:line="360" w:lineRule="auto"/>
                    <w:jc w:val="center"/>
                    <w:rPr>
                      <w:rFonts w:hint="default" w:ascii="Times New Roman" w:hAnsi="Times New Roman" w:eastAsia="宋体" w:cs="Times New Roman"/>
                      <w:sz w:val="22"/>
                      <w:szCs w:val="22"/>
                      <w:highlight w:val="none"/>
                      <w:vertAlign w:val="baseline"/>
                      <w:lang w:val="en-US" w:eastAsia="zh-CN"/>
                    </w:rPr>
                  </w:pPr>
                </w:p>
              </w:tc>
              <w:tc>
                <w:tcPr>
                  <w:tcW w:w="923" w:type="dxa"/>
                  <w:vMerge w:val="continue"/>
                  <w:tcBorders>
                    <w:tl2br w:val="nil"/>
                    <w:tr2bl w:val="nil"/>
                  </w:tcBorders>
                  <w:vAlign w:val="center"/>
                </w:tcPr>
                <w:p w14:paraId="39AA4467">
                  <w:pPr>
                    <w:adjustRightInd w:val="0"/>
                    <w:snapToGrid w:val="0"/>
                    <w:spacing w:line="360" w:lineRule="auto"/>
                    <w:jc w:val="center"/>
                    <w:rPr>
                      <w:rFonts w:hint="default" w:ascii="Times New Roman" w:hAnsi="Times New Roman" w:eastAsia="宋体" w:cs="Times New Roman"/>
                      <w:sz w:val="22"/>
                      <w:szCs w:val="22"/>
                      <w:highlight w:val="none"/>
                      <w:vertAlign w:val="baseline"/>
                      <w:lang w:val="en-US" w:eastAsia="zh-CN"/>
                    </w:rPr>
                  </w:pPr>
                </w:p>
              </w:tc>
              <w:tc>
                <w:tcPr>
                  <w:tcW w:w="928" w:type="dxa"/>
                  <w:vMerge w:val="continue"/>
                  <w:tcBorders>
                    <w:tl2br w:val="nil"/>
                    <w:tr2bl w:val="nil"/>
                  </w:tcBorders>
                  <w:vAlign w:val="center"/>
                </w:tcPr>
                <w:p w14:paraId="60826577">
                  <w:pPr>
                    <w:adjustRightInd w:val="0"/>
                    <w:snapToGrid w:val="0"/>
                    <w:spacing w:line="360" w:lineRule="auto"/>
                    <w:jc w:val="center"/>
                    <w:rPr>
                      <w:rFonts w:hint="default" w:ascii="Times New Roman" w:hAnsi="Times New Roman" w:eastAsia="宋体" w:cs="Times New Roman"/>
                      <w:sz w:val="22"/>
                      <w:szCs w:val="22"/>
                      <w:highlight w:val="none"/>
                      <w:vertAlign w:val="baseline"/>
                      <w:lang w:val="en-US" w:eastAsia="zh-CN"/>
                    </w:rPr>
                  </w:pPr>
                </w:p>
              </w:tc>
              <w:tc>
                <w:tcPr>
                  <w:tcW w:w="861" w:type="dxa"/>
                  <w:tcBorders>
                    <w:tl2br w:val="nil"/>
                    <w:tr2bl w:val="nil"/>
                  </w:tcBorders>
                  <w:vAlign w:val="center"/>
                </w:tcPr>
                <w:p w14:paraId="19FD2407">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浓度mg/m</w:t>
                  </w:r>
                  <w:r>
                    <w:rPr>
                      <w:rFonts w:hint="default" w:ascii="Times New Roman" w:hAnsi="Times New Roman" w:eastAsia="宋体" w:cs="Times New Roman"/>
                      <w:b/>
                      <w:bCs/>
                      <w:sz w:val="22"/>
                      <w:szCs w:val="22"/>
                      <w:highlight w:val="none"/>
                      <w:vertAlign w:val="superscript"/>
                      <w:lang w:val="en-US" w:eastAsia="zh-CN"/>
                    </w:rPr>
                    <w:t>3</w:t>
                  </w:r>
                </w:p>
              </w:tc>
              <w:tc>
                <w:tcPr>
                  <w:tcW w:w="808" w:type="dxa"/>
                  <w:tcBorders>
                    <w:tl2br w:val="nil"/>
                    <w:tr2bl w:val="nil"/>
                  </w:tcBorders>
                  <w:vAlign w:val="center"/>
                </w:tcPr>
                <w:p w14:paraId="5BFFCE15">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速率kg/h</w:t>
                  </w:r>
                </w:p>
              </w:tc>
              <w:tc>
                <w:tcPr>
                  <w:tcW w:w="883" w:type="dxa"/>
                  <w:tcBorders>
                    <w:tl2br w:val="nil"/>
                    <w:tr2bl w:val="nil"/>
                  </w:tcBorders>
                  <w:shd w:val="clear" w:color="auto" w:fill="auto"/>
                  <w:vAlign w:val="center"/>
                </w:tcPr>
                <w:p w14:paraId="385DFB61">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浓度mg/m</w:t>
                  </w:r>
                  <w:r>
                    <w:rPr>
                      <w:rFonts w:hint="default" w:ascii="Times New Roman" w:hAnsi="Times New Roman" w:eastAsia="宋体" w:cs="Times New Roman"/>
                      <w:b/>
                      <w:bCs/>
                      <w:sz w:val="22"/>
                      <w:szCs w:val="22"/>
                      <w:highlight w:val="none"/>
                      <w:vertAlign w:val="superscript"/>
                      <w:lang w:val="en-US" w:eastAsia="zh-CN"/>
                    </w:rPr>
                    <w:t>3</w:t>
                  </w:r>
                </w:p>
              </w:tc>
              <w:tc>
                <w:tcPr>
                  <w:tcW w:w="709" w:type="dxa"/>
                  <w:tcBorders>
                    <w:tl2br w:val="nil"/>
                    <w:tr2bl w:val="nil"/>
                  </w:tcBorders>
                  <w:shd w:val="clear" w:color="auto" w:fill="auto"/>
                  <w:vAlign w:val="center"/>
                </w:tcPr>
                <w:p w14:paraId="4A773552">
                  <w:pPr>
                    <w:adjustRightInd w:val="0"/>
                    <w:jc w:val="center"/>
                    <w:rPr>
                      <w:rFonts w:hint="default" w:ascii="Times New Roman" w:hAnsi="Times New Roman" w:eastAsia="宋体" w:cs="Times New Roman"/>
                      <w:b/>
                      <w:bCs/>
                      <w:sz w:val="22"/>
                      <w:szCs w:val="22"/>
                      <w:highlight w:val="none"/>
                      <w:lang w:val="en-US" w:eastAsia="zh-CN"/>
                    </w:rPr>
                  </w:pPr>
                  <w:r>
                    <w:rPr>
                      <w:rFonts w:hint="default" w:ascii="Times New Roman" w:hAnsi="Times New Roman" w:eastAsia="宋体" w:cs="Times New Roman"/>
                      <w:b/>
                      <w:bCs/>
                      <w:sz w:val="22"/>
                      <w:szCs w:val="22"/>
                      <w:highlight w:val="none"/>
                      <w:lang w:val="en-US" w:eastAsia="zh-CN"/>
                    </w:rPr>
                    <w:t>速率kg/h</w:t>
                  </w:r>
                </w:p>
              </w:tc>
              <w:tc>
                <w:tcPr>
                  <w:tcW w:w="949" w:type="dxa"/>
                  <w:vMerge w:val="continue"/>
                  <w:tcBorders>
                    <w:tl2br w:val="nil"/>
                    <w:tr2bl w:val="nil"/>
                  </w:tcBorders>
                  <w:vAlign w:val="center"/>
                </w:tcPr>
                <w:p w14:paraId="7EE272DE">
                  <w:pPr>
                    <w:adjustRightInd w:val="0"/>
                    <w:snapToGrid w:val="0"/>
                    <w:spacing w:line="360" w:lineRule="auto"/>
                    <w:jc w:val="center"/>
                    <w:rPr>
                      <w:rFonts w:hint="default" w:ascii="Times New Roman" w:hAnsi="Times New Roman" w:eastAsia="宋体" w:cs="Times New Roman"/>
                      <w:sz w:val="22"/>
                      <w:szCs w:val="22"/>
                      <w:highlight w:val="none"/>
                      <w:vertAlign w:val="baseline"/>
                      <w:lang w:val="en-US" w:eastAsia="zh-CN"/>
                    </w:rPr>
                  </w:pPr>
                </w:p>
              </w:tc>
              <w:tc>
                <w:tcPr>
                  <w:tcW w:w="667" w:type="dxa"/>
                  <w:vMerge w:val="continue"/>
                  <w:tcBorders>
                    <w:tl2br w:val="nil"/>
                    <w:tr2bl w:val="nil"/>
                  </w:tcBorders>
                  <w:vAlign w:val="center"/>
                </w:tcPr>
                <w:p w14:paraId="687F39C5">
                  <w:pPr>
                    <w:adjustRightInd w:val="0"/>
                    <w:snapToGrid w:val="0"/>
                    <w:spacing w:line="360" w:lineRule="auto"/>
                    <w:jc w:val="center"/>
                    <w:rPr>
                      <w:rFonts w:hint="default" w:ascii="Times New Roman" w:hAnsi="Times New Roman" w:eastAsia="宋体" w:cs="Times New Roman"/>
                      <w:sz w:val="22"/>
                      <w:szCs w:val="22"/>
                      <w:highlight w:val="none"/>
                      <w:vertAlign w:val="baseline"/>
                      <w:lang w:val="en-US" w:eastAsia="zh-CN"/>
                    </w:rPr>
                  </w:pPr>
                </w:p>
              </w:tc>
            </w:tr>
            <w:tr w14:paraId="4050980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8" w:type="dxa"/>
                  <w:vMerge w:val="restart"/>
                  <w:tcBorders>
                    <w:tl2br w:val="nil"/>
                    <w:tr2bl w:val="nil"/>
                  </w:tcBorders>
                  <w:vAlign w:val="center"/>
                </w:tcPr>
                <w:p w14:paraId="2D62C29C">
                  <w:pPr>
                    <w:adjustRightInd w:val="0"/>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DA001</w:t>
                  </w:r>
                </w:p>
              </w:tc>
              <w:tc>
                <w:tcPr>
                  <w:tcW w:w="923" w:type="dxa"/>
                  <w:vMerge w:val="restart"/>
                  <w:tcBorders>
                    <w:tl2br w:val="nil"/>
                    <w:tr2bl w:val="nil"/>
                  </w:tcBorders>
                  <w:shd w:val="clear" w:color="auto" w:fill="auto"/>
                  <w:vAlign w:val="center"/>
                </w:tcPr>
                <w:p w14:paraId="3F5A6A44">
                  <w:pPr>
                    <w:adjustRightInd w:val="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w:t>
                  </w:r>
                  <w:r>
                    <w:rPr>
                      <w:rFonts w:hint="default" w:ascii="Times New Roman" w:hAnsi="Times New Roman" w:eastAsia="宋体" w:cs="Times New Roman"/>
                      <w:color w:val="auto"/>
                      <w:sz w:val="18"/>
                      <w:szCs w:val="18"/>
                      <w:highlight w:val="none"/>
                      <w:lang w:val="en-US" w:eastAsia="zh-CN"/>
                    </w:rPr>
                    <w:t>000</w:t>
                  </w:r>
                </w:p>
              </w:tc>
              <w:tc>
                <w:tcPr>
                  <w:tcW w:w="928" w:type="dxa"/>
                  <w:tcBorders>
                    <w:tl2br w:val="nil"/>
                    <w:tr2bl w:val="nil"/>
                  </w:tcBorders>
                  <w:vAlign w:val="center"/>
                </w:tcPr>
                <w:p w14:paraId="3549C259">
                  <w:pPr>
                    <w:adjustRightInd w:val="0"/>
                    <w:snapToGrid w:val="0"/>
                    <w:spacing w:line="240" w:lineRule="auto"/>
                    <w:jc w:val="cente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颗粒物</w:t>
                  </w:r>
                </w:p>
              </w:tc>
              <w:tc>
                <w:tcPr>
                  <w:tcW w:w="861" w:type="dxa"/>
                  <w:tcBorders>
                    <w:tl2br w:val="nil"/>
                    <w:tr2bl w:val="nil"/>
                  </w:tcBorders>
                  <w:shd w:val="clear" w:color="auto" w:fill="auto"/>
                  <w:vAlign w:val="center"/>
                </w:tcPr>
                <w:p w14:paraId="4B6B9AF1">
                  <w:pPr>
                    <w:adjustRightInd w:val="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b w:val="0"/>
                      <w:bCs w:val="0"/>
                      <w:sz w:val="18"/>
                      <w:szCs w:val="18"/>
                      <w:highlight w:val="none"/>
                      <w:lang w:val="en-US" w:eastAsia="zh-CN"/>
                    </w:rPr>
                    <w:t>0.08</w:t>
                  </w:r>
                </w:p>
              </w:tc>
              <w:tc>
                <w:tcPr>
                  <w:tcW w:w="808" w:type="dxa"/>
                  <w:tcBorders>
                    <w:tl2br w:val="nil"/>
                    <w:tr2bl w:val="nil"/>
                  </w:tcBorders>
                  <w:shd w:val="clear" w:color="auto" w:fill="auto"/>
                  <w:vAlign w:val="center"/>
                </w:tcPr>
                <w:p w14:paraId="792534B0">
                  <w:pPr>
                    <w:adjustRightInd w:val="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b w:val="0"/>
                      <w:bCs w:val="0"/>
                      <w:sz w:val="18"/>
                      <w:szCs w:val="18"/>
                      <w:highlight w:val="none"/>
                      <w:lang w:val="en-US" w:eastAsia="zh-CN"/>
                    </w:rPr>
                    <w:t>0.00016</w:t>
                  </w:r>
                </w:p>
              </w:tc>
              <w:tc>
                <w:tcPr>
                  <w:tcW w:w="883" w:type="dxa"/>
                  <w:tcBorders>
                    <w:tl2br w:val="nil"/>
                    <w:tr2bl w:val="nil"/>
                  </w:tcBorders>
                  <w:vAlign w:val="center"/>
                </w:tcPr>
                <w:p w14:paraId="362797F6">
                  <w:pPr>
                    <w:jc w:val="cente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10</w:t>
                  </w:r>
                </w:p>
              </w:tc>
              <w:tc>
                <w:tcPr>
                  <w:tcW w:w="709" w:type="dxa"/>
                  <w:tcBorders>
                    <w:tl2br w:val="nil"/>
                    <w:tr2bl w:val="nil"/>
                  </w:tcBorders>
                  <w:vAlign w:val="center"/>
                </w:tcPr>
                <w:p w14:paraId="2BF5B6C5">
                  <w:pPr>
                    <w:keepNext w:val="0"/>
                    <w:keepLines w:val="0"/>
                    <w:widowControl/>
                    <w:suppressLineNumbers w:val="0"/>
                    <w:jc w:val="center"/>
                    <w:textAlignment w:val="center"/>
                    <w:rPr>
                      <w:rFonts w:hint="default" w:ascii="Times New Roman" w:hAnsi="Times New Roman" w:eastAsia="宋体" w:cs="Times New Roman"/>
                      <w:sz w:val="18"/>
                      <w:szCs w:val="18"/>
                      <w:highlight w:val="none"/>
                      <w:lang w:val="en-US" w:eastAsia="zh-CN"/>
                    </w:rPr>
                  </w:pPr>
                  <w:r>
                    <w:rPr>
                      <w:rFonts w:hint="eastAsia" w:cs="Times New Roman"/>
                      <w:i w:val="0"/>
                      <w:iCs w:val="0"/>
                      <w:color w:val="000000"/>
                      <w:kern w:val="0"/>
                      <w:sz w:val="18"/>
                      <w:szCs w:val="18"/>
                      <w:highlight w:val="none"/>
                      <w:u w:val="none"/>
                      <w:lang w:val="en-US" w:eastAsia="zh-CN" w:bidi="ar"/>
                    </w:rPr>
                    <w:t>0.95</w:t>
                  </w:r>
                </w:p>
              </w:tc>
              <w:tc>
                <w:tcPr>
                  <w:tcW w:w="949" w:type="dxa"/>
                  <w:vMerge w:val="restart"/>
                  <w:tcBorders>
                    <w:tl2br w:val="nil"/>
                    <w:tr2bl w:val="nil"/>
                  </w:tcBorders>
                  <w:vAlign w:val="center"/>
                </w:tcPr>
                <w:p w14:paraId="7F0CEF91">
                  <w:pPr>
                    <w:adjustRightInd w:val="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《大气污染物综合</w:t>
                  </w:r>
                </w:p>
                <w:p w14:paraId="5B3F5A54">
                  <w:pPr>
                    <w:adjustRightInd w:val="0"/>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排放标准》（DB11/501-2017）</w:t>
                  </w:r>
                </w:p>
              </w:tc>
              <w:tc>
                <w:tcPr>
                  <w:tcW w:w="667" w:type="dxa"/>
                  <w:tcBorders>
                    <w:tl2br w:val="nil"/>
                    <w:tr2bl w:val="nil"/>
                  </w:tcBorders>
                  <w:vAlign w:val="center"/>
                </w:tcPr>
                <w:p w14:paraId="597CBFED">
                  <w:pPr>
                    <w:keepNext w:val="0"/>
                    <w:keepLines w:val="0"/>
                    <w:widowControl/>
                    <w:suppressLineNumbers w:val="0"/>
                    <w:jc w:val="center"/>
                    <w:textAlignment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达标</w:t>
                  </w:r>
                </w:p>
              </w:tc>
            </w:tr>
            <w:tr w14:paraId="1D70454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8" w:type="dxa"/>
                  <w:vMerge w:val="continue"/>
                  <w:tcBorders>
                    <w:tl2br w:val="nil"/>
                    <w:tr2bl w:val="nil"/>
                  </w:tcBorders>
                  <w:vAlign w:val="center"/>
                </w:tcPr>
                <w:p w14:paraId="170BA615">
                  <w:pPr>
                    <w:adjustRightInd w:val="0"/>
                    <w:jc w:val="center"/>
                    <w:rPr>
                      <w:rFonts w:hint="default" w:ascii="Times New Roman" w:hAnsi="Times New Roman" w:eastAsia="宋体" w:cs="Times New Roman"/>
                      <w:sz w:val="18"/>
                      <w:szCs w:val="18"/>
                      <w:highlight w:val="none"/>
                      <w:lang w:val="en-US" w:eastAsia="zh-CN"/>
                    </w:rPr>
                  </w:pPr>
                </w:p>
              </w:tc>
              <w:tc>
                <w:tcPr>
                  <w:tcW w:w="923" w:type="dxa"/>
                  <w:vMerge w:val="continue"/>
                  <w:tcBorders>
                    <w:tl2br w:val="nil"/>
                    <w:tr2bl w:val="nil"/>
                  </w:tcBorders>
                  <w:shd w:val="clear" w:color="auto" w:fill="auto"/>
                  <w:vAlign w:val="center"/>
                </w:tcPr>
                <w:p w14:paraId="2168EEC1">
                  <w:pPr>
                    <w:adjustRightInd w:val="0"/>
                    <w:jc w:val="center"/>
                    <w:rPr>
                      <w:rFonts w:hint="default" w:ascii="Times New Roman" w:hAnsi="Times New Roman" w:eastAsia="宋体" w:cs="Times New Roman"/>
                      <w:color w:val="auto"/>
                      <w:sz w:val="18"/>
                      <w:szCs w:val="18"/>
                      <w:highlight w:val="none"/>
                      <w:lang w:val="en-US" w:eastAsia="zh-CN"/>
                    </w:rPr>
                  </w:pPr>
                </w:p>
              </w:tc>
              <w:tc>
                <w:tcPr>
                  <w:tcW w:w="928" w:type="dxa"/>
                  <w:tcBorders>
                    <w:tl2br w:val="nil"/>
                    <w:tr2bl w:val="nil"/>
                  </w:tcBorders>
                  <w:vAlign w:val="center"/>
                </w:tcPr>
                <w:p w14:paraId="490F97D4">
                  <w:pPr>
                    <w:adjustRightInd w:val="0"/>
                    <w:snapToGrid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kern w:val="2"/>
                      <w:sz w:val="18"/>
                      <w:szCs w:val="18"/>
                      <w:highlight w:val="none"/>
                      <w:lang w:val="en-US" w:eastAsia="zh-CN" w:bidi="ar-SA"/>
                    </w:rPr>
                    <w:t>镍及其化合物</w:t>
                  </w:r>
                </w:p>
              </w:tc>
              <w:tc>
                <w:tcPr>
                  <w:tcW w:w="861" w:type="dxa"/>
                  <w:tcBorders>
                    <w:tl2br w:val="nil"/>
                    <w:tr2bl w:val="nil"/>
                  </w:tcBorders>
                  <w:shd w:val="clear" w:color="auto" w:fill="auto"/>
                  <w:vAlign w:val="center"/>
                </w:tcPr>
                <w:p w14:paraId="1E4A52C5">
                  <w:pPr>
                    <w:adjustRightInd w:val="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b w:val="0"/>
                      <w:bCs w:val="0"/>
                      <w:sz w:val="18"/>
                      <w:szCs w:val="18"/>
                      <w:highlight w:val="none"/>
                      <w:lang w:val="en-US" w:eastAsia="zh-CN"/>
                    </w:rPr>
                    <w:t>0.021</w:t>
                  </w:r>
                </w:p>
              </w:tc>
              <w:tc>
                <w:tcPr>
                  <w:tcW w:w="808" w:type="dxa"/>
                  <w:tcBorders>
                    <w:tl2br w:val="nil"/>
                    <w:tr2bl w:val="nil"/>
                  </w:tcBorders>
                  <w:shd w:val="clear" w:color="auto" w:fill="auto"/>
                  <w:vAlign w:val="center"/>
                </w:tcPr>
                <w:p w14:paraId="5EF1C062">
                  <w:pPr>
                    <w:adjustRightInd w:val="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b w:val="0"/>
                      <w:bCs w:val="0"/>
                      <w:sz w:val="18"/>
                      <w:szCs w:val="18"/>
                      <w:highlight w:val="none"/>
                      <w:lang w:val="en-US" w:eastAsia="zh-CN"/>
                    </w:rPr>
                    <w:t>0.000043</w:t>
                  </w:r>
                </w:p>
              </w:tc>
              <w:tc>
                <w:tcPr>
                  <w:tcW w:w="883" w:type="dxa"/>
                  <w:tcBorders>
                    <w:tl2br w:val="nil"/>
                    <w:tr2bl w:val="nil"/>
                  </w:tcBorders>
                  <w:vAlign w:val="center"/>
                </w:tcPr>
                <w:p w14:paraId="46543CDE">
                  <w:pPr>
                    <w:jc w:val="cente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0.20</w:t>
                  </w:r>
                </w:p>
              </w:tc>
              <w:tc>
                <w:tcPr>
                  <w:tcW w:w="709" w:type="dxa"/>
                  <w:tcBorders>
                    <w:tl2br w:val="nil"/>
                    <w:tr2bl w:val="nil"/>
                  </w:tcBorders>
                  <w:vAlign w:val="center"/>
                </w:tcPr>
                <w:p w14:paraId="0E23DC4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0.065</w:t>
                  </w:r>
                </w:p>
              </w:tc>
              <w:tc>
                <w:tcPr>
                  <w:tcW w:w="949" w:type="dxa"/>
                  <w:vMerge w:val="continue"/>
                  <w:tcBorders>
                    <w:tl2br w:val="nil"/>
                    <w:tr2bl w:val="nil"/>
                  </w:tcBorders>
                  <w:vAlign w:val="center"/>
                </w:tcPr>
                <w:p w14:paraId="72FAAE7F">
                  <w:pPr>
                    <w:adjustRightInd w:val="0"/>
                    <w:jc w:val="center"/>
                    <w:rPr>
                      <w:rFonts w:hint="default" w:ascii="Times New Roman" w:hAnsi="Times New Roman" w:eastAsia="宋体" w:cs="Times New Roman"/>
                      <w:sz w:val="18"/>
                      <w:szCs w:val="18"/>
                      <w:highlight w:val="none"/>
                      <w:lang w:val="en-US" w:eastAsia="zh-CN"/>
                    </w:rPr>
                  </w:pPr>
                </w:p>
              </w:tc>
              <w:tc>
                <w:tcPr>
                  <w:tcW w:w="667" w:type="dxa"/>
                  <w:tcBorders>
                    <w:tl2br w:val="nil"/>
                    <w:tr2bl w:val="nil"/>
                  </w:tcBorders>
                  <w:vAlign w:val="center"/>
                </w:tcPr>
                <w:p w14:paraId="790EF05C">
                  <w:pPr>
                    <w:keepNext w:val="0"/>
                    <w:keepLines w:val="0"/>
                    <w:widowControl/>
                    <w:suppressLineNumbers w:val="0"/>
                    <w:jc w:val="center"/>
                    <w:textAlignment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达标</w:t>
                  </w:r>
                </w:p>
              </w:tc>
            </w:tr>
            <w:tr w14:paraId="1BA2713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8" w:type="dxa"/>
                  <w:vMerge w:val="restart"/>
                  <w:tcBorders>
                    <w:tl2br w:val="nil"/>
                    <w:tr2bl w:val="nil"/>
                  </w:tcBorders>
                  <w:vAlign w:val="center"/>
                </w:tcPr>
                <w:p w14:paraId="4B01CC7C">
                  <w:pPr>
                    <w:adjustRightInd w:val="0"/>
                    <w:jc w:val="cente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DA002</w:t>
                  </w:r>
                </w:p>
              </w:tc>
              <w:tc>
                <w:tcPr>
                  <w:tcW w:w="923" w:type="dxa"/>
                  <w:vMerge w:val="restart"/>
                  <w:tcBorders>
                    <w:tl2br w:val="nil"/>
                    <w:tr2bl w:val="nil"/>
                  </w:tcBorders>
                  <w:shd w:val="clear" w:color="auto" w:fill="auto"/>
                  <w:vAlign w:val="center"/>
                </w:tcPr>
                <w:p w14:paraId="245D21DB">
                  <w:pPr>
                    <w:adjustRightInd w:val="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5000</w:t>
                  </w:r>
                </w:p>
              </w:tc>
              <w:tc>
                <w:tcPr>
                  <w:tcW w:w="928" w:type="dxa"/>
                  <w:tcBorders>
                    <w:tl2br w:val="nil"/>
                    <w:tr2bl w:val="nil"/>
                  </w:tcBorders>
                  <w:vAlign w:val="center"/>
                </w:tcPr>
                <w:p w14:paraId="7526E462">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非甲烷总烃</w:t>
                  </w:r>
                </w:p>
              </w:tc>
              <w:tc>
                <w:tcPr>
                  <w:tcW w:w="861" w:type="dxa"/>
                  <w:tcBorders>
                    <w:tl2br w:val="nil"/>
                    <w:tr2bl w:val="nil"/>
                  </w:tcBorders>
                  <w:shd w:val="clear" w:color="auto" w:fill="auto"/>
                  <w:vAlign w:val="center"/>
                </w:tcPr>
                <w:p w14:paraId="1992DB0B">
                  <w:pPr>
                    <w:adjustRightInd w:val="0"/>
                    <w:jc w:val="center"/>
                    <w:rPr>
                      <w:rFonts w:hint="eastAsia" w:ascii="Times New Roman" w:hAnsi="Times New Roman" w:eastAsia="宋体" w:cs="Times New Roman"/>
                      <w:b w:val="0"/>
                      <w:bCs w:val="0"/>
                      <w:kern w:val="2"/>
                      <w:sz w:val="18"/>
                      <w:szCs w:val="18"/>
                      <w:highlight w:val="none"/>
                      <w:lang w:val="en-US" w:eastAsia="zh-CN" w:bidi="ar-SA"/>
                    </w:rPr>
                  </w:pPr>
                  <w:r>
                    <w:rPr>
                      <w:rFonts w:hint="eastAsia" w:cs="Times New Roman"/>
                      <w:b w:val="0"/>
                      <w:bCs w:val="0"/>
                      <w:sz w:val="18"/>
                      <w:szCs w:val="18"/>
                      <w:highlight w:val="none"/>
                      <w:lang w:val="en-US" w:eastAsia="zh-CN"/>
                    </w:rPr>
                    <w:t>19.54</w:t>
                  </w:r>
                </w:p>
              </w:tc>
              <w:tc>
                <w:tcPr>
                  <w:tcW w:w="808" w:type="dxa"/>
                  <w:tcBorders>
                    <w:tl2br w:val="nil"/>
                    <w:tr2bl w:val="nil"/>
                  </w:tcBorders>
                  <w:shd w:val="clear" w:color="auto" w:fill="auto"/>
                  <w:vAlign w:val="center"/>
                </w:tcPr>
                <w:p w14:paraId="27C231FE">
                  <w:pPr>
                    <w:adjustRightInd w:val="0"/>
                    <w:jc w:val="center"/>
                    <w:rPr>
                      <w:rFonts w:hint="eastAsia" w:ascii="Times New Roman" w:hAnsi="Times New Roman" w:eastAsia="宋体" w:cs="Times New Roman"/>
                      <w:b w:val="0"/>
                      <w:bCs w:val="0"/>
                      <w:kern w:val="2"/>
                      <w:sz w:val="18"/>
                      <w:szCs w:val="18"/>
                      <w:highlight w:val="none"/>
                      <w:lang w:val="en-US" w:eastAsia="zh-CN" w:bidi="ar-SA"/>
                    </w:rPr>
                  </w:pPr>
                  <w:r>
                    <w:rPr>
                      <w:rFonts w:hint="eastAsia" w:cs="Times New Roman"/>
                      <w:b w:val="0"/>
                      <w:bCs w:val="0"/>
                      <w:sz w:val="18"/>
                      <w:szCs w:val="18"/>
                      <w:highlight w:val="none"/>
                      <w:lang w:val="en-US" w:eastAsia="zh-CN"/>
                    </w:rPr>
                    <w:t>0.0977</w:t>
                  </w:r>
                </w:p>
              </w:tc>
              <w:tc>
                <w:tcPr>
                  <w:tcW w:w="883" w:type="dxa"/>
                  <w:tcBorders>
                    <w:tl2br w:val="nil"/>
                    <w:tr2bl w:val="nil"/>
                  </w:tcBorders>
                  <w:vAlign w:val="center"/>
                </w:tcPr>
                <w:p w14:paraId="431E1CA0">
                  <w:pPr>
                    <w:jc w:val="cente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50</w:t>
                  </w:r>
                </w:p>
              </w:tc>
              <w:tc>
                <w:tcPr>
                  <w:tcW w:w="709" w:type="dxa"/>
                  <w:tcBorders>
                    <w:tl2br w:val="nil"/>
                    <w:tr2bl w:val="nil"/>
                  </w:tcBorders>
                  <w:vAlign w:val="center"/>
                </w:tcPr>
                <w:p w14:paraId="1D52832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4.05</w:t>
                  </w:r>
                </w:p>
              </w:tc>
              <w:tc>
                <w:tcPr>
                  <w:tcW w:w="949" w:type="dxa"/>
                  <w:vMerge w:val="continue"/>
                  <w:tcBorders>
                    <w:tl2br w:val="nil"/>
                    <w:tr2bl w:val="nil"/>
                  </w:tcBorders>
                  <w:vAlign w:val="center"/>
                </w:tcPr>
                <w:p w14:paraId="424B34D6">
                  <w:pPr>
                    <w:adjustRightInd w:val="0"/>
                    <w:jc w:val="center"/>
                    <w:rPr>
                      <w:rFonts w:hint="default" w:ascii="Times New Roman" w:hAnsi="Times New Roman" w:eastAsia="宋体" w:cs="Times New Roman"/>
                      <w:sz w:val="18"/>
                      <w:szCs w:val="18"/>
                      <w:highlight w:val="none"/>
                      <w:lang w:val="en-US" w:eastAsia="zh-CN"/>
                    </w:rPr>
                  </w:pPr>
                </w:p>
              </w:tc>
              <w:tc>
                <w:tcPr>
                  <w:tcW w:w="667" w:type="dxa"/>
                  <w:tcBorders>
                    <w:tl2br w:val="nil"/>
                    <w:tr2bl w:val="nil"/>
                  </w:tcBorders>
                  <w:vAlign w:val="center"/>
                </w:tcPr>
                <w:p w14:paraId="16774D6A">
                  <w:pPr>
                    <w:keepNext w:val="0"/>
                    <w:keepLines w:val="0"/>
                    <w:widowControl/>
                    <w:suppressLineNumbers w:val="0"/>
                    <w:jc w:val="center"/>
                    <w:textAlignment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达标</w:t>
                  </w:r>
                </w:p>
              </w:tc>
            </w:tr>
            <w:tr w14:paraId="4823141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8" w:type="dxa"/>
                  <w:vMerge w:val="continue"/>
                  <w:tcBorders>
                    <w:tl2br w:val="nil"/>
                    <w:tr2bl w:val="nil"/>
                  </w:tcBorders>
                  <w:vAlign w:val="center"/>
                </w:tcPr>
                <w:p w14:paraId="00F9995F">
                  <w:pPr>
                    <w:adjustRightInd w:val="0"/>
                    <w:jc w:val="center"/>
                    <w:rPr>
                      <w:rFonts w:hint="default" w:ascii="Times New Roman" w:hAnsi="Times New Roman" w:eastAsia="宋体" w:cs="Times New Roman"/>
                      <w:sz w:val="18"/>
                      <w:szCs w:val="18"/>
                      <w:highlight w:val="none"/>
                      <w:lang w:val="en-US" w:eastAsia="zh-CN"/>
                    </w:rPr>
                  </w:pPr>
                </w:p>
              </w:tc>
              <w:tc>
                <w:tcPr>
                  <w:tcW w:w="923" w:type="dxa"/>
                  <w:vMerge w:val="continue"/>
                  <w:tcBorders>
                    <w:tl2br w:val="nil"/>
                    <w:tr2bl w:val="nil"/>
                  </w:tcBorders>
                  <w:shd w:val="clear" w:color="auto" w:fill="auto"/>
                  <w:vAlign w:val="center"/>
                </w:tcPr>
                <w:p w14:paraId="13940B50">
                  <w:pPr>
                    <w:adjustRightInd w:val="0"/>
                    <w:jc w:val="center"/>
                    <w:rPr>
                      <w:rFonts w:hint="default" w:ascii="Times New Roman" w:hAnsi="Times New Roman" w:eastAsia="宋体" w:cs="Times New Roman"/>
                      <w:color w:val="auto"/>
                      <w:sz w:val="18"/>
                      <w:szCs w:val="18"/>
                      <w:highlight w:val="none"/>
                      <w:lang w:val="en-US" w:eastAsia="zh-CN"/>
                    </w:rPr>
                  </w:pPr>
                </w:p>
              </w:tc>
              <w:tc>
                <w:tcPr>
                  <w:tcW w:w="928" w:type="dxa"/>
                  <w:tcBorders>
                    <w:tl2br w:val="nil"/>
                    <w:tr2bl w:val="nil"/>
                  </w:tcBorders>
                  <w:vAlign w:val="center"/>
                </w:tcPr>
                <w:p w14:paraId="36D45C58">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氮氧化物</w:t>
                  </w:r>
                </w:p>
              </w:tc>
              <w:tc>
                <w:tcPr>
                  <w:tcW w:w="861" w:type="dxa"/>
                  <w:tcBorders>
                    <w:tl2br w:val="nil"/>
                    <w:tr2bl w:val="nil"/>
                  </w:tcBorders>
                  <w:shd w:val="clear" w:color="auto" w:fill="auto"/>
                  <w:vAlign w:val="center"/>
                </w:tcPr>
                <w:p w14:paraId="4252A19D">
                  <w:pPr>
                    <w:adjustRightInd w:val="0"/>
                    <w:jc w:val="center"/>
                    <w:rPr>
                      <w:rFonts w:hint="eastAsia" w:ascii="Times New Roman" w:hAnsi="Times New Roman" w:eastAsia="宋体" w:cs="Times New Roman"/>
                      <w:b w:val="0"/>
                      <w:bCs w:val="0"/>
                      <w:kern w:val="2"/>
                      <w:sz w:val="18"/>
                      <w:szCs w:val="18"/>
                      <w:highlight w:val="none"/>
                      <w:lang w:val="en-US" w:eastAsia="zh-CN" w:bidi="ar-SA"/>
                    </w:rPr>
                  </w:pPr>
                  <w:r>
                    <w:rPr>
                      <w:rFonts w:hint="eastAsia" w:cs="Times New Roman"/>
                      <w:b w:val="0"/>
                      <w:bCs w:val="0"/>
                      <w:sz w:val="18"/>
                      <w:szCs w:val="18"/>
                      <w:highlight w:val="none"/>
                      <w:lang w:val="en-US" w:eastAsia="zh-CN"/>
                    </w:rPr>
                    <w:t>0.09</w:t>
                  </w:r>
                </w:p>
              </w:tc>
              <w:tc>
                <w:tcPr>
                  <w:tcW w:w="808" w:type="dxa"/>
                  <w:tcBorders>
                    <w:tl2br w:val="nil"/>
                    <w:tr2bl w:val="nil"/>
                  </w:tcBorders>
                  <w:shd w:val="clear" w:color="auto" w:fill="auto"/>
                  <w:vAlign w:val="center"/>
                </w:tcPr>
                <w:p w14:paraId="281F411C">
                  <w:pPr>
                    <w:adjustRightInd w:val="0"/>
                    <w:jc w:val="center"/>
                    <w:rPr>
                      <w:rFonts w:hint="eastAsia" w:ascii="Times New Roman" w:hAnsi="Times New Roman" w:eastAsia="宋体" w:cs="Times New Roman"/>
                      <w:b w:val="0"/>
                      <w:bCs w:val="0"/>
                      <w:kern w:val="2"/>
                      <w:sz w:val="18"/>
                      <w:szCs w:val="18"/>
                      <w:highlight w:val="none"/>
                      <w:lang w:val="en-US" w:eastAsia="zh-CN" w:bidi="ar-SA"/>
                    </w:rPr>
                  </w:pPr>
                  <w:r>
                    <w:rPr>
                      <w:rFonts w:hint="eastAsia" w:cs="Times New Roman"/>
                      <w:b w:val="0"/>
                      <w:bCs w:val="0"/>
                      <w:sz w:val="18"/>
                      <w:szCs w:val="18"/>
                      <w:highlight w:val="none"/>
                      <w:lang w:val="en-US" w:eastAsia="zh-CN"/>
                    </w:rPr>
                    <w:t>0.00045</w:t>
                  </w:r>
                </w:p>
              </w:tc>
              <w:tc>
                <w:tcPr>
                  <w:tcW w:w="883" w:type="dxa"/>
                  <w:tcBorders>
                    <w:tl2br w:val="nil"/>
                    <w:tr2bl w:val="nil"/>
                  </w:tcBorders>
                  <w:vAlign w:val="center"/>
                </w:tcPr>
                <w:p w14:paraId="30D1B7A5">
                  <w:pPr>
                    <w:jc w:val="cente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100</w:t>
                  </w:r>
                </w:p>
              </w:tc>
              <w:tc>
                <w:tcPr>
                  <w:tcW w:w="709" w:type="dxa"/>
                  <w:tcBorders>
                    <w:tl2br w:val="nil"/>
                    <w:tr2bl w:val="nil"/>
                  </w:tcBorders>
                  <w:vAlign w:val="center"/>
                </w:tcPr>
                <w:p w14:paraId="5FDD6FD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0.49</w:t>
                  </w:r>
                </w:p>
              </w:tc>
              <w:tc>
                <w:tcPr>
                  <w:tcW w:w="949" w:type="dxa"/>
                  <w:vMerge w:val="continue"/>
                  <w:tcBorders>
                    <w:tl2br w:val="nil"/>
                    <w:tr2bl w:val="nil"/>
                  </w:tcBorders>
                  <w:vAlign w:val="center"/>
                </w:tcPr>
                <w:p w14:paraId="03593C06">
                  <w:pPr>
                    <w:adjustRightInd w:val="0"/>
                    <w:jc w:val="center"/>
                    <w:rPr>
                      <w:rFonts w:hint="default" w:ascii="Times New Roman" w:hAnsi="Times New Roman" w:eastAsia="宋体" w:cs="Times New Roman"/>
                      <w:sz w:val="18"/>
                      <w:szCs w:val="18"/>
                      <w:highlight w:val="none"/>
                      <w:lang w:val="en-US" w:eastAsia="zh-CN"/>
                    </w:rPr>
                  </w:pPr>
                </w:p>
              </w:tc>
              <w:tc>
                <w:tcPr>
                  <w:tcW w:w="667" w:type="dxa"/>
                  <w:tcBorders>
                    <w:tl2br w:val="nil"/>
                    <w:tr2bl w:val="nil"/>
                  </w:tcBorders>
                  <w:vAlign w:val="center"/>
                </w:tcPr>
                <w:p w14:paraId="1C2C3556">
                  <w:pPr>
                    <w:keepNext w:val="0"/>
                    <w:keepLines w:val="0"/>
                    <w:widowControl/>
                    <w:suppressLineNumbers w:val="0"/>
                    <w:jc w:val="center"/>
                    <w:textAlignment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达标</w:t>
                  </w:r>
                </w:p>
              </w:tc>
            </w:tr>
            <w:tr w14:paraId="219E59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8" w:type="dxa"/>
                  <w:vMerge w:val="restart"/>
                  <w:tcBorders>
                    <w:tl2br w:val="nil"/>
                    <w:tr2bl w:val="nil"/>
                  </w:tcBorders>
                  <w:vAlign w:val="center"/>
                </w:tcPr>
                <w:p w14:paraId="2F940D21">
                  <w:pPr>
                    <w:adjustRightInd w:val="0"/>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DA00</w:t>
                  </w:r>
                  <w:r>
                    <w:rPr>
                      <w:rFonts w:hint="eastAsia" w:cs="Times New Roman"/>
                      <w:sz w:val="18"/>
                      <w:szCs w:val="18"/>
                      <w:highlight w:val="none"/>
                      <w:lang w:val="en-US" w:eastAsia="zh-CN"/>
                    </w:rPr>
                    <w:t>3</w:t>
                  </w:r>
                </w:p>
              </w:tc>
              <w:tc>
                <w:tcPr>
                  <w:tcW w:w="923" w:type="dxa"/>
                  <w:vMerge w:val="restart"/>
                  <w:tcBorders>
                    <w:tl2br w:val="nil"/>
                    <w:tr2bl w:val="nil"/>
                  </w:tcBorders>
                  <w:shd w:val="clear" w:color="auto" w:fill="auto"/>
                  <w:vAlign w:val="center"/>
                </w:tcPr>
                <w:p w14:paraId="61DD679F">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2000</w:t>
                  </w:r>
                </w:p>
              </w:tc>
              <w:tc>
                <w:tcPr>
                  <w:tcW w:w="928" w:type="dxa"/>
                  <w:tcBorders>
                    <w:tl2br w:val="nil"/>
                    <w:tr2bl w:val="nil"/>
                  </w:tcBorders>
                  <w:vAlign w:val="center"/>
                </w:tcPr>
                <w:p w14:paraId="04D65358">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氯化氢</w:t>
                  </w:r>
                </w:p>
              </w:tc>
              <w:tc>
                <w:tcPr>
                  <w:tcW w:w="861" w:type="dxa"/>
                  <w:tcBorders>
                    <w:tl2br w:val="nil"/>
                    <w:tr2bl w:val="nil"/>
                  </w:tcBorders>
                  <w:shd w:val="clear" w:color="auto" w:fill="auto"/>
                  <w:vAlign w:val="center"/>
                </w:tcPr>
                <w:p w14:paraId="5FA1C7F1">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0.0115</w:t>
                  </w:r>
                </w:p>
              </w:tc>
              <w:tc>
                <w:tcPr>
                  <w:tcW w:w="808" w:type="dxa"/>
                  <w:tcBorders>
                    <w:tl2br w:val="nil"/>
                    <w:tr2bl w:val="nil"/>
                  </w:tcBorders>
                  <w:shd w:val="clear" w:color="auto" w:fill="auto"/>
                  <w:vAlign w:val="center"/>
                </w:tcPr>
                <w:p w14:paraId="5C75A2D8">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0.000023</w:t>
                  </w:r>
                </w:p>
              </w:tc>
              <w:tc>
                <w:tcPr>
                  <w:tcW w:w="883" w:type="dxa"/>
                  <w:tcBorders>
                    <w:tl2br w:val="nil"/>
                    <w:tr2bl w:val="nil"/>
                  </w:tcBorders>
                  <w:vAlign w:val="center"/>
                </w:tcPr>
                <w:p w14:paraId="5F135211">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10</w:t>
                  </w:r>
                </w:p>
              </w:tc>
              <w:tc>
                <w:tcPr>
                  <w:tcW w:w="709" w:type="dxa"/>
                  <w:tcBorders>
                    <w:tl2br w:val="nil"/>
                    <w:tr2bl w:val="nil"/>
                  </w:tcBorders>
                  <w:vAlign w:val="center"/>
                </w:tcPr>
                <w:p w14:paraId="14B657FD">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0.041</w:t>
                  </w:r>
                </w:p>
              </w:tc>
              <w:tc>
                <w:tcPr>
                  <w:tcW w:w="949" w:type="dxa"/>
                  <w:vMerge w:val="continue"/>
                  <w:tcBorders>
                    <w:tl2br w:val="nil"/>
                    <w:tr2bl w:val="nil"/>
                  </w:tcBorders>
                  <w:vAlign w:val="center"/>
                </w:tcPr>
                <w:p w14:paraId="58D7532F">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667" w:type="dxa"/>
                  <w:tcBorders>
                    <w:tl2br w:val="nil"/>
                    <w:tr2bl w:val="nil"/>
                  </w:tcBorders>
                  <w:vAlign w:val="center"/>
                </w:tcPr>
                <w:p w14:paraId="7A5B3730">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达标</w:t>
                  </w:r>
                </w:p>
              </w:tc>
            </w:tr>
            <w:tr w14:paraId="7D1974D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8" w:type="dxa"/>
                  <w:vMerge w:val="continue"/>
                  <w:tcBorders>
                    <w:tl2br w:val="nil"/>
                    <w:tr2bl w:val="nil"/>
                  </w:tcBorders>
                  <w:vAlign w:val="center"/>
                </w:tcPr>
                <w:p w14:paraId="7182CAE5">
                  <w:pPr>
                    <w:adjustRightInd w:val="0"/>
                    <w:jc w:val="center"/>
                    <w:rPr>
                      <w:rFonts w:hint="default" w:ascii="Times New Roman" w:hAnsi="Times New Roman" w:eastAsia="宋体" w:cs="Times New Roman"/>
                      <w:sz w:val="18"/>
                      <w:szCs w:val="18"/>
                      <w:highlight w:val="none"/>
                      <w:lang w:val="en-US" w:eastAsia="zh-CN"/>
                    </w:rPr>
                  </w:pPr>
                </w:p>
              </w:tc>
              <w:tc>
                <w:tcPr>
                  <w:tcW w:w="923" w:type="dxa"/>
                  <w:vMerge w:val="continue"/>
                  <w:tcBorders>
                    <w:tl2br w:val="nil"/>
                    <w:tr2bl w:val="nil"/>
                  </w:tcBorders>
                  <w:shd w:val="clear" w:color="auto" w:fill="auto"/>
                  <w:vAlign w:val="center"/>
                </w:tcPr>
                <w:p w14:paraId="1FB43240">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928" w:type="dxa"/>
                  <w:tcBorders>
                    <w:tl2br w:val="nil"/>
                    <w:tr2bl w:val="nil"/>
                  </w:tcBorders>
                  <w:vAlign w:val="center"/>
                </w:tcPr>
                <w:p w14:paraId="7F5B73A3">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氮氧化物</w:t>
                  </w:r>
                </w:p>
              </w:tc>
              <w:tc>
                <w:tcPr>
                  <w:tcW w:w="861" w:type="dxa"/>
                  <w:tcBorders>
                    <w:tl2br w:val="nil"/>
                    <w:tr2bl w:val="nil"/>
                  </w:tcBorders>
                  <w:shd w:val="clear" w:color="auto" w:fill="auto"/>
                  <w:vAlign w:val="center"/>
                </w:tcPr>
                <w:p w14:paraId="11281606">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0.0128</w:t>
                  </w:r>
                </w:p>
              </w:tc>
              <w:tc>
                <w:tcPr>
                  <w:tcW w:w="808" w:type="dxa"/>
                  <w:tcBorders>
                    <w:tl2br w:val="nil"/>
                    <w:tr2bl w:val="nil"/>
                  </w:tcBorders>
                  <w:shd w:val="clear" w:color="auto" w:fill="auto"/>
                  <w:vAlign w:val="center"/>
                </w:tcPr>
                <w:p w14:paraId="3E012556">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0.000026</w:t>
                  </w:r>
                </w:p>
              </w:tc>
              <w:tc>
                <w:tcPr>
                  <w:tcW w:w="883" w:type="dxa"/>
                  <w:tcBorders>
                    <w:tl2br w:val="nil"/>
                    <w:tr2bl w:val="nil"/>
                  </w:tcBorders>
                  <w:vAlign w:val="center"/>
                </w:tcPr>
                <w:p w14:paraId="20C6865F">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100</w:t>
                  </w:r>
                </w:p>
              </w:tc>
              <w:tc>
                <w:tcPr>
                  <w:tcW w:w="709" w:type="dxa"/>
                  <w:tcBorders>
                    <w:tl2br w:val="nil"/>
                    <w:tr2bl w:val="nil"/>
                  </w:tcBorders>
                  <w:vAlign w:val="center"/>
                </w:tcPr>
                <w:p w14:paraId="24C52F7A">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0.49</w:t>
                  </w:r>
                </w:p>
              </w:tc>
              <w:tc>
                <w:tcPr>
                  <w:tcW w:w="949" w:type="dxa"/>
                  <w:vMerge w:val="continue"/>
                  <w:tcBorders>
                    <w:tl2br w:val="nil"/>
                    <w:tr2bl w:val="nil"/>
                  </w:tcBorders>
                  <w:vAlign w:val="center"/>
                </w:tcPr>
                <w:p w14:paraId="176B7F65">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667" w:type="dxa"/>
                  <w:tcBorders>
                    <w:tl2br w:val="nil"/>
                    <w:tr2bl w:val="nil"/>
                  </w:tcBorders>
                  <w:vAlign w:val="center"/>
                </w:tcPr>
                <w:p w14:paraId="26F43A42">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达标</w:t>
                  </w:r>
                </w:p>
              </w:tc>
            </w:tr>
            <w:tr w14:paraId="0BC4E9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8" w:type="dxa"/>
                  <w:vMerge w:val="continue"/>
                  <w:tcBorders>
                    <w:tl2br w:val="nil"/>
                    <w:tr2bl w:val="nil"/>
                  </w:tcBorders>
                  <w:vAlign w:val="center"/>
                </w:tcPr>
                <w:p w14:paraId="7AB8B87C">
                  <w:pPr>
                    <w:adjustRightInd w:val="0"/>
                    <w:jc w:val="center"/>
                    <w:rPr>
                      <w:rFonts w:hint="default" w:ascii="Times New Roman" w:hAnsi="Times New Roman" w:eastAsia="宋体" w:cs="Times New Roman"/>
                      <w:sz w:val="18"/>
                      <w:szCs w:val="18"/>
                      <w:highlight w:val="none"/>
                      <w:lang w:val="en-US" w:eastAsia="zh-CN"/>
                    </w:rPr>
                  </w:pPr>
                </w:p>
              </w:tc>
              <w:tc>
                <w:tcPr>
                  <w:tcW w:w="923" w:type="dxa"/>
                  <w:vMerge w:val="continue"/>
                  <w:tcBorders>
                    <w:tl2br w:val="nil"/>
                    <w:tr2bl w:val="nil"/>
                  </w:tcBorders>
                  <w:shd w:val="clear" w:color="auto" w:fill="auto"/>
                  <w:vAlign w:val="center"/>
                </w:tcPr>
                <w:p w14:paraId="4796817A">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928" w:type="dxa"/>
                  <w:tcBorders>
                    <w:tl2br w:val="nil"/>
                    <w:tr2bl w:val="nil"/>
                  </w:tcBorders>
                  <w:vAlign w:val="center"/>
                </w:tcPr>
                <w:p w14:paraId="302F35FE">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氨</w:t>
                  </w:r>
                </w:p>
              </w:tc>
              <w:tc>
                <w:tcPr>
                  <w:tcW w:w="861" w:type="dxa"/>
                  <w:tcBorders>
                    <w:tl2br w:val="nil"/>
                    <w:tr2bl w:val="nil"/>
                  </w:tcBorders>
                  <w:shd w:val="clear" w:color="auto" w:fill="auto"/>
                  <w:vAlign w:val="center"/>
                </w:tcPr>
                <w:p w14:paraId="00BEBCBE">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0.08</w:t>
                  </w:r>
                </w:p>
              </w:tc>
              <w:tc>
                <w:tcPr>
                  <w:tcW w:w="808" w:type="dxa"/>
                  <w:tcBorders>
                    <w:tl2br w:val="nil"/>
                    <w:tr2bl w:val="nil"/>
                  </w:tcBorders>
                  <w:shd w:val="clear" w:color="auto" w:fill="auto"/>
                  <w:vAlign w:val="center"/>
                </w:tcPr>
                <w:p w14:paraId="5589FDBD">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0.00016</w:t>
                  </w:r>
                </w:p>
              </w:tc>
              <w:tc>
                <w:tcPr>
                  <w:tcW w:w="883" w:type="dxa"/>
                  <w:tcBorders>
                    <w:tl2br w:val="nil"/>
                    <w:tr2bl w:val="nil"/>
                  </w:tcBorders>
                  <w:vAlign w:val="center"/>
                </w:tcPr>
                <w:p w14:paraId="09DE2D45">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10</w:t>
                  </w:r>
                </w:p>
              </w:tc>
              <w:tc>
                <w:tcPr>
                  <w:tcW w:w="709" w:type="dxa"/>
                  <w:tcBorders>
                    <w:tl2br w:val="nil"/>
                    <w:tr2bl w:val="nil"/>
                  </w:tcBorders>
                  <w:vAlign w:val="center"/>
                </w:tcPr>
                <w:p w14:paraId="7549B023">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0.80</w:t>
                  </w:r>
                </w:p>
              </w:tc>
              <w:tc>
                <w:tcPr>
                  <w:tcW w:w="949" w:type="dxa"/>
                  <w:vMerge w:val="continue"/>
                  <w:tcBorders>
                    <w:tl2br w:val="nil"/>
                    <w:tr2bl w:val="nil"/>
                  </w:tcBorders>
                  <w:vAlign w:val="center"/>
                </w:tcPr>
                <w:p w14:paraId="26755E8A">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667" w:type="dxa"/>
                  <w:tcBorders>
                    <w:tl2br w:val="nil"/>
                    <w:tr2bl w:val="nil"/>
                  </w:tcBorders>
                  <w:vAlign w:val="center"/>
                </w:tcPr>
                <w:p w14:paraId="77B5D7C1">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达标</w:t>
                  </w:r>
                </w:p>
              </w:tc>
            </w:tr>
            <w:tr w14:paraId="09BAADF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8" w:type="dxa"/>
                  <w:vMerge w:val="continue"/>
                  <w:tcBorders>
                    <w:tl2br w:val="nil"/>
                    <w:tr2bl w:val="nil"/>
                  </w:tcBorders>
                  <w:vAlign w:val="center"/>
                </w:tcPr>
                <w:p w14:paraId="41F9C78F">
                  <w:pPr>
                    <w:adjustRightInd w:val="0"/>
                    <w:jc w:val="center"/>
                    <w:rPr>
                      <w:rFonts w:hint="default" w:ascii="Times New Roman" w:hAnsi="Times New Roman" w:eastAsia="宋体" w:cs="Times New Roman"/>
                      <w:sz w:val="18"/>
                      <w:szCs w:val="18"/>
                      <w:highlight w:val="none"/>
                      <w:lang w:val="en-US" w:eastAsia="zh-CN"/>
                    </w:rPr>
                  </w:pPr>
                </w:p>
              </w:tc>
              <w:tc>
                <w:tcPr>
                  <w:tcW w:w="923" w:type="dxa"/>
                  <w:vMerge w:val="continue"/>
                  <w:tcBorders>
                    <w:tl2br w:val="nil"/>
                    <w:tr2bl w:val="nil"/>
                  </w:tcBorders>
                  <w:shd w:val="clear" w:color="auto" w:fill="auto"/>
                  <w:vAlign w:val="center"/>
                </w:tcPr>
                <w:p w14:paraId="732ECA25">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928" w:type="dxa"/>
                  <w:tcBorders>
                    <w:tl2br w:val="nil"/>
                    <w:tr2bl w:val="nil"/>
                  </w:tcBorders>
                  <w:vAlign w:val="center"/>
                </w:tcPr>
                <w:p w14:paraId="747E5C04">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氟</w:t>
                  </w:r>
                </w:p>
              </w:tc>
              <w:tc>
                <w:tcPr>
                  <w:tcW w:w="861" w:type="dxa"/>
                  <w:tcBorders>
                    <w:tl2br w:val="nil"/>
                    <w:tr2bl w:val="nil"/>
                  </w:tcBorders>
                  <w:shd w:val="clear" w:color="auto" w:fill="auto"/>
                  <w:vAlign w:val="center"/>
                </w:tcPr>
                <w:p w14:paraId="61FDAB6C">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0.008</w:t>
                  </w:r>
                </w:p>
              </w:tc>
              <w:tc>
                <w:tcPr>
                  <w:tcW w:w="808" w:type="dxa"/>
                  <w:tcBorders>
                    <w:tl2br w:val="nil"/>
                    <w:tr2bl w:val="nil"/>
                  </w:tcBorders>
                  <w:shd w:val="clear" w:color="auto" w:fill="auto"/>
                  <w:vAlign w:val="center"/>
                </w:tcPr>
                <w:p w14:paraId="68192EF3">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0.000016</w:t>
                  </w:r>
                </w:p>
              </w:tc>
              <w:tc>
                <w:tcPr>
                  <w:tcW w:w="883" w:type="dxa"/>
                  <w:tcBorders>
                    <w:tl2br w:val="nil"/>
                    <w:tr2bl w:val="nil"/>
                  </w:tcBorders>
                  <w:vAlign w:val="center"/>
                </w:tcPr>
                <w:p w14:paraId="528BD32F">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3.0</w:t>
                  </w:r>
                </w:p>
              </w:tc>
              <w:tc>
                <w:tcPr>
                  <w:tcW w:w="709" w:type="dxa"/>
                  <w:tcBorders>
                    <w:tl2br w:val="nil"/>
                    <w:tr2bl w:val="nil"/>
                  </w:tcBorders>
                  <w:vAlign w:val="center"/>
                </w:tcPr>
                <w:p w14:paraId="7E60E24F">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0.08</w:t>
                  </w:r>
                </w:p>
              </w:tc>
              <w:tc>
                <w:tcPr>
                  <w:tcW w:w="949" w:type="dxa"/>
                  <w:vMerge w:val="continue"/>
                  <w:tcBorders>
                    <w:tl2br w:val="nil"/>
                    <w:tr2bl w:val="nil"/>
                  </w:tcBorders>
                  <w:vAlign w:val="center"/>
                </w:tcPr>
                <w:p w14:paraId="2DDD62D6">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667" w:type="dxa"/>
                  <w:tcBorders>
                    <w:tl2br w:val="nil"/>
                    <w:tr2bl w:val="nil"/>
                  </w:tcBorders>
                  <w:vAlign w:val="center"/>
                </w:tcPr>
                <w:p w14:paraId="6ED511CB">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达标</w:t>
                  </w:r>
                </w:p>
              </w:tc>
            </w:tr>
            <w:tr w14:paraId="1BB75EA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8" w:type="dxa"/>
                  <w:tcBorders>
                    <w:tl2br w:val="nil"/>
                    <w:tr2bl w:val="nil"/>
                  </w:tcBorders>
                  <w:vAlign w:val="center"/>
                </w:tcPr>
                <w:p w14:paraId="50F956C6">
                  <w:pPr>
                    <w:adjustRightInd w:val="0"/>
                    <w:jc w:val="cente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DA004</w:t>
                  </w:r>
                </w:p>
              </w:tc>
              <w:tc>
                <w:tcPr>
                  <w:tcW w:w="923" w:type="dxa"/>
                  <w:tcBorders>
                    <w:tl2br w:val="nil"/>
                    <w:tr2bl w:val="nil"/>
                  </w:tcBorders>
                  <w:shd w:val="clear" w:color="auto" w:fill="auto"/>
                  <w:vAlign w:val="center"/>
                </w:tcPr>
                <w:p w14:paraId="10D96379">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5000</w:t>
                  </w:r>
                </w:p>
              </w:tc>
              <w:tc>
                <w:tcPr>
                  <w:tcW w:w="928" w:type="dxa"/>
                  <w:tcBorders>
                    <w:tl2br w:val="nil"/>
                    <w:tr2bl w:val="nil"/>
                  </w:tcBorders>
                  <w:vAlign w:val="center"/>
                </w:tcPr>
                <w:p w14:paraId="67AA0F3E">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非甲烷总烃</w:t>
                  </w:r>
                </w:p>
              </w:tc>
              <w:tc>
                <w:tcPr>
                  <w:tcW w:w="861" w:type="dxa"/>
                  <w:tcBorders>
                    <w:tl2br w:val="nil"/>
                    <w:tr2bl w:val="nil"/>
                  </w:tcBorders>
                  <w:shd w:val="clear" w:color="auto" w:fill="auto"/>
                  <w:vAlign w:val="center"/>
                </w:tcPr>
                <w:p w14:paraId="736AF36C">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21.67</w:t>
                  </w:r>
                </w:p>
              </w:tc>
              <w:tc>
                <w:tcPr>
                  <w:tcW w:w="808" w:type="dxa"/>
                  <w:tcBorders>
                    <w:tl2br w:val="nil"/>
                    <w:tr2bl w:val="nil"/>
                  </w:tcBorders>
                  <w:shd w:val="clear" w:color="auto" w:fill="auto"/>
                  <w:vAlign w:val="center"/>
                </w:tcPr>
                <w:p w14:paraId="3375F284">
                  <w:pPr>
                    <w:adjustRightInd w:val="0"/>
                    <w:snapToGrid w:val="0"/>
                    <w:spacing w:line="240" w:lineRule="auto"/>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0.10836</w:t>
                  </w:r>
                </w:p>
              </w:tc>
              <w:tc>
                <w:tcPr>
                  <w:tcW w:w="883" w:type="dxa"/>
                  <w:tcBorders>
                    <w:tl2br w:val="nil"/>
                    <w:tr2bl w:val="nil"/>
                  </w:tcBorders>
                  <w:vAlign w:val="center"/>
                </w:tcPr>
                <w:p w14:paraId="3EFB5CD4">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50</w:t>
                  </w:r>
                </w:p>
              </w:tc>
              <w:tc>
                <w:tcPr>
                  <w:tcW w:w="709" w:type="dxa"/>
                  <w:tcBorders>
                    <w:tl2br w:val="nil"/>
                    <w:tr2bl w:val="nil"/>
                  </w:tcBorders>
                  <w:vAlign w:val="center"/>
                </w:tcPr>
                <w:p w14:paraId="43C32D22">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4.05</w:t>
                  </w:r>
                </w:p>
              </w:tc>
              <w:tc>
                <w:tcPr>
                  <w:tcW w:w="949" w:type="dxa"/>
                  <w:vMerge w:val="continue"/>
                  <w:tcBorders>
                    <w:tl2br w:val="nil"/>
                    <w:tr2bl w:val="nil"/>
                  </w:tcBorders>
                  <w:vAlign w:val="center"/>
                </w:tcPr>
                <w:p w14:paraId="78B9FAA6">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667" w:type="dxa"/>
                  <w:tcBorders>
                    <w:tl2br w:val="nil"/>
                    <w:tr2bl w:val="nil"/>
                  </w:tcBorders>
                  <w:vAlign w:val="center"/>
                </w:tcPr>
                <w:p w14:paraId="4C518D69">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达标</w:t>
                  </w:r>
                </w:p>
              </w:tc>
            </w:tr>
            <w:tr w14:paraId="3EB5A51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8" w:type="dxa"/>
                  <w:vMerge w:val="restart"/>
                  <w:tcBorders>
                    <w:tl2br w:val="nil"/>
                    <w:tr2bl w:val="nil"/>
                  </w:tcBorders>
                  <w:vAlign w:val="center"/>
                </w:tcPr>
                <w:p w14:paraId="77C8833A">
                  <w:pPr>
                    <w:adjustRightInd w:val="0"/>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代表性排气筒</w:t>
                  </w:r>
                </w:p>
              </w:tc>
              <w:tc>
                <w:tcPr>
                  <w:tcW w:w="923" w:type="dxa"/>
                  <w:tcBorders>
                    <w:tl2br w:val="nil"/>
                    <w:tr2bl w:val="nil"/>
                  </w:tcBorders>
                  <w:shd w:val="clear" w:color="auto" w:fill="auto"/>
                  <w:vAlign w:val="center"/>
                </w:tcPr>
                <w:p w14:paraId="6949C659">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P1</w:t>
                  </w:r>
                </w:p>
              </w:tc>
              <w:tc>
                <w:tcPr>
                  <w:tcW w:w="928" w:type="dxa"/>
                  <w:tcBorders>
                    <w:tl2br w:val="nil"/>
                    <w:tr2bl w:val="nil"/>
                  </w:tcBorders>
                  <w:vAlign w:val="center"/>
                </w:tcPr>
                <w:p w14:paraId="52BBC7CA">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氮氧化物</w:t>
                  </w:r>
                </w:p>
              </w:tc>
              <w:tc>
                <w:tcPr>
                  <w:tcW w:w="861" w:type="dxa"/>
                  <w:tcBorders>
                    <w:tl2br w:val="nil"/>
                    <w:tr2bl w:val="nil"/>
                  </w:tcBorders>
                  <w:shd w:val="clear" w:color="auto" w:fill="auto"/>
                  <w:vAlign w:val="center"/>
                </w:tcPr>
                <w:p w14:paraId="33480BBA">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w:t>
                  </w:r>
                </w:p>
              </w:tc>
              <w:tc>
                <w:tcPr>
                  <w:tcW w:w="808" w:type="dxa"/>
                  <w:tcBorders>
                    <w:tl2br w:val="nil"/>
                    <w:tr2bl w:val="nil"/>
                  </w:tcBorders>
                  <w:shd w:val="clear" w:color="auto" w:fill="auto"/>
                  <w:vAlign w:val="center"/>
                </w:tcPr>
                <w:p w14:paraId="1F349800">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0.000</w:t>
                  </w:r>
                  <w:r>
                    <w:rPr>
                      <w:rFonts w:hint="eastAsia" w:ascii="Times New Roman" w:hAnsi="Times New Roman" w:eastAsia="宋体" w:cs="Times New Roman"/>
                      <w:kern w:val="2"/>
                      <w:sz w:val="18"/>
                      <w:szCs w:val="18"/>
                      <w:highlight w:val="none"/>
                      <w:lang w:val="en-US" w:eastAsia="zh-CN" w:bidi="ar-SA"/>
                    </w:rPr>
                    <w:t>476</w:t>
                  </w:r>
                </w:p>
              </w:tc>
              <w:tc>
                <w:tcPr>
                  <w:tcW w:w="883" w:type="dxa"/>
                  <w:tcBorders>
                    <w:tl2br w:val="nil"/>
                    <w:tr2bl w:val="nil"/>
                  </w:tcBorders>
                  <w:vAlign w:val="center"/>
                </w:tcPr>
                <w:p w14:paraId="5EBD7A2A">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w:t>
                  </w:r>
                </w:p>
              </w:tc>
              <w:tc>
                <w:tcPr>
                  <w:tcW w:w="709" w:type="dxa"/>
                  <w:tcBorders>
                    <w:tl2br w:val="nil"/>
                    <w:tr2bl w:val="nil"/>
                  </w:tcBorders>
                  <w:vAlign w:val="center"/>
                </w:tcPr>
                <w:p w14:paraId="562606C2">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0.49</w:t>
                  </w:r>
                </w:p>
              </w:tc>
              <w:tc>
                <w:tcPr>
                  <w:tcW w:w="949" w:type="dxa"/>
                  <w:vMerge w:val="continue"/>
                  <w:tcBorders>
                    <w:tl2br w:val="nil"/>
                    <w:tr2bl w:val="nil"/>
                  </w:tcBorders>
                  <w:vAlign w:val="center"/>
                </w:tcPr>
                <w:p w14:paraId="68B4245B">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667" w:type="dxa"/>
                  <w:tcBorders>
                    <w:tl2br w:val="nil"/>
                    <w:tr2bl w:val="nil"/>
                  </w:tcBorders>
                  <w:vAlign w:val="center"/>
                </w:tcPr>
                <w:p w14:paraId="5DAD0493">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达标</w:t>
                  </w:r>
                </w:p>
              </w:tc>
            </w:tr>
            <w:tr w14:paraId="7D9FEB6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8" w:type="dxa"/>
                  <w:vMerge w:val="continue"/>
                  <w:tcBorders>
                    <w:tl2br w:val="nil"/>
                    <w:tr2bl w:val="nil"/>
                  </w:tcBorders>
                  <w:vAlign w:val="center"/>
                </w:tcPr>
                <w:p w14:paraId="585CB658">
                  <w:pPr>
                    <w:adjustRightInd w:val="0"/>
                    <w:jc w:val="center"/>
                    <w:rPr>
                      <w:rFonts w:hint="default" w:ascii="Times New Roman" w:hAnsi="Times New Roman" w:eastAsia="宋体" w:cs="Times New Roman"/>
                      <w:sz w:val="18"/>
                      <w:szCs w:val="18"/>
                      <w:highlight w:val="none"/>
                      <w:lang w:val="en-US" w:eastAsia="zh-CN"/>
                    </w:rPr>
                  </w:pPr>
                </w:p>
              </w:tc>
              <w:tc>
                <w:tcPr>
                  <w:tcW w:w="923" w:type="dxa"/>
                  <w:tcBorders>
                    <w:tl2br w:val="nil"/>
                    <w:tr2bl w:val="nil"/>
                  </w:tcBorders>
                  <w:shd w:val="clear" w:color="auto" w:fill="auto"/>
                  <w:vAlign w:val="center"/>
                </w:tcPr>
                <w:p w14:paraId="3C39C551">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P2</w:t>
                  </w:r>
                </w:p>
              </w:tc>
              <w:tc>
                <w:tcPr>
                  <w:tcW w:w="928" w:type="dxa"/>
                  <w:tcBorders>
                    <w:tl2br w:val="nil"/>
                    <w:tr2bl w:val="nil"/>
                  </w:tcBorders>
                  <w:vAlign w:val="center"/>
                </w:tcPr>
                <w:p w14:paraId="62CD6365">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非甲烷总烃</w:t>
                  </w:r>
                </w:p>
              </w:tc>
              <w:tc>
                <w:tcPr>
                  <w:tcW w:w="861" w:type="dxa"/>
                  <w:tcBorders>
                    <w:tl2br w:val="nil"/>
                    <w:tr2bl w:val="nil"/>
                  </w:tcBorders>
                  <w:shd w:val="clear" w:color="auto" w:fill="auto"/>
                  <w:vAlign w:val="center"/>
                </w:tcPr>
                <w:p w14:paraId="4E43E1DB">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w:t>
                  </w:r>
                </w:p>
              </w:tc>
              <w:tc>
                <w:tcPr>
                  <w:tcW w:w="808" w:type="dxa"/>
                  <w:tcBorders>
                    <w:tl2br w:val="nil"/>
                    <w:tr2bl w:val="nil"/>
                  </w:tcBorders>
                  <w:shd w:val="clear" w:color="auto" w:fill="auto"/>
                  <w:vAlign w:val="center"/>
                </w:tcPr>
                <w:p w14:paraId="0C873940">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0.20606</w:t>
                  </w:r>
                </w:p>
              </w:tc>
              <w:tc>
                <w:tcPr>
                  <w:tcW w:w="883" w:type="dxa"/>
                  <w:tcBorders>
                    <w:tl2br w:val="nil"/>
                    <w:tr2bl w:val="nil"/>
                  </w:tcBorders>
                  <w:vAlign w:val="center"/>
                </w:tcPr>
                <w:p w14:paraId="76B7F454">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w:t>
                  </w:r>
                </w:p>
              </w:tc>
              <w:tc>
                <w:tcPr>
                  <w:tcW w:w="709" w:type="dxa"/>
                  <w:tcBorders>
                    <w:tl2br w:val="nil"/>
                    <w:tr2bl w:val="nil"/>
                  </w:tcBorders>
                  <w:vAlign w:val="center"/>
                </w:tcPr>
                <w:p w14:paraId="0F6A8773">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4.05</w:t>
                  </w:r>
                </w:p>
              </w:tc>
              <w:tc>
                <w:tcPr>
                  <w:tcW w:w="949" w:type="dxa"/>
                  <w:vMerge w:val="continue"/>
                  <w:tcBorders>
                    <w:tl2br w:val="nil"/>
                    <w:tr2bl w:val="nil"/>
                  </w:tcBorders>
                  <w:vAlign w:val="center"/>
                </w:tcPr>
                <w:p w14:paraId="3466030C">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p>
              </w:tc>
              <w:tc>
                <w:tcPr>
                  <w:tcW w:w="667" w:type="dxa"/>
                  <w:tcBorders>
                    <w:tl2br w:val="nil"/>
                    <w:tr2bl w:val="nil"/>
                  </w:tcBorders>
                  <w:vAlign w:val="center"/>
                </w:tcPr>
                <w:p w14:paraId="0F420D0A">
                  <w:pPr>
                    <w:adjustRightInd w:val="0"/>
                    <w:snapToGrid w:val="0"/>
                    <w:spacing w:line="240" w:lineRule="auto"/>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kern w:val="2"/>
                      <w:sz w:val="18"/>
                      <w:szCs w:val="18"/>
                      <w:highlight w:val="none"/>
                      <w:lang w:val="en-US" w:eastAsia="zh-CN" w:bidi="ar-SA"/>
                    </w:rPr>
                    <w:t>达标</w:t>
                  </w:r>
                </w:p>
              </w:tc>
            </w:tr>
          </w:tbl>
          <w:p w14:paraId="53B868B9">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由上表可知，项目有组织排放各污染物排放浓度和速率满足《大气污染物综合排放标准》（DB11/501-2017）中表 3</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生产工艺废气及其他废气大气污染物排放限值</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，可达标排放。</w:t>
            </w:r>
          </w:p>
          <w:p w14:paraId="11628A50">
            <w:pPr>
              <w:numPr>
                <w:ilvl w:val="0"/>
                <w:numId w:val="49"/>
              </w:numPr>
              <w:adjustRightInd w:val="0"/>
              <w:snapToGrid w:val="0"/>
              <w:spacing w:line="360" w:lineRule="auto"/>
              <w:ind w:left="0" w:leftChars="0"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 xml:space="preserve">无组织废达标排放情况 </w:t>
            </w:r>
          </w:p>
          <w:p w14:paraId="06595B6A">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本项目集气罩、通风橱的收集效率按90%计，有10%的废气为无组织排放。本项目无组织排放废气产生情况详见下表。</w:t>
            </w:r>
          </w:p>
          <w:p w14:paraId="27731F5D">
            <w:pPr>
              <w:numPr>
                <w:ilvl w:val="0"/>
                <w:numId w:val="48"/>
              </w:numPr>
              <w:adjustRightInd w:val="0"/>
              <w:snapToGrid w:val="0"/>
              <w:spacing w:line="360" w:lineRule="auto"/>
              <w:ind w:left="425" w:leftChars="0" w:hanging="425" w:firstLineChars="0"/>
              <w:jc w:val="center"/>
              <w:rPr>
                <w:rFonts w:hint="default"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无组织废气排放情况一览表</w:t>
            </w:r>
          </w:p>
          <w:tbl>
            <w:tblPr>
              <w:tblStyle w:val="18"/>
              <w:tblW w:w="7477"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1468"/>
              <w:gridCol w:w="1468"/>
              <w:gridCol w:w="1684"/>
              <w:gridCol w:w="1468"/>
            </w:tblGrid>
            <w:tr w14:paraId="2E393B0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1389" w:type="dxa"/>
                  <w:tcBorders>
                    <w:tl2br w:val="nil"/>
                    <w:tr2bl w:val="nil"/>
                  </w:tcBorders>
                </w:tcPr>
                <w:p w14:paraId="70A55F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pacing w:val="-10"/>
                      <w:sz w:val="21"/>
                      <w:szCs w:val="21"/>
                      <w:highlight w:val="none"/>
                      <w:vertAlign w:val="baseline"/>
                      <w:lang w:val="en-US" w:eastAsia="zh-CN"/>
                    </w:rPr>
                  </w:pPr>
                  <w:r>
                    <w:rPr>
                      <w:rFonts w:hint="default" w:ascii="Times New Roman" w:hAnsi="Times New Roman" w:eastAsia="宋体" w:cs="Times New Roman"/>
                      <w:b/>
                      <w:bCs/>
                      <w:color w:val="auto"/>
                      <w:spacing w:val="-10"/>
                      <w:sz w:val="21"/>
                      <w:szCs w:val="21"/>
                      <w:highlight w:val="none"/>
                      <w:vertAlign w:val="baseline"/>
                      <w:lang w:val="en-US" w:eastAsia="zh-CN"/>
                    </w:rPr>
                    <w:t xml:space="preserve">污染物名称 </w:t>
                  </w:r>
                </w:p>
              </w:tc>
              <w:tc>
                <w:tcPr>
                  <w:tcW w:w="1468" w:type="dxa"/>
                  <w:tcBorders>
                    <w:tl2br w:val="nil"/>
                    <w:tr2bl w:val="nil"/>
                  </w:tcBorders>
                </w:tcPr>
                <w:p w14:paraId="1699F9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pacing w:val="-10"/>
                      <w:sz w:val="21"/>
                      <w:szCs w:val="21"/>
                      <w:highlight w:val="none"/>
                      <w:vertAlign w:val="baseline"/>
                      <w:lang w:val="en-US" w:eastAsia="zh-CN"/>
                    </w:rPr>
                  </w:pPr>
                  <w:r>
                    <w:rPr>
                      <w:rFonts w:hint="default" w:ascii="Times New Roman" w:hAnsi="Times New Roman" w:eastAsia="宋体" w:cs="Times New Roman"/>
                      <w:b/>
                      <w:bCs/>
                      <w:color w:val="auto"/>
                      <w:spacing w:val="-10"/>
                      <w:sz w:val="21"/>
                      <w:szCs w:val="21"/>
                      <w:highlight w:val="none"/>
                      <w:vertAlign w:val="baseline"/>
                      <w:lang w:val="en-US" w:eastAsia="zh-CN"/>
                    </w:rPr>
                    <w:t>产生量 kg/a</w:t>
                  </w:r>
                </w:p>
              </w:tc>
              <w:tc>
                <w:tcPr>
                  <w:tcW w:w="1468" w:type="dxa"/>
                  <w:tcBorders>
                    <w:tl2br w:val="nil"/>
                    <w:tr2bl w:val="nil"/>
                  </w:tcBorders>
                </w:tcPr>
                <w:p w14:paraId="1E693F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pacing w:val="-10"/>
                      <w:sz w:val="21"/>
                      <w:szCs w:val="21"/>
                      <w:highlight w:val="none"/>
                      <w:vertAlign w:val="baseline"/>
                      <w:lang w:val="en-US" w:eastAsia="zh-CN"/>
                    </w:rPr>
                  </w:pPr>
                  <w:r>
                    <w:rPr>
                      <w:rFonts w:hint="default" w:ascii="Times New Roman" w:hAnsi="Times New Roman" w:eastAsia="宋体" w:cs="Times New Roman"/>
                      <w:b/>
                      <w:bCs/>
                      <w:color w:val="auto"/>
                      <w:spacing w:val="-10"/>
                      <w:sz w:val="21"/>
                      <w:szCs w:val="21"/>
                      <w:highlight w:val="none"/>
                      <w:vertAlign w:val="baseline"/>
                      <w:lang w:val="en-US" w:eastAsia="zh-CN"/>
                    </w:rPr>
                    <w:t>产生速率 kg/h</w:t>
                  </w:r>
                </w:p>
              </w:tc>
              <w:tc>
                <w:tcPr>
                  <w:tcW w:w="1684" w:type="dxa"/>
                  <w:tcBorders>
                    <w:tl2br w:val="nil"/>
                    <w:tr2bl w:val="nil"/>
                  </w:tcBorders>
                  <w:shd w:val="clear" w:color="auto" w:fill="auto"/>
                  <w:vAlign w:val="top"/>
                </w:tcPr>
                <w:p w14:paraId="091B7D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auto"/>
                      <w:spacing w:val="-10"/>
                      <w:kern w:val="2"/>
                      <w:sz w:val="21"/>
                      <w:szCs w:val="21"/>
                      <w:highlight w:val="none"/>
                      <w:vertAlign w:val="baseline"/>
                      <w:lang w:val="en-US" w:eastAsia="zh-CN" w:bidi="ar-SA"/>
                    </w:rPr>
                  </w:pPr>
                  <w:r>
                    <w:rPr>
                      <w:rFonts w:hint="default" w:ascii="Times New Roman" w:hAnsi="Times New Roman" w:eastAsia="宋体" w:cs="Times New Roman"/>
                      <w:b/>
                      <w:bCs/>
                      <w:color w:val="auto"/>
                      <w:spacing w:val="-10"/>
                      <w:sz w:val="21"/>
                      <w:szCs w:val="21"/>
                      <w:highlight w:val="none"/>
                      <w:vertAlign w:val="baseline"/>
                      <w:lang w:val="en-US" w:eastAsia="zh-CN"/>
                    </w:rPr>
                    <w:t>排放量 kg/a</w:t>
                  </w:r>
                </w:p>
              </w:tc>
              <w:tc>
                <w:tcPr>
                  <w:tcW w:w="1468" w:type="dxa"/>
                  <w:tcBorders>
                    <w:tl2br w:val="nil"/>
                    <w:tr2bl w:val="nil"/>
                  </w:tcBorders>
                  <w:shd w:val="clear" w:color="auto" w:fill="auto"/>
                  <w:vAlign w:val="top"/>
                </w:tcPr>
                <w:p w14:paraId="028790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auto"/>
                      <w:spacing w:val="-10"/>
                      <w:kern w:val="2"/>
                      <w:sz w:val="21"/>
                      <w:szCs w:val="21"/>
                      <w:highlight w:val="none"/>
                      <w:vertAlign w:val="baseline"/>
                      <w:lang w:val="en-US" w:eastAsia="zh-CN" w:bidi="ar-SA"/>
                    </w:rPr>
                  </w:pPr>
                  <w:r>
                    <w:rPr>
                      <w:rFonts w:hint="default" w:ascii="Times New Roman" w:hAnsi="Times New Roman" w:eastAsia="宋体" w:cs="Times New Roman"/>
                      <w:b/>
                      <w:bCs/>
                      <w:color w:val="auto"/>
                      <w:spacing w:val="-10"/>
                      <w:sz w:val="21"/>
                      <w:szCs w:val="21"/>
                      <w:highlight w:val="none"/>
                      <w:vertAlign w:val="baseline"/>
                      <w:lang w:val="en-US" w:eastAsia="zh-CN"/>
                    </w:rPr>
                    <w:t>排放速率 kg/h</w:t>
                  </w:r>
                </w:p>
              </w:tc>
            </w:tr>
            <w:tr w14:paraId="6C306C7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389" w:type="dxa"/>
                  <w:tcBorders>
                    <w:tl2br w:val="nil"/>
                    <w:tr2bl w:val="nil"/>
                  </w:tcBorders>
                </w:tcPr>
                <w:p w14:paraId="217B5B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pacing w:val="-10"/>
                      <w:sz w:val="21"/>
                      <w:szCs w:val="21"/>
                      <w:highlight w:val="none"/>
                      <w:vertAlign w:val="baseline"/>
                      <w:lang w:val="en-US" w:eastAsia="zh-CN"/>
                    </w:rPr>
                  </w:pPr>
                  <w:r>
                    <w:rPr>
                      <w:rFonts w:hint="default" w:ascii="Times New Roman" w:hAnsi="Times New Roman" w:eastAsia="宋体" w:cs="Times New Roman"/>
                      <w:b w:val="0"/>
                      <w:bCs w:val="0"/>
                      <w:color w:val="auto"/>
                      <w:spacing w:val="-10"/>
                      <w:sz w:val="21"/>
                      <w:szCs w:val="21"/>
                      <w:highlight w:val="none"/>
                      <w:vertAlign w:val="baseline"/>
                      <w:lang w:val="en-US" w:eastAsia="zh-CN"/>
                    </w:rPr>
                    <w:t>非甲烷总烃</w:t>
                  </w:r>
                </w:p>
              </w:tc>
              <w:tc>
                <w:tcPr>
                  <w:tcW w:w="1468" w:type="dxa"/>
                  <w:tcBorders>
                    <w:tl2br w:val="nil"/>
                    <w:tr2bl w:val="nil"/>
                  </w:tcBorders>
                  <w:shd w:val="clear" w:color="auto" w:fill="auto"/>
                  <w:vAlign w:val="center"/>
                </w:tcPr>
                <w:p w14:paraId="42B4EAFB">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4.8439</w:t>
                  </w:r>
                </w:p>
              </w:tc>
              <w:tc>
                <w:tcPr>
                  <w:tcW w:w="1468" w:type="dxa"/>
                  <w:tcBorders>
                    <w:tl2br w:val="nil"/>
                    <w:tr2bl w:val="nil"/>
                  </w:tcBorders>
                  <w:shd w:val="clear" w:color="auto" w:fill="auto"/>
                  <w:vAlign w:val="center"/>
                </w:tcPr>
                <w:p w14:paraId="768E821A">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0.26936</w:t>
                  </w:r>
                </w:p>
              </w:tc>
              <w:tc>
                <w:tcPr>
                  <w:tcW w:w="1684" w:type="dxa"/>
                  <w:tcBorders>
                    <w:tl2br w:val="nil"/>
                    <w:tr2bl w:val="nil"/>
                  </w:tcBorders>
                  <w:shd w:val="clear" w:color="auto" w:fill="auto"/>
                  <w:vAlign w:val="center"/>
                </w:tcPr>
                <w:p w14:paraId="13D01885">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0.04843</w:t>
                  </w:r>
                </w:p>
              </w:tc>
              <w:tc>
                <w:tcPr>
                  <w:tcW w:w="1468" w:type="dxa"/>
                  <w:tcBorders>
                    <w:tl2br w:val="nil"/>
                    <w:tr2bl w:val="nil"/>
                  </w:tcBorders>
                  <w:shd w:val="clear" w:color="auto" w:fill="auto"/>
                  <w:vAlign w:val="top"/>
                </w:tcPr>
                <w:p w14:paraId="6B47A2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10"/>
                      <w:kern w:val="2"/>
                      <w:sz w:val="21"/>
                      <w:szCs w:val="21"/>
                      <w:highlight w:val="none"/>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0.026936</w:t>
                  </w:r>
                </w:p>
              </w:tc>
            </w:tr>
            <w:tr w14:paraId="140696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1389" w:type="dxa"/>
                  <w:tcBorders>
                    <w:tl2br w:val="nil"/>
                    <w:tr2bl w:val="nil"/>
                  </w:tcBorders>
                </w:tcPr>
                <w:p w14:paraId="304DA1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pacing w:val="-10"/>
                      <w:sz w:val="21"/>
                      <w:szCs w:val="21"/>
                      <w:highlight w:val="none"/>
                      <w:vertAlign w:val="baseline"/>
                      <w:lang w:val="en-US" w:eastAsia="zh-CN"/>
                    </w:rPr>
                  </w:pPr>
                  <w:r>
                    <w:rPr>
                      <w:rFonts w:hint="default" w:ascii="Times New Roman" w:hAnsi="Times New Roman" w:eastAsia="宋体" w:cs="Times New Roman"/>
                      <w:b w:val="0"/>
                      <w:bCs w:val="0"/>
                      <w:color w:val="auto"/>
                      <w:spacing w:val="-10"/>
                      <w:sz w:val="21"/>
                      <w:szCs w:val="21"/>
                      <w:highlight w:val="none"/>
                      <w:vertAlign w:val="baseline"/>
                      <w:lang w:val="en-US" w:eastAsia="zh-CN"/>
                    </w:rPr>
                    <w:t>氮氧化物</w:t>
                  </w:r>
                </w:p>
              </w:tc>
              <w:tc>
                <w:tcPr>
                  <w:tcW w:w="1468" w:type="dxa"/>
                  <w:tcBorders>
                    <w:tl2br w:val="nil"/>
                    <w:tr2bl w:val="nil"/>
                  </w:tcBorders>
                  <w:shd w:val="clear" w:color="auto" w:fill="auto"/>
                  <w:vAlign w:val="center"/>
                </w:tcPr>
                <w:p w14:paraId="5E1A1508">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0.02403</w:t>
                  </w:r>
                </w:p>
              </w:tc>
              <w:tc>
                <w:tcPr>
                  <w:tcW w:w="1468" w:type="dxa"/>
                  <w:tcBorders>
                    <w:tl2br w:val="nil"/>
                    <w:tr2bl w:val="nil"/>
                  </w:tcBorders>
                  <w:shd w:val="clear" w:color="auto" w:fill="auto"/>
                  <w:vAlign w:val="center"/>
                </w:tcPr>
                <w:p w14:paraId="7B7F94B9">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 xml:space="preserve"> 0.00091</w:t>
                  </w:r>
                </w:p>
              </w:tc>
              <w:tc>
                <w:tcPr>
                  <w:tcW w:w="1684" w:type="dxa"/>
                  <w:tcBorders>
                    <w:tl2br w:val="nil"/>
                    <w:tr2bl w:val="nil"/>
                  </w:tcBorders>
                  <w:shd w:val="clear" w:color="auto" w:fill="auto"/>
                  <w:vAlign w:val="center"/>
                </w:tcPr>
                <w:p w14:paraId="67CE7D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w:t>
                  </w:r>
                  <w:r>
                    <w:rPr>
                      <w:rFonts w:hint="default" w:ascii="Times New Roman" w:hAnsi="Times New Roman" w:eastAsia="宋体" w:cs="Times New Roman"/>
                      <w:b w:val="0"/>
                      <w:bCs w:val="0"/>
                      <w:color w:val="auto"/>
                      <w:spacing w:val="-10"/>
                      <w:sz w:val="21"/>
                      <w:szCs w:val="21"/>
                      <w:highlight w:val="none"/>
                      <w:vertAlign w:val="baseline"/>
                      <w:lang w:val="en-US" w:eastAsia="zh-CN"/>
                    </w:rPr>
                    <w:t>00240</w:t>
                  </w:r>
                </w:p>
              </w:tc>
              <w:tc>
                <w:tcPr>
                  <w:tcW w:w="1468" w:type="dxa"/>
                  <w:tcBorders>
                    <w:tl2br w:val="nil"/>
                    <w:tr2bl w:val="nil"/>
                  </w:tcBorders>
                  <w:shd w:val="clear" w:color="auto" w:fill="auto"/>
                  <w:vAlign w:val="top"/>
                </w:tcPr>
                <w:p w14:paraId="23F8D8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10"/>
                      <w:kern w:val="2"/>
                      <w:sz w:val="21"/>
                      <w:szCs w:val="21"/>
                      <w:highlight w:val="none"/>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0.</w:t>
                  </w:r>
                  <w:r>
                    <w:rPr>
                      <w:rFonts w:hint="default" w:ascii="Times New Roman" w:hAnsi="Times New Roman" w:eastAsia="宋体" w:cs="Times New Roman"/>
                      <w:b w:val="0"/>
                      <w:bCs w:val="0"/>
                      <w:color w:val="auto"/>
                      <w:spacing w:val="-10"/>
                      <w:sz w:val="21"/>
                      <w:szCs w:val="21"/>
                      <w:highlight w:val="none"/>
                      <w:vertAlign w:val="baseline"/>
                      <w:lang w:val="en-US" w:eastAsia="zh-CN"/>
                    </w:rPr>
                    <w:t>000091</w:t>
                  </w:r>
                </w:p>
              </w:tc>
            </w:tr>
            <w:tr w14:paraId="15A562A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89" w:type="dxa"/>
                  <w:tcBorders>
                    <w:tl2br w:val="nil"/>
                    <w:tr2bl w:val="nil"/>
                  </w:tcBorders>
                </w:tcPr>
                <w:p w14:paraId="139415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pacing w:val="-10"/>
                      <w:sz w:val="21"/>
                      <w:szCs w:val="21"/>
                      <w:highlight w:val="none"/>
                      <w:vertAlign w:val="baseline"/>
                      <w:lang w:val="en-US" w:eastAsia="zh-CN"/>
                    </w:rPr>
                  </w:pPr>
                  <w:r>
                    <w:rPr>
                      <w:rFonts w:hint="default" w:ascii="Times New Roman" w:hAnsi="Times New Roman" w:eastAsia="宋体" w:cs="Times New Roman"/>
                      <w:b w:val="0"/>
                      <w:bCs w:val="0"/>
                      <w:color w:val="auto"/>
                      <w:spacing w:val="-10"/>
                      <w:sz w:val="21"/>
                      <w:szCs w:val="21"/>
                      <w:highlight w:val="none"/>
                      <w:vertAlign w:val="baseline"/>
                      <w:lang w:val="en-US" w:eastAsia="zh-CN"/>
                    </w:rPr>
                    <w:t>颗粒物</w:t>
                  </w:r>
                </w:p>
              </w:tc>
              <w:tc>
                <w:tcPr>
                  <w:tcW w:w="1468" w:type="dxa"/>
                  <w:tcBorders>
                    <w:tl2br w:val="nil"/>
                    <w:tr2bl w:val="nil"/>
                  </w:tcBorders>
                  <w:shd w:val="clear" w:color="auto" w:fill="auto"/>
                  <w:vAlign w:val="center"/>
                </w:tcPr>
                <w:p w14:paraId="2EFF323A">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0.33282</w:t>
                  </w:r>
                </w:p>
              </w:tc>
              <w:tc>
                <w:tcPr>
                  <w:tcW w:w="1468" w:type="dxa"/>
                  <w:tcBorders>
                    <w:tl2br w:val="nil"/>
                    <w:tr2bl w:val="nil"/>
                  </w:tcBorders>
                  <w:shd w:val="clear" w:color="auto" w:fill="auto"/>
                  <w:vAlign w:val="center"/>
                </w:tcPr>
                <w:p w14:paraId="662F4086">
                  <w:pPr>
                    <w:adjustRightInd w:val="0"/>
                    <w:snapToGrid w:val="0"/>
                    <w:spacing w:line="240" w:lineRule="auto"/>
                    <w:ind w:firstLine="210" w:firstLineChars="100"/>
                    <w:jc w:val="both"/>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0.005535</w:t>
                  </w:r>
                </w:p>
              </w:tc>
              <w:tc>
                <w:tcPr>
                  <w:tcW w:w="1684" w:type="dxa"/>
                  <w:tcBorders>
                    <w:tl2br w:val="nil"/>
                    <w:tr2bl w:val="nil"/>
                  </w:tcBorders>
                  <w:shd w:val="clear" w:color="auto" w:fill="auto"/>
                  <w:vAlign w:val="center"/>
                </w:tcPr>
                <w:p w14:paraId="516CF2D4">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0.03328</w:t>
                  </w:r>
                </w:p>
              </w:tc>
              <w:tc>
                <w:tcPr>
                  <w:tcW w:w="1468" w:type="dxa"/>
                  <w:tcBorders>
                    <w:tl2br w:val="nil"/>
                    <w:tr2bl w:val="nil"/>
                  </w:tcBorders>
                  <w:shd w:val="clear" w:color="auto" w:fill="auto"/>
                  <w:vAlign w:val="top"/>
                </w:tcPr>
                <w:p w14:paraId="57F7FE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10"/>
                      <w:kern w:val="2"/>
                      <w:sz w:val="21"/>
                      <w:szCs w:val="21"/>
                      <w:highlight w:val="none"/>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0.000554</w:t>
                  </w:r>
                </w:p>
              </w:tc>
            </w:tr>
            <w:tr w14:paraId="6DB47F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89" w:type="dxa"/>
                  <w:tcBorders>
                    <w:tl2br w:val="nil"/>
                    <w:tr2bl w:val="nil"/>
                  </w:tcBorders>
                </w:tcPr>
                <w:p w14:paraId="005EC9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pacing w:val="-10"/>
                      <w:sz w:val="21"/>
                      <w:szCs w:val="21"/>
                      <w:highlight w:val="none"/>
                      <w:vertAlign w:val="baseline"/>
                      <w:lang w:val="en-US" w:eastAsia="zh-CN"/>
                    </w:rPr>
                  </w:pPr>
                  <w:r>
                    <w:rPr>
                      <w:rFonts w:hint="default" w:ascii="Times New Roman" w:hAnsi="Times New Roman" w:eastAsia="宋体" w:cs="Times New Roman"/>
                      <w:b w:val="0"/>
                      <w:bCs w:val="0"/>
                      <w:color w:val="auto"/>
                      <w:spacing w:val="-10"/>
                      <w:sz w:val="21"/>
                      <w:szCs w:val="21"/>
                      <w:highlight w:val="none"/>
                      <w:vertAlign w:val="baseline"/>
                      <w:lang w:val="en-US" w:eastAsia="zh-CN"/>
                    </w:rPr>
                    <w:t>镍及其化合物</w:t>
                  </w:r>
                </w:p>
              </w:tc>
              <w:tc>
                <w:tcPr>
                  <w:tcW w:w="1468" w:type="dxa"/>
                  <w:tcBorders>
                    <w:tl2br w:val="nil"/>
                    <w:tr2bl w:val="nil"/>
                  </w:tcBorders>
                  <w:shd w:val="clear" w:color="auto" w:fill="auto"/>
                  <w:vAlign w:val="center"/>
                </w:tcPr>
                <w:p w14:paraId="69DEE58D">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0.04725</w:t>
                  </w:r>
                </w:p>
              </w:tc>
              <w:tc>
                <w:tcPr>
                  <w:tcW w:w="1468" w:type="dxa"/>
                  <w:tcBorders>
                    <w:tl2br w:val="nil"/>
                    <w:tr2bl w:val="nil"/>
                  </w:tcBorders>
                  <w:shd w:val="clear" w:color="auto" w:fill="auto"/>
                  <w:vAlign w:val="center"/>
                </w:tcPr>
                <w:p w14:paraId="3C1010D0">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0.000945</w:t>
                  </w:r>
                </w:p>
              </w:tc>
              <w:tc>
                <w:tcPr>
                  <w:tcW w:w="1684" w:type="dxa"/>
                  <w:tcBorders>
                    <w:tl2br w:val="nil"/>
                    <w:tr2bl w:val="nil"/>
                  </w:tcBorders>
                  <w:shd w:val="clear" w:color="auto" w:fill="auto"/>
                  <w:vAlign w:val="center"/>
                </w:tcPr>
                <w:p w14:paraId="46756693">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w:t>
                  </w:r>
                  <w:r>
                    <w:rPr>
                      <w:rFonts w:hint="default" w:ascii="Times New Roman" w:hAnsi="Times New Roman" w:eastAsia="宋体" w:cs="Times New Roman"/>
                      <w:sz w:val="21"/>
                      <w:szCs w:val="21"/>
                      <w:highlight w:val="none"/>
                      <w:lang w:val="en-US" w:eastAsia="zh-CN"/>
                    </w:rPr>
                    <w:t>00473</w:t>
                  </w:r>
                </w:p>
              </w:tc>
              <w:tc>
                <w:tcPr>
                  <w:tcW w:w="1468" w:type="dxa"/>
                  <w:tcBorders>
                    <w:tl2br w:val="nil"/>
                    <w:tr2bl w:val="nil"/>
                  </w:tcBorders>
                  <w:shd w:val="clear" w:color="auto" w:fill="auto"/>
                  <w:vAlign w:val="top"/>
                </w:tcPr>
                <w:p w14:paraId="0425B5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10"/>
                      <w:kern w:val="2"/>
                      <w:sz w:val="21"/>
                      <w:szCs w:val="21"/>
                      <w:highlight w:val="none"/>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0.</w:t>
                  </w:r>
                  <w:r>
                    <w:rPr>
                      <w:rFonts w:hint="default" w:ascii="Times New Roman" w:hAnsi="Times New Roman" w:eastAsia="宋体" w:cs="Times New Roman"/>
                      <w:sz w:val="21"/>
                      <w:szCs w:val="21"/>
                      <w:highlight w:val="none"/>
                      <w:lang w:val="en-US" w:eastAsia="zh-CN"/>
                    </w:rPr>
                    <w:t>000095</w:t>
                  </w:r>
                </w:p>
              </w:tc>
            </w:tr>
            <w:tr w14:paraId="6CFA08A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89" w:type="dxa"/>
                  <w:tcBorders>
                    <w:tl2br w:val="nil"/>
                    <w:tr2bl w:val="nil"/>
                  </w:tcBorders>
                </w:tcPr>
                <w:p w14:paraId="3000F4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pacing w:val="-10"/>
                      <w:sz w:val="21"/>
                      <w:szCs w:val="21"/>
                      <w:highlight w:val="none"/>
                      <w:vertAlign w:val="baseline"/>
                      <w:lang w:val="en-US" w:eastAsia="zh-CN"/>
                    </w:rPr>
                  </w:pPr>
                  <w:r>
                    <w:rPr>
                      <w:rFonts w:hint="default" w:ascii="Times New Roman" w:hAnsi="Times New Roman" w:eastAsia="宋体" w:cs="Times New Roman"/>
                      <w:b w:val="0"/>
                      <w:bCs w:val="0"/>
                      <w:color w:val="auto"/>
                      <w:spacing w:val="-10"/>
                      <w:sz w:val="21"/>
                      <w:szCs w:val="21"/>
                      <w:highlight w:val="none"/>
                      <w:vertAlign w:val="baseline"/>
                      <w:lang w:val="en-US" w:eastAsia="zh-CN"/>
                    </w:rPr>
                    <w:t>氯化氢</w:t>
                  </w:r>
                </w:p>
              </w:tc>
              <w:tc>
                <w:tcPr>
                  <w:tcW w:w="1468" w:type="dxa"/>
                  <w:tcBorders>
                    <w:tl2br w:val="nil"/>
                    <w:tr2bl w:val="nil"/>
                  </w:tcBorders>
                  <w:shd w:val="clear" w:color="auto" w:fill="auto"/>
                  <w:vAlign w:val="center"/>
                </w:tcPr>
                <w:p w14:paraId="564D31FF">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0.01699</w:t>
                  </w:r>
                </w:p>
              </w:tc>
              <w:tc>
                <w:tcPr>
                  <w:tcW w:w="1468" w:type="dxa"/>
                  <w:tcBorders>
                    <w:tl2br w:val="nil"/>
                    <w:tr2bl w:val="nil"/>
                  </w:tcBorders>
                  <w:shd w:val="clear" w:color="auto" w:fill="auto"/>
                  <w:vAlign w:val="center"/>
                </w:tcPr>
                <w:p w14:paraId="59CBF078">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 xml:space="preserve">0.00017 </w:t>
                  </w:r>
                </w:p>
              </w:tc>
              <w:tc>
                <w:tcPr>
                  <w:tcW w:w="1684" w:type="dxa"/>
                  <w:tcBorders>
                    <w:tl2br w:val="nil"/>
                    <w:tr2bl w:val="nil"/>
                  </w:tcBorders>
                  <w:shd w:val="clear" w:color="auto" w:fill="auto"/>
                  <w:vAlign w:val="top"/>
                </w:tcPr>
                <w:p w14:paraId="68C9781B">
                  <w:pPr>
                    <w:adjustRightInd w:val="0"/>
                    <w:snapToGrid w:val="0"/>
                    <w:spacing w:line="240" w:lineRule="auto"/>
                    <w:jc w:val="center"/>
                    <w:rPr>
                      <w:rFonts w:hint="default" w:ascii="Times New Roman" w:hAnsi="Times New Roman" w:eastAsia="宋体" w:cs="Times New Roman"/>
                      <w:b w:val="0"/>
                      <w:bCs w:val="0"/>
                      <w:color w:val="auto"/>
                      <w:spacing w:val="-10"/>
                      <w:kern w:val="2"/>
                      <w:sz w:val="21"/>
                      <w:szCs w:val="21"/>
                      <w:highlight w:val="none"/>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0.</w:t>
                  </w:r>
                  <w:r>
                    <w:rPr>
                      <w:rFonts w:hint="default" w:ascii="Times New Roman" w:hAnsi="Times New Roman" w:eastAsia="宋体" w:cs="Times New Roman"/>
                      <w:sz w:val="21"/>
                      <w:szCs w:val="21"/>
                      <w:highlight w:val="none"/>
                      <w:lang w:val="en-US" w:eastAsia="zh-CN"/>
                    </w:rPr>
                    <w:t>001699</w:t>
                  </w:r>
                </w:p>
              </w:tc>
              <w:tc>
                <w:tcPr>
                  <w:tcW w:w="1468" w:type="dxa"/>
                  <w:tcBorders>
                    <w:tl2br w:val="nil"/>
                    <w:tr2bl w:val="nil"/>
                  </w:tcBorders>
                  <w:shd w:val="clear" w:color="auto" w:fill="auto"/>
                  <w:vAlign w:val="top"/>
                </w:tcPr>
                <w:p w14:paraId="4E1041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10"/>
                      <w:kern w:val="2"/>
                      <w:sz w:val="21"/>
                      <w:szCs w:val="21"/>
                      <w:highlight w:val="none"/>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0.</w:t>
                  </w:r>
                  <w:r>
                    <w:rPr>
                      <w:rFonts w:hint="default" w:ascii="Times New Roman" w:hAnsi="Times New Roman" w:eastAsia="宋体" w:cs="Times New Roman"/>
                      <w:sz w:val="21"/>
                      <w:szCs w:val="21"/>
                      <w:highlight w:val="none"/>
                      <w:lang w:val="en-US" w:eastAsia="zh-CN"/>
                    </w:rPr>
                    <w:t xml:space="preserve">000017 </w:t>
                  </w:r>
                </w:p>
              </w:tc>
            </w:tr>
            <w:tr w14:paraId="429FE23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389" w:type="dxa"/>
                  <w:tcBorders>
                    <w:tl2br w:val="nil"/>
                    <w:tr2bl w:val="nil"/>
                  </w:tcBorders>
                </w:tcPr>
                <w:p w14:paraId="5D12EF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pacing w:val="-10"/>
                      <w:sz w:val="21"/>
                      <w:szCs w:val="21"/>
                      <w:highlight w:val="none"/>
                      <w:vertAlign w:val="baseline"/>
                      <w:lang w:val="en-US" w:eastAsia="zh-CN"/>
                    </w:rPr>
                  </w:pPr>
                  <w:r>
                    <w:rPr>
                      <w:rFonts w:hint="default" w:ascii="Times New Roman" w:hAnsi="Times New Roman" w:eastAsia="宋体" w:cs="Times New Roman"/>
                      <w:b w:val="0"/>
                      <w:bCs w:val="0"/>
                      <w:color w:val="auto"/>
                      <w:spacing w:val="-10"/>
                      <w:sz w:val="21"/>
                      <w:szCs w:val="21"/>
                      <w:highlight w:val="none"/>
                      <w:vertAlign w:val="baseline"/>
                      <w:lang w:val="en-US" w:eastAsia="zh-CN"/>
                    </w:rPr>
                    <w:t>氨</w:t>
                  </w:r>
                </w:p>
              </w:tc>
              <w:tc>
                <w:tcPr>
                  <w:tcW w:w="1468" w:type="dxa"/>
                  <w:tcBorders>
                    <w:tl2br w:val="nil"/>
                    <w:tr2bl w:val="nil"/>
                  </w:tcBorders>
                  <w:shd w:val="clear" w:color="auto" w:fill="auto"/>
                  <w:vAlign w:val="center"/>
                </w:tcPr>
                <w:p w14:paraId="1ACC5895">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1.814</w:t>
                  </w:r>
                </w:p>
              </w:tc>
              <w:tc>
                <w:tcPr>
                  <w:tcW w:w="1468" w:type="dxa"/>
                  <w:tcBorders>
                    <w:tl2br w:val="nil"/>
                    <w:tr2bl w:val="nil"/>
                  </w:tcBorders>
                  <w:shd w:val="clear" w:color="auto" w:fill="auto"/>
                  <w:vAlign w:val="center"/>
                </w:tcPr>
                <w:p w14:paraId="7A5BFA22">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0.001209</w:t>
                  </w:r>
                </w:p>
              </w:tc>
              <w:tc>
                <w:tcPr>
                  <w:tcW w:w="1684" w:type="dxa"/>
                  <w:tcBorders>
                    <w:tl2br w:val="nil"/>
                    <w:tr2bl w:val="nil"/>
                  </w:tcBorders>
                  <w:shd w:val="clear" w:color="auto" w:fill="auto"/>
                  <w:vAlign w:val="top"/>
                </w:tcPr>
                <w:p w14:paraId="0818BA10">
                  <w:pPr>
                    <w:adjustRightInd w:val="0"/>
                    <w:snapToGrid w:val="0"/>
                    <w:spacing w:line="240" w:lineRule="auto"/>
                    <w:jc w:val="center"/>
                    <w:rPr>
                      <w:rFonts w:hint="default" w:ascii="Times New Roman" w:hAnsi="Times New Roman" w:eastAsia="宋体" w:cs="Times New Roman"/>
                      <w:b w:val="0"/>
                      <w:bCs w:val="0"/>
                      <w:color w:val="auto"/>
                      <w:spacing w:val="-10"/>
                      <w:kern w:val="2"/>
                      <w:sz w:val="21"/>
                      <w:szCs w:val="21"/>
                      <w:highlight w:val="none"/>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0.</w:t>
                  </w:r>
                  <w:r>
                    <w:rPr>
                      <w:rFonts w:hint="default" w:ascii="Times New Roman" w:hAnsi="Times New Roman" w:eastAsia="宋体" w:cs="Times New Roman"/>
                      <w:sz w:val="21"/>
                      <w:szCs w:val="21"/>
                      <w:highlight w:val="none"/>
                      <w:lang w:val="en-US" w:eastAsia="zh-CN"/>
                    </w:rPr>
                    <w:t>1814</w:t>
                  </w:r>
                </w:p>
              </w:tc>
              <w:tc>
                <w:tcPr>
                  <w:tcW w:w="1468" w:type="dxa"/>
                  <w:tcBorders>
                    <w:tl2br w:val="nil"/>
                    <w:tr2bl w:val="nil"/>
                  </w:tcBorders>
                  <w:shd w:val="clear" w:color="auto" w:fill="auto"/>
                  <w:vAlign w:val="top"/>
                </w:tcPr>
                <w:p w14:paraId="6469FC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10"/>
                      <w:kern w:val="2"/>
                      <w:sz w:val="21"/>
                      <w:szCs w:val="21"/>
                      <w:highlight w:val="none"/>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0.</w:t>
                  </w:r>
                  <w:r>
                    <w:rPr>
                      <w:rFonts w:hint="default" w:ascii="Times New Roman" w:hAnsi="Times New Roman" w:eastAsia="宋体" w:cs="Times New Roman"/>
                      <w:sz w:val="21"/>
                      <w:szCs w:val="21"/>
                      <w:highlight w:val="none"/>
                      <w:lang w:val="en-US" w:eastAsia="zh-CN"/>
                    </w:rPr>
                    <w:t>000121</w:t>
                  </w:r>
                </w:p>
              </w:tc>
            </w:tr>
            <w:tr w14:paraId="70C78BD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389" w:type="dxa"/>
                  <w:tcBorders>
                    <w:tl2br w:val="nil"/>
                    <w:tr2bl w:val="nil"/>
                  </w:tcBorders>
                </w:tcPr>
                <w:p w14:paraId="6D6DD7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pacing w:val="-10"/>
                      <w:sz w:val="21"/>
                      <w:szCs w:val="21"/>
                      <w:highlight w:val="none"/>
                      <w:vertAlign w:val="baseline"/>
                      <w:lang w:val="en-US" w:eastAsia="zh-CN"/>
                    </w:rPr>
                  </w:pPr>
                  <w:r>
                    <w:rPr>
                      <w:rFonts w:hint="eastAsia" w:cs="Times New Roman"/>
                      <w:bCs/>
                      <w:szCs w:val="21"/>
                      <w:highlight w:val="none"/>
                      <w:lang w:val="en-US" w:eastAsia="zh-CN"/>
                    </w:rPr>
                    <w:t>氟化物（以F计）</w:t>
                  </w:r>
                </w:p>
              </w:tc>
              <w:tc>
                <w:tcPr>
                  <w:tcW w:w="1468" w:type="dxa"/>
                  <w:tcBorders>
                    <w:tl2br w:val="nil"/>
                    <w:tr2bl w:val="nil"/>
                  </w:tcBorders>
                  <w:shd w:val="clear" w:color="auto" w:fill="auto"/>
                  <w:vAlign w:val="center"/>
                </w:tcPr>
                <w:p w14:paraId="15202A64">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0.175</w:t>
                  </w:r>
                </w:p>
              </w:tc>
              <w:tc>
                <w:tcPr>
                  <w:tcW w:w="1468" w:type="dxa"/>
                  <w:tcBorders>
                    <w:tl2br w:val="nil"/>
                    <w:tr2bl w:val="nil"/>
                  </w:tcBorders>
                  <w:shd w:val="clear" w:color="auto" w:fill="auto"/>
                  <w:vAlign w:val="center"/>
                </w:tcPr>
                <w:p w14:paraId="183FA583">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0.00</w:t>
                  </w:r>
                  <w:r>
                    <w:rPr>
                      <w:rFonts w:hint="eastAsia" w:ascii="Times New Roman" w:hAnsi="Times New Roman" w:eastAsia="宋体" w:cs="Times New Roman"/>
                      <w:kern w:val="2"/>
                      <w:sz w:val="21"/>
                      <w:szCs w:val="21"/>
                      <w:highlight w:val="none"/>
                      <w:lang w:val="en-US" w:eastAsia="zh-CN" w:bidi="ar-SA"/>
                    </w:rPr>
                    <w:t>012</w:t>
                  </w:r>
                </w:p>
              </w:tc>
              <w:tc>
                <w:tcPr>
                  <w:tcW w:w="1684" w:type="dxa"/>
                  <w:tcBorders>
                    <w:tl2br w:val="nil"/>
                    <w:tr2bl w:val="nil"/>
                  </w:tcBorders>
                  <w:shd w:val="clear" w:color="auto" w:fill="auto"/>
                  <w:vAlign w:val="center"/>
                </w:tcPr>
                <w:p w14:paraId="6450C13C">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0.0175</w:t>
                  </w:r>
                </w:p>
              </w:tc>
              <w:tc>
                <w:tcPr>
                  <w:tcW w:w="1468" w:type="dxa"/>
                  <w:tcBorders>
                    <w:tl2br w:val="nil"/>
                    <w:tr2bl w:val="nil"/>
                  </w:tcBorders>
                  <w:shd w:val="clear" w:color="auto" w:fill="auto"/>
                  <w:vAlign w:val="center"/>
                </w:tcPr>
                <w:p w14:paraId="6A89105F">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0.000012</w:t>
                  </w:r>
                </w:p>
              </w:tc>
            </w:tr>
          </w:tbl>
          <w:p w14:paraId="116580D0">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根据《环境影响评价技术导则大气环境》（HJ2.2-2018）中附录A推荐模型中的AERSCREEN模型进行计算各污染物的厂界最大落地浓度，无组织废气达标分析一览表见下表。</w:t>
            </w:r>
          </w:p>
          <w:p w14:paraId="21208910">
            <w:pPr>
              <w:numPr>
                <w:ilvl w:val="0"/>
                <w:numId w:val="48"/>
              </w:numPr>
              <w:adjustRightInd w:val="0"/>
              <w:snapToGrid w:val="0"/>
              <w:spacing w:line="360" w:lineRule="auto"/>
              <w:ind w:left="425" w:leftChars="0" w:hanging="425" w:firstLineChars="0"/>
              <w:jc w:val="center"/>
              <w:rPr>
                <w:rFonts w:hint="default"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项目大气污染物无组织排放达标分析一览表</w:t>
            </w:r>
          </w:p>
          <w:tbl>
            <w:tblPr>
              <w:tblStyle w:val="18"/>
              <w:tblW w:w="7498"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50"/>
              <w:gridCol w:w="1561"/>
              <w:gridCol w:w="1487"/>
              <w:gridCol w:w="1728"/>
              <w:gridCol w:w="1172"/>
            </w:tblGrid>
            <w:tr w14:paraId="414D95E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550" w:type="dxa"/>
                  <w:tcBorders>
                    <w:tl2br w:val="nil"/>
                    <w:tr2bl w:val="nil"/>
                  </w:tcBorders>
                  <w:vAlign w:val="center"/>
                </w:tcPr>
                <w:p w14:paraId="42696537">
                  <w:pPr>
                    <w:jc w:val="center"/>
                    <w:rPr>
                      <w:rFonts w:hint="default" w:ascii="Times New Roman" w:hAnsi="Times New Roman" w:eastAsia="宋体" w:cs="Times New Roman"/>
                      <w:b/>
                      <w:bCs/>
                      <w:szCs w:val="21"/>
                      <w:highlight w:val="none"/>
                      <w:lang w:val="en-US" w:eastAsia="zh-CN"/>
                    </w:rPr>
                  </w:pPr>
                  <w:r>
                    <w:rPr>
                      <w:rFonts w:hint="default" w:ascii="Times New Roman" w:hAnsi="Times New Roman" w:eastAsia="宋体" w:cs="Times New Roman"/>
                      <w:b/>
                      <w:bCs/>
                      <w:szCs w:val="21"/>
                      <w:highlight w:val="none"/>
                      <w:lang w:val="en-US" w:eastAsia="zh-CN"/>
                    </w:rPr>
                    <w:t>污染物名称</w:t>
                  </w:r>
                </w:p>
              </w:tc>
              <w:tc>
                <w:tcPr>
                  <w:tcW w:w="1561" w:type="dxa"/>
                  <w:tcBorders>
                    <w:tl2br w:val="nil"/>
                    <w:tr2bl w:val="nil"/>
                  </w:tcBorders>
                  <w:vAlign w:val="center"/>
                </w:tcPr>
                <w:p w14:paraId="688EEC07">
                  <w:pPr>
                    <w:jc w:val="center"/>
                    <w:rPr>
                      <w:rFonts w:hint="default" w:ascii="Times New Roman" w:hAnsi="Times New Roman" w:eastAsia="宋体" w:cs="Times New Roman"/>
                      <w:b/>
                      <w:bCs/>
                      <w:szCs w:val="21"/>
                      <w:highlight w:val="none"/>
                      <w:lang w:val="en-US" w:eastAsia="zh-CN"/>
                    </w:rPr>
                  </w:pPr>
                  <w:r>
                    <w:rPr>
                      <w:rFonts w:hint="default" w:ascii="Times New Roman" w:hAnsi="Times New Roman" w:eastAsia="宋体" w:cs="Times New Roman"/>
                      <w:b/>
                      <w:bCs/>
                      <w:szCs w:val="21"/>
                      <w:highlight w:val="none"/>
                      <w:lang w:val="en-US" w:eastAsia="zh-CN"/>
                    </w:rPr>
                    <w:t>排放速率</w:t>
                  </w:r>
                </w:p>
                <w:p w14:paraId="21638A09">
                  <w:pPr>
                    <w:jc w:val="center"/>
                    <w:rPr>
                      <w:rFonts w:hint="default" w:ascii="Times New Roman" w:hAnsi="Times New Roman" w:eastAsia="宋体" w:cs="Times New Roman"/>
                      <w:b/>
                      <w:bCs/>
                      <w:szCs w:val="21"/>
                      <w:highlight w:val="none"/>
                      <w:lang w:val="en-US" w:eastAsia="zh-CN"/>
                    </w:rPr>
                  </w:pPr>
                  <w:r>
                    <w:rPr>
                      <w:rFonts w:hint="default" w:ascii="Times New Roman" w:hAnsi="Times New Roman" w:eastAsia="宋体" w:cs="Times New Roman"/>
                      <w:b/>
                      <w:bCs/>
                      <w:szCs w:val="21"/>
                      <w:highlight w:val="none"/>
                      <w:lang w:val="en-US" w:eastAsia="zh-CN"/>
                    </w:rPr>
                    <w:t>kg/h</w:t>
                  </w:r>
                </w:p>
              </w:tc>
              <w:tc>
                <w:tcPr>
                  <w:tcW w:w="1487" w:type="dxa"/>
                  <w:tcBorders>
                    <w:tl2br w:val="nil"/>
                    <w:tr2bl w:val="nil"/>
                  </w:tcBorders>
                  <w:vAlign w:val="center"/>
                </w:tcPr>
                <w:p w14:paraId="663B48C1">
                  <w:pPr>
                    <w:jc w:val="center"/>
                    <w:rPr>
                      <w:rFonts w:hint="default" w:ascii="Times New Roman" w:hAnsi="Times New Roman" w:eastAsia="宋体" w:cs="Times New Roman"/>
                      <w:b/>
                      <w:bCs/>
                      <w:szCs w:val="21"/>
                      <w:highlight w:val="none"/>
                      <w:lang w:val="en-US" w:eastAsia="zh-CN"/>
                    </w:rPr>
                  </w:pPr>
                  <w:r>
                    <w:rPr>
                      <w:rFonts w:hint="default" w:ascii="Times New Roman" w:hAnsi="Times New Roman" w:eastAsia="宋体" w:cs="Times New Roman"/>
                      <w:b/>
                      <w:bCs/>
                      <w:szCs w:val="21"/>
                      <w:highlight w:val="none"/>
                      <w:lang w:val="en-US" w:eastAsia="zh-CN"/>
                    </w:rPr>
                    <w:t xml:space="preserve">厂界最大浓度 </w:t>
                  </w:r>
                </w:p>
                <w:p w14:paraId="00F55DB3">
                  <w:pPr>
                    <w:jc w:val="center"/>
                    <w:rPr>
                      <w:rFonts w:hint="default" w:ascii="Times New Roman" w:hAnsi="Times New Roman" w:eastAsia="宋体" w:cs="Times New Roman"/>
                      <w:b/>
                      <w:bCs/>
                      <w:szCs w:val="21"/>
                      <w:highlight w:val="none"/>
                      <w:lang w:val="en-US" w:eastAsia="zh-CN"/>
                    </w:rPr>
                  </w:pPr>
                  <w:r>
                    <w:rPr>
                      <w:rFonts w:hint="default" w:ascii="Times New Roman" w:hAnsi="Times New Roman" w:eastAsia="宋体" w:cs="Times New Roman"/>
                      <w:b/>
                      <w:bCs/>
                      <w:szCs w:val="21"/>
                      <w:highlight w:val="none"/>
                      <w:lang w:val="en-US" w:eastAsia="zh-CN"/>
                    </w:rPr>
                    <w:t>mg/m</w:t>
                  </w:r>
                  <w:r>
                    <w:rPr>
                      <w:rFonts w:hint="default" w:ascii="Times New Roman" w:hAnsi="Times New Roman" w:eastAsia="宋体" w:cs="Times New Roman"/>
                      <w:b/>
                      <w:bCs/>
                      <w:szCs w:val="21"/>
                      <w:highlight w:val="none"/>
                      <w:vertAlign w:val="superscript"/>
                      <w:lang w:val="en-US" w:eastAsia="zh-CN"/>
                    </w:rPr>
                    <w:t>3</w:t>
                  </w:r>
                </w:p>
              </w:tc>
              <w:tc>
                <w:tcPr>
                  <w:tcW w:w="1728" w:type="dxa"/>
                  <w:tcBorders>
                    <w:tl2br w:val="nil"/>
                    <w:tr2bl w:val="nil"/>
                  </w:tcBorders>
                  <w:vAlign w:val="center"/>
                </w:tcPr>
                <w:p w14:paraId="70A53EDF">
                  <w:pPr>
                    <w:jc w:val="center"/>
                    <w:rPr>
                      <w:rFonts w:hint="default" w:ascii="Times New Roman" w:hAnsi="Times New Roman" w:eastAsia="宋体" w:cs="Times New Roman"/>
                      <w:b/>
                      <w:bCs/>
                      <w:szCs w:val="21"/>
                      <w:highlight w:val="none"/>
                      <w:lang w:val="en-US" w:eastAsia="zh-CN"/>
                    </w:rPr>
                  </w:pPr>
                  <w:r>
                    <w:rPr>
                      <w:rFonts w:hint="default" w:ascii="Times New Roman" w:hAnsi="Times New Roman" w:eastAsia="宋体" w:cs="Times New Roman"/>
                      <w:b/>
                      <w:bCs/>
                      <w:szCs w:val="21"/>
                      <w:highlight w:val="none"/>
                      <w:lang w:val="en-US" w:eastAsia="zh-CN"/>
                    </w:rPr>
                    <w:t>单位周界无组织排放监控点浓度限值mg/m</w:t>
                  </w:r>
                  <w:r>
                    <w:rPr>
                      <w:rFonts w:hint="default" w:ascii="Times New Roman" w:hAnsi="Times New Roman" w:eastAsia="宋体" w:cs="Times New Roman"/>
                      <w:b/>
                      <w:bCs/>
                      <w:szCs w:val="21"/>
                      <w:highlight w:val="none"/>
                      <w:vertAlign w:val="superscript"/>
                      <w:lang w:val="en-US" w:eastAsia="zh-CN"/>
                    </w:rPr>
                    <w:t>3</w:t>
                  </w:r>
                </w:p>
              </w:tc>
              <w:tc>
                <w:tcPr>
                  <w:tcW w:w="1172" w:type="dxa"/>
                  <w:tcBorders>
                    <w:tl2br w:val="nil"/>
                    <w:tr2bl w:val="nil"/>
                  </w:tcBorders>
                  <w:vAlign w:val="center"/>
                </w:tcPr>
                <w:p w14:paraId="2EA1448E">
                  <w:pPr>
                    <w:jc w:val="center"/>
                    <w:rPr>
                      <w:rFonts w:hint="default" w:ascii="Times New Roman" w:hAnsi="Times New Roman" w:eastAsia="宋体" w:cs="Times New Roman"/>
                      <w:b/>
                      <w:bCs/>
                      <w:szCs w:val="21"/>
                      <w:highlight w:val="none"/>
                      <w:lang w:val="en-US" w:eastAsia="zh-CN"/>
                    </w:rPr>
                  </w:pPr>
                  <w:r>
                    <w:rPr>
                      <w:rFonts w:hint="default" w:ascii="Times New Roman" w:hAnsi="Times New Roman" w:eastAsia="宋体" w:cs="Times New Roman"/>
                      <w:b/>
                      <w:bCs/>
                      <w:szCs w:val="21"/>
                      <w:highlight w:val="none"/>
                      <w:lang w:val="en-US" w:eastAsia="zh-CN"/>
                    </w:rPr>
                    <w:t>达标情况</w:t>
                  </w:r>
                </w:p>
              </w:tc>
            </w:tr>
            <w:tr w14:paraId="79D762D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50" w:type="dxa"/>
                  <w:tcBorders>
                    <w:tl2br w:val="nil"/>
                    <w:tr2bl w:val="nil"/>
                  </w:tcBorders>
                  <w:shd w:val="clear" w:color="auto" w:fill="auto"/>
                  <w:vAlign w:val="top"/>
                </w:tcPr>
                <w:p w14:paraId="206F62BE">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非甲烷总烃</w:t>
                  </w:r>
                </w:p>
              </w:tc>
              <w:tc>
                <w:tcPr>
                  <w:tcW w:w="1561" w:type="dxa"/>
                  <w:tcBorders>
                    <w:tl2br w:val="nil"/>
                    <w:tr2bl w:val="nil"/>
                  </w:tcBorders>
                  <w:shd w:val="clear" w:color="auto" w:fill="auto"/>
                  <w:vAlign w:val="top"/>
                </w:tcPr>
                <w:p w14:paraId="71F95B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0.026936</w:t>
                  </w:r>
                </w:p>
              </w:tc>
              <w:tc>
                <w:tcPr>
                  <w:tcW w:w="1487" w:type="dxa"/>
                  <w:tcBorders>
                    <w:tl2br w:val="nil"/>
                    <w:tr2bl w:val="nil"/>
                  </w:tcBorders>
                </w:tcPr>
                <w:p w14:paraId="0700E974">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0.02967</w:t>
                  </w:r>
                </w:p>
              </w:tc>
              <w:tc>
                <w:tcPr>
                  <w:tcW w:w="1728" w:type="dxa"/>
                  <w:tcBorders>
                    <w:tl2br w:val="nil"/>
                    <w:tr2bl w:val="nil"/>
                  </w:tcBorders>
                </w:tcPr>
                <w:p w14:paraId="5FEDF4C1">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1.0</w:t>
                  </w:r>
                </w:p>
              </w:tc>
              <w:tc>
                <w:tcPr>
                  <w:tcW w:w="1172" w:type="dxa"/>
                  <w:tcBorders>
                    <w:tl2br w:val="nil"/>
                    <w:tr2bl w:val="nil"/>
                  </w:tcBorders>
                </w:tcPr>
                <w:p w14:paraId="569B52C6">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达标</w:t>
                  </w:r>
                </w:p>
              </w:tc>
            </w:tr>
            <w:tr w14:paraId="520B236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50" w:type="dxa"/>
                  <w:tcBorders>
                    <w:tl2br w:val="nil"/>
                    <w:tr2bl w:val="nil"/>
                  </w:tcBorders>
                  <w:shd w:val="clear" w:color="auto" w:fill="auto"/>
                  <w:vAlign w:val="center"/>
                </w:tcPr>
                <w:p w14:paraId="1918E68B">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氮氧化物</w:t>
                  </w:r>
                </w:p>
              </w:tc>
              <w:tc>
                <w:tcPr>
                  <w:tcW w:w="1561" w:type="dxa"/>
                  <w:tcBorders>
                    <w:tl2br w:val="nil"/>
                    <w:tr2bl w:val="nil"/>
                  </w:tcBorders>
                  <w:shd w:val="clear" w:color="auto" w:fill="auto"/>
                  <w:vAlign w:val="top"/>
                </w:tcPr>
                <w:p w14:paraId="31860C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w:t>
                  </w:r>
                  <w:r>
                    <w:rPr>
                      <w:rFonts w:hint="default" w:ascii="Times New Roman" w:hAnsi="Times New Roman" w:eastAsia="宋体" w:cs="Times New Roman"/>
                      <w:b w:val="0"/>
                      <w:bCs w:val="0"/>
                      <w:color w:val="auto"/>
                      <w:spacing w:val="-10"/>
                      <w:sz w:val="21"/>
                      <w:szCs w:val="21"/>
                      <w:highlight w:val="none"/>
                      <w:vertAlign w:val="baseline"/>
                      <w:lang w:val="en-US" w:eastAsia="zh-CN"/>
                    </w:rPr>
                    <w:t>000091</w:t>
                  </w:r>
                </w:p>
              </w:tc>
              <w:tc>
                <w:tcPr>
                  <w:tcW w:w="1487" w:type="dxa"/>
                  <w:tcBorders>
                    <w:tl2br w:val="nil"/>
                    <w:tr2bl w:val="nil"/>
                  </w:tcBorders>
                  <w:shd w:val="clear" w:color="auto" w:fill="auto"/>
                  <w:vAlign w:val="top"/>
                </w:tcPr>
                <w:p w14:paraId="1EA0B940">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0.0001</w:t>
                  </w:r>
                </w:p>
              </w:tc>
              <w:tc>
                <w:tcPr>
                  <w:tcW w:w="1728" w:type="dxa"/>
                  <w:tcBorders>
                    <w:tl2br w:val="nil"/>
                    <w:tr2bl w:val="nil"/>
                  </w:tcBorders>
                  <w:shd w:val="clear" w:color="auto" w:fill="auto"/>
                  <w:vAlign w:val="center"/>
                </w:tcPr>
                <w:p w14:paraId="2B10A9E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0.12</w:t>
                  </w:r>
                </w:p>
              </w:tc>
              <w:tc>
                <w:tcPr>
                  <w:tcW w:w="1172" w:type="dxa"/>
                  <w:tcBorders>
                    <w:tl2br w:val="nil"/>
                    <w:tr2bl w:val="nil"/>
                  </w:tcBorders>
                </w:tcPr>
                <w:p w14:paraId="20C3E56E">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达标</w:t>
                  </w:r>
                </w:p>
              </w:tc>
            </w:tr>
            <w:tr w14:paraId="5F7EEC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50" w:type="dxa"/>
                  <w:tcBorders>
                    <w:tl2br w:val="nil"/>
                    <w:tr2bl w:val="nil"/>
                  </w:tcBorders>
                  <w:shd w:val="clear" w:color="auto" w:fill="auto"/>
                  <w:vAlign w:val="center"/>
                </w:tcPr>
                <w:p w14:paraId="704E5ADB">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颗粒物</w:t>
                  </w:r>
                </w:p>
              </w:tc>
              <w:tc>
                <w:tcPr>
                  <w:tcW w:w="1561" w:type="dxa"/>
                  <w:tcBorders>
                    <w:tl2br w:val="nil"/>
                    <w:tr2bl w:val="nil"/>
                  </w:tcBorders>
                  <w:shd w:val="clear" w:color="auto" w:fill="auto"/>
                  <w:vAlign w:val="top"/>
                </w:tcPr>
                <w:p w14:paraId="34F182A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0.000554</w:t>
                  </w:r>
                </w:p>
              </w:tc>
              <w:tc>
                <w:tcPr>
                  <w:tcW w:w="1487" w:type="dxa"/>
                  <w:tcBorders>
                    <w:tl2br w:val="nil"/>
                    <w:tr2bl w:val="nil"/>
                  </w:tcBorders>
                </w:tcPr>
                <w:p w14:paraId="6FEC5109">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0.0006</w:t>
                  </w:r>
                </w:p>
              </w:tc>
              <w:tc>
                <w:tcPr>
                  <w:tcW w:w="1728" w:type="dxa"/>
                  <w:tcBorders>
                    <w:tl2br w:val="nil"/>
                    <w:tr2bl w:val="nil"/>
                  </w:tcBorders>
                  <w:shd w:val="clear" w:color="auto" w:fill="auto"/>
                  <w:vAlign w:val="center"/>
                </w:tcPr>
                <w:p w14:paraId="36EE92D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0.30</w:t>
                  </w:r>
                </w:p>
              </w:tc>
              <w:tc>
                <w:tcPr>
                  <w:tcW w:w="1172" w:type="dxa"/>
                  <w:tcBorders>
                    <w:tl2br w:val="nil"/>
                    <w:tr2bl w:val="nil"/>
                  </w:tcBorders>
                </w:tcPr>
                <w:p w14:paraId="460A2004">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达标</w:t>
                  </w:r>
                </w:p>
              </w:tc>
            </w:tr>
            <w:tr w14:paraId="6359253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50" w:type="dxa"/>
                  <w:tcBorders>
                    <w:tl2br w:val="nil"/>
                    <w:tr2bl w:val="nil"/>
                  </w:tcBorders>
                  <w:shd w:val="clear" w:color="auto" w:fill="auto"/>
                  <w:vAlign w:val="center"/>
                </w:tcPr>
                <w:p w14:paraId="3EC699B5">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镍及其化合物</w:t>
                  </w:r>
                </w:p>
              </w:tc>
              <w:tc>
                <w:tcPr>
                  <w:tcW w:w="1561" w:type="dxa"/>
                  <w:tcBorders>
                    <w:tl2br w:val="nil"/>
                    <w:tr2bl w:val="nil"/>
                  </w:tcBorders>
                  <w:shd w:val="clear" w:color="auto" w:fill="auto"/>
                  <w:vAlign w:val="top"/>
                </w:tcPr>
                <w:p w14:paraId="708AAC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0.</w:t>
                  </w:r>
                  <w:r>
                    <w:rPr>
                      <w:rFonts w:hint="default" w:ascii="Times New Roman" w:hAnsi="Times New Roman" w:eastAsia="宋体" w:cs="Times New Roman"/>
                      <w:sz w:val="21"/>
                      <w:szCs w:val="21"/>
                      <w:highlight w:val="none"/>
                      <w:lang w:val="en-US" w:eastAsia="zh-CN"/>
                    </w:rPr>
                    <w:t>000095</w:t>
                  </w:r>
                </w:p>
              </w:tc>
              <w:tc>
                <w:tcPr>
                  <w:tcW w:w="1487" w:type="dxa"/>
                  <w:tcBorders>
                    <w:tl2br w:val="nil"/>
                    <w:tr2bl w:val="nil"/>
                  </w:tcBorders>
                </w:tcPr>
                <w:p w14:paraId="614A49F3">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0.0001</w:t>
                  </w:r>
                </w:p>
              </w:tc>
              <w:tc>
                <w:tcPr>
                  <w:tcW w:w="1728" w:type="dxa"/>
                  <w:tcBorders>
                    <w:tl2br w:val="nil"/>
                    <w:tr2bl w:val="nil"/>
                  </w:tcBorders>
                  <w:shd w:val="clear" w:color="auto" w:fill="auto"/>
                  <w:vAlign w:val="center"/>
                </w:tcPr>
                <w:p w14:paraId="1C372D7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0.02</w:t>
                  </w:r>
                </w:p>
              </w:tc>
              <w:tc>
                <w:tcPr>
                  <w:tcW w:w="1172" w:type="dxa"/>
                  <w:tcBorders>
                    <w:tl2br w:val="nil"/>
                    <w:tr2bl w:val="nil"/>
                  </w:tcBorders>
                </w:tcPr>
                <w:p w14:paraId="1C1E4FC3">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达标</w:t>
                  </w:r>
                </w:p>
              </w:tc>
            </w:tr>
            <w:tr w14:paraId="4B91555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50" w:type="dxa"/>
                  <w:tcBorders>
                    <w:tl2br w:val="nil"/>
                    <w:tr2bl w:val="nil"/>
                  </w:tcBorders>
                  <w:shd w:val="clear" w:color="auto" w:fill="auto"/>
                  <w:vAlign w:val="center"/>
                </w:tcPr>
                <w:p w14:paraId="588D063D">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氯化氢</w:t>
                  </w:r>
                </w:p>
              </w:tc>
              <w:tc>
                <w:tcPr>
                  <w:tcW w:w="1561" w:type="dxa"/>
                  <w:tcBorders>
                    <w:tl2br w:val="nil"/>
                    <w:tr2bl w:val="nil"/>
                  </w:tcBorders>
                  <w:shd w:val="clear" w:color="auto" w:fill="auto"/>
                  <w:vAlign w:val="top"/>
                </w:tcPr>
                <w:p w14:paraId="59C65F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0.</w:t>
                  </w:r>
                  <w:r>
                    <w:rPr>
                      <w:rFonts w:hint="default" w:ascii="Times New Roman" w:hAnsi="Times New Roman" w:eastAsia="宋体" w:cs="Times New Roman"/>
                      <w:sz w:val="21"/>
                      <w:szCs w:val="21"/>
                      <w:highlight w:val="none"/>
                      <w:lang w:val="en-US" w:eastAsia="zh-CN"/>
                    </w:rPr>
                    <w:t xml:space="preserve">000017 </w:t>
                  </w:r>
                </w:p>
              </w:tc>
              <w:tc>
                <w:tcPr>
                  <w:tcW w:w="1487" w:type="dxa"/>
                  <w:tcBorders>
                    <w:tl2br w:val="nil"/>
                    <w:tr2bl w:val="nil"/>
                  </w:tcBorders>
                </w:tcPr>
                <w:p w14:paraId="12F4EC4A">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0.00002</w:t>
                  </w:r>
                </w:p>
              </w:tc>
              <w:tc>
                <w:tcPr>
                  <w:tcW w:w="1728" w:type="dxa"/>
                  <w:tcBorders>
                    <w:tl2br w:val="nil"/>
                    <w:tr2bl w:val="nil"/>
                  </w:tcBorders>
                  <w:shd w:val="clear" w:color="auto" w:fill="auto"/>
                  <w:vAlign w:val="center"/>
                </w:tcPr>
                <w:p w14:paraId="4C0400A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0.010</w:t>
                  </w:r>
                </w:p>
              </w:tc>
              <w:tc>
                <w:tcPr>
                  <w:tcW w:w="1172" w:type="dxa"/>
                  <w:tcBorders>
                    <w:tl2br w:val="nil"/>
                    <w:tr2bl w:val="nil"/>
                  </w:tcBorders>
                </w:tcPr>
                <w:p w14:paraId="30133E12">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达标</w:t>
                  </w:r>
                </w:p>
              </w:tc>
            </w:tr>
            <w:tr w14:paraId="73E1B9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50" w:type="dxa"/>
                  <w:tcBorders>
                    <w:tl2br w:val="nil"/>
                    <w:tr2bl w:val="nil"/>
                  </w:tcBorders>
                  <w:shd w:val="clear" w:color="auto" w:fill="auto"/>
                  <w:vAlign w:val="center"/>
                </w:tcPr>
                <w:p w14:paraId="15B1E185">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氨</w:t>
                  </w:r>
                </w:p>
              </w:tc>
              <w:tc>
                <w:tcPr>
                  <w:tcW w:w="1561" w:type="dxa"/>
                  <w:tcBorders>
                    <w:tl2br w:val="nil"/>
                    <w:tr2bl w:val="nil"/>
                  </w:tcBorders>
                  <w:shd w:val="clear" w:color="auto" w:fill="auto"/>
                  <w:vAlign w:val="top"/>
                </w:tcPr>
                <w:p w14:paraId="621CA4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0.</w:t>
                  </w:r>
                  <w:r>
                    <w:rPr>
                      <w:rFonts w:hint="default" w:ascii="Times New Roman" w:hAnsi="Times New Roman" w:eastAsia="宋体" w:cs="Times New Roman"/>
                      <w:sz w:val="21"/>
                      <w:szCs w:val="21"/>
                      <w:highlight w:val="none"/>
                      <w:lang w:val="en-US" w:eastAsia="zh-CN"/>
                    </w:rPr>
                    <w:t>000121</w:t>
                  </w:r>
                </w:p>
              </w:tc>
              <w:tc>
                <w:tcPr>
                  <w:tcW w:w="1487" w:type="dxa"/>
                  <w:tcBorders>
                    <w:tl2br w:val="nil"/>
                    <w:tr2bl w:val="nil"/>
                  </w:tcBorders>
                </w:tcPr>
                <w:p w14:paraId="24B0D176">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0.0001</w:t>
                  </w:r>
                </w:p>
              </w:tc>
              <w:tc>
                <w:tcPr>
                  <w:tcW w:w="1728" w:type="dxa"/>
                  <w:tcBorders>
                    <w:tl2br w:val="nil"/>
                    <w:tr2bl w:val="nil"/>
                  </w:tcBorders>
                  <w:shd w:val="clear" w:color="auto" w:fill="auto"/>
                  <w:vAlign w:val="center"/>
                </w:tcPr>
                <w:p w14:paraId="40C651D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0.20</w:t>
                  </w:r>
                </w:p>
              </w:tc>
              <w:tc>
                <w:tcPr>
                  <w:tcW w:w="1172" w:type="dxa"/>
                  <w:tcBorders>
                    <w:tl2br w:val="nil"/>
                    <w:tr2bl w:val="nil"/>
                  </w:tcBorders>
                </w:tcPr>
                <w:p w14:paraId="2145D345">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达标</w:t>
                  </w:r>
                </w:p>
              </w:tc>
            </w:tr>
            <w:tr w14:paraId="5378DC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50" w:type="dxa"/>
                  <w:tcBorders>
                    <w:tl2br w:val="nil"/>
                    <w:tr2bl w:val="nil"/>
                  </w:tcBorders>
                  <w:shd w:val="clear" w:color="auto" w:fill="auto"/>
                  <w:vAlign w:val="center"/>
                </w:tcPr>
                <w:p w14:paraId="6B20433C">
                  <w:pPr>
                    <w:jc w:val="center"/>
                    <w:rPr>
                      <w:rFonts w:hint="default" w:ascii="Times New Roman" w:hAnsi="Times New Roman" w:eastAsia="宋体" w:cs="Times New Roman"/>
                      <w:szCs w:val="21"/>
                      <w:highlight w:val="none"/>
                      <w:lang w:val="en-US" w:eastAsia="zh-CN"/>
                    </w:rPr>
                  </w:pPr>
                  <w:r>
                    <w:rPr>
                      <w:rFonts w:hint="eastAsia" w:cs="Times New Roman"/>
                      <w:bCs/>
                      <w:szCs w:val="21"/>
                      <w:highlight w:val="none"/>
                      <w:lang w:val="en-US" w:eastAsia="zh-CN"/>
                    </w:rPr>
                    <w:t>氟化物（以F计）</w:t>
                  </w:r>
                </w:p>
              </w:tc>
              <w:tc>
                <w:tcPr>
                  <w:tcW w:w="1561" w:type="dxa"/>
                  <w:tcBorders>
                    <w:tl2br w:val="nil"/>
                    <w:tr2bl w:val="nil"/>
                  </w:tcBorders>
                  <w:shd w:val="clear" w:color="auto" w:fill="auto"/>
                  <w:vAlign w:val="center"/>
                </w:tcPr>
                <w:p w14:paraId="35489E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0.000012</w:t>
                  </w:r>
                </w:p>
              </w:tc>
              <w:tc>
                <w:tcPr>
                  <w:tcW w:w="1487" w:type="dxa"/>
                  <w:tcBorders>
                    <w:tl2br w:val="nil"/>
                    <w:tr2bl w:val="nil"/>
                  </w:tcBorders>
                  <w:vAlign w:val="center"/>
                </w:tcPr>
                <w:p w14:paraId="0105EEBE">
                  <w:pPr>
                    <w:jc w:val="center"/>
                    <w:rPr>
                      <w:rFonts w:hint="default" w:ascii="Times New Roman" w:hAnsi="Times New Roman" w:eastAsia="宋体" w:cs="Times New Roman"/>
                      <w:szCs w:val="21"/>
                      <w:highlight w:val="none"/>
                      <w:lang w:val="en-US" w:eastAsia="zh-CN"/>
                    </w:rPr>
                  </w:pPr>
                  <w:r>
                    <w:rPr>
                      <w:rFonts w:hint="eastAsia" w:cs="Times New Roman"/>
                      <w:szCs w:val="21"/>
                      <w:highlight w:val="none"/>
                      <w:lang w:val="en-US" w:eastAsia="zh-CN"/>
                    </w:rPr>
                    <w:t>0.000004</w:t>
                  </w:r>
                </w:p>
              </w:tc>
              <w:tc>
                <w:tcPr>
                  <w:tcW w:w="1728" w:type="dxa"/>
                  <w:tcBorders>
                    <w:tl2br w:val="nil"/>
                    <w:tr2bl w:val="nil"/>
                  </w:tcBorders>
                  <w:shd w:val="clear" w:color="auto" w:fill="auto"/>
                  <w:vAlign w:val="center"/>
                </w:tcPr>
                <w:p w14:paraId="5EF3CD8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highlight w:val="none"/>
                      <w:u w:val="none"/>
                      <w:lang w:val="en-US" w:eastAsia="zh-CN" w:bidi="ar"/>
                    </w:rPr>
                  </w:pPr>
                  <w:r>
                    <w:rPr>
                      <w:rFonts w:hint="eastAsia" w:cs="Times New Roman"/>
                      <w:i w:val="0"/>
                      <w:iCs w:val="0"/>
                      <w:color w:val="000000"/>
                      <w:kern w:val="0"/>
                      <w:sz w:val="22"/>
                      <w:szCs w:val="22"/>
                      <w:highlight w:val="none"/>
                      <w:u w:val="none"/>
                      <w:lang w:val="en-US" w:eastAsia="zh-CN" w:bidi="ar"/>
                    </w:rPr>
                    <w:t>0.020</w:t>
                  </w:r>
                </w:p>
              </w:tc>
              <w:tc>
                <w:tcPr>
                  <w:tcW w:w="1172" w:type="dxa"/>
                  <w:tcBorders>
                    <w:tl2br w:val="nil"/>
                    <w:tr2bl w:val="nil"/>
                  </w:tcBorders>
                  <w:vAlign w:val="center"/>
                </w:tcPr>
                <w:p w14:paraId="23B09194">
                  <w:pPr>
                    <w:jc w:val="center"/>
                    <w:rPr>
                      <w:rFonts w:hint="default" w:ascii="Times New Roman" w:hAnsi="Times New Roman" w:eastAsia="宋体" w:cs="Times New Roman"/>
                      <w:szCs w:val="21"/>
                      <w:highlight w:val="none"/>
                      <w:lang w:val="en-US" w:eastAsia="zh-CN"/>
                    </w:rPr>
                  </w:pPr>
                  <w:r>
                    <w:rPr>
                      <w:rFonts w:hint="eastAsia" w:cs="Times New Roman"/>
                      <w:szCs w:val="21"/>
                      <w:highlight w:val="none"/>
                      <w:lang w:val="en-US" w:eastAsia="zh-CN"/>
                    </w:rPr>
                    <w:t>达标</w:t>
                  </w:r>
                </w:p>
              </w:tc>
            </w:tr>
          </w:tbl>
          <w:p w14:paraId="7B01D8D5">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由表 4-7可知，本项目无组织排放满足《大气污染物综合排放标准》（DB11/501-2017）中表 3</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生产工艺废气及其他废气大气污染物排放限值</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中</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单位周界无组织排放监控点浓度限值</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w:t>
            </w:r>
          </w:p>
          <w:p w14:paraId="7B5E8257">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（3）大气污染物排放总量</w:t>
            </w:r>
          </w:p>
          <w:p w14:paraId="1EF9B743">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综上，本项目大气污染物排放总量核算详见下表。</w:t>
            </w:r>
          </w:p>
          <w:p w14:paraId="7D9CA133">
            <w:pPr>
              <w:numPr>
                <w:ilvl w:val="0"/>
                <w:numId w:val="48"/>
              </w:numPr>
              <w:adjustRightInd w:val="0"/>
              <w:snapToGrid w:val="0"/>
              <w:ind w:left="425" w:leftChars="0" w:hanging="425" w:firstLineChars="0"/>
              <w:jc w:val="center"/>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本项目大气污染物排放总量一览表</w:t>
            </w:r>
          </w:p>
          <w:tbl>
            <w:tblPr>
              <w:tblStyle w:val="18"/>
              <w:tblW w:w="49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26"/>
              <w:gridCol w:w="1978"/>
              <w:gridCol w:w="1780"/>
              <w:gridCol w:w="1733"/>
            </w:tblGrid>
            <w:tr w14:paraId="634B7A7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0" w:type="dxa"/>
                  <w:tcBorders>
                    <w:tl2br w:val="nil"/>
                    <w:tr2bl w:val="nil"/>
                  </w:tcBorders>
                  <w:vAlign w:val="center"/>
                </w:tcPr>
                <w:p w14:paraId="428C35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污染物名称</w:t>
                  </w:r>
                </w:p>
              </w:tc>
              <w:tc>
                <w:tcPr>
                  <w:tcW w:w="1582" w:type="dxa"/>
                  <w:tcBorders>
                    <w:left w:val="single" w:color="000000" w:sz="4" w:space="0"/>
                    <w:right w:val="single" w:color="000000" w:sz="4" w:space="0"/>
                    <w:tl2br w:val="nil"/>
                    <w:tr2bl w:val="nil"/>
                  </w:tcBorders>
                  <w:vAlign w:val="center"/>
                </w:tcPr>
                <w:p w14:paraId="548013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有组织</w:t>
                  </w:r>
                  <w:r>
                    <w:rPr>
                      <w:rFonts w:hint="default" w:ascii="Times New Roman" w:hAnsi="Times New Roman" w:eastAsia="宋体" w:cs="Times New Roman"/>
                      <w:b/>
                      <w:bCs/>
                      <w:color w:val="auto"/>
                      <w:sz w:val="21"/>
                      <w:szCs w:val="21"/>
                      <w:vertAlign w:val="baseline"/>
                      <w:lang w:val="en-US" w:eastAsia="zh-CN"/>
                    </w:rPr>
                    <w:t>，</w:t>
                  </w:r>
                  <w:r>
                    <w:rPr>
                      <w:rFonts w:hint="default" w:ascii="Times New Roman" w:hAnsi="Times New Roman" w:eastAsia="宋体" w:cs="Times New Roman"/>
                      <w:b/>
                      <w:bCs/>
                      <w:sz w:val="21"/>
                      <w:szCs w:val="21"/>
                      <w:highlight w:val="none"/>
                      <w:lang w:val="en-US" w:eastAsia="zh-CN"/>
                    </w:rPr>
                    <w:t>kg/a</w:t>
                  </w:r>
                </w:p>
              </w:tc>
              <w:tc>
                <w:tcPr>
                  <w:tcW w:w="1424" w:type="dxa"/>
                  <w:tcBorders>
                    <w:left w:val="single" w:color="000000" w:sz="4" w:space="0"/>
                    <w:tl2br w:val="nil"/>
                    <w:tr2bl w:val="nil"/>
                  </w:tcBorders>
                  <w:vAlign w:val="center"/>
                </w:tcPr>
                <w:p w14:paraId="56249A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无组织，</w:t>
                  </w:r>
                  <w:r>
                    <w:rPr>
                      <w:rFonts w:hint="default" w:ascii="Times New Roman" w:hAnsi="Times New Roman" w:eastAsia="宋体" w:cs="Times New Roman"/>
                      <w:b/>
                      <w:bCs/>
                      <w:sz w:val="21"/>
                      <w:szCs w:val="21"/>
                      <w:highlight w:val="none"/>
                      <w:lang w:val="en-US" w:eastAsia="zh-CN"/>
                    </w:rPr>
                    <w:t>kg/a</w:t>
                  </w:r>
                </w:p>
              </w:tc>
              <w:tc>
                <w:tcPr>
                  <w:tcW w:w="1386" w:type="dxa"/>
                  <w:tcBorders>
                    <w:left w:val="single" w:color="000000" w:sz="4" w:space="0"/>
                    <w:tl2br w:val="nil"/>
                    <w:tr2bl w:val="nil"/>
                  </w:tcBorders>
                  <w:vAlign w:val="center"/>
                </w:tcPr>
                <w:p w14:paraId="76A08C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合计，</w:t>
                  </w:r>
                  <w:r>
                    <w:rPr>
                      <w:rFonts w:hint="default" w:ascii="Times New Roman" w:hAnsi="Times New Roman" w:eastAsia="宋体" w:cs="Times New Roman"/>
                      <w:b/>
                      <w:bCs/>
                      <w:sz w:val="21"/>
                      <w:szCs w:val="21"/>
                      <w:highlight w:val="none"/>
                      <w:lang w:val="en-US" w:eastAsia="zh-CN"/>
                    </w:rPr>
                    <w:t>kg/a</w:t>
                  </w:r>
                </w:p>
              </w:tc>
            </w:tr>
            <w:tr w14:paraId="7982C32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0" w:type="dxa"/>
                  <w:tcBorders>
                    <w:tl2br w:val="nil"/>
                    <w:tr2bl w:val="nil"/>
                  </w:tcBorders>
                  <w:shd w:val="clear" w:color="auto" w:fill="auto"/>
                  <w:vAlign w:val="center"/>
                </w:tcPr>
                <w:p w14:paraId="020A9C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非甲烷总烃</w:t>
                  </w:r>
                </w:p>
              </w:tc>
              <w:tc>
                <w:tcPr>
                  <w:tcW w:w="1582" w:type="dxa"/>
                  <w:tcBorders>
                    <w:left w:val="single" w:color="000000" w:sz="4" w:space="0"/>
                    <w:right w:val="single" w:color="000000" w:sz="4" w:space="0"/>
                    <w:tl2br w:val="nil"/>
                    <w:tr2bl w:val="nil"/>
                  </w:tcBorders>
                  <w:vAlign w:val="center"/>
                </w:tcPr>
                <w:p w14:paraId="4491F4D4">
                  <w:pPr>
                    <w:adjustRightInd w:val="0"/>
                    <w:snapToGrid w:val="0"/>
                    <w:spacing w:line="36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3.7056</w:t>
                  </w:r>
                </w:p>
              </w:tc>
              <w:tc>
                <w:tcPr>
                  <w:tcW w:w="1424" w:type="dxa"/>
                  <w:tcBorders>
                    <w:left w:val="single" w:color="000000" w:sz="4" w:space="0"/>
                    <w:tl2br w:val="nil"/>
                    <w:tr2bl w:val="nil"/>
                  </w:tcBorders>
                  <w:shd w:val="clear" w:color="auto" w:fill="auto"/>
                  <w:vAlign w:val="center"/>
                </w:tcPr>
                <w:p w14:paraId="7A400364">
                  <w:pPr>
                    <w:adjustRightInd w:val="0"/>
                    <w:snapToGrid w:val="0"/>
                    <w:spacing w:line="36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0.04843</w:t>
                  </w:r>
                </w:p>
              </w:tc>
              <w:tc>
                <w:tcPr>
                  <w:tcW w:w="1386" w:type="dxa"/>
                  <w:tcBorders>
                    <w:left w:val="single" w:color="000000" w:sz="4" w:space="0"/>
                    <w:tl2br w:val="nil"/>
                    <w:tr2bl w:val="nil"/>
                  </w:tcBorders>
                  <w:shd w:val="clear" w:color="auto" w:fill="auto"/>
                  <w:vAlign w:val="center"/>
                </w:tcPr>
                <w:p w14:paraId="6C731618">
                  <w:pPr>
                    <w:adjustRightIn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3.75403</w:t>
                  </w:r>
                </w:p>
              </w:tc>
            </w:tr>
            <w:tr w14:paraId="0F4B61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0" w:type="dxa"/>
                  <w:tcBorders>
                    <w:tl2br w:val="nil"/>
                    <w:tr2bl w:val="nil"/>
                  </w:tcBorders>
                  <w:shd w:val="clear" w:color="auto" w:fill="auto"/>
                  <w:vAlign w:val="center"/>
                </w:tcPr>
                <w:p w14:paraId="54CEC2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lang w:val="en-US" w:eastAsia="zh-CN" w:bidi="ar-SA"/>
                    </w:rPr>
                    <w:t>氮氧化物</w:t>
                  </w:r>
                </w:p>
              </w:tc>
              <w:tc>
                <w:tcPr>
                  <w:tcW w:w="1582" w:type="dxa"/>
                  <w:tcBorders>
                    <w:left w:val="single" w:color="000000" w:sz="4" w:space="0"/>
                    <w:right w:val="single" w:color="000000" w:sz="4" w:space="0"/>
                    <w:tl2br w:val="nil"/>
                    <w:tr2bl w:val="nil"/>
                  </w:tcBorders>
                  <w:vAlign w:val="center"/>
                </w:tcPr>
                <w:p w14:paraId="1F4ACB8C">
                  <w:pPr>
                    <w:adjustRightInd w:val="0"/>
                    <w:snapToGrid w:val="0"/>
                    <w:spacing w:line="36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w:t>
                  </w:r>
                  <w:r>
                    <w:rPr>
                      <w:rFonts w:hint="eastAsia" w:cs="Times New Roman"/>
                      <w:color w:val="auto"/>
                      <w:sz w:val="21"/>
                      <w:szCs w:val="21"/>
                      <w:highlight w:val="none"/>
                      <w:lang w:val="en-US" w:eastAsia="zh-CN"/>
                    </w:rPr>
                    <w:t>6916</w:t>
                  </w:r>
                </w:p>
              </w:tc>
              <w:tc>
                <w:tcPr>
                  <w:tcW w:w="1424" w:type="dxa"/>
                  <w:tcBorders>
                    <w:left w:val="single" w:color="000000" w:sz="4" w:space="0"/>
                    <w:tl2br w:val="nil"/>
                    <w:tr2bl w:val="nil"/>
                  </w:tcBorders>
                  <w:shd w:val="clear" w:color="auto" w:fill="auto"/>
                  <w:vAlign w:val="center"/>
                </w:tcPr>
                <w:p w14:paraId="6A0129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w:t>
                  </w:r>
                  <w:r>
                    <w:rPr>
                      <w:rFonts w:hint="default" w:ascii="Times New Roman" w:hAnsi="Times New Roman" w:eastAsia="宋体" w:cs="Times New Roman"/>
                      <w:b w:val="0"/>
                      <w:bCs w:val="0"/>
                      <w:color w:val="auto"/>
                      <w:spacing w:val="-10"/>
                      <w:sz w:val="21"/>
                      <w:szCs w:val="21"/>
                      <w:highlight w:val="none"/>
                      <w:vertAlign w:val="baseline"/>
                      <w:lang w:val="en-US" w:eastAsia="zh-CN"/>
                    </w:rPr>
                    <w:t>00240</w:t>
                  </w:r>
                </w:p>
              </w:tc>
              <w:tc>
                <w:tcPr>
                  <w:tcW w:w="1386" w:type="dxa"/>
                  <w:tcBorders>
                    <w:left w:val="single" w:color="000000" w:sz="4" w:space="0"/>
                    <w:tl2br w:val="nil"/>
                    <w:tr2bl w:val="nil"/>
                  </w:tcBorders>
                  <w:shd w:val="clear" w:color="auto" w:fill="auto"/>
                  <w:vAlign w:val="center"/>
                </w:tcPr>
                <w:p w14:paraId="0825D61A">
                  <w:pPr>
                    <w:adjustRightIn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0.009316</w:t>
                  </w:r>
                </w:p>
              </w:tc>
            </w:tr>
            <w:tr w14:paraId="61930F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0" w:type="dxa"/>
                  <w:tcBorders>
                    <w:tl2br w:val="nil"/>
                    <w:tr2bl w:val="nil"/>
                  </w:tcBorders>
                  <w:shd w:val="clear" w:color="auto" w:fill="auto"/>
                  <w:vAlign w:val="center"/>
                </w:tcPr>
                <w:p w14:paraId="0E363C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颗粒物</w:t>
                  </w:r>
                </w:p>
              </w:tc>
              <w:tc>
                <w:tcPr>
                  <w:tcW w:w="1582" w:type="dxa"/>
                  <w:tcBorders>
                    <w:left w:val="single" w:color="000000" w:sz="4" w:space="0"/>
                    <w:right w:val="single" w:color="000000" w:sz="4" w:space="0"/>
                    <w:tl2br w:val="nil"/>
                    <w:tr2bl w:val="nil"/>
                  </w:tcBorders>
                  <w:vAlign w:val="center"/>
                </w:tcPr>
                <w:p w14:paraId="18BF59EA">
                  <w:pPr>
                    <w:adjustRightInd w:val="0"/>
                    <w:snapToGrid w:val="0"/>
                    <w:spacing w:line="36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0.04493</w:t>
                  </w:r>
                </w:p>
              </w:tc>
              <w:tc>
                <w:tcPr>
                  <w:tcW w:w="1424" w:type="dxa"/>
                  <w:tcBorders>
                    <w:left w:val="single" w:color="000000" w:sz="4" w:space="0"/>
                    <w:tl2br w:val="nil"/>
                    <w:tr2bl w:val="nil"/>
                  </w:tcBorders>
                  <w:shd w:val="clear" w:color="auto" w:fill="auto"/>
                  <w:vAlign w:val="center"/>
                </w:tcPr>
                <w:p w14:paraId="2A7C4345">
                  <w:pPr>
                    <w:adjustRightInd w:val="0"/>
                    <w:snapToGrid w:val="0"/>
                    <w:spacing w:line="36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0.03328</w:t>
                  </w:r>
                </w:p>
              </w:tc>
              <w:tc>
                <w:tcPr>
                  <w:tcW w:w="1386" w:type="dxa"/>
                  <w:tcBorders>
                    <w:left w:val="single" w:color="000000" w:sz="4" w:space="0"/>
                    <w:tl2br w:val="nil"/>
                    <w:tr2bl w:val="nil"/>
                  </w:tcBorders>
                  <w:shd w:val="clear" w:color="auto" w:fill="auto"/>
                  <w:vAlign w:val="center"/>
                </w:tcPr>
                <w:p w14:paraId="6C26F247">
                  <w:pPr>
                    <w:adjustRightIn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0.07821</w:t>
                  </w:r>
                </w:p>
              </w:tc>
            </w:tr>
            <w:tr w14:paraId="551242A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0" w:type="dxa"/>
                  <w:tcBorders>
                    <w:tl2br w:val="nil"/>
                    <w:tr2bl w:val="nil"/>
                  </w:tcBorders>
                  <w:shd w:val="clear" w:color="auto" w:fill="auto"/>
                  <w:vAlign w:val="center"/>
                </w:tcPr>
                <w:p w14:paraId="1705A3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lang w:val="en-US" w:eastAsia="zh-CN" w:bidi="ar-SA"/>
                    </w:rPr>
                    <w:t>氯化氢</w:t>
                  </w:r>
                </w:p>
              </w:tc>
              <w:tc>
                <w:tcPr>
                  <w:tcW w:w="1582" w:type="dxa"/>
                  <w:tcBorders>
                    <w:left w:val="single" w:color="000000" w:sz="4" w:space="0"/>
                    <w:right w:val="single" w:color="000000" w:sz="4" w:space="0"/>
                    <w:tl2br w:val="nil"/>
                    <w:tr2bl w:val="nil"/>
                  </w:tcBorders>
                  <w:vAlign w:val="center"/>
                </w:tcPr>
                <w:p w14:paraId="1DB3A85F">
                  <w:pPr>
                    <w:adjustRightInd w:val="0"/>
                    <w:snapToGrid w:val="0"/>
                    <w:spacing w:line="36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0.002294</w:t>
                  </w:r>
                </w:p>
              </w:tc>
              <w:tc>
                <w:tcPr>
                  <w:tcW w:w="1424" w:type="dxa"/>
                  <w:tcBorders>
                    <w:left w:val="single" w:color="000000" w:sz="4" w:space="0"/>
                    <w:tl2br w:val="nil"/>
                    <w:tr2bl w:val="nil"/>
                  </w:tcBorders>
                  <w:shd w:val="clear" w:color="auto" w:fill="auto"/>
                  <w:vAlign w:val="center"/>
                </w:tcPr>
                <w:p w14:paraId="185523BE">
                  <w:pPr>
                    <w:adjustRightInd w:val="0"/>
                    <w:snapToGrid w:val="0"/>
                    <w:spacing w:line="36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w:t>
                  </w:r>
                  <w:r>
                    <w:rPr>
                      <w:rFonts w:hint="default" w:ascii="Times New Roman" w:hAnsi="Times New Roman" w:eastAsia="宋体" w:cs="Times New Roman"/>
                      <w:sz w:val="21"/>
                      <w:szCs w:val="21"/>
                      <w:highlight w:val="none"/>
                      <w:lang w:val="en-US" w:eastAsia="zh-CN"/>
                    </w:rPr>
                    <w:t>001699</w:t>
                  </w:r>
                </w:p>
              </w:tc>
              <w:tc>
                <w:tcPr>
                  <w:tcW w:w="1386" w:type="dxa"/>
                  <w:tcBorders>
                    <w:left w:val="single" w:color="000000" w:sz="4" w:space="0"/>
                    <w:tl2br w:val="nil"/>
                    <w:tr2bl w:val="nil"/>
                  </w:tcBorders>
                  <w:shd w:val="clear" w:color="auto" w:fill="auto"/>
                  <w:vAlign w:val="center"/>
                </w:tcPr>
                <w:p w14:paraId="18399894">
                  <w:pPr>
                    <w:adjustRightIn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0.003993</w:t>
                  </w:r>
                </w:p>
              </w:tc>
            </w:tr>
            <w:tr w14:paraId="5AD67AD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0" w:type="dxa"/>
                  <w:tcBorders>
                    <w:tl2br w:val="nil"/>
                    <w:tr2bl w:val="nil"/>
                  </w:tcBorders>
                  <w:shd w:val="clear" w:color="auto" w:fill="auto"/>
                  <w:vAlign w:val="center"/>
                </w:tcPr>
                <w:p w14:paraId="27C5B2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镍及其化合物</w:t>
                  </w:r>
                </w:p>
              </w:tc>
              <w:tc>
                <w:tcPr>
                  <w:tcW w:w="1582" w:type="dxa"/>
                  <w:tcBorders>
                    <w:left w:val="single" w:color="000000" w:sz="4" w:space="0"/>
                    <w:right w:val="single" w:color="000000" w:sz="4" w:space="0"/>
                    <w:tl2br w:val="nil"/>
                    <w:tr2bl w:val="nil"/>
                  </w:tcBorders>
                  <w:vAlign w:val="center"/>
                </w:tcPr>
                <w:p w14:paraId="47354AF1">
                  <w:pPr>
                    <w:adjustRightInd w:val="0"/>
                    <w:snapToGrid w:val="0"/>
                    <w:spacing w:line="36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0.006379</w:t>
                  </w:r>
                </w:p>
              </w:tc>
              <w:tc>
                <w:tcPr>
                  <w:tcW w:w="1424" w:type="dxa"/>
                  <w:tcBorders>
                    <w:left w:val="single" w:color="000000" w:sz="4" w:space="0"/>
                    <w:tl2br w:val="nil"/>
                    <w:tr2bl w:val="nil"/>
                  </w:tcBorders>
                  <w:shd w:val="clear" w:color="auto" w:fill="auto"/>
                  <w:vAlign w:val="top"/>
                </w:tcPr>
                <w:p w14:paraId="4200A0C6">
                  <w:pPr>
                    <w:adjustRightInd w:val="0"/>
                    <w:snapToGrid w:val="0"/>
                    <w:spacing w:line="360" w:lineRule="auto"/>
                    <w:jc w:val="center"/>
                    <w:rPr>
                      <w:rFonts w:hint="default" w:ascii="Times New Roman" w:hAnsi="Times New Roman" w:eastAsia="宋体" w:cs="Times New Roman"/>
                      <w:b w:val="0"/>
                      <w:bCs w:val="0"/>
                      <w:color w:val="auto"/>
                      <w:spacing w:val="-10"/>
                      <w:kern w:val="2"/>
                      <w:sz w:val="21"/>
                      <w:szCs w:val="21"/>
                      <w:highlight w:val="none"/>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0.</w:t>
                  </w:r>
                  <w:r>
                    <w:rPr>
                      <w:rFonts w:hint="default" w:ascii="Times New Roman" w:hAnsi="Times New Roman" w:eastAsia="宋体" w:cs="Times New Roman"/>
                      <w:sz w:val="21"/>
                      <w:szCs w:val="21"/>
                      <w:highlight w:val="none"/>
                      <w:lang w:val="en-US" w:eastAsia="zh-CN"/>
                    </w:rPr>
                    <w:t>00473</w:t>
                  </w:r>
                </w:p>
              </w:tc>
              <w:tc>
                <w:tcPr>
                  <w:tcW w:w="1386" w:type="dxa"/>
                  <w:tcBorders>
                    <w:left w:val="single" w:color="000000" w:sz="4" w:space="0"/>
                    <w:tl2br w:val="nil"/>
                    <w:tr2bl w:val="nil"/>
                  </w:tcBorders>
                  <w:shd w:val="clear" w:color="auto" w:fill="auto"/>
                  <w:vAlign w:val="center"/>
                </w:tcPr>
                <w:p w14:paraId="707BC8D2">
                  <w:pPr>
                    <w:adjustRightIn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0.011109</w:t>
                  </w:r>
                </w:p>
              </w:tc>
            </w:tr>
            <w:tr w14:paraId="2E55ABB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0" w:type="dxa"/>
                  <w:tcBorders>
                    <w:tl2br w:val="nil"/>
                    <w:tr2bl w:val="nil"/>
                  </w:tcBorders>
                  <w:shd w:val="clear" w:color="auto" w:fill="auto"/>
                  <w:vAlign w:val="center"/>
                </w:tcPr>
                <w:p w14:paraId="7400FE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氨</w:t>
                  </w:r>
                </w:p>
              </w:tc>
              <w:tc>
                <w:tcPr>
                  <w:tcW w:w="1582" w:type="dxa"/>
                  <w:tcBorders>
                    <w:left w:val="single" w:color="000000" w:sz="4" w:space="0"/>
                    <w:right w:val="single" w:color="000000" w:sz="4" w:space="0"/>
                    <w:tl2br w:val="nil"/>
                    <w:tr2bl w:val="nil"/>
                  </w:tcBorders>
                  <w:vAlign w:val="center"/>
                </w:tcPr>
                <w:p w14:paraId="3B5F9AD9">
                  <w:pPr>
                    <w:adjustRightInd w:val="0"/>
                    <w:snapToGrid w:val="0"/>
                    <w:spacing w:line="36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0.24489</w:t>
                  </w:r>
                </w:p>
              </w:tc>
              <w:tc>
                <w:tcPr>
                  <w:tcW w:w="1424" w:type="dxa"/>
                  <w:tcBorders>
                    <w:left w:val="single" w:color="000000" w:sz="4" w:space="0"/>
                    <w:tl2br w:val="nil"/>
                    <w:tr2bl w:val="nil"/>
                  </w:tcBorders>
                  <w:shd w:val="clear" w:color="auto" w:fill="auto"/>
                  <w:vAlign w:val="top"/>
                </w:tcPr>
                <w:p w14:paraId="41AF167F">
                  <w:pPr>
                    <w:adjustRightInd w:val="0"/>
                    <w:snapToGrid w:val="0"/>
                    <w:spacing w:line="360" w:lineRule="auto"/>
                    <w:jc w:val="center"/>
                    <w:rPr>
                      <w:rFonts w:hint="default" w:ascii="Times New Roman" w:hAnsi="Times New Roman" w:eastAsia="宋体" w:cs="Times New Roman"/>
                      <w:b w:val="0"/>
                      <w:bCs w:val="0"/>
                      <w:color w:val="auto"/>
                      <w:spacing w:val="-10"/>
                      <w:kern w:val="2"/>
                      <w:sz w:val="21"/>
                      <w:szCs w:val="21"/>
                      <w:highlight w:val="none"/>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0.</w:t>
                  </w:r>
                  <w:r>
                    <w:rPr>
                      <w:rFonts w:hint="default" w:ascii="Times New Roman" w:hAnsi="Times New Roman" w:eastAsia="宋体" w:cs="Times New Roman"/>
                      <w:sz w:val="21"/>
                      <w:szCs w:val="21"/>
                      <w:highlight w:val="none"/>
                      <w:lang w:val="en-US" w:eastAsia="zh-CN"/>
                    </w:rPr>
                    <w:t>1814</w:t>
                  </w:r>
                </w:p>
              </w:tc>
              <w:tc>
                <w:tcPr>
                  <w:tcW w:w="1386" w:type="dxa"/>
                  <w:tcBorders>
                    <w:left w:val="single" w:color="000000" w:sz="4" w:space="0"/>
                    <w:tl2br w:val="nil"/>
                    <w:tr2bl w:val="nil"/>
                  </w:tcBorders>
                  <w:shd w:val="clear" w:color="auto" w:fill="auto"/>
                  <w:vAlign w:val="center"/>
                </w:tcPr>
                <w:p w14:paraId="3CB67AA6">
                  <w:pPr>
                    <w:adjustRightInd w:val="0"/>
                    <w:snapToGrid w:val="0"/>
                    <w:spacing w:line="36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0.42629</w:t>
                  </w:r>
                </w:p>
              </w:tc>
            </w:tr>
            <w:tr w14:paraId="59C970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0" w:type="dxa"/>
                  <w:tcBorders>
                    <w:tl2br w:val="nil"/>
                    <w:tr2bl w:val="nil"/>
                  </w:tcBorders>
                  <w:shd w:val="clear" w:color="auto" w:fill="auto"/>
                  <w:vAlign w:val="center"/>
                </w:tcPr>
                <w:p w14:paraId="650A02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bCs/>
                      <w:szCs w:val="21"/>
                      <w:highlight w:val="none"/>
                      <w:lang w:val="en-US" w:eastAsia="zh-CN"/>
                    </w:rPr>
                    <w:t>氟化物（以F计）</w:t>
                  </w:r>
                </w:p>
              </w:tc>
              <w:tc>
                <w:tcPr>
                  <w:tcW w:w="1582" w:type="dxa"/>
                  <w:tcBorders>
                    <w:left w:val="single" w:color="000000" w:sz="4" w:space="0"/>
                    <w:right w:val="single" w:color="000000" w:sz="4" w:space="0"/>
                    <w:tl2br w:val="nil"/>
                    <w:tr2bl w:val="nil"/>
                  </w:tcBorders>
                  <w:vAlign w:val="center"/>
                </w:tcPr>
                <w:p w14:paraId="57ABE5CF">
                  <w:pPr>
                    <w:adjustRightInd w:val="0"/>
                    <w:snapToGrid w:val="0"/>
                    <w:spacing w:line="36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0.02363</w:t>
                  </w:r>
                </w:p>
              </w:tc>
              <w:tc>
                <w:tcPr>
                  <w:tcW w:w="1424" w:type="dxa"/>
                  <w:tcBorders>
                    <w:left w:val="single" w:color="000000" w:sz="4" w:space="0"/>
                    <w:tl2br w:val="nil"/>
                    <w:tr2bl w:val="nil"/>
                  </w:tcBorders>
                  <w:shd w:val="clear" w:color="auto" w:fill="auto"/>
                  <w:vAlign w:val="top"/>
                </w:tcPr>
                <w:p w14:paraId="317FD8D6">
                  <w:pPr>
                    <w:adjustRightInd w:val="0"/>
                    <w:snapToGrid w:val="0"/>
                    <w:spacing w:line="360" w:lineRule="auto"/>
                    <w:jc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0.0175</w:t>
                  </w:r>
                </w:p>
              </w:tc>
              <w:tc>
                <w:tcPr>
                  <w:tcW w:w="1386" w:type="dxa"/>
                  <w:tcBorders>
                    <w:left w:val="single" w:color="000000" w:sz="4" w:space="0"/>
                    <w:tl2br w:val="nil"/>
                    <w:tr2bl w:val="nil"/>
                  </w:tcBorders>
                  <w:shd w:val="clear" w:color="auto" w:fill="auto"/>
                  <w:vAlign w:val="center"/>
                </w:tcPr>
                <w:p w14:paraId="7FCAA198">
                  <w:pPr>
                    <w:adjustRightInd w:val="0"/>
                    <w:snapToGrid w:val="0"/>
                    <w:spacing w:line="360" w:lineRule="auto"/>
                    <w:jc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0.04113</w:t>
                  </w:r>
                </w:p>
              </w:tc>
            </w:tr>
          </w:tbl>
          <w:p w14:paraId="0555CEE1">
            <w:pPr>
              <w:numPr>
                <w:ilvl w:val="255"/>
                <w:numId w:val="0"/>
              </w:numPr>
              <w:adjustRightInd w:val="0"/>
              <w:spacing w:line="360" w:lineRule="auto"/>
              <w:ind w:left="420" w:leftChars="200"/>
              <w:rPr>
                <w:rFonts w:hint="default" w:ascii="Times New Roman" w:hAnsi="Times New Roman" w:eastAsia="宋体" w:cs="Times New Roman"/>
                <w:b w:val="0"/>
                <w:bCs w:val="0"/>
                <w:sz w:val="24"/>
                <w:highlight w:val="none"/>
                <w:lang w:val="en-US" w:eastAsia="zh-CN"/>
              </w:rPr>
            </w:pPr>
            <w:r>
              <w:rPr>
                <w:rFonts w:hint="default" w:ascii="Times New Roman" w:hAnsi="Times New Roman" w:eastAsia="宋体" w:cs="Times New Roman"/>
                <w:b w:val="0"/>
                <w:bCs w:val="0"/>
                <w:sz w:val="24"/>
                <w:highlight w:val="none"/>
              </w:rPr>
              <w:t>（</w:t>
            </w:r>
            <w:r>
              <w:rPr>
                <w:rFonts w:hint="default" w:ascii="Times New Roman" w:hAnsi="Times New Roman" w:eastAsia="宋体" w:cs="Times New Roman"/>
                <w:b w:val="0"/>
                <w:bCs w:val="0"/>
                <w:sz w:val="24"/>
                <w:highlight w:val="none"/>
                <w:lang w:val="en-US" w:eastAsia="zh-CN"/>
              </w:rPr>
              <w:t>6</w:t>
            </w:r>
            <w:r>
              <w:rPr>
                <w:rFonts w:hint="default" w:ascii="Times New Roman" w:hAnsi="Times New Roman" w:eastAsia="宋体" w:cs="Times New Roman"/>
                <w:b w:val="0"/>
                <w:bCs w:val="0"/>
                <w:sz w:val="24"/>
                <w:highlight w:val="none"/>
              </w:rPr>
              <w:t>）非正常</w:t>
            </w:r>
            <w:r>
              <w:rPr>
                <w:rFonts w:hint="default" w:ascii="Times New Roman" w:hAnsi="Times New Roman" w:eastAsia="宋体" w:cs="Times New Roman"/>
                <w:b w:val="0"/>
                <w:bCs w:val="0"/>
                <w:sz w:val="24"/>
                <w:highlight w:val="none"/>
                <w:lang w:val="en-US" w:eastAsia="zh-CN"/>
              </w:rPr>
              <w:t>排放情况</w:t>
            </w:r>
          </w:p>
          <w:p w14:paraId="45AEF6B9">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本项目的非正常排放情况主要考虑</w:t>
            </w:r>
            <w:r>
              <w:rPr>
                <w:rFonts w:hint="default" w:ascii="Times New Roman" w:hAnsi="Times New Roman" w:eastAsia="宋体" w:cs="Times New Roman"/>
                <w:sz w:val="24"/>
                <w:highlight w:val="none"/>
                <w:lang w:val="en-US" w:eastAsia="zh-CN"/>
              </w:rPr>
              <w:t>由</w:t>
            </w:r>
            <w:r>
              <w:rPr>
                <w:rFonts w:hint="default" w:ascii="Times New Roman" w:hAnsi="Times New Roman" w:eastAsia="宋体" w:cs="Times New Roman"/>
                <w:sz w:val="24"/>
                <w:highlight w:val="none"/>
              </w:rPr>
              <w:t>废气处理装置运转不正常造成的，即废气处理装置对有机废气净化效率</w:t>
            </w:r>
            <w:r>
              <w:rPr>
                <w:rFonts w:hint="default" w:ascii="Times New Roman" w:hAnsi="Times New Roman" w:eastAsia="宋体" w:cs="Times New Roman"/>
                <w:sz w:val="24"/>
                <w:highlight w:val="none"/>
                <w:lang w:val="en-US" w:eastAsia="zh-CN"/>
              </w:rPr>
              <w:t>为0</w:t>
            </w:r>
            <w:r>
              <w:rPr>
                <w:rFonts w:hint="default" w:ascii="Times New Roman" w:hAnsi="Times New Roman" w:eastAsia="宋体" w:cs="Times New Roman"/>
                <w:sz w:val="24"/>
                <w:highlight w:val="none"/>
              </w:rPr>
              <w:t>时的污染物排放情况，事故处理时间为1h，年发生频次为1次/年。项目建成后，非正常排放参数详见下表。</w:t>
            </w:r>
          </w:p>
          <w:p w14:paraId="3A521BC5">
            <w:pPr>
              <w:numPr>
                <w:ilvl w:val="0"/>
                <w:numId w:val="48"/>
              </w:numPr>
              <w:adjustRightInd w:val="0"/>
              <w:snapToGrid w:val="0"/>
              <w:ind w:left="425" w:leftChars="0" w:hanging="425" w:firstLineChars="0"/>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非正常工况排放情况一览表</w:t>
            </w:r>
          </w:p>
          <w:tbl>
            <w:tblPr>
              <w:tblStyle w:val="18"/>
              <w:tblW w:w="754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349"/>
              <w:gridCol w:w="891"/>
              <w:gridCol w:w="1253"/>
              <w:gridCol w:w="1033"/>
              <w:gridCol w:w="961"/>
              <w:gridCol w:w="803"/>
              <w:gridCol w:w="768"/>
              <w:gridCol w:w="833"/>
              <w:gridCol w:w="658"/>
            </w:tblGrid>
            <w:tr w14:paraId="56F672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9" w:hRule="atLeast"/>
                <w:jc w:val="center"/>
              </w:trPr>
              <w:tc>
                <w:tcPr>
                  <w:tcW w:w="349" w:type="dxa"/>
                  <w:tcBorders>
                    <w:tl2br w:val="nil"/>
                    <w:tr2bl w:val="nil"/>
                  </w:tcBorders>
                  <w:shd w:val="clear" w:color="auto" w:fill="auto"/>
                  <w:tcMar>
                    <w:top w:w="0" w:type="dxa"/>
                    <w:left w:w="0" w:type="dxa"/>
                    <w:bottom w:w="0" w:type="dxa"/>
                    <w:right w:w="0" w:type="dxa"/>
                  </w:tcMar>
                  <w:vAlign w:val="center"/>
                </w:tcPr>
                <w:p w14:paraId="2A21FDFE">
                  <w:pPr>
                    <w:adjustRightInd w:val="0"/>
                    <w:jc w:val="center"/>
                    <w:rPr>
                      <w:rFonts w:hint="default" w:ascii="Times New Roman" w:hAnsi="Times New Roman" w:eastAsia="宋体" w:cs="Times New Roman"/>
                      <w:b/>
                      <w:bCs/>
                      <w:sz w:val="22"/>
                      <w:szCs w:val="22"/>
                      <w:highlight w:val="none"/>
                    </w:rPr>
                  </w:pPr>
                  <w:r>
                    <w:rPr>
                      <w:rFonts w:hint="default" w:ascii="Times New Roman" w:hAnsi="Times New Roman" w:eastAsia="宋体" w:cs="Times New Roman"/>
                      <w:b/>
                      <w:bCs/>
                      <w:sz w:val="22"/>
                      <w:szCs w:val="22"/>
                      <w:highlight w:val="none"/>
                    </w:rPr>
                    <w:t>排放源</w:t>
                  </w:r>
                </w:p>
              </w:tc>
              <w:tc>
                <w:tcPr>
                  <w:tcW w:w="891" w:type="dxa"/>
                  <w:tcBorders>
                    <w:tl2br w:val="nil"/>
                    <w:tr2bl w:val="nil"/>
                  </w:tcBorders>
                  <w:shd w:val="clear" w:color="auto" w:fill="auto"/>
                  <w:tcMar>
                    <w:top w:w="0" w:type="dxa"/>
                    <w:left w:w="0" w:type="dxa"/>
                    <w:bottom w:w="0" w:type="dxa"/>
                    <w:right w:w="0" w:type="dxa"/>
                  </w:tcMar>
                  <w:vAlign w:val="center"/>
                </w:tcPr>
                <w:p w14:paraId="5B2F9571">
                  <w:pPr>
                    <w:adjustRightInd w:val="0"/>
                    <w:jc w:val="center"/>
                    <w:rPr>
                      <w:rFonts w:hint="default" w:ascii="Times New Roman" w:hAnsi="Times New Roman" w:eastAsia="宋体" w:cs="Times New Roman"/>
                      <w:b/>
                      <w:bCs/>
                      <w:sz w:val="22"/>
                      <w:szCs w:val="22"/>
                      <w:highlight w:val="none"/>
                    </w:rPr>
                  </w:pPr>
                  <w:r>
                    <w:rPr>
                      <w:rFonts w:hint="default" w:ascii="Times New Roman" w:hAnsi="Times New Roman" w:eastAsia="宋体" w:cs="Times New Roman"/>
                      <w:b/>
                      <w:bCs/>
                      <w:sz w:val="22"/>
                      <w:szCs w:val="22"/>
                      <w:highlight w:val="none"/>
                    </w:rPr>
                    <w:t>非正常排放原因</w:t>
                  </w:r>
                </w:p>
              </w:tc>
              <w:tc>
                <w:tcPr>
                  <w:tcW w:w="1253" w:type="dxa"/>
                  <w:tcBorders>
                    <w:tl2br w:val="nil"/>
                    <w:tr2bl w:val="nil"/>
                  </w:tcBorders>
                  <w:shd w:val="clear" w:color="auto" w:fill="auto"/>
                  <w:tcMar>
                    <w:top w:w="0" w:type="dxa"/>
                    <w:left w:w="0" w:type="dxa"/>
                    <w:bottom w:w="0" w:type="dxa"/>
                    <w:right w:w="0" w:type="dxa"/>
                  </w:tcMar>
                  <w:vAlign w:val="center"/>
                </w:tcPr>
                <w:p w14:paraId="66AAC8E2">
                  <w:pPr>
                    <w:adjustRightInd w:val="0"/>
                    <w:jc w:val="center"/>
                    <w:rPr>
                      <w:rFonts w:hint="default" w:ascii="Times New Roman" w:hAnsi="Times New Roman" w:eastAsia="宋体" w:cs="Times New Roman"/>
                      <w:b/>
                      <w:bCs/>
                      <w:sz w:val="22"/>
                      <w:szCs w:val="22"/>
                      <w:highlight w:val="none"/>
                    </w:rPr>
                  </w:pPr>
                  <w:r>
                    <w:rPr>
                      <w:rFonts w:hint="default" w:ascii="Times New Roman" w:hAnsi="Times New Roman" w:eastAsia="宋体" w:cs="Times New Roman"/>
                      <w:b/>
                      <w:bCs/>
                      <w:sz w:val="22"/>
                      <w:szCs w:val="22"/>
                      <w:highlight w:val="none"/>
                    </w:rPr>
                    <w:t>污染物</w:t>
                  </w:r>
                </w:p>
              </w:tc>
              <w:tc>
                <w:tcPr>
                  <w:tcW w:w="1033" w:type="dxa"/>
                  <w:tcBorders>
                    <w:tl2br w:val="nil"/>
                    <w:tr2bl w:val="nil"/>
                  </w:tcBorders>
                  <w:shd w:val="clear" w:color="auto" w:fill="auto"/>
                  <w:tcMar>
                    <w:top w:w="0" w:type="dxa"/>
                    <w:left w:w="0" w:type="dxa"/>
                    <w:bottom w:w="0" w:type="dxa"/>
                    <w:right w:w="0" w:type="dxa"/>
                  </w:tcMar>
                  <w:vAlign w:val="center"/>
                </w:tcPr>
                <w:p w14:paraId="15C59DE1">
                  <w:pPr>
                    <w:adjustRightInd w:val="0"/>
                    <w:jc w:val="center"/>
                    <w:rPr>
                      <w:rFonts w:hint="default" w:ascii="Times New Roman" w:hAnsi="Times New Roman" w:eastAsia="宋体" w:cs="Times New Roman"/>
                      <w:b/>
                      <w:bCs/>
                      <w:sz w:val="22"/>
                      <w:szCs w:val="22"/>
                      <w:highlight w:val="none"/>
                    </w:rPr>
                  </w:pPr>
                  <w:r>
                    <w:rPr>
                      <w:rFonts w:hint="default" w:ascii="Times New Roman" w:hAnsi="Times New Roman" w:eastAsia="宋体" w:cs="Times New Roman"/>
                      <w:b/>
                      <w:bCs/>
                      <w:sz w:val="22"/>
                      <w:szCs w:val="22"/>
                      <w:highlight w:val="none"/>
                    </w:rPr>
                    <w:t>非正常排放浓度</w:t>
                  </w:r>
                  <w:r>
                    <w:rPr>
                      <w:rFonts w:hint="default" w:ascii="Times New Roman" w:hAnsi="Times New Roman" w:eastAsia="宋体" w:cs="Times New Roman"/>
                      <w:b/>
                      <w:sz w:val="22"/>
                      <w:szCs w:val="22"/>
                      <w:highlight w:val="none"/>
                    </w:rPr>
                    <w:t>（mg/m</w:t>
                  </w:r>
                  <w:r>
                    <w:rPr>
                      <w:rFonts w:hint="default" w:ascii="Times New Roman" w:hAnsi="Times New Roman" w:eastAsia="宋体" w:cs="Times New Roman"/>
                      <w:b/>
                      <w:sz w:val="22"/>
                      <w:szCs w:val="22"/>
                      <w:highlight w:val="none"/>
                      <w:vertAlign w:val="superscript"/>
                    </w:rPr>
                    <w:t>3</w:t>
                  </w:r>
                  <w:r>
                    <w:rPr>
                      <w:rFonts w:hint="default" w:ascii="Times New Roman" w:hAnsi="Times New Roman" w:eastAsia="宋体" w:cs="Times New Roman"/>
                      <w:b/>
                      <w:sz w:val="22"/>
                      <w:szCs w:val="22"/>
                      <w:highlight w:val="none"/>
                    </w:rPr>
                    <w:t>）</w:t>
                  </w:r>
                </w:p>
              </w:tc>
              <w:tc>
                <w:tcPr>
                  <w:tcW w:w="961" w:type="dxa"/>
                  <w:tcBorders>
                    <w:tl2br w:val="nil"/>
                    <w:tr2bl w:val="nil"/>
                  </w:tcBorders>
                  <w:shd w:val="clear" w:color="auto" w:fill="auto"/>
                  <w:tcMar>
                    <w:top w:w="0" w:type="dxa"/>
                    <w:left w:w="0" w:type="dxa"/>
                    <w:bottom w:w="0" w:type="dxa"/>
                    <w:right w:w="0" w:type="dxa"/>
                  </w:tcMar>
                  <w:vAlign w:val="center"/>
                </w:tcPr>
                <w:p w14:paraId="34638A4D">
                  <w:pPr>
                    <w:adjustRightInd w:val="0"/>
                    <w:jc w:val="center"/>
                    <w:rPr>
                      <w:rFonts w:hint="default" w:ascii="Times New Roman" w:hAnsi="Times New Roman" w:eastAsia="宋体" w:cs="Times New Roman"/>
                      <w:b/>
                      <w:bCs/>
                      <w:sz w:val="22"/>
                      <w:szCs w:val="22"/>
                      <w:highlight w:val="none"/>
                    </w:rPr>
                  </w:pPr>
                  <w:r>
                    <w:rPr>
                      <w:rFonts w:hint="default" w:ascii="Times New Roman" w:hAnsi="Times New Roman" w:eastAsia="宋体" w:cs="Times New Roman"/>
                      <w:b/>
                      <w:bCs/>
                      <w:sz w:val="22"/>
                      <w:szCs w:val="22"/>
                      <w:highlight w:val="none"/>
                    </w:rPr>
                    <w:t>非正常排放速率（kg/h）</w:t>
                  </w:r>
                </w:p>
              </w:tc>
              <w:tc>
                <w:tcPr>
                  <w:tcW w:w="803" w:type="dxa"/>
                  <w:tcBorders>
                    <w:tl2br w:val="nil"/>
                    <w:tr2bl w:val="nil"/>
                  </w:tcBorders>
                  <w:shd w:val="clear" w:color="auto" w:fill="auto"/>
                  <w:tcMar>
                    <w:top w:w="0" w:type="dxa"/>
                    <w:left w:w="0" w:type="dxa"/>
                    <w:bottom w:w="0" w:type="dxa"/>
                    <w:right w:w="0" w:type="dxa"/>
                  </w:tcMar>
                  <w:vAlign w:val="center"/>
                </w:tcPr>
                <w:p w14:paraId="79E33C95">
                  <w:pPr>
                    <w:adjustRightInd w:val="0"/>
                    <w:jc w:val="center"/>
                    <w:rPr>
                      <w:rFonts w:hint="default" w:ascii="Times New Roman" w:hAnsi="Times New Roman" w:eastAsia="宋体" w:cs="Times New Roman"/>
                      <w:b/>
                      <w:bCs/>
                      <w:sz w:val="22"/>
                      <w:szCs w:val="22"/>
                      <w:highlight w:val="none"/>
                    </w:rPr>
                  </w:pPr>
                  <w:r>
                    <w:rPr>
                      <w:rFonts w:hint="default" w:ascii="Times New Roman" w:hAnsi="Times New Roman" w:eastAsia="宋体" w:cs="Times New Roman"/>
                      <w:b/>
                      <w:bCs/>
                      <w:sz w:val="22"/>
                      <w:szCs w:val="22"/>
                      <w:highlight w:val="none"/>
                    </w:rPr>
                    <w:t>单次持续时间(h)</w:t>
                  </w:r>
                </w:p>
              </w:tc>
              <w:tc>
                <w:tcPr>
                  <w:tcW w:w="768" w:type="dxa"/>
                  <w:tcBorders>
                    <w:tl2br w:val="nil"/>
                    <w:tr2bl w:val="nil"/>
                  </w:tcBorders>
                  <w:shd w:val="clear" w:color="auto" w:fill="auto"/>
                  <w:tcMar>
                    <w:top w:w="0" w:type="dxa"/>
                    <w:left w:w="0" w:type="dxa"/>
                    <w:bottom w:w="0" w:type="dxa"/>
                    <w:right w:w="0" w:type="dxa"/>
                  </w:tcMar>
                  <w:vAlign w:val="center"/>
                </w:tcPr>
                <w:p w14:paraId="21EDBD9D">
                  <w:pPr>
                    <w:adjustRightInd w:val="0"/>
                    <w:jc w:val="center"/>
                    <w:rPr>
                      <w:rFonts w:hint="default" w:ascii="Times New Roman" w:hAnsi="Times New Roman" w:eastAsia="宋体" w:cs="Times New Roman"/>
                      <w:b/>
                      <w:bCs/>
                      <w:sz w:val="22"/>
                      <w:szCs w:val="22"/>
                      <w:highlight w:val="none"/>
                    </w:rPr>
                  </w:pPr>
                  <w:r>
                    <w:rPr>
                      <w:rFonts w:hint="default" w:ascii="Times New Roman" w:hAnsi="Times New Roman" w:eastAsia="宋体" w:cs="Times New Roman"/>
                      <w:b/>
                      <w:bCs/>
                      <w:sz w:val="22"/>
                      <w:szCs w:val="22"/>
                      <w:highlight w:val="none"/>
                    </w:rPr>
                    <w:t>年发生频次（次）</w:t>
                  </w:r>
                </w:p>
              </w:tc>
              <w:tc>
                <w:tcPr>
                  <w:tcW w:w="833" w:type="dxa"/>
                  <w:tcBorders>
                    <w:tl2br w:val="nil"/>
                    <w:tr2bl w:val="nil"/>
                  </w:tcBorders>
                  <w:shd w:val="clear" w:color="auto" w:fill="auto"/>
                  <w:tcMar>
                    <w:top w:w="0" w:type="dxa"/>
                    <w:left w:w="0" w:type="dxa"/>
                    <w:bottom w:w="0" w:type="dxa"/>
                    <w:right w:w="0" w:type="dxa"/>
                  </w:tcMar>
                  <w:vAlign w:val="center"/>
                </w:tcPr>
                <w:p w14:paraId="5C2720F3">
                  <w:pPr>
                    <w:adjustRightInd w:val="0"/>
                    <w:jc w:val="center"/>
                    <w:rPr>
                      <w:rFonts w:hint="default" w:ascii="Times New Roman" w:hAnsi="Times New Roman" w:eastAsia="宋体" w:cs="Times New Roman"/>
                      <w:b/>
                      <w:bCs/>
                      <w:sz w:val="22"/>
                      <w:szCs w:val="22"/>
                      <w:highlight w:val="none"/>
                    </w:rPr>
                  </w:pPr>
                  <w:r>
                    <w:rPr>
                      <w:rFonts w:hint="default" w:ascii="Times New Roman" w:hAnsi="Times New Roman" w:eastAsia="宋体" w:cs="Times New Roman"/>
                      <w:b/>
                      <w:bCs/>
                      <w:sz w:val="22"/>
                      <w:szCs w:val="22"/>
                      <w:highlight w:val="none"/>
                    </w:rPr>
                    <w:t>非正常排放量（kg/a）</w:t>
                  </w:r>
                </w:p>
              </w:tc>
              <w:tc>
                <w:tcPr>
                  <w:tcW w:w="658" w:type="dxa"/>
                  <w:tcBorders>
                    <w:tl2br w:val="nil"/>
                    <w:tr2bl w:val="nil"/>
                  </w:tcBorders>
                  <w:shd w:val="clear" w:color="auto" w:fill="auto"/>
                  <w:tcMar>
                    <w:top w:w="0" w:type="dxa"/>
                    <w:left w:w="0" w:type="dxa"/>
                    <w:bottom w:w="0" w:type="dxa"/>
                    <w:right w:w="0" w:type="dxa"/>
                  </w:tcMar>
                  <w:vAlign w:val="center"/>
                </w:tcPr>
                <w:p w14:paraId="56A22313">
                  <w:pPr>
                    <w:adjustRightInd w:val="0"/>
                    <w:jc w:val="center"/>
                    <w:rPr>
                      <w:rFonts w:hint="default" w:ascii="Times New Roman" w:hAnsi="Times New Roman" w:eastAsia="宋体" w:cs="Times New Roman"/>
                      <w:b/>
                      <w:bCs/>
                      <w:sz w:val="22"/>
                      <w:szCs w:val="22"/>
                      <w:highlight w:val="none"/>
                    </w:rPr>
                  </w:pPr>
                  <w:r>
                    <w:rPr>
                      <w:rFonts w:hint="default" w:ascii="Times New Roman" w:hAnsi="Times New Roman" w:eastAsia="宋体" w:cs="Times New Roman"/>
                      <w:b/>
                      <w:bCs/>
                      <w:sz w:val="22"/>
                      <w:szCs w:val="22"/>
                      <w:highlight w:val="none"/>
                    </w:rPr>
                    <w:t>应对措施</w:t>
                  </w:r>
                </w:p>
              </w:tc>
            </w:tr>
            <w:tr w14:paraId="76460F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349" w:type="dxa"/>
                  <w:vMerge w:val="restart"/>
                  <w:tcBorders>
                    <w:tl2br w:val="nil"/>
                    <w:tr2bl w:val="nil"/>
                  </w:tcBorders>
                  <w:shd w:val="clear" w:color="auto" w:fill="auto"/>
                  <w:tcMar>
                    <w:top w:w="0" w:type="dxa"/>
                    <w:left w:w="0" w:type="dxa"/>
                    <w:bottom w:w="0" w:type="dxa"/>
                    <w:right w:w="0" w:type="dxa"/>
                  </w:tcMar>
                  <w:vAlign w:val="center"/>
                </w:tcPr>
                <w:p w14:paraId="4CC62BB4">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DA001</w:t>
                  </w:r>
                </w:p>
              </w:tc>
              <w:tc>
                <w:tcPr>
                  <w:tcW w:w="891" w:type="dxa"/>
                  <w:vMerge w:val="restart"/>
                  <w:tcBorders>
                    <w:tl2br w:val="nil"/>
                    <w:tr2bl w:val="nil"/>
                  </w:tcBorders>
                  <w:shd w:val="clear" w:color="auto" w:fill="auto"/>
                  <w:tcMar>
                    <w:top w:w="0" w:type="dxa"/>
                    <w:left w:w="0" w:type="dxa"/>
                    <w:bottom w:w="0" w:type="dxa"/>
                    <w:right w:w="0" w:type="dxa"/>
                  </w:tcMar>
                  <w:vAlign w:val="center"/>
                </w:tcPr>
                <w:p w14:paraId="685AB200">
                  <w:pPr>
                    <w:adjustRightInd w:val="0"/>
                    <w:jc w:val="center"/>
                    <w:rPr>
                      <w:rFonts w:hint="default" w:ascii="Times New Roman" w:hAnsi="Times New Roman" w:eastAsia="宋体" w:cs="Times New Roman"/>
                      <w:sz w:val="22"/>
                      <w:szCs w:val="22"/>
                      <w:highlight w:val="none"/>
                    </w:rPr>
                  </w:pPr>
                  <w:r>
                    <w:rPr>
                      <w:rFonts w:hint="default" w:ascii="Times New Roman" w:hAnsi="Times New Roman" w:eastAsia="宋体" w:cs="Times New Roman"/>
                      <w:sz w:val="22"/>
                      <w:szCs w:val="22"/>
                      <w:highlight w:val="none"/>
                    </w:rPr>
                    <w:t>废气处理装置运转不正常</w:t>
                  </w:r>
                </w:p>
              </w:tc>
              <w:tc>
                <w:tcPr>
                  <w:tcW w:w="1253" w:type="dxa"/>
                  <w:tcBorders>
                    <w:tl2br w:val="nil"/>
                    <w:tr2bl w:val="nil"/>
                  </w:tcBorders>
                  <w:shd w:val="clear" w:color="auto" w:fill="auto"/>
                  <w:tcMar>
                    <w:top w:w="0" w:type="dxa"/>
                    <w:left w:w="0" w:type="dxa"/>
                    <w:bottom w:w="0" w:type="dxa"/>
                    <w:right w:w="0" w:type="dxa"/>
                  </w:tcMar>
                  <w:vAlign w:val="center"/>
                </w:tcPr>
                <w:p w14:paraId="71F83570">
                  <w:pPr>
                    <w:widowControl/>
                    <w:adjustRightInd w:val="0"/>
                    <w:jc w:val="center"/>
                    <w:rPr>
                      <w:rFonts w:hint="default" w:ascii="Times New Roman" w:hAnsi="Times New Roman" w:eastAsia="宋体" w:cs="Times New Roman"/>
                      <w:bCs/>
                      <w:sz w:val="22"/>
                      <w:szCs w:val="22"/>
                      <w:highlight w:val="none"/>
                      <w:lang w:val="en-US" w:eastAsia="zh-CN"/>
                    </w:rPr>
                  </w:pPr>
                  <w:r>
                    <w:rPr>
                      <w:rFonts w:hint="default" w:ascii="Times New Roman" w:hAnsi="Times New Roman" w:eastAsia="宋体" w:cs="Times New Roman"/>
                      <w:bCs/>
                      <w:sz w:val="22"/>
                      <w:szCs w:val="22"/>
                      <w:highlight w:val="none"/>
                    </w:rPr>
                    <w:t>非甲烷总烃</w:t>
                  </w:r>
                </w:p>
              </w:tc>
              <w:tc>
                <w:tcPr>
                  <w:tcW w:w="1033" w:type="dxa"/>
                  <w:tcBorders>
                    <w:tl2br w:val="nil"/>
                    <w:tr2bl w:val="nil"/>
                  </w:tcBorders>
                  <w:shd w:val="clear" w:color="auto" w:fill="auto"/>
                  <w:tcMar>
                    <w:top w:w="0" w:type="dxa"/>
                    <w:left w:w="0" w:type="dxa"/>
                    <w:bottom w:w="0" w:type="dxa"/>
                    <w:right w:w="0" w:type="dxa"/>
                  </w:tcMar>
                  <w:vAlign w:val="center"/>
                </w:tcPr>
                <w:p w14:paraId="20C50B9F">
                  <w:pPr>
                    <w:adjustRightInd w:val="0"/>
                    <w:jc w:val="center"/>
                    <w:rPr>
                      <w:rFonts w:hint="default" w:ascii="Times New Roman" w:hAnsi="Times New Roman" w:eastAsia="宋体" w:cs="Times New Roman"/>
                      <w:i w:val="0"/>
                      <w:iCs w:val="0"/>
                      <w:color w:val="000000"/>
                      <w:kern w:val="0"/>
                      <w:sz w:val="22"/>
                      <w:szCs w:val="22"/>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33.67</w:t>
                  </w:r>
                </w:p>
              </w:tc>
              <w:tc>
                <w:tcPr>
                  <w:tcW w:w="961" w:type="dxa"/>
                  <w:tcBorders>
                    <w:tl2br w:val="nil"/>
                    <w:tr2bl w:val="nil"/>
                  </w:tcBorders>
                  <w:shd w:val="clear" w:color="auto" w:fill="auto"/>
                  <w:tcMar>
                    <w:top w:w="0" w:type="dxa"/>
                    <w:left w:w="0" w:type="dxa"/>
                    <w:bottom w:w="0" w:type="dxa"/>
                    <w:right w:w="0" w:type="dxa"/>
                  </w:tcMar>
                  <w:vAlign w:val="center"/>
                </w:tcPr>
                <w:p w14:paraId="7003C6AA">
                  <w:pPr>
                    <w:adjustRightInd w:val="0"/>
                    <w:jc w:val="center"/>
                    <w:rPr>
                      <w:rFonts w:hint="default" w:ascii="Times New Roman" w:hAnsi="Times New Roman" w:eastAsia="宋体" w:cs="Times New Roman"/>
                      <w:i w:val="0"/>
                      <w:iCs w:val="0"/>
                      <w:color w:val="000000"/>
                      <w:kern w:val="0"/>
                      <w:sz w:val="22"/>
                      <w:szCs w:val="22"/>
                      <w:highlight w:val="none"/>
                      <w:u w:val="none"/>
                      <w:lang w:val="en-US" w:eastAsia="zh-CN" w:bidi="ar"/>
                    </w:rPr>
                  </w:pPr>
                  <w:r>
                    <w:rPr>
                      <w:rFonts w:hint="default" w:ascii="Times New Roman" w:hAnsi="Times New Roman" w:eastAsia="宋体" w:cs="Times New Roman"/>
                      <w:kern w:val="2"/>
                      <w:sz w:val="21"/>
                      <w:szCs w:val="21"/>
                      <w:highlight w:val="none"/>
                      <w:lang w:val="en-US" w:eastAsia="zh-CN" w:bidi="ar-SA"/>
                    </w:rPr>
                    <w:t>0.26936</w:t>
                  </w:r>
                </w:p>
              </w:tc>
              <w:tc>
                <w:tcPr>
                  <w:tcW w:w="803" w:type="dxa"/>
                  <w:tcBorders>
                    <w:tl2br w:val="nil"/>
                    <w:tr2bl w:val="nil"/>
                  </w:tcBorders>
                  <w:shd w:val="clear" w:color="auto" w:fill="auto"/>
                  <w:tcMar>
                    <w:top w:w="0" w:type="dxa"/>
                    <w:left w:w="0" w:type="dxa"/>
                    <w:bottom w:w="0" w:type="dxa"/>
                    <w:right w:w="0" w:type="dxa"/>
                  </w:tcMar>
                  <w:vAlign w:val="center"/>
                </w:tcPr>
                <w:p w14:paraId="47BC9D26">
                  <w:pPr>
                    <w:adjustRightInd w:val="0"/>
                    <w:jc w:val="center"/>
                    <w:rPr>
                      <w:rFonts w:hint="default" w:ascii="Times New Roman" w:hAnsi="Times New Roman" w:eastAsia="宋体" w:cs="Times New Roman"/>
                      <w:sz w:val="22"/>
                      <w:szCs w:val="22"/>
                      <w:highlight w:val="none"/>
                    </w:rPr>
                  </w:pPr>
                  <w:r>
                    <w:rPr>
                      <w:rFonts w:hint="default" w:ascii="Times New Roman" w:hAnsi="Times New Roman" w:eastAsia="宋体" w:cs="Times New Roman"/>
                      <w:sz w:val="22"/>
                      <w:szCs w:val="22"/>
                      <w:highlight w:val="none"/>
                    </w:rPr>
                    <w:t>1</w:t>
                  </w:r>
                </w:p>
              </w:tc>
              <w:tc>
                <w:tcPr>
                  <w:tcW w:w="768" w:type="dxa"/>
                  <w:tcBorders>
                    <w:tl2br w:val="nil"/>
                    <w:tr2bl w:val="nil"/>
                  </w:tcBorders>
                  <w:shd w:val="clear" w:color="auto" w:fill="auto"/>
                  <w:tcMar>
                    <w:top w:w="0" w:type="dxa"/>
                    <w:left w:w="0" w:type="dxa"/>
                    <w:bottom w:w="0" w:type="dxa"/>
                    <w:right w:w="0" w:type="dxa"/>
                  </w:tcMar>
                  <w:vAlign w:val="center"/>
                </w:tcPr>
                <w:p w14:paraId="61C2DB24">
                  <w:pPr>
                    <w:adjustRightInd w:val="0"/>
                    <w:jc w:val="center"/>
                    <w:rPr>
                      <w:rFonts w:hint="default" w:ascii="Times New Roman" w:hAnsi="Times New Roman" w:eastAsia="宋体" w:cs="Times New Roman"/>
                      <w:sz w:val="22"/>
                      <w:szCs w:val="22"/>
                      <w:highlight w:val="none"/>
                    </w:rPr>
                  </w:pPr>
                  <w:r>
                    <w:rPr>
                      <w:rFonts w:hint="default" w:ascii="Times New Roman" w:hAnsi="Times New Roman" w:eastAsia="宋体" w:cs="Times New Roman"/>
                      <w:sz w:val="22"/>
                      <w:szCs w:val="22"/>
                      <w:highlight w:val="none"/>
                    </w:rPr>
                    <w:t>1</w:t>
                  </w:r>
                </w:p>
              </w:tc>
              <w:tc>
                <w:tcPr>
                  <w:tcW w:w="833" w:type="dxa"/>
                  <w:tcBorders>
                    <w:tl2br w:val="nil"/>
                    <w:tr2bl w:val="nil"/>
                  </w:tcBorders>
                  <w:shd w:val="clear" w:color="auto" w:fill="auto"/>
                  <w:tcMar>
                    <w:top w:w="0" w:type="dxa"/>
                    <w:left w:w="0" w:type="dxa"/>
                    <w:bottom w:w="0" w:type="dxa"/>
                    <w:right w:w="0" w:type="dxa"/>
                  </w:tcMar>
                  <w:vAlign w:val="center"/>
                </w:tcPr>
                <w:p w14:paraId="443FA0B8">
                  <w:pPr>
                    <w:adjustRightInd w:val="0"/>
                    <w:jc w:val="center"/>
                    <w:rPr>
                      <w:rFonts w:hint="default" w:ascii="Times New Roman" w:hAnsi="Times New Roman" w:eastAsia="宋体" w:cs="Times New Roman"/>
                      <w:i w:val="0"/>
                      <w:iCs w:val="0"/>
                      <w:color w:val="000000"/>
                      <w:kern w:val="0"/>
                      <w:sz w:val="22"/>
                      <w:szCs w:val="22"/>
                      <w:highlight w:val="none"/>
                      <w:u w:val="none"/>
                      <w:lang w:val="en-US" w:eastAsia="zh-CN" w:bidi="ar"/>
                    </w:rPr>
                  </w:pPr>
                  <w:r>
                    <w:rPr>
                      <w:rFonts w:hint="default" w:ascii="Times New Roman" w:hAnsi="Times New Roman" w:eastAsia="宋体" w:cs="Times New Roman"/>
                      <w:kern w:val="2"/>
                      <w:sz w:val="21"/>
                      <w:szCs w:val="21"/>
                      <w:highlight w:val="none"/>
                      <w:lang w:val="en-US" w:eastAsia="zh-CN" w:bidi="ar-SA"/>
                    </w:rPr>
                    <w:t>0.26936</w:t>
                  </w:r>
                </w:p>
              </w:tc>
              <w:tc>
                <w:tcPr>
                  <w:tcW w:w="658" w:type="dxa"/>
                  <w:vMerge w:val="restart"/>
                  <w:tcBorders>
                    <w:tl2br w:val="nil"/>
                    <w:tr2bl w:val="nil"/>
                  </w:tcBorders>
                  <w:shd w:val="clear" w:color="auto" w:fill="auto"/>
                  <w:tcMar>
                    <w:top w:w="0" w:type="dxa"/>
                    <w:left w:w="0" w:type="dxa"/>
                    <w:bottom w:w="0" w:type="dxa"/>
                    <w:right w:w="0" w:type="dxa"/>
                  </w:tcMar>
                  <w:vAlign w:val="center"/>
                </w:tcPr>
                <w:p w14:paraId="7E2D9579">
                  <w:pPr>
                    <w:widowControl/>
                    <w:adjustRightInd w:val="0"/>
                    <w:jc w:val="center"/>
                    <w:rPr>
                      <w:rFonts w:hint="default" w:ascii="Times New Roman" w:hAnsi="Times New Roman" w:eastAsia="宋体" w:cs="Times New Roman"/>
                      <w:sz w:val="22"/>
                      <w:szCs w:val="22"/>
                      <w:highlight w:val="none"/>
                    </w:rPr>
                  </w:pPr>
                  <w:r>
                    <w:rPr>
                      <w:rFonts w:hint="default" w:ascii="Times New Roman" w:hAnsi="Times New Roman" w:eastAsia="宋体" w:cs="Times New Roman"/>
                      <w:sz w:val="22"/>
                      <w:szCs w:val="22"/>
                      <w:highlight w:val="none"/>
                    </w:rPr>
                    <w:t>发现故障应立即停工检修</w:t>
                  </w:r>
                </w:p>
              </w:tc>
            </w:tr>
            <w:tr w14:paraId="18FAF4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349" w:type="dxa"/>
                  <w:vMerge w:val="continue"/>
                  <w:tcBorders>
                    <w:tl2br w:val="nil"/>
                    <w:tr2bl w:val="nil"/>
                  </w:tcBorders>
                  <w:shd w:val="clear" w:color="auto" w:fill="auto"/>
                  <w:tcMar>
                    <w:top w:w="0" w:type="dxa"/>
                    <w:left w:w="0" w:type="dxa"/>
                    <w:bottom w:w="0" w:type="dxa"/>
                    <w:right w:w="0" w:type="dxa"/>
                  </w:tcMar>
                  <w:vAlign w:val="center"/>
                </w:tcPr>
                <w:p w14:paraId="4E7ECDD7">
                  <w:pPr>
                    <w:adjustRightInd w:val="0"/>
                    <w:jc w:val="center"/>
                    <w:rPr>
                      <w:rFonts w:hint="default" w:ascii="Times New Roman" w:hAnsi="Times New Roman" w:eastAsia="宋体" w:cs="Times New Roman"/>
                      <w:sz w:val="22"/>
                      <w:szCs w:val="22"/>
                      <w:highlight w:val="none"/>
                    </w:rPr>
                  </w:pPr>
                </w:p>
              </w:tc>
              <w:tc>
                <w:tcPr>
                  <w:tcW w:w="891" w:type="dxa"/>
                  <w:vMerge w:val="continue"/>
                  <w:tcBorders>
                    <w:tl2br w:val="nil"/>
                    <w:tr2bl w:val="nil"/>
                  </w:tcBorders>
                  <w:shd w:val="clear" w:color="auto" w:fill="auto"/>
                  <w:tcMar>
                    <w:top w:w="0" w:type="dxa"/>
                    <w:left w:w="0" w:type="dxa"/>
                    <w:bottom w:w="0" w:type="dxa"/>
                    <w:right w:w="0" w:type="dxa"/>
                  </w:tcMar>
                  <w:vAlign w:val="center"/>
                </w:tcPr>
                <w:p w14:paraId="3ABF9627">
                  <w:pPr>
                    <w:adjustRightInd w:val="0"/>
                    <w:jc w:val="center"/>
                    <w:rPr>
                      <w:rFonts w:hint="default" w:ascii="Times New Roman" w:hAnsi="Times New Roman" w:eastAsia="宋体" w:cs="Times New Roman"/>
                      <w:sz w:val="22"/>
                      <w:szCs w:val="22"/>
                      <w:highlight w:val="none"/>
                    </w:rPr>
                  </w:pPr>
                </w:p>
              </w:tc>
              <w:tc>
                <w:tcPr>
                  <w:tcW w:w="1253" w:type="dxa"/>
                  <w:tcBorders>
                    <w:tl2br w:val="nil"/>
                    <w:tr2bl w:val="nil"/>
                  </w:tcBorders>
                  <w:shd w:val="clear" w:color="auto" w:fill="auto"/>
                  <w:tcMar>
                    <w:top w:w="0" w:type="dxa"/>
                    <w:left w:w="0" w:type="dxa"/>
                    <w:bottom w:w="0" w:type="dxa"/>
                    <w:right w:w="0" w:type="dxa"/>
                  </w:tcMar>
                  <w:vAlign w:val="center"/>
                </w:tcPr>
                <w:p w14:paraId="332FCD95">
                  <w:pPr>
                    <w:widowControl/>
                    <w:adjustRightInd w:val="0"/>
                    <w:jc w:val="center"/>
                    <w:rPr>
                      <w:rFonts w:hint="default" w:ascii="Times New Roman" w:hAnsi="Times New Roman" w:eastAsia="宋体" w:cs="Times New Roman"/>
                      <w:bCs/>
                      <w:sz w:val="22"/>
                      <w:szCs w:val="22"/>
                      <w:highlight w:val="none"/>
                    </w:rPr>
                  </w:pPr>
                  <w:r>
                    <w:rPr>
                      <w:rFonts w:hint="default" w:ascii="Times New Roman" w:hAnsi="Times New Roman" w:eastAsia="宋体" w:cs="Times New Roman"/>
                      <w:bCs/>
                      <w:sz w:val="22"/>
                      <w:szCs w:val="22"/>
                      <w:highlight w:val="none"/>
                      <w:lang w:val="en-US" w:eastAsia="zh-CN"/>
                    </w:rPr>
                    <w:t>氮氧化物</w:t>
                  </w:r>
                </w:p>
              </w:tc>
              <w:tc>
                <w:tcPr>
                  <w:tcW w:w="1033" w:type="dxa"/>
                  <w:tcBorders>
                    <w:tl2br w:val="nil"/>
                    <w:tr2bl w:val="nil"/>
                  </w:tcBorders>
                  <w:shd w:val="clear" w:color="auto" w:fill="auto"/>
                  <w:tcMar>
                    <w:top w:w="0" w:type="dxa"/>
                    <w:left w:w="0" w:type="dxa"/>
                    <w:bottom w:w="0" w:type="dxa"/>
                    <w:right w:w="0" w:type="dxa"/>
                  </w:tcMar>
                  <w:vAlign w:val="center"/>
                </w:tcPr>
                <w:p w14:paraId="0521B820">
                  <w:pPr>
                    <w:adjustRightIn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0.09</w:t>
                  </w:r>
                </w:p>
              </w:tc>
              <w:tc>
                <w:tcPr>
                  <w:tcW w:w="961" w:type="dxa"/>
                  <w:tcBorders>
                    <w:tl2br w:val="nil"/>
                    <w:tr2bl w:val="nil"/>
                  </w:tcBorders>
                  <w:shd w:val="clear" w:color="auto" w:fill="auto"/>
                  <w:tcMar>
                    <w:top w:w="0" w:type="dxa"/>
                    <w:left w:w="0" w:type="dxa"/>
                    <w:bottom w:w="0" w:type="dxa"/>
                    <w:right w:w="0" w:type="dxa"/>
                  </w:tcMar>
                  <w:vAlign w:val="center"/>
                </w:tcPr>
                <w:p w14:paraId="1CCEFC6B">
                  <w:pPr>
                    <w:adjustRightIn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sz w:val="21"/>
                      <w:szCs w:val="21"/>
                      <w:highlight w:val="none"/>
                      <w:lang w:val="en-US" w:eastAsia="zh-CN"/>
                    </w:rPr>
                    <w:t>0.00072</w:t>
                  </w:r>
                </w:p>
              </w:tc>
              <w:tc>
                <w:tcPr>
                  <w:tcW w:w="803" w:type="dxa"/>
                  <w:tcBorders>
                    <w:tl2br w:val="nil"/>
                    <w:tr2bl w:val="nil"/>
                  </w:tcBorders>
                  <w:shd w:val="clear" w:color="auto" w:fill="auto"/>
                  <w:tcMar>
                    <w:top w:w="0" w:type="dxa"/>
                    <w:left w:w="0" w:type="dxa"/>
                    <w:bottom w:w="0" w:type="dxa"/>
                    <w:right w:w="0" w:type="dxa"/>
                  </w:tcMar>
                  <w:vAlign w:val="center"/>
                </w:tcPr>
                <w:p w14:paraId="46602B68">
                  <w:pPr>
                    <w:adjustRightInd w:val="0"/>
                    <w:jc w:val="center"/>
                    <w:rPr>
                      <w:rFonts w:hint="default" w:ascii="Times New Roman" w:hAnsi="Times New Roman" w:eastAsia="宋体" w:cs="Times New Roman"/>
                      <w:sz w:val="22"/>
                      <w:szCs w:val="22"/>
                      <w:highlight w:val="none"/>
                    </w:rPr>
                  </w:pPr>
                  <w:r>
                    <w:rPr>
                      <w:rFonts w:hint="default" w:ascii="Times New Roman" w:hAnsi="Times New Roman" w:eastAsia="宋体" w:cs="Times New Roman"/>
                      <w:sz w:val="22"/>
                      <w:szCs w:val="22"/>
                      <w:highlight w:val="none"/>
                    </w:rPr>
                    <w:t>1</w:t>
                  </w:r>
                </w:p>
              </w:tc>
              <w:tc>
                <w:tcPr>
                  <w:tcW w:w="768" w:type="dxa"/>
                  <w:tcBorders>
                    <w:tl2br w:val="nil"/>
                    <w:tr2bl w:val="nil"/>
                  </w:tcBorders>
                  <w:shd w:val="clear" w:color="auto" w:fill="auto"/>
                  <w:tcMar>
                    <w:top w:w="0" w:type="dxa"/>
                    <w:left w:w="0" w:type="dxa"/>
                    <w:bottom w:w="0" w:type="dxa"/>
                    <w:right w:w="0" w:type="dxa"/>
                  </w:tcMar>
                  <w:vAlign w:val="center"/>
                </w:tcPr>
                <w:p w14:paraId="40E38220">
                  <w:pPr>
                    <w:adjustRightInd w:val="0"/>
                    <w:jc w:val="center"/>
                    <w:rPr>
                      <w:rFonts w:hint="default" w:ascii="Times New Roman" w:hAnsi="Times New Roman" w:eastAsia="宋体" w:cs="Times New Roman"/>
                      <w:sz w:val="22"/>
                      <w:szCs w:val="22"/>
                      <w:highlight w:val="none"/>
                    </w:rPr>
                  </w:pPr>
                  <w:r>
                    <w:rPr>
                      <w:rFonts w:hint="default" w:ascii="Times New Roman" w:hAnsi="Times New Roman" w:eastAsia="宋体" w:cs="Times New Roman"/>
                      <w:sz w:val="22"/>
                      <w:szCs w:val="22"/>
                      <w:highlight w:val="none"/>
                    </w:rPr>
                    <w:t>1</w:t>
                  </w:r>
                </w:p>
              </w:tc>
              <w:tc>
                <w:tcPr>
                  <w:tcW w:w="833" w:type="dxa"/>
                  <w:tcBorders>
                    <w:tl2br w:val="nil"/>
                    <w:tr2bl w:val="nil"/>
                  </w:tcBorders>
                  <w:shd w:val="clear" w:color="auto" w:fill="auto"/>
                  <w:tcMar>
                    <w:top w:w="0" w:type="dxa"/>
                    <w:left w:w="0" w:type="dxa"/>
                    <w:bottom w:w="0" w:type="dxa"/>
                    <w:right w:w="0" w:type="dxa"/>
                  </w:tcMar>
                  <w:vAlign w:val="center"/>
                </w:tcPr>
                <w:p w14:paraId="7B401250">
                  <w:pPr>
                    <w:adjustRightIn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sz w:val="21"/>
                      <w:szCs w:val="21"/>
                      <w:highlight w:val="none"/>
                      <w:lang w:val="en-US" w:eastAsia="zh-CN"/>
                    </w:rPr>
                    <w:t>0.00072</w:t>
                  </w:r>
                </w:p>
              </w:tc>
              <w:tc>
                <w:tcPr>
                  <w:tcW w:w="658" w:type="dxa"/>
                  <w:vMerge w:val="continue"/>
                  <w:tcBorders>
                    <w:tl2br w:val="nil"/>
                    <w:tr2bl w:val="nil"/>
                  </w:tcBorders>
                  <w:shd w:val="clear" w:color="auto" w:fill="auto"/>
                  <w:tcMar>
                    <w:top w:w="0" w:type="dxa"/>
                    <w:left w:w="0" w:type="dxa"/>
                    <w:bottom w:w="0" w:type="dxa"/>
                    <w:right w:w="0" w:type="dxa"/>
                  </w:tcMar>
                  <w:vAlign w:val="center"/>
                </w:tcPr>
                <w:p w14:paraId="2ACD07FD">
                  <w:pPr>
                    <w:widowControl/>
                    <w:adjustRightInd w:val="0"/>
                    <w:jc w:val="center"/>
                    <w:rPr>
                      <w:rFonts w:hint="default" w:ascii="Times New Roman" w:hAnsi="Times New Roman" w:eastAsia="宋体" w:cs="Times New Roman"/>
                      <w:sz w:val="22"/>
                      <w:szCs w:val="22"/>
                      <w:highlight w:val="none"/>
                    </w:rPr>
                  </w:pPr>
                </w:p>
              </w:tc>
            </w:tr>
            <w:tr w14:paraId="0F332E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349" w:type="dxa"/>
                  <w:vMerge w:val="restart"/>
                  <w:tcBorders>
                    <w:tl2br w:val="nil"/>
                    <w:tr2bl w:val="nil"/>
                  </w:tcBorders>
                  <w:shd w:val="clear" w:color="auto" w:fill="auto"/>
                  <w:tcMar>
                    <w:top w:w="0" w:type="dxa"/>
                    <w:left w:w="0" w:type="dxa"/>
                    <w:bottom w:w="0" w:type="dxa"/>
                    <w:right w:w="0" w:type="dxa"/>
                  </w:tcMar>
                  <w:vAlign w:val="center"/>
                </w:tcPr>
                <w:p w14:paraId="156D5D29">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DA002</w:t>
                  </w:r>
                </w:p>
              </w:tc>
              <w:tc>
                <w:tcPr>
                  <w:tcW w:w="891" w:type="dxa"/>
                  <w:vMerge w:val="continue"/>
                  <w:tcBorders>
                    <w:tl2br w:val="nil"/>
                    <w:tr2bl w:val="nil"/>
                  </w:tcBorders>
                  <w:shd w:val="clear" w:color="auto" w:fill="auto"/>
                  <w:tcMar>
                    <w:top w:w="0" w:type="dxa"/>
                    <w:left w:w="0" w:type="dxa"/>
                    <w:bottom w:w="0" w:type="dxa"/>
                    <w:right w:w="0" w:type="dxa"/>
                  </w:tcMar>
                  <w:vAlign w:val="center"/>
                </w:tcPr>
                <w:p w14:paraId="63DB3BDA">
                  <w:pPr>
                    <w:adjustRightInd w:val="0"/>
                    <w:jc w:val="center"/>
                    <w:rPr>
                      <w:rFonts w:hint="default" w:ascii="Times New Roman" w:hAnsi="Times New Roman" w:eastAsia="宋体" w:cs="Times New Roman"/>
                      <w:sz w:val="22"/>
                      <w:szCs w:val="22"/>
                      <w:highlight w:val="none"/>
                    </w:rPr>
                  </w:pPr>
                </w:p>
              </w:tc>
              <w:tc>
                <w:tcPr>
                  <w:tcW w:w="1253" w:type="dxa"/>
                  <w:tcBorders>
                    <w:tl2br w:val="nil"/>
                    <w:tr2bl w:val="nil"/>
                  </w:tcBorders>
                  <w:shd w:val="clear" w:color="auto" w:fill="auto"/>
                  <w:tcMar>
                    <w:top w:w="0" w:type="dxa"/>
                    <w:left w:w="0" w:type="dxa"/>
                    <w:bottom w:w="0" w:type="dxa"/>
                    <w:right w:w="0" w:type="dxa"/>
                  </w:tcMar>
                  <w:vAlign w:val="center"/>
                </w:tcPr>
                <w:p w14:paraId="0E159FB4">
                  <w:pPr>
                    <w:adjustRightInd w:val="0"/>
                    <w:jc w:val="center"/>
                    <w:rPr>
                      <w:rFonts w:hint="default" w:ascii="Times New Roman" w:hAnsi="Times New Roman" w:eastAsia="宋体" w:cs="Times New Roman"/>
                      <w:bCs/>
                      <w:sz w:val="22"/>
                      <w:szCs w:val="22"/>
                      <w:highlight w:val="none"/>
                      <w:lang w:val="en-US" w:eastAsia="zh-CN"/>
                    </w:rPr>
                  </w:pPr>
                  <w:r>
                    <w:rPr>
                      <w:rFonts w:hint="default" w:ascii="Times New Roman" w:hAnsi="Times New Roman" w:eastAsia="宋体" w:cs="Times New Roman"/>
                      <w:color w:val="auto"/>
                      <w:sz w:val="21"/>
                      <w:szCs w:val="21"/>
                      <w:highlight w:val="none"/>
                      <w:lang w:val="en-US" w:eastAsia="zh-CN"/>
                    </w:rPr>
                    <w:t>颗粒物</w:t>
                  </w:r>
                </w:p>
              </w:tc>
              <w:tc>
                <w:tcPr>
                  <w:tcW w:w="1033" w:type="dxa"/>
                  <w:tcBorders>
                    <w:tl2br w:val="nil"/>
                    <w:tr2bl w:val="nil"/>
                  </w:tcBorders>
                  <w:shd w:val="clear" w:color="auto" w:fill="auto"/>
                  <w:tcMar>
                    <w:top w:w="0" w:type="dxa"/>
                    <w:left w:w="0" w:type="dxa"/>
                    <w:bottom w:w="0" w:type="dxa"/>
                    <w:right w:w="0" w:type="dxa"/>
                  </w:tcMar>
                  <w:vAlign w:val="center"/>
                </w:tcPr>
                <w:p w14:paraId="7B642B50">
                  <w:pPr>
                    <w:adjustRightInd w:val="0"/>
                    <w:jc w:val="center"/>
                    <w:rPr>
                      <w:rFonts w:hint="default" w:ascii="Times New Roman" w:hAnsi="Times New Roman" w:eastAsia="宋体" w:cs="Times New Roman"/>
                      <w:i w:val="0"/>
                      <w:iCs w:val="0"/>
                      <w:color w:val="000000"/>
                      <w:kern w:val="0"/>
                      <w:sz w:val="22"/>
                      <w:szCs w:val="22"/>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2.7675</w:t>
                  </w:r>
                </w:p>
              </w:tc>
              <w:tc>
                <w:tcPr>
                  <w:tcW w:w="961" w:type="dxa"/>
                  <w:tcBorders>
                    <w:tl2br w:val="nil"/>
                    <w:tr2bl w:val="nil"/>
                  </w:tcBorders>
                  <w:shd w:val="clear" w:color="auto" w:fill="auto"/>
                  <w:tcMar>
                    <w:top w:w="0" w:type="dxa"/>
                    <w:left w:w="0" w:type="dxa"/>
                    <w:bottom w:w="0" w:type="dxa"/>
                    <w:right w:w="0" w:type="dxa"/>
                  </w:tcMar>
                  <w:vAlign w:val="center"/>
                </w:tcPr>
                <w:p w14:paraId="340DAF66">
                  <w:pPr>
                    <w:adjustRightInd w:val="0"/>
                    <w:jc w:val="center"/>
                    <w:rPr>
                      <w:rFonts w:hint="default" w:ascii="Times New Roman" w:hAnsi="Times New Roman" w:eastAsia="宋体" w:cs="Times New Roman"/>
                      <w:i w:val="0"/>
                      <w:iCs w:val="0"/>
                      <w:color w:val="000000"/>
                      <w:kern w:val="0"/>
                      <w:sz w:val="22"/>
                      <w:szCs w:val="22"/>
                      <w:highlight w:val="none"/>
                      <w:u w:val="none"/>
                      <w:lang w:val="en-US" w:eastAsia="zh-CN" w:bidi="ar"/>
                    </w:rPr>
                  </w:pPr>
                  <w:r>
                    <w:rPr>
                      <w:rFonts w:hint="default" w:ascii="Times New Roman" w:hAnsi="Times New Roman" w:eastAsia="宋体" w:cs="Times New Roman"/>
                      <w:kern w:val="2"/>
                      <w:sz w:val="21"/>
                      <w:szCs w:val="21"/>
                      <w:highlight w:val="none"/>
                      <w:lang w:val="en-US" w:eastAsia="zh-CN" w:bidi="ar-SA"/>
                    </w:rPr>
                    <w:t>0.005535</w:t>
                  </w:r>
                </w:p>
              </w:tc>
              <w:tc>
                <w:tcPr>
                  <w:tcW w:w="803" w:type="dxa"/>
                  <w:tcBorders>
                    <w:tl2br w:val="nil"/>
                    <w:tr2bl w:val="nil"/>
                  </w:tcBorders>
                  <w:shd w:val="clear" w:color="auto" w:fill="auto"/>
                  <w:tcMar>
                    <w:top w:w="0" w:type="dxa"/>
                    <w:left w:w="0" w:type="dxa"/>
                    <w:bottom w:w="0" w:type="dxa"/>
                    <w:right w:w="0" w:type="dxa"/>
                  </w:tcMar>
                  <w:vAlign w:val="center"/>
                </w:tcPr>
                <w:p w14:paraId="0CEF567C">
                  <w:pPr>
                    <w:adjustRightInd w:val="0"/>
                    <w:jc w:val="center"/>
                    <w:rPr>
                      <w:rFonts w:hint="default" w:ascii="Times New Roman" w:hAnsi="Times New Roman" w:eastAsia="宋体" w:cs="Times New Roman"/>
                      <w:sz w:val="22"/>
                      <w:szCs w:val="22"/>
                      <w:highlight w:val="none"/>
                    </w:rPr>
                  </w:pPr>
                  <w:r>
                    <w:rPr>
                      <w:rFonts w:hint="default" w:ascii="Times New Roman" w:hAnsi="Times New Roman" w:eastAsia="宋体" w:cs="Times New Roman"/>
                      <w:sz w:val="22"/>
                      <w:szCs w:val="22"/>
                      <w:highlight w:val="none"/>
                    </w:rPr>
                    <w:t>1</w:t>
                  </w:r>
                </w:p>
              </w:tc>
              <w:tc>
                <w:tcPr>
                  <w:tcW w:w="768" w:type="dxa"/>
                  <w:tcBorders>
                    <w:tl2br w:val="nil"/>
                    <w:tr2bl w:val="nil"/>
                  </w:tcBorders>
                  <w:shd w:val="clear" w:color="auto" w:fill="auto"/>
                  <w:tcMar>
                    <w:top w:w="0" w:type="dxa"/>
                    <w:left w:w="0" w:type="dxa"/>
                    <w:bottom w:w="0" w:type="dxa"/>
                    <w:right w:w="0" w:type="dxa"/>
                  </w:tcMar>
                  <w:vAlign w:val="center"/>
                </w:tcPr>
                <w:p w14:paraId="082B41CF">
                  <w:pPr>
                    <w:adjustRightInd w:val="0"/>
                    <w:jc w:val="center"/>
                    <w:rPr>
                      <w:rFonts w:hint="default" w:ascii="Times New Roman" w:hAnsi="Times New Roman" w:eastAsia="宋体" w:cs="Times New Roman"/>
                      <w:sz w:val="22"/>
                      <w:szCs w:val="22"/>
                      <w:highlight w:val="none"/>
                    </w:rPr>
                  </w:pPr>
                  <w:r>
                    <w:rPr>
                      <w:rFonts w:hint="default" w:ascii="Times New Roman" w:hAnsi="Times New Roman" w:eastAsia="宋体" w:cs="Times New Roman"/>
                      <w:sz w:val="22"/>
                      <w:szCs w:val="22"/>
                      <w:highlight w:val="none"/>
                    </w:rPr>
                    <w:t>1</w:t>
                  </w:r>
                </w:p>
              </w:tc>
              <w:tc>
                <w:tcPr>
                  <w:tcW w:w="833" w:type="dxa"/>
                  <w:tcBorders>
                    <w:tl2br w:val="nil"/>
                    <w:tr2bl w:val="nil"/>
                  </w:tcBorders>
                  <w:shd w:val="clear" w:color="auto" w:fill="auto"/>
                  <w:tcMar>
                    <w:top w:w="0" w:type="dxa"/>
                    <w:left w:w="0" w:type="dxa"/>
                    <w:bottom w:w="0" w:type="dxa"/>
                    <w:right w:w="0" w:type="dxa"/>
                  </w:tcMar>
                  <w:vAlign w:val="center"/>
                </w:tcPr>
                <w:p w14:paraId="6907BD54">
                  <w:pPr>
                    <w:adjustRightInd w:val="0"/>
                    <w:jc w:val="center"/>
                    <w:rPr>
                      <w:rFonts w:hint="default" w:ascii="Times New Roman" w:hAnsi="Times New Roman" w:eastAsia="宋体" w:cs="Times New Roman"/>
                      <w:i w:val="0"/>
                      <w:iCs w:val="0"/>
                      <w:color w:val="000000"/>
                      <w:kern w:val="0"/>
                      <w:sz w:val="22"/>
                      <w:szCs w:val="22"/>
                      <w:highlight w:val="none"/>
                      <w:u w:val="none"/>
                      <w:lang w:val="en-US" w:eastAsia="zh-CN" w:bidi="ar"/>
                    </w:rPr>
                  </w:pPr>
                  <w:r>
                    <w:rPr>
                      <w:rFonts w:hint="default" w:ascii="Times New Roman" w:hAnsi="Times New Roman" w:eastAsia="宋体" w:cs="Times New Roman"/>
                      <w:kern w:val="2"/>
                      <w:sz w:val="21"/>
                      <w:szCs w:val="21"/>
                      <w:highlight w:val="none"/>
                      <w:lang w:val="en-US" w:eastAsia="zh-CN" w:bidi="ar-SA"/>
                    </w:rPr>
                    <w:t>0.005535</w:t>
                  </w:r>
                </w:p>
              </w:tc>
              <w:tc>
                <w:tcPr>
                  <w:tcW w:w="658" w:type="dxa"/>
                  <w:vMerge w:val="continue"/>
                  <w:tcBorders>
                    <w:tl2br w:val="nil"/>
                    <w:tr2bl w:val="nil"/>
                  </w:tcBorders>
                  <w:shd w:val="clear" w:color="auto" w:fill="auto"/>
                  <w:tcMar>
                    <w:top w:w="0" w:type="dxa"/>
                    <w:left w:w="0" w:type="dxa"/>
                    <w:bottom w:w="0" w:type="dxa"/>
                    <w:right w:w="0" w:type="dxa"/>
                  </w:tcMar>
                  <w:vAlign w:val="center"/>
                </w:tcPr>
                <w:p w14:paraId="799825C7">
                  <w:pPr>
                    <w:widowControl/>
                    <w:adjustRightInd w:val="0"/>
                    <w:jc w:val="center"/>
                    <w:rPr>
                      <w:rFonts w:hint="default" w:ascii="Times New Roman" w:hAnsi="Times New Roman" w:eastAsia="宋体" w:cs="Times New Roman"/>
                      <w:sz w:val="22"/>
                      <w:szCs w:val="22"/>
                      <w:highlight w:val="none"/>
                    </w:rPr>
                  </w:pPr>
                </w:p>
              </w:tc>
            </w:tr>
            <w:tr w14:paraId="0537F4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9" w:type="dxa"/>
                  <w:vMerge w:val="continue"/>
                  <w:tcBorders>
                    <w:tl2br w:val="nil"/>
                    <w:tr2bl w:val="nil"/>
                  </w:tcBorders>
                  <w:shd w:val="clear" w:color="auto" w:fill="auto"/>
                  <w:tcMar>
                    <w:top w:w="0" w:type="dxa"/>
                    <w:left w:w="0" w:type="dxa"/>
                    <w:bottom w:w="0" w:type="dxa"/>
                    <w:right w:w="0" w:type="dxa"/>
                  </w:tcMar>
                  <w:vAlign w:val="center"/>
                </w:tcPr>
                <w:p w14:paraId="4FE6FD7D">
                  <w:pPr>
                    <w:adjustRightInd w:val="0"/>
                    <w:jc w:val="center"/>
                    <w:rPr>
                      <w:rFonts w:hint="default" w:ascii="Times New Roman" w:hAnsi="Times New Roman" w:eastAsia="宋体" w:cs="Times New Roman"/>
                      <w:sz w:val="22"/>
                      <w:szCs w:val="22"/>
                      <w:highlight w:val="none"/>
                    </w:rPr>
                  </w:pPr>
                </w:p>
              </w:tc>
              <w:tc>
                <w:tcPr>
                  <w:tcW w:w="891" w:type="dxa"/>
                  <w:vMerge w:val="continue"/>
                  <w:tcBorders>
                    <w:tl2br w:val="nil"/>
                    <w:tr2bl w:val="nil"/>
                  </w:tcBorders>
                  <w:shd w:val="clear" w:color="auto" w:fill="auto"/>
                  <w:tcMar>
                    <w:top w:w="0" w:type="dxa"/>
                    <w:left w:w="0" w:type="dxa"/>
                    <w:bottom w:w="0" w:type="dxa"/>
                    <w:right w:w="0" w:type="dxa"/>
                  </w:tcMar>
                  <w:vAlign w:val="center"/>
                </w:tcPr>
                <w:p w14:paraId="21554B80">
                  <w:pPr>
                    <w:adjustRightInd w:val="0"/>
                    <w:jc w:val="center"/>
                    <w:rPr>
                      <w:rFonts w:hint="default" w:ascii="Times New Roman" w:hAnsi="Times New Roman" w:eastAsia="宋体" w:cs="Times New Roman"/>
                      <w:sz w:val="22"/>
                      <w:szCs w:val="22"/>
                      <w:highlight w:val="none"/>
                    </w:rPr>
                  </w:pPr>
                </w:p>
              </w:tc>
              <w:tc>
                <w:tcPr>
                  <w:tcW w:w="1253" w:type="dxa"/>
                  <w:tcBorders>
                    <w:tl2br w:val="nil"/>
                    <w:tr2bl w:val="nil"/>
                  </w:tcBorders>
                  <w:shd w:val="clear" w:color="auto" w:fill="auto"/>
                  <w:tcMar>
                    <w:top w:w="0" w:type="dxa"/>
                    <w:left w:w="0" w:type="dxa"/>
                    <w:bottom w:w="0" w:type="dxa"/>
                    <w:right w:w="0" w:type="dxa"/>
                  </w:tcMar>
                  <w:vAlign w:val="center"/>
                </w:tcPr>
                <w:p w14:paraId="6E33922D">
                  <w:pPr>
                    <w:adjustRightInd w:val="0"/>
                    <w:jc w:val="center"/>
                    <w:rPr>
                      <w:rFonts w:hint="default" w:ascii="Times New Roman" w:hAnsi="Times New Roman" w:eastAsia="宋体" w:cs="Times New Roman"/>
                      <w:bCs/>
                      <w:sz w:val="22"/>
                      <w:szCs w:val="22"/>
                      <w:highlight w:val="none"/>
                    </w:rPr>
                  </w:pPr>
                  <w:r>
                    <w:rPr>
                      <w:rFonts w:hint="default" w:ascii="Times New Roman" w:hAnsi="Times New Roman" w:eastAsia="宋体" w:cs="Times New Roman"/>
                      <w:color w:val="auto"/>
                      <w:sz w:val="21"/>
                      <w:szCs w:val="21"/>
                      <w:highlight w:val="none"/>
                      <w:lang w:val="en-US" w:eastAsia="zh-CN"/>
                    </w:rPr>
                    <w:t>镍及其化合物</w:t>
                  </w:r>
                </w:p>
              </w:tc>
              <w:tc>
                <w:tcPr>
                  <w:tcW w:w="1033" w:type="dxa"/>
                  <w:tcBorders>
                    <w:tl2br w:val="nil"/>
                    <w:tr2bl w:val="nil"/>
                  </w:tcBorders>
                  <w:shd w:val="clear" w:color="auto" w:fill="auto"/>
                  <w:tcMar>
                    <w:top w:w="0" w:type="dxa"/>
                    <w:left w:w="0" w:type="dxa"/>
                    <w:bottom w:w="0" w:type="dxa"/>
                    <w:right w:w="0" w:type="dxa"/>
                  </w:tcMar>
                  <w:vAlign w:val="center"/>
                </w:tcPr>
                <w:p w14:paraId="0221C4F3">
                  <w:pPr>
                    <w:adjustRightInd w:val="0"/>
                    <w:jc w:val="center"/>
                    <w:rPr>
                      <w:rFonts w:hint="default" w:ascii="Times New Roman" w:hAnsi="Times New Roman" w:eastAsia="宋体" w:cs="Times New Roman"/>
                      <w:kern w:val="2"/>
                      <w:sz w:val="22"/>
                      <w:szCs w:val="22"/>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0.4725</w:t>
                  </w:r>
                </w:p>
              </w:tc>
              <w:tc>
                <w:tcPr>
                  <w:tcW w:w="961" w:type="dxa"/>
                  <w:tcBorders>
                    <w:tl2br w:val="nil"/>
                    <w:tr2bl w:val="nil"/>
                  </w:tcBorders>
                  <w:shd w:val="clear" w:color="auto" w:fill="auto"/>
                  <w:tcMar>
                    <w:top w:w="0" w:type="dxa"/>
                    <w:left w:w="0" w:type="dxa"/>
                    <w:bottom w:w="0" w:type="dxa"/>
                    <w:right w:w="0" w:type="dxa"/>
                  </w:tcMar>
                  <w:vAlign w:val="center"/>
                </w:tcPr>
                <w:p w14:paraId="67E5A71A">
                  <w:pPr>
                    <w:adjustRightInd w:val="0"/>
                    <w:jc w:val="center"/>
                    <w:rPr>
                      <w:rFonts w:hint="default" w:ascii="Times New Roman" w:hAnsi="Times New Roman" w:eastAsia="宋体" w:cs="Times New Roman"/>
                      <w:kern w:val="2"/>
                      <w:sz w:val="22"/>
                      <w:szCs w:val="22"/>
                      <w:highlight w:val="none"/>
                      <w:lang w:val="en-US" w:eastAsia="zh-CN" w:bidi="ar-SA"/>
                    </w:rPr>
                  </w:pPr>
                  <w:r>
                    <w:rPr>
                      <w:rFonts w:hint="default" w:ascii="Times New Roman" w:hAnsi="Times New Roman" w:eastAsia="宋体" w:cs="Times New Roman"/>
                      <w:sz w:val="21"/>
                      <w:szCs w:val="21"/>
                      <w:highlight w:val="none"/>
                      <w:lang w:val="en-US" w:eastAsia="zh-CN"/>
                    </w:rPr>
                    <w:t>0.000945</w:t>
                  </w:r>
                </w:p>
              </w:tc>
              <w:tc>
                <w:tcPr>
                  <w:tcW w:w="803" w:type="dxa"/>
                  <w:tcBorders>
                    <w:tl2br w:val="nil"/>
                    <w:tr2bl w:val="nil"/>
                  </w:tcBorders>
                  <w:shd w:val="clear" w:color="auto" w:fill="auto"/>
                  <w:tcMar>
                    <w:top w:w="0" w:type="dxa"/>
                    <w:left w:w="0" w:type="dxa"/>
                    <w:bottom w:w="0" w:type="dxa"/>
                    <w:right w:w="0" w:type="dxa"/>
                  </w:tcMar>
                  <w:vAlign w:val="center"/>
                </w:tcPr>
                <w:p w14:paraId="23C0F988">
                  <w:pPr>
                    <w:adjustRightInd w:val="0"/>
                    <w:jc w:val="center"/>
                    <w:rPr>
                      <w:rFonts w:hint="default" w:ascii="Times New Roman" w:hAnsi="Times New Roman" w:eastAsia="宋体" w:cs="Times New Roman"/>
                      <w:sz w:val="22"/>
                      <w:szCs w:val="22"/>
                      <w:highlight w:val="none"/>
                    </w:rPr>
                  </w:pPr>
                  <w:r>
                    <w:rPr>
                      <w:rFonts w:hint="default" w:ascii="Times New Roman" w:hAnsi="Times New Roman" w:eastAsia="宋体" w:cs="Times New Roman"/>
                      <w:sz w:val="22"/>
                      <w:szCs w:val="22"/>
                      <w:highlight w:val="none"/>
                    </w:rPr>
                    <w:t>1</w:t>
                  </w:r>
                </w:p>
              </w:tc>
              <w:tc>
                <w:tcPr>
                  <w:tcW w:w="768" w:type="dxa"/>
                  <w:tcBorders>
                    <w:tl2br w:val="nil"/>
                    <w:tr2bl w:val="nil"/>
                  </w:tcBorders>
                  <w:shd w:val="clear" w:color="auto" w:fill="auto"/>
                  <w:tcMar>
                    <w:top w:w="0" w:type="dxa"/>
                    <w:left w:w="0" w:type="dxa"/>
                    <w:bottom w:w="0" w:type="dxa"/>
                    <w:right w:w="0" w:type="dxa"/>
                  </w:tcMar>
                  <w:vAlign w:val="center"/>
                </w:tcPr>
                <w:p w14:paraId="6EFCC617">
                  <w:pPr>
                    <w:adjustRightInd w:val="0"/>
                    <w:jc w:val="center"/>
                    <w:rPr>
                      <w:rFonts w:hint="default" w:ascii="Times New Roman" w:hAnsi="Times New Roman" w:eastAsia="宋体" w:cs="Times New Roman"/>
                      <w:sz w:val="22"/>
                      <w:szCs w:val="22"/>
                      <w:highlight w:val="none"/>
                    </w:rPr>
                  </w:pPr>
                  <w:r>
                    <w:rPr>
                      <w:rFonts w:hint="default" w:ascii="Times New Roman" w:hAnsi="Times New Roman" w:eastAsia="宋体" w:cs="Times New Roman"/>
                      <w:sz w:val="22"/>
                      <w:szCs w:val="22"/>
                      <w:highlight w:val="none"/>
                    </w:rPr>
                    <w:t>1</w:t>
                  </w:r>
                </w:p>
              </w:tc>
              <w:tc>
                <w:tcPr>
                  <w:tcW w:w="833" w:type="dxa"/>
                  <w:tcBorders>
                    <w:tl2br w:val="nil"/>
                    <w:tr2bl w:val="nil"/>
                  </w:tcBorders>
                  <w:shd w:val="clear" w:color="auto" w:fill="auto"/>
                  <w:tcMar>
                    <w:top w:w="0" w:type="dxa"/>
                    <w:left w:w="0" w:type="dxa"/>
                    <w:bottom w:w="0" w:type="dxa"/>
                    <w:right w:w="0" w:type="dxa"/>
                  </w:tcMar>
                  <w:vAlign w:val="center"/>
                </w:tcPr>
                <w:p w14:paraId="08EB159F">
                  <w:pPr>
                    <w:adjustRightInd w:val="0"/>
                    <w:jc w:val="center"/>
                    <w:rPr>
                      <w:rFonts w:hint="default" w:ascii="Times New Roman" w:hAnsi="Times New Roman" w:eastAsia="宋体" w:cs="Times New Roman"/>
                      <w:sz w:val="22"/>
                      <w:szCs w:val="22"/>
                      <w:highlight w:val="none"/>
                      <w:lang w:val="en-US"/>
                    </w:rPr>
                  </w:pPr>
                  <w:r>
                    <w:rPr>
                      <w:rFonts w:hint="default" w:ascii="Times New Roman" w:hAnsi="Times New Roman" w:eastAsia="宋体" w:cs="Times New Roman"/>
                      <w:sz w:val="21"/>
                      <w:szCs w:val="21"/>
                      <w:highlight w:val="none"/>
                      <w:lang w:val="en-US" w:eastAsia="zh-CN"/>
                    </w:rPr>
                    <w:t>0.000945</w:t>
                  </w:r>
                </w:p>
              </w:tc>
              <w:tc>
                <w:tcPr>
                  <w:tcW w:w="658" w:type="dxa"/>
                  <w:vMerge w:val="continue"/>
                  <w:tcBorders>
                    <w:tl2br w:val="nil"/>
                    <w:tr2bl w:val="nil"/>
                  </w:tcBorders>
                  <w:shd w:val="clear" w:color="auto" w:fill="auto"/>
                  <w:tcMar>
                    <w:top w:w="0" w:type="dxa"/>
                    <w:left w:w="0" w:type="dxa"/>
                    <w:bottom w:w="0" w:type="dxa"/>
                    <w:right w:w="0" w:type="dxa"/>
                  </w:tcMar>
                  <w:vAlign w:val="center"/>
                </w:tcPr>
                <w:p w14:paraId="374953BE">
                  <w:pPr>
                    <w:adjustRightInd w:val="0"/>
                    <w:jc w:val="center"/>
                    <w:rPr>
                      <w:rFonts w:hint="default" w:ascii="Times New Roman" w:hAnsi="Times New Roman" w:eastAsia="宋体" w:cs="Times New Roman"/>
                      <w:bCs/>
                      <w:sz w:val="22"/>
                      <w:szCs w:val="22"/>
                      <w:highlight w:val="none"/>
                    </w:rPr>
                  </w:pPr>
                </w:p>
              </w:tc>
            </w:tr>
            <w:tr w14:paraId="42E54A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9" w:type="dxa"/>
                  <w:vMerge w:val="continue"/>
                  <w:tcBorders>
                    <w:tl2br w:val="nil"/>
                    <w:tr2bl w:val="nil"/>
                  </w:tcBorders>
                  <w:shd w:val="clear" w:color="auto" w:fill="auto"/>
                  <w:tcMar>
                    <w:top w:w="0" w:type="dxa"/>
                    <w:left w:w="0" w:type="dxa"/>
                    <w:bottom w:w="0" w:type="dxa"/>
                    <w:right w:w="0" w:type="dxa"/>
                  </w:tcMar>
                  <w:vAlign w:val="center"/>
                </w:tcPr>
                <w:p w14:paraId="65AC6745">
                  <w:pPr>
                    <w:adjustRightInd w:val="0"/>
                    <w:jc w:val="center"/>
                    <w:rPr>
                      <w:rFonts w:hint="default" w:ascii="Times New Roman" w:hAnsi="Times New Roman" w:eastAsia="宋体" w:cs="Times New Roman"/>
                      <w:sz w:val="22"/>
                      <w:szCs w:val="22"/>
                      <w:highlight w:val="none"/>
                    </w:rPr>
                  </w:pPr>
                </w:p>
              </w:tc>
              <w:tc>
                <w:tcPr>
                  <w:tcW w:w="891" w:type="dxa"/>
                  <w:vMerge w:val="continue"/>
                  <w:tcBorders>
                    <w:tl2br w:val="nil"/>
                    <w:tr2bl w:val="nil"/>
                  </w:tcBorders>
                  <w:shd w:val="clear" w:color="auto" w:fill="auto"/>
                  <w:tcMar>
                    <w:top w:w="0" w:type="dxa"/>
                    <w:left w:w="0" w:type="dxa"/>
                    <w:bottom w:w="0" w:type="dxa"/>
                    <w:right w:w="0" w:type="dxa"/>
                  </w:tcMar>
                  <w:vAlign w:val="center"/>
                </w:tcPr>
                <w:p w14:paraId="2E875C5E">
                  <w:pPr>
                    <w:adjustRightInd w:val="0"/>
                    <w:jc w:val="center"/>
                    <w:rPr>
                      <w:rFonts w:hint="default" w:ascii="Times New Roman" w:hAnsi="Times New Roman" w:eastAsia="宋体" w:cs="Times New Roman"/>
                      <w:sz w:val="22"/>
                      <w:szCs w:val="22"/>
                      <w:highlight w:val="none"/>
                    </w:rPr>
                  </w:pPr>
                </w:p>
              </w:tc>
              <w:tc>
                <w:tcPr>
                  <w:tcW w:w="1253" w:type="dxa"/>
                  <w:tcBorders>
                    <w:tl2br w:val="nil"/>
                    <w:tr2bl w:val="nil"/>
                  </w:tcBorders>
                  <w:shd w:val="clear" w:color="auto" w:fill="auto"/>
                  <w:tcMar>
                    <w:top w:w="0" w:type="dxa"/>
                    <w:left w:w="0" w:type="dxa"/>
                    <w:bottom w:w="0" w:type="dxa"/>
                    <w:right w:w="0" w:type="dxa"/>
                  </w:tcMar>
                  <w:vAlign w:val="center"/>
                </w:tcPr>
                <w:p w14:paraId="2B6DD422">
                  <w:pPr>
                    <w:adjustRightIn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氯化氢</w:t>
                  </w:r>
                </w:p>
              </w:tc>
              <w:tc>
                <w:tcPr>
                  <w:tcW w:w="1033" w:type="dxa"/>
                  <w:tcBorders>
                    <w:tl2br w:val="nil"/>
                    <w:tr2bl w:val="nil"/>
                  </w:tcBorders>
                  <w:shd w:val="clear" w:color="auto" w:fill="auto"/>
                  <w:tcMar>
                    <w:top w:w="0" w:type="dxa"/>
                    <w:left w:w="0" w:type="dxa"/>
                    <w:bottom w:w="0" w:type="dxa"/>
                    <w:right w:w="0" w:type="dxa"/>
                  </w:tcMar>
                  <w:vAlign w:val="center"/>
                </w:tcPr>
                <w:p w14:paraId="0A5934D0">
                  <w:pPr>
                    <w:adjustRightIn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0.085</w:t>
                  </w:r>
                </w:p>
              </w:tc>
              <w:tc>
                <w:tcPr>
                  <w:tcW w:w="961" w:type="dxa"/>
                  <w:tcBorders>
                    <w:tl2br w:val="nil"/>
                    <w:tr2bl w:val="nil"/>
                  </w:tcBorders>
                  <w:shd w:val="clear" w:color="auto" w:fill="auto"/>
                  <w:tcMar>
                    <w:top w:w="0" w:type="dxa"/>
                    <w:left w:w="0" w:type="dxa"/>
                    <w:bottom w:w="0" w:type="dxa"/>
                    <w:right w:w="0" w:type="dxa"/>
                  </w:tcMar>
                  <w:vAlign w:val="center"/>
                </w:tcPr>
                <w:p w14:paraId="585E57FF">
                  <w:pPr>
                    <w:adjustRightIn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0.00017</w:t>
                  </w:r>
                </w:p>
              </w:tc>
              <w:tc>
                <w:tcPr>
                  <w:tcW w:w="803" w:type="dxa"/>
                  <w:tcBorders>
                    <w:tl2br w:val="nil"/>
                    <w:tr2bl w:val="nil"/>
                  </w:tcBorders>
                  <w:shd w:val="clear" w:color="auto" w:fill="auto"/>
                  <w:tcMar>
                    <w:top w:w="0" w:type="dxa"/>
                    <w:left w:w="0" w:type="dxa"/>
                    <w:bottom w:w="0" w:type="dxa"/>
                    <w:right w:w="0" w:type="dxa"/>
                  </w:tcMar>
                  <w:vAlign w:val="center"/>
                </w:tcPr>
                <w:p w14:paraId="69C14FCD">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rPr>
                    <w:t>1</w:t>
                  </w:r>
                </w:p>
              </w:tc>
              <w:tc>
                <w:tcPr>
                  <w:tcW w:w="768" w:type="dxa"/>
                  <w:tcBorders>
                    <w:tl2br w:val="nil"/>
                    <w:tr2bl w:val="nil"/>
                  </w:tcBorders>
                  <w:shd w:val="clear" w:color="auto" w:fill="auto"/>
                  <w:tcMar>
                    <w:top w:w="0" w:type="dxa"/>
                    <w:left w:w="0" w:type="dxa"/>
                    <w:bottom w:w="0" w:type="dxa"/>
                    <w:right w:w="0" w:type="dxa"/>
                  </w:tcMar>
                  <w:vAlign w:val="center"/>
                </w:tcPr>
                <w:p w14:paraId="445E3897">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rPr>
                    <w:t>1</w:t>
                  </w:r>
                </w:p>
              </w:tc>
              <w:tc>
                <w:tcPr>
                  <w:tcW w:w="833" w:type="dxa"/>
                  <w:tcBorders>
                    <w:tl2br w:val="nil"/>
                    <w:tr2bl w:val="nil"/>
                  </w:tcBorders>
                  <w:shd w:val="clear" w:color="auto" w:fill="auto"/>
                  <w:tcMar>
                    <w:top w:w="0" w:type="dxa"/>
                    <w:left w:w="0" w:type="dxa"/>
                    <w:bottom w:w="0" w:type="dxa"/>
                    <w:right w:w="0" w:type="dxa"/>
                  </w:tcMar>
                  <w:vAlign w:val="center"/>
                </w:tcPr>
                <w:p w14:paraId="7C165C16">
                  <w:pPr>
                    <w:adjustRightInd w:val="0"/>
                    <w:jc w:val="center"/>
                    <w:rPr>
                      <w:rFonts w:hint="default" w:ascii="Times New Roman" w:hAnsi="Times New Roman" w:eastAsia="宋体" w:cs="Times New Roman"/>
                      <w:i w:val="0"/>
                      <w:iCs w:val="0"/>
                      <w:color w:val="000000"/>
                      <w:kern w:val="0"/>
                      <w:sz w:val="22"/>
                      <w:szCs w:val="22"/>
                      <w:highlight w:val="none"/>
                      <w:u w:val="none"/>
                      <w:lang w:val="en-US" w:eastAsia="zh-CN" w:bidi="ar"/>
                    </w:rPr>
                  </w:pPr>
                  <w:r>
                    <w:rPr>
                      <w:rFonts w:hint="default" w:ascii="Times New Roman" w:hAnsi="Times New Roman" w:eastAsia="宋体" w:cs="Times New Roman"/>
                      <w:sz w:val="21"/>
                      <w:szCs w:val="21"/>
                      <w:highlight w:val="none"/>
                      <w:lang w:val="en-US" w:eastAsia="zh-CN"/>
                    </w:rPr>
                    <w:t>0.00017</w:t>
                  </w:r>
                </w:p>
              </w:tc>
              <w:tc>
                <w:tcPr>
                  <w:tcW w:w="658" w:type="dxa"/>
                  <w:vMerge w:val="continue"/>
                  <w:tcBorders>
                    <w:tl2br w:val="nil"/>
                    <w:tr2bl w:val="nil"/>
                  </w:tcBorders>
                  <w:shd w:val="clear" w:color="auto" w:fill="auto"/>
                  <w:tcMar>
                    <w:top w:w="0" w:type="dxa"/>
                    <w:left w:w="0" w:type="dxa"/>
                    <w:bottom w:w="0" w:type="dxa"/>
                    <w:right w:w="0" w:type="dxa"/>
                  </w:tcMar>
                  <w:vAlign w:val="center"/>
                </w:tcPr>
                <w:p w14:paraId="5FB34C35">
                  <w:pPr>
                    <w:adjustRightInd w:val="0"/>
                    <w:jc w:val="center"/>
                    <w:rPr>
                      <w:rFonts w:hint="default" w:ascii="Times New Roman" w:hAnsi="Times New Roman" w:eastAsia="宋体" w:cs="Times New Roman"/>
                      <w:bCs/>
                      <w:sz w:val="22"/>
                      <w:szCs w:val="22"/>
                      <w:highlight w:val="none"/>
                    </w:rPr>
                  </w:pPr>
                </w:p>
              </w:tc>
            </w:tr>
            <w:tr w14:paraId="2C3E5D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9" w:type="dxa"/>
                  <w:vMerge w:val="continue"/>
                  <w:tcBorders>
                    <w:tl2br w:val="nil"/>
                    <w:tr2bl w:val="nil"/>
                  </w:tcBorders>
                  <w:shd w:val="clear" w:color="auto" w:fill="auto"/>
                  <w:tcMar>
                    <w:top w:w="0" w:type="dxa"/>
                    <w:left w:w="0" w:type="dxa"/>
                    <w:bottom w:w="0" w:type="dxa"/>
                    <w:right w:w="0" w:type="dxa"/>
                  </w:tcMar>
                  <w:vAlign w:val="center"/>
                </w:tcPr>
                <w:p w14:paraId="16E25E15">
                  <w:pPr>
                    <w:adjustRightInd w:val="0"/>
                    <w:jc w:val="center"/>
                    <w:rPr>
                      <w:rFonts w:hint="default" w:ascii="Times New Roman" w:hAnsi="Times New Roman" w:eastAsia="宋体" w:cs="Times New Roman"/>
                      <w:sz w:val="22"/>
                      <w:szCs w:val="22"/>
                      <w:highlight w:val="none"/>
                    </w:rPr>
                  </w:pPr>
                </w:p>
              </w:tc>
              <w:tc>
                <w:tcPr>
                  <w:tcW w:w="891" w:type="dxa"/>
                  <w:vMerge w:val="continue"/>
                  <w:tcBorders>
                    <w:tl2br w:val="nil"/>
                    <w:tr2bl w:val="nil"/>
                  </w:tcBorders>
                  <w:shd w:val="clear" w:color="auto" w:fill="auto"/>
                  <w:tcMar>
                    <w:top w:w="0" w:type="dxa"/>
                    <w:left w:w="0" w:type="dxa"/>
                    <w:bottom w:w="0" w:type="dxa"/>
                    <w:right w:w="0" w:type="dxa"/>
                  </w:tcMar>
                  <w:vAlign w:val="center"/>
                </w:tcPr>
                <w:p w14:paraId="044C5848">
                  <w:pPr>
                    <w:adjustRightInd w:val="0"/>
                    <w:jc w:val="center"/>
                    <w:rPr>
                      <w:rFonts w:hint="default" w:ascii="Times New Roman" w:hAnsi="Times New Roman" w:eastAsia="宋体" w:cs="Times New Roman"/>
                      <w:sz w:val="22"/>
                      <w:szCs w:val="22"/>
                      <w:highlight w:val="none"/>
                    </w:rPr>
                  </w:pPr>
                </w:p>
              </w:tc>
              <w:tc>
                <w:tcPr>
                  <w:tcW w:w="1253" w:type="dxa"/>
                  <w:tcBorders>
                    <w:tl2br w:val="nil"/>
                    <w:tr2bl w:val="nil"/>
                  </w:tcBorders>
                  <w:shd w:val="clear" w:color="auto" w:fill="auto"/>
                  <w:tcMar>
                    <w:top w:w="0" w:type="dxa"/>
                    <w:left w:w="0" w:type="dxa"/>
                    <w:bottom w:w="0" w:type="dxa"/>
                    <w:right w:w="0" w:type="dxa"/>
                  </w:tcMar>
                  <w:vAlign w:val="center"/>
                </w:tcPr>
                <w:p w14:paraId="15F5F190">
                  <w:pPr>
                    <w:adjustRightIn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氮氧化物</w:t>
                  </w:r>
                </w:p>
              </w:tc>
              <w:tc>
                <w:tcPr>
                  <w:tcW w:w="1033" w:type="dxa"/>
                  <w:tcBorders>
                    <w:tl2br w:val="nil"/>
                    <w:tr2bl w:val="nil"/>
                  </w:tcBorders>
                  <w:shd w:val="clear" w:color="auto" w:fill="auto"/>
                  <w:tcMar>
                    <w:top w:w="0" w:type="dxa"/>
                    <w:left w:w="0" w:type="dxa"/>
                    <w:bottom w:w="0" w:type="dxa"/>
                    <w:right w:w="0" w:type="dxa"/>
                  </w:tcMar>
                  <w:vAlign w:val="center"/>
                </w:tcPr>
                <w:p w14:paraId="53539F61">
                  <w:pPr>
                    <w:adjustRightIn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0.095</w:t>
                  </w:r>
                </w:p>
              </w:tc>
              <w:tc>
                <w:tcPr>
                  <w:tcW w:w="961" w:type="dxa"/>
                  <w:tcBorders>
                    <w:tl2br w:val="nil"/>
                    <w:tr2bl w:val="nil"/>
                  </w:tcBorders>
                  <w:shd w:val="clear" w:color="auto" w:fill="auto"/>
                  <w:tcMar>
                    <w:top w:w="0" w:type="dxa"/>
                    <w:left w:w="0" w:type="dxa"/>
                    <w:bottom w:w="0" w:type="dxa"/>
                    <w:right w:w="0" w:type="dxa"/>
                  </w:tcMar>
                  <w:vAlign w:val="center"/>
                </w:tcPr>
                <w:p w14:paraId="627D8D08">
                  <w:pPr>
                    <w:adjustRightInd w:val="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0.00019</w:t>
                  </w:r>
                </w:p>
              </w:tc>
              <w:tc>
                <w:tcPr>
                  <w:tcW w:w="803" w:type="dxa"/>
                  <w:tcBorders>
                    <w:tl2br w:val="nil"/>
                    <w:tr2bl w:val="nil"/>
                  </w:tcBorders>
                  <w:shd w:val="clear" w:color="auto" w:fill="auto"/>
                  <w:tcMar>
                    <w:top w:w="0" w:type="dxa"/>
                    <w:left w:w="0" w:type="dxa"/>
                    <w:bottom w:w="0" w:type="dxa"/>
                    <w:right w:w="0" w:type="dxa"/>
                  </w:tcMar>
                  <w:vAlign w:val="center"/>
                </w:tcPr>
                <w:p w14:paraId="69F86F15">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rPr>
                    <w:t>1</w:t>
                  </w:r>
                </w:p>
              </w:tc>
              <w:tc>
                <w:tcPr>
                  <w:tcW w:w="768" w:type="dxa"/>
                  <w:tcBorders>
                    <w:tl2br w:val="nil"/>
                    <w:tr2bl w:val="nil"/>
                  </w:tcBorders>
                  <w:shd w:val="clear" w:color="auto" w:fill="auto"/>
                  <w:tcMar>
                    <w:top w:w="0" w:type="dxa"/>
                    <w:left w:w="0" w:type="dxa"/>
                    <w:bottom w:w="0" w:type="dxa"/>
                    <w:right w:w="0" w:type="dxa"/>
                  </w:tcMar>
                  <w:vAlign w:val="center"/>
                </w:tcPr>
                <w:p w14:paraId="7CFBAE42">
                  <w:pPr>
                    <w:adjustRightInd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rPr>
                    <w:t>1</w:t>
                  </w:r>
                </w:p>
              </w:tc>
              <w:tc>
                <w:tcPr>
                  <w:tcW w:w="833" w:type="dxa"/>
                  <w:tcBorders>
                    <w:tl2br w:val="nil"/>
                    <w:tr2bl w:val="nil"/>
                  </w:tcBorders>
                  <w:shd w:val="clear" w:color="auto" w:fill="auto"/>
                  <w:tcMar>
                    <w:top w:w="0" w:type="dxa"/>
                    <w:left w:w="0" w:type="dxa"/>
                    <w:bottom w:w="0" w:type="dxa"/>
                    <w:right w:w="0" w:type="dxa"/>
                  </w:tcMar>
                  <w:vAlign w:val="center"/>
                </w:tcPr>
                <w:p w14:paraId="4FEA6D85">
                  <w:pPr>
                    <w:adjustRightInd w:val="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0.00019</w:t>
                  </w:r>
                </w:p>
              </w:tc>
              <w:tc>
                <w:tcPr>
                  <w:tcW w:w="658" w:type="dxa"/>
                  <w:vMerge w:val="continue"/>
                  <w:tcBorders>
                    <w:tl2br w:val="nil"/>
                    <w:tr2bl w:val="nil"/>
                  </w:tcBorders>
                  <w:shd w:val="clear" w:color="auto" w:fill="auto"/>
                  <w:tcMar>
                    <w:top w:w="0" w:type="dxa"/>
                    <w:left w:w="0" w:type="dxa"/>
                    <w:bottom w:w="0" w:type="dxa"/>
                    <w:right w:w="0" w:type="dxa"/>
                  </w:tcMar>
                  <w:vAlign w:val="center"/>
                </w:tcPr>
                <w:p w14:paraId="500EFFED">
                  <w:pPr>
                    <w:adjustRightInd w:val="0"/>
                    <w:jc w:val="center"/>
                    <w:rPr>
                      <w:rFonts w:hint="default" w:ascii="Times New Roman" w:hAnsi="Times New Roman" w:eastAsia="宋体" w:cs="Times New Roman"/>
                      <w:bCs/>
                      <w:sz w:val="22"/>
                      <w:szCs w:val="22"/>
                      <w:highlight w:val="none"/>
                    </w:rPr>
                  </w:pPr>
                </w:p>
              </w:tc>
            </w:tr>
            <w:tr w14:paraId="7C681F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9" w:type="dxa"/>
                  <w:vMerge w:val="continue"/>
                  <w:tcBorders>
                    <w:tl2br w:val="nil"/>
                    <w:tr2bl w:val="nil"/>
                  </w:tcBorders>
                  <w:shd w:val="clear" w:color="auto" w:fill="auto"/>
                  <w:tcMar>
                    <w:top w:w="0" w:type="dxa"/>
                    <w:left w:w="0" w:type="dxa"/>
                    <w:bottom w:w="0" w:type="dxa"/>
                    <w:right w:w="0" w:type="dxa"/>
                  </w:tcMar>
                  <w:vAlign w:val="center"/>
                </w:tcPr>
                <w:p w14:paraId="00A27A10">
                  <w:pPr>
                    <w:adjustRightInd w:val="0"/>
                    <w:jc w:val="center"/>
                    <w:rPr>
                      <w:rFonts w:hint="default" w:ascii="Times New Roman" w:hAnsi="Times New Roman" w:eastAsia="宋体" w:cs="Times New Roman"/>
                      <w:sz w:val="22"/>
                      <w:szCs w:val="22"/>
                      <w:highlight w:val="none"/>
                    </w:rPr>
                  </w:pPr>
                </w:p>
              </w:tc>
              <w:tc>
                <w:tcPr>
                  <w:tcW w:w="891" w:type="dxa"/>
                  <w:vMerge w:val="continue"/>
                  <w:tcBorders>
                    <w:tl2br w:val="nil"/>
                    <w:tr2bl w:val="nil"/>
                  </w:tcBorders>
                  <w:shd w:val="clear" w:color="auto" w:fill="auto"/>
                  <w:tcMar>
                    <w:top w:w="0" w:type="dxa"/>
                    <w:left w:w="0" w:type="dxa"/>
                    <w:bottom w:w="0" w:type="dxa"/>
                    <w:right w:w="0" w:type="dxa"/>
                  </w:tcMar>
                  <w:vAlign w:val="center"/>
                </w:tcPr>
                <w:p w14:paraId="6865360F">
                  <w:pPr>
                    <w:adjustRightInd w:val="0"/>
                    <w:jc w:val="center"/>
                    <w:rPr>
                      <w:rFonts w:hint="default" w:ascii="Times New Roman" w:hAnsi="Times New Roman" w:eastAsia="宋体" w:cs="Times New Roman"/>
                      <w:sz w:val="22"/>
                      <w:szCs w:val="22"/>
                      <w:highlight w:val="none"/>
                    </w:rPr>
                  </w:pPr>
                </w:p>
              </w:tc>
              <w:tc>
                <w:tcPr>
                  <w:tcW w:w="1253" w:type="dxa"/>
                  <w:tcBorders>
                    <w:tl2br w:val="nil"/>
                    <w:tr2bl w:val="nil"/>
                  </w:tcBorders>
                  <w:shd w:val="clear" w:color="auto" w:fill="auto"/>
                  <w:tcMar>
                    <w:top w:w="0" w:type="dxa"/>
                    <w:left w:w="0" w:type="dxa"/>
                    <w:bottom w:w="0" w:type="dxa"/>
                    <w:right w:w="0" w:type="dxa"/>
                  </w:tcMar>
                  <w:vAlign w:val="center"/>
                </w:tcPr>
                <w:p w14:paraId="057B112A">
                  <w:pPr>
                    <w:adjustRightIn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氨</w:t>
                  </w:r>
                </w:p>
              </w:tc>
              <w:tc>
                <w:tcPr>
                  <w:tcW w:w="1033" w:type="dxa"/>
                  <w:tcBorders>
                    <w:tl2br w:val="nil"/>
                    <w:tr2bl w:val="nil"/>
                  </w:tcBorders>
                  <w:shd w:val="clear" w:color="auto" w:fill="auto"/>
                  <w:tcMar>
                    <w:top w:w="0" w:type="dxa"/>
                    <w:left w:w="0" w:type="dxa"/>
                    <w:bottom w:w="0" w:type="dxa"/>
                    <w:right w:w="0" w:type="dxa"/>
                  </w:tcMar>
                  <w:vAlign w:val="center"/>
                </w:tcPr>
                <w:p w14:paraId="2698C650">
                  <w:pPr>
                    <w:adjustRightIn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0.6045</w:t>
                  </w:r>
                </w:p>
              </w:tc>
              <w:tc>
                <w:tcPr>
                  <w:tcW w:w="961" w:type="dxa"/>
                  <w:tcBorders>
                    <w:tl2br w:val="nil"/>
                    <w:tr2bl w:val="nil"/>
                  </w:tcBorders>
                  <w:shd w:val="clear" w:color="auto" w:fill="auto"/>
                  <w:tcMar>
                    <w:top w:w="0" w:type="dxa"/>
                    <w:left w:w="0" w:type="dxa"/>
                    <w:bottom w:w="0" w:type="dxa"/>
                    <w:right w:w="0" w:type="dxa"/>
                  </w:tcMar>
                  <w:vAlign w:val="center"/>
                </w:tcPr>
                <w:p w14:paraId="64DE91CF">
                  <w:pPr>
                    <w:adjustRightIn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0.001209</w:t>
                  </w:r>
                </w:p>
              </w:tc>
              <w:tc>
                <w:tcPr>
                  <w:tcW w:w="803" w:type="dxa"/>
                  <w:tcBorders>
                    <w:tl2br w:val="nil"/>
                    <w:tr2bl w:val="nil"/>
                  </w:tcBorders>
                  <w:shd w:val="clear" w:color="auto" w:fill="auto"/>
                  <w:tcMar>
                    <w:top w:w="0" w:type="dxa"/>
                    <w:left w:w="0" w:type="dxa"/>
                    <w:bottom w:w="0" w:type="dxa"/>
                    <w:right w:w="0" w:type="dxa"/>
                  </w:tcMar>
                  <w:vAlign w:val="center"/>
                </w:tcPr>
                <w:p w14:paraId="7A9E6235">
                  <w:pPr>
                    <w:adjustRightInd w:val="0"/>
                    <w:jc w:val="center"/>
                    <w:rPr>
                      <w:rFonts w:hint="default" w:ascii="Times New Roman" w:hAnsi="Times New Roman" w:eastAsia="宋体" w:cs="Times New Roman"/>
                      <w:kern w:val="2"/>
                      <w:sz w:val="22"/>
                      <w:szCs w:val="22"/>
                      <w:highlight w:val="none"/>
                      <w:lang w:val="en-US" w:eastAsia="zh-CN" w:bidi="ar-SA"/>
                    </w:rPr>
                  </w:pPr>
                  <w:r>
                    <w:rPr>
                      <w:rFonts w:hint="default" w:ascii="Times New Roman" w:hAnsi="Times New Roman" w:eastAsia="宋体" w:cs="Times New Roman"/>
                      <w:sz w:val="22"/>
                      <w:szCs w:val="22"/>
                      <w:highlight w:val="none"/>
                    </w:rPr>
                    <w:t>1</w:t>
                  </w:r>
                </w:p>
              </w:tc>
              <w:tc>
                <w:tcPr>
                  <w:tcW w:w="768" w:type="dxa"/>
                  <w:tcBorders>
                    <w:tl2br w:val="nil"/>
                    <w:tr2bl w:val="nil"/>
                  </w:tcBorders>
                  <w:shd w:val="clear" w:color="auto" w:fill="auto"/>
                  <w:tcMar>
                    <w:top w:w="0" w:type="dxa"/>
                    <w:left w:w="0" w:type="dxa"/>
                    <w:bottom w:w="0" w:type="dxa"/>
                    <w:right w:w="0" w:type="dxa"/>
                  </w:tcMar>
                  <w:vAlign w:val="center"/>
                </w:tcPr>
                <w:p w14:paraId="2B82F0F6">
                  <w:pPr>
                    <w:adjustRightInd w:val="0"/>
                    <w:jc w:val="center"/>
                    <w:rPr>
                      <w:rFonts w:hint="default" w:ascii="Times New Roman" w:hAnsi="Times New Roman" w:eastAsia="宋体" w:cs="Times New Roman"/>
                      <w:kern w:val="2"/>
                      <w:sz w:val="22"/>
                      <w:szCs w:val="22"/>
                      <w:highlight w:val="none"/>
                      <w:lang w:val="en-US" w:eastAsia="zh-CN" w:bidi="ar-SA"/>
                    </w:rPr>
                  </w:pPr>
                  <w:r>
                    <w:rPr>
                      <w:rFonts w:hint="default" w:ascii="Times New Roman" w:hAnsi="Times New Roman" w:eastAsia="宋体" w:cs="Times New Roman"/>
                      <w:sz w:val="22"/>
                      <w:szCs w:val="22"/>
                      <w:highlight w:val="none"/>
                    </w:rPr>
                    <w:t>1</w:t>
                  </w:r>
                </w:p>
              </w:tc>
              <w:tc>
                <w:tcPr>
                  <w:tcW w:w="833" w:type="dxa"/>
                  <w:tcBorders>
                    <w:tl2br w:val="nil"/>
                    <w:tr2bl w:val="nil"/>
                  </w:tcBorders>
                  <w:shd w:val="clear" w:color="auto" w:fill="auto"/>
                  <w:tcMar>
                    <w:top w:w="0" w:type="dxa"/>
                    <w:left w:w="0" w:type="dxa"/>
                    <w:bottom w:w="0" w:type="dxa"/>
                    <w:right w:w="0" w:type="dxa"/>
                  </w:tcMar>
                  <w:vAlign w:val="center"/>
                </w:tcPr>
                <w:p w14:paraId="31675711">
                  <w:pPr>
                    <w:adjustRightIn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0.001209</w:t>
                  </w:r>
                </w:p>
              </w:tc>
              <w:tc>
                <w:tcPr>
                  <w:tcW w:w="658" w:type="dxa"/>
                  <w:vMerge w:val="continue"/>
                  <w:tcBorders>
                    <w:tl2br w:val="nil"/>
                    <w:tr2bl w:val="nil"/>
                  </w:tcBorders>
                  <w:shd w:val="clear" w:color="auto" w:fill="auto"/>
                  <w:tcMar>
                    <w:top w:w="0" w:type="dxa"/>
                    <w:left w:w="0" w:type="dxa"/>
                    <w:bottom w:w="0" w:type="dxa"/>
                    <w:right w:w="0" w:type="dxa"/>
                  </w:tcMar>
                  <w:vAlign w:val="center"/>
                </w:tcPr>
                <w:p w14:paraId="494E5EB0">
                  <w:pPr>
                    <w:adjustRightInd w:val="0"/>
                    <w:jc w:val="center"/>
                    <w:rPr>
                      <w:rFonts w:hint="default" w:ascii="Times New Roman" w:hAnsi="Times New Roman" w:eastAsia="宋体" w:cs="Times New Roman"/>
                      <w:bCs/>
                      <w:sz w:val="22"/>
                      <w:szCs w:val="22"/>
                      <w:highlight w:val="none"/>
                    </w:rPr>
                  </w:pPr>
                </w:p>
              </w:tc>
            </w:tr>
            <w:tr w14:paraId="62893D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9" w:type="dxa"/>
                  <w:vMerge w:val="continue"/>
                  <w:tcBorders>
                    <w:tl2br w:val="nil"/>
                    <w:tr2bl w:val="nil"/>
                  </w:tcBorders>
                  <w:shd w:val="clear" w:color="auto" w:fill="auto"/>
                  <w:tcMar>
                    <w:top w:w="0" w:type="dxa"/>
                    <w:left w:w="0" w:type="dxa"/>
                    <w:bottom w:w="0" w:type="dxa"/>
                    <w:right w:w="0" w:type="dxa"/>
                  </w:tcMar>
                  <w:vAlign w:val="center"/>
                </w:tcPr>
                <w:p w14:paraId="1FAD8B54">
                  <w:pPr>
                    <w:adjustRightInd w:val="0"/>
                    <w:jc w:val="center"/>
                    <w:rPr>
                      <w:rFonts w:hint="default" w:ascii="Times New Roman" w:hAnsi="Times New Roman" w:eastAsia="宋体" w:cs="Times New Roman"/>
                      <w:sz w:val="22"/>
                      <w:szCs w:val="22"/>
                      <w:highlight w:val="none"/>
                    </w:rPr>
                  </w:pPr>
                </w:p>
              </w:tc>
              <w:tc>
                <w:tcPr>
                  <w:tcW w:w="891" w:type="dxa"/>
                  <w:vMerge w:val="continue"/>
                  <w:tcBorders>
                    <w:tl2br w:val="nil"/>
                    <w:tr2bl w:val="nil"/>
                  </w:tcBorders>
                  <w:shd w:val="clear" w:color="auto" w:fill="auto"/>
                  <w:tcMar>
                    <w:top w:w="0" w:type="dxa"/>
                    <w:left w:w="0" w:type="dxa"/>
                    <w:bottom w:w="0" w:type="dxa"/>
                    <w:right w:w="0" w:type="dxa"/>
                  </w:tcMar>
                  <w:vAlign w:val="center"/>
                </w:tcPr>
                <w:p w14:paraId="4DAC0E0C">
                  <w:pPr>
                    <w:adjustRightInd w:val="0"/>
                    <w:jc w:val="center"/>
                    <w:rPr>
                      <w:rFonts w:hint="default" w:ascii="Times New Roman" w:hAnsi="Times New Roman" w:eastAsia="宋体" w:cs="Times New Roman"/>
                      <w:sz w:val="22"/>
                      <w:szCs w:val="22"/>
                      <w:highlight w:val="none"/>
                    </w:rPr>
                  </w:pPr>
                </w:p>
              </w:tc>
              <w:tc>
                <w:tcPr>
                  <w:tcW w:w="1253" w:type="dxa"/>
                  <w:tcBorders>
                    <w:tl2br w:val="nil"/>
                    <w:tr2bl w:val="nil"/>
                  </w:tcBorders>
                  <w:shd w:val="clear" w:color="auto" w:fill="auto"/>
                  <w:tcMar>
                    <w:top w:w="0" w:type="dxa"/>
                    <w:left w:w="0" w:type="dxa"/>
                    <w:bottom w:w="0" w:type="dxa"/>
                    <w:right w:w="0" w:type="dxa"/>
                  </w:tcMar>
                  <w:vAlign w:val="center"/>
                </w:tcPr>
                <w:p w14:paraId="520AA690">
                  <w:pPr>
                    <w:adjustRightIn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氟化物（以F计）</w:t>
                  </w:r>
                </w:p>
              </w:tc>
              <w:tc>
                <w:tcPr>
                  <w:tcW w:w="1033" w:type="dxa"/>
                  <w:tcBorders>
                    <w:tl2br w:val="nil"/>
                    <w:tr2bl w:val="nil"/>
                  </w:tcBorders>
                  <w:shd w:val="clear" w:color="auto" w:fill="auto"/>
                  <w:tcMar>
                    <w:top w:w="0" w:type="dxa"/>
                    <w:left w:w="0" w:type="dxa"/>
                    <w:bottom w:w="0" w:type="dxa"/>
                    <w:right w:w="0" w:type="dxa"/>
                  </w:tcMar>
                  <w:vAlign w:val="center"/>
                </w:tcPr>
                <w:p w14:paraId="4DA8F3C3">
                  <w:pPr>
                    <w:adjustRightInd w:val="0"/>
                    <w:snapToGrid w:val="0"/>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eastAsia="宋体" w:cs="Times New Roman"/>
                      <w:kern w:val="2"/>
                      <w:sz w:val="21"/>
                      <w:szCs w:val="21"/>
                      <w:highlight w:val="none"/>
                      <w:lang w:val="en-US" w:eastAsia="zh-CN" w:bidi="ar-SA"/>
                    </w:rPr>
                    <w:t>0.06</w:t>
                  </w:r>
                </w:p>
              </w:tc>
              <w:tc>
                <w:tcPr>
                  <w:tcW w:w="961" w:type="dxa"/>
                  <w:tcBorders>
                    <w:tl2br w:val="nil"/>
                    <w:tr2bl w:val="nil"/>
                  </w:tcBorders>
                  <w:shd w:val="clear" w:color="auto" w:fill="auto"/>
                  <w:tcMar>
                    <w:top w:w="0" w:type="dxa"/>
                    <w:left w:w="0" w:type="dxa"/>
                    <w:bottom w:w="0" w:type="dxa"/>
                    <w:right w:w="0" w:type="dxa"/>
                  </w:tcMar>
                  <w:vAlign w:val="center"/>
                </w:tcPr>
                <w:p w14:paraId="3A465FC4">
                  <w:pPr>
                    <w:adjustRightIn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w:t>
                  </w:r>
                  <w:r>
                    <w:rPr>
                      <w:rFonts w:hint="eastAsia" w:ascii="Times New Roman" w:hAnsi="Times New Roman" w:eastAsia="宋体" w:cs="Times New Roman"/>
                      <w:sz w:val="21"/>
                      <w:szCs w:val="21"/>
                      <w:highlight w:val="none"/>
                      <w:lang w:val="en-US" w:eastAsia="zh-CN"/>
                    </w:rPr>
                    <w:t>012</w:t>
                  </w:r>
                </w:p>
              </w:tc>
              <w:tc>
                <w:tcPr>
                  <w:tcW w:w="803" w:type="dxa"/>
                  <w:tcBorders>
                    <w:tl2br w:val="nil"/>
                    <w:tr2bl w:val="nil"/>
                  </w:tcBorders>
                  <w:shd w:val="clear" w:color="auto" w:fill="auto"/>
                  <w:tcMar>
                    <w:top w:w="0" w:type="dxa"/>
                    <w:left w:w="0" w:type="dxa"/>
                    <w:bottom w:w="0" w:type="dxa"/>
                    <w:right w:w="0" w:type="dxa"/>
                  </w:tcMar>
                  <w:vAlign w:val="center"/>
                </w:tcPr>
                <w:p w14:paraId="57C25AC9">
                  <w:pPr>
                    <w:adjustRightInd w:val="0"/>
                    <w:jc w:val="center"/>
                    <w:rPr>
                      <w:rFonts w:hint="default" w:ascii="Times New Roman" w:hAnsi="Times New Roman" w:eastAsia="宋体" w:cs="Times New Roman"/>
                      <w:sz w:val="22"/>
                      <w:szCs w:val="22"/>
                      <w:highlight w:val="none"/>
                      <w:lang w:val="en-US" w:eastAsia="zh-CN"/>
                    </w:rPr>
                  </w:pPr>
                  <w:r>
                    <w:rPr>
                      <w:rFonts w:hint="eastAsia" w:cs="Times New Roman"/>
                      <w:sz w:val="22"/>
                      <w:szCs w:val="22"/>
                      <w:highlight w:val="none"/>
                      <w:lang w:val="en-US" w:eastAsia="zh-CN"/>
                    </w:rPr>
                    <w:t>1</w:t>
                  </w:r>
                </w:p>
              </w:tc>
              <w:tc>
                <w:tcPr>
                  <w:tcW w:w="768" w:type="dxa"/>
                  <w:tcBorders>
                    <w:tl2br w:val="nil"/>
                    <w:tr2bl w:val="nil"/>
                  </w:tcBorders>
                  <w:shd w:val="clear" w:color="auto" w:fill="auto"/>
                  <w:tcMar>
                    <w:top w:w="0" w:type="dxa"/>
                    <w:left w:w="0" w:type="dxa"/>
                    <w:bottom w:w="0" w:type="dxa"/>
                    <w:right w:w="0" w:type="dxa"/>
                  </w:tcMar>
                  <w:vAlign w:val="center"/>
                </w:tcPr>
                <w:p w14:paraId="77FCF406">
                  <w:pPr>
                    <w:adjustRightInd w:val="0"/>
                    <w:jc w:val="center"/>
                    <w:rPr>
                      <w:rFonts w:hint="default" w:ascii="Times New Roman" w:hAnsi="Times New Roman" w:eastAsia="宋体" w:cs="Times New Roman"/>
                      <w:sz w:val="22"/>
                      <w:szCs w:val="22"/>
                      <w:highlight w:val="none"/>
                      <w:lang w:val="en-US" w:eastAsia="zh-CN"/>
                    </w:rPr>
                  </w:pPr>
                  <w:r>
                    <w:rPr>
                      <w:rFonts w:hint="eastAsia" w:cs="Times New Roman"/>
                      <w:sz w:val="22"/>
                      <w:szCs w:val="22"/>
                      <w:highlight w:val="none"/>
                      <w:lang w:val="en-US" w:eastAsia="zh-CN"/>
                    </w:rPr>
                    <w:t>1</w:t>
                  </w:r>
                </w:p>
              </w:tc>
              <w:tc>
                <w:tcPr>
                  <w:tcW w:w="833" w:type="dxa"/>
                  <w:tcBorders>
                    <w:tl2br w:val="nil"/>
                    <w:tr2bl w:val="nil"/>
                  </w:tcBorders>
                  <w:shd w:val="clear" w:color="auto" w:fill="auto"/>
                  <w:tcMar>
                    <w:top w:w="0" w:type="dxa"/>
                    <w:left w:w="0" w:type="dxa"/>
                    <w:bottom w:w="0" w:type="dxa"/>
                    <w:right w:w="0" w:type="dxa"/>
                  </w:tcMar>
                  <w:vAlign w:val="center"/>
                </w:tcPr>
                <w:p w14:paraId="4B8EF23A">
                  <w:pPr>
                    <w:adjustRightInd w:val="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w:t>
                  </w:r>
                  <w:r>
                    <w:rPr>
                      <w:rFonts w:hint="eastAsia" w:ascii="Times New Roman" w:hAnsi="Times New Roman" w:eastAsia="宋体" w:cs="Times New Roman"/>
                      <w:sz w:val="21"/>
                      <w:szCs w:val="21"/>
                      <w:highlight w:val="none"/>
                      <w:lang w:val="en-US" w:eastAsia="zh-CN"/>
                    </w:rPr>
                    <w:t>012</w:t>
                  </w:r>
                </w:p>
              </w:tc>
              <w:tc>
                <w:tcPr>
                  <w:tcW w:w="658" w:type="dxa"/>
                  <w:vMerge w:val="continue"/>
                  <w:tcBorders>
                    <w:tl2br w:val="nil"/>
                    <w:tr2bl w:val="nil"/>
                  </w:tcBorders>
                  <w:shd w:val="clear" w:color="auto" w:fill="auto"/>
                  <w:tcMar>
                    <w:top w:w="0" w:type="dxa"/>
                    <w:left w:w="0" w:type="dxa"/>
                    <w:bottom w:w="0" w:type="dxa"/>
                    <w:right w:w="0" w:type="dxa"/>
                  </w:tcMar>
                  <w:vAlign w:val="center"/>
                </w:tcPr>
                <w:p w14:paraId="792B877E">
                  <w:pPr>
                    <w:adjustRightInd w:val="0"/>
                    <w:jc w:val="center"/>
                    <w:rPr>
                      <w:rFonts w:hint="default" w:ascii="Times New Roman" w:hAnsi="Times New Roman" w:eastAsia="宋体" w:cs="Times New Roman"/>
                      <w:bCs/>
                      <w:sz w:val="22"/>
                      <w:szCs w:val="22"/>
                      <w:highlight w:val="none"/>
                    </w:rPr>
                  </w:pPr>
                </w:p>
              </w:tc>
            </w:tr>
          </w:tbl>
          <w:p w14:paraId="764E049A">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上表可知，非正常工况下，本项目镍及其化合物排放浓度和排放速率不能满足北京市《大气污染物综合排放标准》（DB11/501-2017）表 3 中</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生产工艺废气及其他废气大气污染物排放限值</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第 II 时段排放限值要求，其他污染物可达标排放，非正常工况较正常工况排污量都有所增加，为确保项目废气处理装置正常运行，应立即停止所有产生污染的实验活动，检查维修环保设施，直至故障排除。</w:t>
            </w:r>
          </w:p>
          <w:p w14:paraId="085415A6">
            <w:pPr>
              <w:numPr>
                <w:ilvl w:val="255"/>
                <w:numId w:val="0"/>
              </w:numPr>
              <w:adjustRightInd w:val="0"/>
              <w:spacing w:line="360" w:lineRule="auto"/>
              <w:ind w:left="420" w:leftChars="200"/>
              <w:rPr>
                <w:rFonts w:hint="default" w:ascii="Times New Roman" w:hAnsi="Times New Roman" w:eastAsia="宋体" w:cs="Times New Roman"/>
                <w:b w:val="0"/>
                <w:bCs w:val="0"/>
                <w:sz w:val="24"/>
                <w:highlight w:val="none"/>
              </w:rPr>
            </w:pPr>
            <w:r>
              <w:rPr>
                <w:rFonts w:hint="default" w:ascii="Times New Roman" w:hAnsi="Times New Roman" w:eastAsia="宋体" w:cs="Times New Roman"/>
                <w:b w:val="0"/>
                <w:bCs w:val="0"/>
                <w:sz w:val="24"/>
                <w:highlight w:val="none"/>
                <w:lang w:eastAsia="zh-CN"/>
              </w:rPr>
              <w:t>（</w:t>
            </w:r>
            <w:r>
              <w:rPr>
                <w:rFonts w:hint="default" w:ascii="Times New Roman" w:hAnsi="Times New Roman" w:eastAsia="宋体" w:cs="Times New Roman"/>
                <w:b w:val="0"/>
                <w:bCs w:val="0"/>
                <w:sz w:val="24"/>
                <w:highlight w:val="none"/>
                <w:lang w:val="en-US" w:eastAsia="zh-CN"/>
              </w:rPr>
              <w:t>7</w:t>
            </w:r>
            <w:r>
              <w:rPr>
                <w:rFonts w:hint="default" w:ascii="Times New Roman" w:hAnsi="Times New Roman" w:eastAsia="宋体" w:cs="Times New Roman"/>
                <w:b w:val="0"/>
                <w:bCs w:val="0"/>
                <w:sz w:val="24"/>
                <w:highlight w:val="none"/>
                <w:lang w:eastAsia="zh-CN"/>
              </w:rPr>
              <w:t>）</w:t>
            </w:r>
            <w:r>
              <w:rPr>
                <w:rFonts w:hint="default" w:ascii="Times New Roman" w:hAnsi="Times New Roman" w:eastAsia="宋体" w:cs="Times New Roman"/>
                <w:b w:val="0"/>
                <w:bCs w:val="0"/>
                <w:sz w:val="24"/>
                <w:highlight w:val="none"/>
              </w:rPr>
              <w:t>自行监测计划</w:t>
            </w:r>
          </w:p>
          <w:p w14:paraId="0A1DBD20">
            <w:pPr>
              <w:adjustRightInd w:val="0"/>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本项目废气监测计划详见下表。</w:t>
            </w:r>
          </w:p>
          <w:p w14:paraId="115D03F0">
            <w:pPr>
              <w:numPr>
                <w:ilvl w:val="0"/>
                <w:numId w:val="48"/>
              </w:numPr>
              <w:adjustRightInd w:val="0"/>
              <w:snapToGrid w:val="0"/>
              <w:ind w:left="425" w:leftChars="0" w:hanging="425" w:firstLineChars="0"/>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项目废气监测计划</w:t>
            </w:r>
          </w:p>
          <w:tbl>
            <w:tblPr>
              <w:tblStyle w:val="17"/>
              <w:tblW w:w="7617" w:type="dxa"/>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39"/>
              <w:gridCol w:w="1233"/>
              <w:gridCol w:w="2825"/>
              <w:gridCol w:w="1660"/>
              <w:gridCol w:w="960"/>
            </w:tblGrid>
            <w:tr w14:paraId="68909B9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616" w:type="pct"/>
                  <w:tcBorders>
                    <w:tl2br w:val="nil"/>
                    <w:tr2bl w:val="nil"/>
                  </w:tcBorders>
                  <w:vAlign w:val="center"/>
                </w:tcPr>
                <w:p w14:paraId="659BB242">
                  <w:pPr>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时段</w:t>
                  </w:r>
                </w:p>
              </w:tc>
              <w:tc>
                <w:tcPr>
                  <w:tcW w:w="809" w:type="pct"/>
                  <w:tcBorders>
                    <w:tl2br w:val="nil"/>
                    <w:tr2bl w:val="nil"/>
                  </w:tcBorders>
                  <w:vAlign w:val="center"/>
                </w:tcPr>
                <w:p w14:paraId="098EA877">
                  <w:pPr>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监测内容</w:t>
                  </w:r>
                </w:p>
              </w:tc>
              <w:tc>
                <w:tcPr>
                  <w:tcW w:w="1854" w:type="pct"/>
                  <w:tcBorders>
                    <w:tl2br w:val="nil"/>
                    <w:tr2bl w:val="nil"/>
                  </w:tcBorders>
                  <w:vAlign w:val="center"/>
                </w:tcPr>
                <w:p w14:paraId="23510197">
                  <w:pPr>
                    <w:adjustRightInd w:val="0"/>
                    <w:snapToGri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
                      <w:szCs w:val="21"/>
                      <w:highlight w:val="none"/>
                    </w:rPr>
                    <w:t>监测因子</w:t>
                  </w:r>
                </w:p>
              </w:tc>
              <w:tc>
                <w:tcPr>
                  <w:tcW w:w="1089" w:type="pct"/>
                  <w:tcBorders>
                    <w:tl2br w:val="nil"/>
                    <w:tr2bl w:val="nil"/>
                  </w:tcBorders>
                  <w:vAlign w:val="center"/>
                </w:tcPr>
                <w:p w14:paraId="78FC5A9C">
                  <w:pPr>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监测点位</w:t>
                  </w:r>
                </w:p>
              </w:tc>
              <w:tc>
                <w:tcPr>
                  <w:tcW w:w="630" w:type="pct"/>
                  <w:tcBorders>
                    <w:tl2br w:val="nil"/>
                    <w:tr2bl w:val="nil"/>
                  </w:tcBorders>
                  <w:vAlign w:val="center"/>
                </w:tcPr>
                <w:p w14:paraId="2A32BE3D">
                  <w:pPr>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监测频次</w:t>
                  </w:r>
                </w:p>
              </w:tc>
            </w:tr>
            <w:tr w14:paraId="1FB0610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6" w:type="pct"/>
                  <w:vMerge w:val="restart"/>
                  <w:tcBorders>
                    <w:tl2br w:val="nil"/>
                    <w:tr2bl w:val="nil"/>
                  </w:tcBorders>
                  <w:vAlign w:val="center"/>
                </w:tcPr>
                <w:p w14:paraId="00FE1540">
                  <w:pPr>
                    <w:adjustRightInd w:val="0"/>
                    <w:snapToGri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运营期</w:t>
                  </w:r>
                </w:p>
              </w:tc>
              <w:tc>
                <w:tcPr>
                  <w:tcW w:w="809" w:type="pct"/>
                  <w:vMerge w:val="restart"/>
                  <w:tcBorders>
                    <w:tl2br w:val="nil"/>
                    <w:tr2bl w:val="nil"/>
                  </w:tcBorders>
                  <w:vAlign w:val="center"/>
                </w:tcPr>
                <w:p w14:paraId="55B25A2C">
                  <w:pPr>
                    <w:adjustRightInd w:val="0"/>
                    <w:snapToGri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废气</w:t>
                  </w:r>
                </w:p>
              </w:tc>
              <w:tc>
                <w:tcPr>
                  <w:tcW w:w="1854" w:type="pct"/>
                  <w:tcBorders>
                    <w:tl2br w:val="nil"/>
                    <w:tr2bl w:val="nil"/>
                  </w:tcBorders>
                  <w:vAlign w:val="center"/>
                </w:tcPr>
                <w:p w14:paraId="4555F4B5">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rPr>
                    <w:t>非甲烷总烃</w:t>
                  </w:r>
                  <w:r>
                    <w:rPr>
                      <w:rFonts w:hint="default" w:ascii="Times New Roman" w:hAnsi="Times New Roman" w:eastAsia="宋体" w:cs="Times New Roman"/>
                      <w:bCs/>
                      <w:szCs w:val="21"/>
                      <w:highlight w:val="none"/>
                      <w:lang w:eastAsia="zh-CN"/>
                    </w:rPr>
                    <w:t>、</w:t>
                  </w:r>
                  <w:r>
                    <w:rPr>
                      <w:rFonts w:hint="default" w:ascii="Times New Roman" w:hAnsi="Times New Roman" w:eastAsia="宋体" w:cs="Times New Roman"/>
                      <w:bCs/>
                      <w:szCs w:val="21"/>
                      <w:highlight w:val="none"/>
                      <w:lang w:val="en-US" w:eastAsia="zh-CN"/>
                    </w:rPr>
                    <w:t>氮氧化物</w:t>
                  </w:r>
                </w:p>
              </w:tc>
              <w:tc>
                <w:tcPr>
                  <w:tcW w:w="1089" w:type="pct"/>
                  <w:tcBorders>
                    <w:tl2br w:val="nil"/>
                    <w:tr2bl w:val="nil"/>
                  </w:tcBorders>
                  <w:vAlign w:val="center"/>
                </w:tcPr>
                <w:p w14:paraId="0744A41F">
                  <w:pPr>
                    <w:adjustRightInd w:val="0"/>
                    <w:snapToGri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DA00</w:t>
                  </w:r>
                  <w:r>
                    <w:rPr>
                      <w:rFonts w:hint="default" w:ascii="Times New Roman" w:hAnsi="Times New Roman" w:eastAsia="宋体" w:cs="Times New Roman"/>
                      <w:bCs/>
                      <w:szCs w:val="21"/>
                      <w:highlight w:val="none"/>
                      <w:lang w:val="en-US" w:eastAsia="zh-CN"/>
                    </w:rPr>
                    <w:t>1</w:t>
                  </w:r>
                </w:p>
              </w:tc>
              <w:tc>
                <w:tcPr>
                  <w:tcW w:w="630" w:type="pct"/>
                  <w:vMerge w:val="restart"/>
                  <w:tcBorders>
                    <w:tl2br w:val="nil"/>
                    <w:tr2bl w:val="nil"/>
                  </w:tcBorders>
                  <w:vAlign w:val="center"/>
                </w:tcPr>
                <w:p w14:paraId="24B3BF94">
                  <w:pPr>
                    <w:adjustRightInd w:val="0"/>
                    <w:snapToGri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每年</w:t>
                  </w:r>
                </w:p>
                <w:p w14:paraId="2C17C10D">
                  <w:pPr>
                    <w:adjustRightInd w:val="0"/>
                    <w:snapToGri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1次</w:t>
                  </w:r>
                </w:p>
              </w:tc>
            </w:tr>
            <w:tr w14:paraId="12F669D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6" w:type="pct"/>
                  <w:vMerge w:val="continue"/>
                  <w:tcBorders>
                    <w:tl2br w:val="nil"/>
                    <w:tr2bl w:val="nil"/>
                  </w:tcBorders>
                  <w:vAlign w:val="center"/>
                </w:tcPr>
                <w:p w14:paraId="7D5B9AF5">
                  <w:pPr>
                    <w:adjustRightInd w:val="0"/>
                    <w:snapToGrid w:val="0"/>
                    <w:jc w:val="center"/>
                    <w:rPr>
                      <w:rFonts w:hint="default" w:ascii="Times New Roman" w:hAnsi="Times New Roman" w:eastAsia="宋体" w:cs="Times New Roman"/>
                      <w:bCs/>
                      <w:szCs w:val="21"/>
                      <w:highlight w:val="none"/>
                    </w:rPr>
                  </w:pPr>
                </w:p>
              </w:tc>
              <w:tc>
                <w:tcPr>
                  <w:tcW w:w="809" w:type="pct"/>
                  <w:vMerge w:val="continue"/>
                  <w:tcBorders>
                    <w:tl2br w:val="nil"/>
                    <w:tr2bl w:val="nil"/>
                  </w:tcBorders>
                  <w:vAlign w:val="center"/>
                </w:tcPr>
                <w:p w14:paraId="25275F62">
                  <w:pPr>
                    <w:adjustRightInd w:val="0"/>
                    <w:snapToGrid w:val="0"/>
                    <w:jc w:val="center"/>
                    <w:rPr>
                      <w:rFonts w:hint="default" w:ascii="Times New Roman" w:hAnsi="Times New Roman" w:eastAsia="宋体" w:cs="Times New Roman"/>
                      <w:bCs/>
                      <w:szCs w:val="21"/>
                      <w:highlight w:val="none"/>
                    </w:rPr>
                  </w:pPr>
                </w:p>
              </w:tc>
              <w:tc>
                <w:tcPr>
                  <w:tcW w:w="1854" w:type="pct"/>
                  <w:tcBorders>
                    <w:tl2br w:val="nil"/>
                    <w:tr2bl w:val="nil"/>
                  </w:tcBorders>
                  <w:vAlign w:val="center"/>
                </w:tcPr>
                <w:p w14:paraId="6EF6F11C">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颗粒物</w:t>
                  </w:r>
                  <w:r>
                    <w:rPr>
                      <w:rFonts w:hint="default" w:ascii="Times New Roman" w:hAnsi="Times New Roman" w:eastAsia="宋体" w:cs="Times New Roman"/>
                      <w:bCs/>
                      <w:szCs w:val="21"/>
                      <w:highlight w:val="none"/>
                      <w:lang w:eastAsia="zh-CN"/>
                    </w:rPr>
                    <w:t>、</w:t>
                  </w:r>
                  <w:r>
                    <w:rPr>
                      <w:rFonts w:hint="default" w:ascii="Times New Roman" w:hAnsi="Times New Roman" w:eastAsia="宋体" w:cs="Times New Roman"/>
                      <w:bCs/>
                      <w:szCs w:val="21"/>
                      <w:highlight w:val="none"/>
                      <w:lang w:val="en-US" w:eastAsia="zh-CN"/>
                    </w:rPr>
                    <w:t>镍及其化合物、氯化氢、氮氧化物、</w:t>
                  </w:r>
                  <w:r>
                    <w:rPr>
                      <w:rFonts w:hint="default" w:ascii="Times New Roman" w:hAnsi="Times New Roman" w:eastAsia="宋体" w:cs="Times New Roman"/>
                      <w:bCs/>
                      <w:szCs w:val="21"/>
                      <w:highlight w:val="none"/>
                    </w:rPr>
                    <w:t>氨</w:t>
                  </w:r>
                  <w:r>
                    <w:rPr>
                      <w:rFonts w:hint="eastAsia" w:cs="Times New Roman"/>
                      <w:bCs/>
                      <w:szCs w:val="21"/>
                      <w:highlight w:val="none"/>
                      <w:lang w:eastAsia="zh-CN"/>
                    </w:rPr>
                    <w:t>、</w:t>
                  </w:r>
                  <w:r>
                    <w:rPr>
                      <w:rFonts w:hint="eastAsia" w:cs="Times New Roman"/>
                      <w:bCs/>
                      <w:szCs w:val="21"/>
                      <w:highlight w:val="none"/>
                      <w:lang w:val="en-US" w:eastAsia="zh-CN"/>
                    </w:rPr>
                    <w:t>氟化物（以F计）</w:t>
                  </w:r>
                </w:p>
              </w:tc>
              <w:tc>
                <w:tcPr>
                  <w:tcW w:w="1089" w:type="pct"/>
                  <w:tcBorders>
                    <w:tl2br w:val="nil"/>
                    <w:tr2bl w:val="nil"/>
                  </w:tcBorders>
                  <w:vAlign w:val="center"/>
                </w:tcPr>
                <w:p w14:paraId="2F3258AC">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rPr>
                    <w:t>DA00</w:t>
                  </w:r>
                  <w:r>
                    <w:rPr>
                      <w:rFonts w:hint="default" w:ascii="Times New Roman" w:hAnsi="Times New Roman" w:eastAsia="宋体" w:cs="Times New Roman"/>
                      <w:bCs/>
                      <w:szCs w:val="21"/>
                      <w:highlight w:val="none"/>
                      <w:lang w:val="en-US" w:eastAsia="zh-CN"/>
                    </w:rPr>
                    <w:t>2</w:t>
                  </w:r>
                </w:p>
              </w:tc>
              <w:tc>
                <w:tcPr>
                  <w:tcW w:w="630" w:type="pct"/>
                  <w:vMerge w:val="continue"/>
                  <w:tcBorders>
                    <w:tl2br w:val="nil"/>
                    <w:tr2bl w:val="nil"/>
                  </w:tcBorders>
                  <w:vAlign w:val="center"/>
                </w:tcPr>
                <w:p w14:paraId="1F35B3E1">
                  <w:pPr>
                    <w:adjustRightInd w:val="0"/>
                    <w:snapToGrid w:val="0"/>
                    <w:jc w:val="center"/>
                    <w:rPr>
                      <w:rFonts w:hint="default" w:ascii="Times New Roman" w:hAnsi="Times New Roman" w:eastAsia="宋体" w:cs="Times New Roman"/>
                      <w:bCs/>
                      <w:szCs w:val="21"/>
                      <w:highlight w:val="none"/>
                    </w:rPr>
                  </w:pPr>
                </w:p>
              </w:tc>
            </w:tr>
            <w:tr w14:paraId="145F109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6" w:type="pct"/>
                  <w:vMerge w:val="continue"/>
                  <w:tcBorders>
                    <w:tl2br w:val="nil"/>
                    <w:tr2bl w:val="nil"/>
                  </w:tcBorders>
                  <w:vAlign w:val="center"/>
                </w:tcPr>
                <w:p w14:paraId="258C3009">
                  <w:pPr>
                    <w:adjustRightInd w:val="0"/>
                    <w:snapToGrid w:val="0"/>
                    <w:jc w:val="center"/>
                    <w:rPr>
                      <w:rFonts w:hint="default" w:ascii="Times New Roman" w:hAnsi="Times New Roman" w:eastAsia="宋体" w:cs="Times New Roman"/>
                      <w:bCs/>
                      <w:szCs w:val="21"/>
                      <w:highlight w:val="none"/>
                    </w:rPr>
                  </w:pPr>
                </w:p>
              </w:tc>
              <w:tc>
                <w:tcPr>
                  <w:tcW w:w="809" w:type="pct"/>
                  <w:vMerge w:val="continue"/>
                  <w:tcBorders>
                    <w:tl2br w:val="nil"/>
                    <w:tr2bl w:val="nil"/>
                  </w:tcBorders>
                  <w:vAlign w:val="center"/>
                </w:tcPr>
                <w:p w14:paraId="397B89DE">
                  <w:pPr>
                    <w:adjustRightInd w:val="0"/>
                    <w:snapToGrid w:val="0"/>
                    <w:jc w:val="center"/>
                    <w:rPr>
                      <w:rFonts w:hint="default" w:ascii="Times New Roman" w:hAnsi="Times New Roman" w:eastAsia="宋体" w:cs="Times New Roman"/>
                      <w:bCs/>
                      <w:szCs w:val="21"/>
                      <w:highlight w:val="none"/>
                    </w:rPr>
                  </w:pPr>
                </w:p>
              </w:tc>
              <w:tc>
                <w:tcPr>
                  <w:tcW w:w="1854" w:type="pct"/>
                  <w:tcBorders>
                    <w:tl2br w:val="nil"/>
                    <w:tr2bl w:val="nil"/>
                  </w:tcBorders>
                  <w:vAlign w:val="center"/>
                </w:tcPr>
                <w:p w14:paraId="43FFAFA7">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rPr>
                    <w:t>非甲烷总烃</w:t>
                  </w:r>
                  <w:r>
                    <w:rPr>
                      <w:rFonts w:hint="default" w:ascii="Times New Roman" w:hAnsi="Times New Roman" w:eastAsia="宋体" w:cs="Times New Roman"/>
                      <w:bCs/>
                      <w:szCs w:val="21"/>
                      <w:highlight w:val="none"/>
                      <w:lang w:eastAsia="zh-CN"/>
                    </w:rPr>
                    <w:t>、</w:t>
                  </w:r>
                  <w:r>
                    <w:rPr>
                      <w:rFonts w:hint="default" w:ascii="Times New Roman" w:hAnsi="Times New Roman" w:eastAsia="宋体" w:cs="Times New Roman"/>
                      <w:bCs/>
                      <w:szCs w:val="21"/>
                      <w:highlight w:val="none"/>
                      <w:lang w:val="en-US" w:eastAsia="zh-CN"/>
                    </w:rPr>
                    <w:t>颗粒物</w:t>
                  </w:r>
                  <w:r>
                    <w:rPr>
                      <w:rFonts w:hint="default" w:ascii="Times New Roman" w:hAnsi="Times New Roman" w:eastAsia="宋体" w:cs="Times New Roman"/>
                      <w:bCs/>
                      <w:szCs w:val="21"/>
                      <w:highlight w:val="none"/>
                      <w:lang w:eastAsia="zh-CN"/>
                    </w:rPr>
                    <w:t>、</w:t>
                  </w:r>
                  <w:r>
                    <w:rPr>
                      <w:rFonts w:hint="default" w:ascii="Times New Roman" w:hAnsi="Times New Roman" w:eastAsia="宋体" w:cs="Times New Roman"/>
                      <w:bCs/>
                      <w:szCs w:val="21"/>
                      <w:highlight w:val="none"/>
                      <w:lang w:val="en-US" w:eastAsia="zh-CN"/>
                    </w:rPr>
                    <w:t>镍及其化合物、氯化氢、氮氧化物、</w:t>
                  </w:r>
                  <w:r>
                    <w:rPr>
                      <w:rFonts w:hint="default" w:ascii="Times New Roman" w:hAnsi="Times New Roman" w:eastAsia="宋体" w:cs="Times New Roman"/>
                      <w:bCs/>
                      <w:szCs w:val="21"/>
                      <w:highlight w:val="none"/>
                    </w:rPr>
                    <w:t>氨</w:t>
                  </w:r>
                  <w:r>
                    <w:rPr>
                      <w:rFonts w:hint="eastAsia" w:cs="Times New Roman"/>
                      <w:bCs/>
                      <w:szCs w:val="21"/>
                      <w:highlight w:val="none"/>
                      <w:lang w:eastAsia="zh-CN"/>
                    </w:rPr>
                    <w:t>、</w:t>
                  </w:r>
                  <w:r>
                    <w:rPr>
                      <w:rFonts w:hint="eastAsia" w:cs="Times New Roman"/>
                      <w:bCs/>
                      <w:szCs w:val="21"/>
                      <w:highlight w:val="none"/>
                      <w:lang w:val="en-US" w:eastAsia="zh-CN"/>
                    </w:rPr>
                    <w:t>氟化物（以F计）</w:t>
                  </w:r>
                </w:p>
              </w:tc>
              <w:tc>
                <w:tcPr>
                  <w:tcW w:w="1089" w:type="pct"/>
                  <w:tcBorders>
                    <w:tl2br w:val="nil"/>
                    <w:tr2bl w:val="nil"/>
                  </w:tcBorders>
                  <w:vAlign w:val="center"/>
                </w:tcPr>
                <w:p w14:paraId="042FDE58">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厂界无组织</w:t>
                  </w:r>
                </w:p>
              </w:tc>
              <w:tc>
                <w:tcPr>
                  <w:tcW w:w="630" w:type="pct"/>
                  <w:vMerge w:val="continue"/>
                  <w:tcBorders>
                    <w:tl2br w:val="nil"/>
                    <w:tr2bl w:val="nil"/>
                  </w:tcBorders>
                  <w:vAlign w:val="center"/>
                </w:tcPr>
                <w:p w14:paraId="2F7519A1">
                  <w:pPr>
                    <w:adjustRightInd w:val="0"/>
                    <w:snapToGrid w:val="0"/>
                    <w:jc w:val="center"/>
                    <w:rPr>
                      <w:rFonts w:hint="default" w:ascii="Times New Roman" w:hAnsi="Times New Roman" w:eastAsia="宋体" w:cs="Times New Roman"/>
                      <w:bCs/>
                      <w:szCs w:val="21"/>
                      <w:highlight w:val="none"/>
                    </w:rPr>
                  </w:pPr>
                </w:p>
              </w:tc>
            </w:tr>
          </w:tbl>
          <w:p w14:paraId="16AFBD65">
            <w:pPr>
              <w:adjustRightInd w:val="0"/>
              <w:snapToGrid w:val="0"/>
              <w:rPr>
                <w:rFonts w:hint="default" w:ascii="Times New Roman" w:hAnsi="Times New Roman" w:eastAsia="宋体" w:cs="Times New Roman"/>
                <w:bCs/>
                <w:spacing w:val="-10"/>
                <w:szCs w:val="21"/>
                <w:highlight w:val="none"/>
              </w:rPr>
            </w:pPr>
            <w:r>
              <w:rPr>
                <w:rFonts w:hint="default" w:ascii="Times New Roman" w:hAnsi="Times New Roman" w:eastAsia="宋体" w:cs="Times New Roman"/>
                <w:bCs/>
                <w:spacing w:val="-10"/>
                <w:szCs w:val="21"/>
                <w:highlight w:val="none"/>
              </w:rPr>
              <w:t>（注：</w:t>
            </w:r>
            <w:r>
              <w:rPr>
                <w:rFonts w:hint="default" w:ascii="Times New Roman" w:hAnsi="Times New Roman" w:eastAsia="宋体" w:cs="Times New Roman"/>
                <w:bCs/>
                <w:szCs w:val="21"/>
                <w:highlight w:val="none"/>
              </w:rPr>
              <w:t>废气监测计划参照《</w:t>
            </w:r>
            <w:r>
              <w:rPr>
                <w:rFonts w:hint="default" w:ascii="Times New Roman" w:hAnsi="Times New Roman" w:eastAsia="宋体" w:cs="Times New Roman"/>
                <w:bCs/>
                <w:szCs w:val="21"/>
                <w:highlight w:val="none"/>
                <w:lang w:val="ru-RU"/>
              </w:rPr>
              <w:t>排污单位自行监测技术指南 总则</w:t>
            </w:r>
            <w:r>
              <w:rPr>
                <w:rFonts w:hint="default" w:ascii="Times New Roman" w:hAnsi="Times New Roman" w:eastAsia="宋体" w:cs="Times New Roman"/>
                <w:bCs/>
                <w:szCs w:val="21"/>
                <w:highlight w:val="none"/>
              </w:rPr>
              <w:t>》（HJ819-2017）</w:t>
            </w:r>
            <w:r>
              <w:rPr>
                <w:rFonts w:hint="default" w:ascii="Times New Roman" w:hAnsi="Times New Roman" w:eastAsia="宋体" w:cs="Times New Roman"/>
                <w:bCs/>
                <w:spacing w:val="-10"/>
                <w:szCs w:val="21"/>
                <w:highlight w:val="none"/>
              </w:rPr>
              <w:t>）</w:t>
            </w:r>
          </w:p>
          <w:p w14:paraId="5B20B509">
            <w:pPr>
              <w:adjustRightInd w:val="0"/>
              <w:snapToGrid w:val="0"/>
              <w:rPr>
                <w:rFonts w:hint="default" w:ascii="Times New Roman" w:hAnsi="Times New Roman" w:eastAsia="宋体" w:cs="Times New Roman"/>
                <w:bCs/>
                <w:spacing w:val="-10"/>
                <w:szCs w:val="21"/>
                <w:highlight w:val="none"/>
              </w:rPr>
            </w:pPr>
          </w:p>
          <w:p w14:paraId="5F6A7D05">
            <w:pPr>
              <w:numPr>
                <w:ilvl w:val="0"/>
                <w:numId w:val="46"/>
              </w:numPr>
              <w:adjustRightInd w:val="0"/>
              <w:snapToGrid w:val="0"/>
              <w:spacing w:line="360" w:lineRule="auto"/>
              <w:rPr>
                <w:rFonts w:hint="default" w:ascii="Times New Roman" w:hAnsi="Times New Roman" w:eastAsia="宋体" w:cs="Times New Roman"/>
                <w:b/>
                <w:bCs/>
                <w:spacing w:val="-10"/>
                <w:sz w:val="24"/>
                <w:highlight w:val="none"/>
              </w:rPr>
            </w:pPr>
            <w:r>
              <w:rPr>
                <w:rFonts w:hint="default" w:ascii="Times New Roman" w:hAnsi="Times New Roman" w:eastAsia="宋体" w:cs="Times New Roman"/>
                <w:b/>
                <w:bCs/>
                <w:spacing w:val="-10"/>
                <w:sz w:val="24"/>
                <w:highlight w:val="none"/>
              </w:rPr>
              <w:t>废水</w:t>
            </w:r>
          </w:p>
          <w:p w14:paraId="2CD07F08">
            <w:pPr>
              <w:numPr>
                <w:ilvl w:val="255"/>
                <w:numId w:val="0"/>
              </w:numPr>
              <w:adjustRightInd w:val="0"/>
              <w:spacing w:line="360" w:lineRule="auto"/>
              <w:ind w:left="420" w:leftChars="200"/>
              <w:rPr>
                <w:rFonts w:hint="default" w:ascii="Times New Roman" w:hAnsi="Times New Roman" w:eastAsia="宋体" w:cs="Times New Roman"/>
                <w:b w:val="0"/>
                <w:bCs w:val="0"/>
                <w:sz w:val="24"/>
                <w:highlight w:val="none"/>
                <w:lang w:val="en-US" w:eastAsia="zh-CN"/>
              </w:rPr>
            </w:pPr>
            <w:r>
              <w:rPr>
                <w:rFonts w:hint="default" w:ascii="Times New Roman" w:hAnsi="Times New Roman" w:eastAsia="宋体" w:cs="Times New Roman"/>
                <w:b w:val="0"/>
                <w:bCs w:val="0"/>
                <w:sz w:val="24"/>
                <w:highlight w:val="none"/>
                <w:lang w:eastAsia="zh-CN"/>
              </w:rPr>
              <w:t>（1）</w:t>
            </w:r>
            <w:r>
              <w:rPr>
                <w:rFonts w:hint="default" w:ascii="Times New Roman" w:hAnsi="Times New Roman" w:eastAsia="宋体" w:cs="Times New Roman"/>
                <w:b w:val="0"/>
                <w:bCs w:val="0"/>
                <w:sz w:val="24"/>
                <w:highlight w:val="none"/>
                <w:lang w:val="en-US" w:eastAsia="zh-CN"/>
              </w:rPr>
              <w:t>废水源强核算</w:t>
            </w:r>
          </w:p>
          <w:p w14:paraId="17107B1B">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本项目排放的废水主要为生活污水、设备清洗废水、纯水制备废水，经化粪池预处理后排入市政污水管网，最终进入北京亦庄环境科技集团有限公司经开污水处理厂。废水排放总量为1.74 m</w:t>
            </w:r>
            <w:r>
              <w:rPr>
                <w:rFonts w:hint="default" w:ascii="Times New Roman" w:hAnsi="Times New Roman" w:eastAsia="宋体" w:cs="Times New Roman"/>
                <w:sz w:val="24"/>
                <w:highlight w:val="none"/>
                <w:vertAlign w:val="superscript"/>
                <w:lang w:val="en-US" w:eastAsia="zh-CN"/>
              </w:rPr>
              <w:t>3</w:t>
            </w:r>
            <w:r>
              <w:rPr>
                <w:rFonts w:hint="default" w:ascii="Times New Roman" w:hAnsi="Times New Roman" w:eastAsia="宋体" w:cs="Times New Roman"/>
                <w:sz w:val="24"/>
                <w:highlight w:val="none"/>
                <w:lang w:val="en-US" w:eastAsia="zh-CN"/>
              </w:rPr>
              <w:t xml:space="preserve"> /d（434.4 m</w:t>
            </w:r>
            <w:r>
              <w:rPr>
                <w:rFonts w:hint="default" w:ascii="Times New Roman" w:hAnsi="Times New Roman" w:eastAsia="宋体" w:cs="Times New Roman"/>
                <w:sz w:val="24"/>
                <w:highlight w:val="none"/>
                <w:vertAlign w:val="superscript"/>
                <w:lang w:val="en-US" w:eastAsia="zh-CN"/>
              </w:rPr>
              <w:t>3</w:t>
            </w:r>
            <w:r>
              <w:rPr>
                <w:rFonts w:hint="default" w:ascii="Times New Roman" w:hAnsi="Times New Roman" w:eastAsia="宋体" w:cs="Times New Roman"/>
                <w:sz w:val="24"/>
                <w:highlight w:val="none"/>
                <w:lang w:val="en-US" w:eastAsia="zh-CN"/>
              </w:rPr>
              <w:t xml:space="preserve"> /a）。</w:t>
            </w:r>
          </w:p>
          <w:p w14:paraId="7409A7DC">
            <w:pPr>
              <w:numPr>
                <w:ilvl w:val="0"/>
                <w:numId w:val="50"/>
              </w:numPr>
              <w:adjustRightInd w:val="0"/>
              <w:spacing w:line="360" w:lineRule="auto"/>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生活污水</w:t>
            </w:r>
          </w:p>
          <w:p w14:paraId="5EFD8EEE">
            <w:pPr>
              <w:adjustRightInd w:val="0"/>
              <w:spacing w:line="360" w:lineRule="auto"/>
              <w:ind w:firstLine="600" w:firstLineChars="25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本项目生活污水排放量为425m</w:t>
            </w:r>
            <w:r>
              <w:rPr>
                <w:rFonts w:hint="default" w:ascii="Times New Roman" w:hAnsi="Times New Roman" w:eastAsia="宋体" w:cs="Times New Roman"/>
                <w:sz w:val="24"/>
                <w:highlight w:val="none"/>
                <w:vertAlign w:val="superscript"/>
                <w:lang w:val="en-US" w:eastAsia="zh-CN"/>
              </w:rPr>
              <w:t>3</w:t>
            </w:r>
            <w:r>
              <w:rPr>
                <w:rFonts w:hint="default" w:ascii="Times New Roman" w:hAnsi="Times New Roman" w:eastAsia="宋体" w:cs="Times New Roman"/>
                <w:sz w:val="24"/>
                <w:highlight w:val="none"/>
                <w:lang w:val="en-US" w:eastAsia="zh-CN"/>
              </w:rPr>
              <w:t xml:space="preserve"> /a，根据《水工业工程设计手册-建筑和小区给排水》中</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12.2.2 污水水量和水质</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en-US" w:eastAsia="zh-CN"/>
              </w:rPr>
              <w:t>，本项目生活污水水质及排放量参数详见下表。</w:t>
            </w:r>
          </w:p>
          <w:p w14:paraId="6B94BC88">
            <w:pPr>
              <w:numPr>
                <w:ilvl w:val="0"/>
                <w:numId w:val="48"/>
              </w:numPr>
              <w:adjustRightInd w:val="0"/>
              <w:snapToGrid w:val="0"/>
              <w:ind w:left="425" w:leftChars="0" w:hanging="425" w:firstLineChars="0"/>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lang w:val="en-US" w:eastAsia="zh-CN"/>
              </w:rPr>
              <w:t xml:space="preserve"> </w:t>
            </w:r>
            <w:r>
              <w:rPr>
                <w:rFonts w:hint="default" w:ascii="Times New Roman" w:hAnsi="Times New Roman" w:eastAsia="宋体" w:cs="Times New Roman"/>
                <w:b/>
                <w:bCs/>
                <w:sz w:val="24"/>
                <w:highlight w:val="none"/>
              </w:rPr>
              <w:t>生活污水水质</w:t>
            </w:r>
            <w:r>
              <w:rPr>
                <w:rFonts w:hint="default" w:ascii="Times New Roman" w:hAnsi="Times New Roman" w:eastAsia="宋体" w:cs="Times New Roman"/>
                <w:b/>
                <w:bCs/>
                <w:sz w:val="24"/>
                <w:highlight w:val="none"/>
                <w:lang w:val="en-US" w:eastAsia="zh-CN"/>
              </w:rPr>
              <w:t>及排放量</w:t>
            </w:r>
          </w:p>
          <w:tbl>
            <w:tblPr>
              <w:tblStyle w:val="17"/>
              <w:tblW w:w="7657"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2566"/>
              <w:gridCol w:w="1018"/>
              <w:gridCol w:w="1018"/>
              <w:gridCol w:w="1018"/>
              <w:gridCol w:w="1018"/>
              <w:gridCol w:w="1019"/>
            </w:tblGrid>
            <w:tr w14:paraId="2D7DEFF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675" w:type="pct"/>
                  <w:tcBorders>
                    <w:tl2br w:val="nil"/>
                    <w:tr2bl w:val="nil"/>
                  </w:tcBorders>
                  <w:vAlign w:val="center"/>
                </w:tcPr>
                <w:p w14:paraId="74D584CE">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项目</w:t>
                  </w:r>
                </w:p>
              </w:tc>
              <w:tc>
                <w:tcPr>
                  <w:tcW w:w="664" w:type="pct"/>
                  <w:tcBorders>
                    <w:tl2br w:val="nil"/>
                    <w:tr2bl w:val="nil"/>
                  </w:tcBorders>
                  <w:vAlign w:val="center"/>
                </w:tcPr>
                <w:p w14:paraId="06BD8466">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COD</w:t>
                  </w:r>
                  <w:r>
                    <w:rPr>
                      <w:rFonts w:hint="default" w:ascii="Times New Roman" w:hAnsi="Times New Roman" w:eastAsia="宋体" w:cs="Times New Roman"/>
                      <w:b/>
                      <w:szCs w:val="21"/>
                      <w:highlight w:val="none"/>
                      <w:vertAlign w:val="subscript"/>
                    </w:rPr>
                    <w:t>Cr</w:t>
                  </w:r>
                </w:p>
              </w:tc>
              <w:tc>
                <w:tcPr>
                  <w:tcW w:w="664" w:type="pct"/>
                  <w:tcBorders>
                    <w:tl2br w:val="nil"/>
                    <w:tr2bl w:val="nil"/>
                  </w:tcBorders>
                  <w:vAlign w:val="center"/>
                </w:tcPr>
                <w:p w14:paraId="4DD071A4">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BOD</w:t>
                  </w:r>
                  <w:r>
                    <w:rPr>
                      <w:rFonts w:hint="default" w:ascii="Times New Roman" w:hAnsi="Times New Roman" w:eastAsia="宋体" w:cs="Times New Roman"/>
                      <w:b/>
                      <w:szCs w:val="21"/>
                      <w:highlight w:val="none"/>
                      <w:vertAlign w:val="subscript"/>
                    </w:rPr>
                    <w:t>5</w:t>
                  </w:r>
                </w:p>
              </w:tc>
              <w:tc>
                <w:tcPr>
                  <w:tcW w:w="664" w:type="pct"/>
                  <w:tcBorders>
                    <w:tl2br w:val="nil"/>
                    <w:tr2bl w:val="nil"/>
                  </w:tcBorders>
                  <w:vAlign w:val="center"/>
                </w:tcPr>
                <w:p w14:paraId="2053B992">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SS</w:t>
                  </w:r>
                </w:p>
              </w:tc>
              <w:tc>
                <w:tcPr>
                  <w:tcW w:w="664" w:type="pct"/>
                  <w:tcBorders>
                    <w:tl2br w:val="nil"/>
                    <w:tr2bl w:val="nil"/>
                  </w:tcBorders>
                  <w:vAlign w:val="center"/>
                </w:tcPr>
                <w:p w14:paraId="1FB181D6">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氨氮</w:t>
                  </w:r>
                </w:p>
              </w:tc>
              <w:tc>
                <w:tcPr>
                  <w:tcW w:w="665" w:type="pct"/>
                  <w:tcBorders>
                    <w:tl2br w:val="nil"/>
                    <w:tr2bl w:val="nil"/>
                  </w:tcBorders>
                  <w:vAlign w:val="center"/>
                </w:tcPr>
                <w:p w14:paraId="418201D8">
                  <w:pPr>
                    <w:adjustRightInd w:val="0"/>
                    <w:snapToGrid w:val="0"/>
                    <w:jc w:val="center"/>
                    <w:rPr>
                      <w:rFonts w:hint="default" w:ascii="Times New Roman" w:hAnsi="Times New Roman" w:eastAsia="宋体" w:cs="Times New Roman"/>
                      <w:b/>
                      <w:szCs w:val="21"/>
                      <w:highlight w:val="none"/>
                      <w:lang w:eastAsia="zh-CN"/>
                    </w:rPr>
                  </w:pPr>
                  <w:r>
                    <w:rPr>
                      <w:rFonts w:hint="default" w:ascii="Times New Roman" w:hAnsi="Times New Roman" w:eastAsia="宋体" w:cs="Times New Roman"/>
                      <w:b/>
                      <w:szCs w:val="21"/>
                      <w:highlight w:val="none"/>
                      <w:lang w:eastAsia="zh-CN"/>
                    </w:rPr>
                    <w:t>pH</w:t>
                  </w:r>
                </w:p>
              </w:tc>
            </w:tr>
            <w:tr w14:paraId="769A170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6" w:hRule="atLeast"/>
                <w:jc w:val="center"/>
              </w:trPr>
              <w:tc>
                <w:tcPr>
                  <w:tcW w:w="1675" w:type="pct"/>
                  <w:tcBorders>
                    <w:tl2br w:val="nil"/>
                    <w:tr2bl w:val="nil"/>
                  </w:tcBorders>
                  <w:vAlign w:val="center"/>
                </w:tcPr>
                <w:p w14:paraId="32A3F84B">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浓度范围</w:t>
                  </w:r>
                  <w:r>
                    <w:rPr>
                      <w:rFonts w:hint="default" w:ascii="Times New Roman" w:hAnsi="Times New Roman" w:eastAsia="宋体" w:cs="Times New Roman"/>
                      <w:szCs w:val="21"/>
                      <w:highlight w:val="none"/>
                    </w:rPr>
                    <w:t>（mg/L）</w:t>
                  </w:r>
                </w:p>
              </w:tc>
              <w:tc>
                <w:tcPr>
                  <w:tcW w:w="664" w:type="pct"/>
                  <w:tcBorders>
                    <w:tl2br w:val="nil"/>
                    <w:tr2bl w:val="nil"/>
                  </w:tcBorders>
                  <w:vAlign w:val="center"/>
                </w:tcPr>
                <w:p w14:paraId="3826C9FE">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350~450</w:t>
                  </w:r>
                </w:p>
              </w:tc>
              <w:tc>
                <w:tcPr>
                  <w:tcW w:w="664" w:type="pct"/>
                  <w:tcBorders>
                    <w:tl2br w:val="nil"/>
                    <w:tr2bl w:val="nil"/>
                  </w:tcBorders>
                  <w:vAlign w:val="center"/>
                </w:tcPr>
                <w:p w14:paraId="53E6805F">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180~250</w:t>
                  </w:r>
                </w:p>
              </w:tc>
              <w:tc>
                <w:tcPr>
                  <w:tcW w:w="664" w:type="pct"/>
                  <w:tcBorders>
                    <w:tl2br w:val="nil"/>
                    <w:tr2bl w:val="nil"/>
                  </w:tcBorders>
                  <w:vAlign w:val="center"/>
                </w:tcPr>
                <w:p w14:paraId="435E7548">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200~300</w:t>
                  </w:r>
                </w:p>
              </w:tc>
              <w:tc>
                <w:tcPr>
                  <w:tcW w:w="664" w:type="pct"/>
                  <w:tcBorders>
                    <w:tl2br w:val="nil"/>
                    <w:tr2bl w:val="nil"/>
                  </w:tcBorders>
                  <w:vAlign w:val="center"/>
                </w:tcPr>
                <w:p w14:paraId="73E98A05">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35~40</w:t>
                  </w:r>
                </w:p>
              </w:tc>
              <w:tc>
                <w:tcPr>
                  <w:tcW w:w="665" w:type="pct"/>
                  <w:tcBorders>
                    <w:tl2br w:val="nil"/>
                    <w:tr2bl w:val="nil"/>
                  </w:tcBorders>
                  <w:vAlign w:val="center"/>
                </w:tcPr>
                <w:p w14:paraId="70627D2C">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6.5~7.5</w:t>
                  </w:r>
                </w:p>
              </w:tc>
            </w:tr>
            <w:tr w14:paraId="4862444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45" w:hRule="atLeast"/>
                <w:jc w:val="center"/>
              </w:trPr>
              <w:tc>
                <w:tcPr>
                  <w:tcW w:w="1675" w:type="pct"/>
                  <w:tcBorders>
                    <w:tl2br w:val="nil"/>
                    <w:tr2bl w:val="nil"/>
                  </w:tcBorders>
                  <w:vAlign w:val="center"/>
                </w:tcPr>
                <w:p w14:paraId="50ED02C4">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本项目取值</w:t>
                  </w:r>
                  <w:r>
                    <w:rPr>
                      <w:rFonts w:hint="default" w:ascii="Times New Roman" w:hAnsi="Times New Roman" w:eastAsia="宋体" w:cs="Times New Roman"/>
                      <w:szCs w:val="21"/>
                      <w:highlight w:val="none"/>
                    </w:rPr>
                    <w:t>（mg/L）</w:t>
                  </w:r>
                </w:p>
              </w:tc>
              <w:tc>
                <w:tcPr>
                  <w:tcW w:w="664" w:type="pct"/>
                  <w:tcBorders>
                    <w:tl2br w:val="nil"/>
                    <w:tr2bl w:val="nil"/>
                  </w:tcBorders>
                  <w:vAlign w:val="center"/>
                </w:tcPr>
                <w:p w14:paraId="20F4F307">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450</w:t>
                  </w:r>
                </w:p>
              </w:tc>
              <w:tc>
                <w:tcPr>
                  <w:tcW w:w="664" w:type="pct"/>
                  <w:tcBorders>
                    <w:tl2br w:val="nil"/>
                    <w:tr2bl w:val="nil"/>
                  </w:tcBorders>
                  <w:vAlign w:val="center"/>
                </w:tcPr>
                <w:p w14:paraId="60881415">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250</w:t>
                  </w:r>
                </w:p>
              </w:tc>
              <w:tc>
                <w:tcPr>
                  <w:tcW w:w="664" w:type="pct"/>
                  <w:tcBorders>
                    <w:tl2br w:val="nil"/>
                    <w:tr2bl w:val="nil"/>
                  </w:tcBorders>
                  <w:vAlign w:val="center"/>
                </w:tcPr>
                <w:p w14:paraId="28ADA4A5">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300</w:t>
                  </w:r>
                </w:p>
              </w:tc>
              <w:tc>
                <w:tcPr>
                  <w:tcW w:w="664" w:type="pct"/>
                  <w:tcBorders>
                    <w:tl2br w:val="nil"/>
                    <w:tr2bl w:val="nil"/>
                  </w:tcBorders>
                  <w:vAlign w:val="center"/>
                </w:tcPr>
                <w:p w14:paraId="38F0C952">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40</w:t>
                  </w:r>
                </w:p>
              </w:tc>
              <w:tc>
                <w:tcPr>
                  <w:tcW w:w="665" w:type="pct"/>
                  <w:tcBorders>
                    <w:tl2br w:val="nil"/>
                    <w:tr2bl w:val="nil"/>
                  </w:tcBorders>
                  <w:vAlign w:val="center"/>
                </w:tcPr>
                <w:p w14:paraId="1546AC3C">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6.5~7.5</w:t>
                  </w:r>
                </w:p>
              </w:tc>
            </w:tr>
            <w:tr w14:paraId="59698ED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45" w:hRule="atLeast"/>
                <w:jc w:val="center"/>
              </w:trPr>
              <w:tc>
                <w:tcPr>
                  <w:tcW w:w="1675" w:type="pct"/>
                  <w:tcBorders>
                    <w:tl2br w:val="nil"/>
                    <w:tr2bl w:val="nil"/>
                  </w:tcBorders>
                  <w:vAlign w:val="center"/>
                </w:tcPr>
                <w:p w14:paraId="3AC5694A">
                  <w:pPr>
                    <w:keepNext w:val="0"/>
                    <w:keepLines w:val="0"/>
                    <w:widowControl/>
                    <w:suppressLineNumbers w:val="0"/>
                    <w:ind w:firstLine="420" w:firstLineChars="20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排放量量（</w:t>
                  </w:r>
                  <w:r>
                    <w:rPr>
                      <w:rFonts w:hint="default" w:ascii="Times New Roman" w:hAnsi="Times New Roman" w:eastAsia="宋体" w:cs="Times New Roman"/>
                      <w:color w:val="000000"/>
                      <w:kern w:val="0"/>
                      <w:sz w:val="21"/>
                      <w:szCs w:val="21"/>
                      <w:lang w:val="en-US" w:eastAsia="zh-CN" w:bidi="ar"/>
                    </w:rPr>
                    <w:t>t/a</w:t>
                  </w:r>
                  <w:r>
                    <w:rPr>
                      <w:rFonts w:hint="default" w:ascii="Times New Roman" w:hAnsi="Times New Roman" w:eastAsia="宋体" w:cs="Times New Roman"/>
                      <w:szCs w:val="21"/>
                      <w:highlight w:val="none"/>
                      <w:lang w:val="en-US" w:eastAsia="zh-CN"/>
                    </w:rPr>
                    <w:t>）</w:t>
                  </w:r>
                </w:p>
              </w:tc>
              <w:tc>
                <w:tcPr>
                  <w:tcW w:w="664" w:type="pct"/>
                  <w:tcBorders>
                    <w:tl2br w:val="nil"/>
                    <w:tr2bl w:val="nil"/>
                  </w:tcBorders>
                  <w:vAlign w:val="center"/>
                </w:tcPr>
                <w:p w14:paraId="1991A26F">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0.1913</w:t>
                  </w:r>
                </w:p>
              </w:tc>
              <w:tc>
                <w:tcPr>
                  <w:tcW w:w="664" w:type="pct"/>
                  <w:tcBorders>
                    <w:tl2br w:val="nil"/>
                    <w:tr2bl w:val="nil"/>
                  </w:tcBorders>
                  <w:vAlign w:val="center"/>
                </w:tcPr>
                <w:p w14:paraId="4E95C042">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0.1063</w:t>
                  </w:r>
                </w:p>
              </w:tc>
              <w:tc>
                <w:tcPr>
                  <w:tcW w:w="664" w:type="pct"/>
                  <w:tcBorders>
                    <w:tl2br w:val="nil"/>
                    <w:tr2bl w:val="nil"/>
                  </w:tcBorders>
                  <w:vAlign w:val="center"/>
                </w:tcPr>
                <w:p w14:paraId="507C1038">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0.1275</w:t>
                  </w:r>
                </w:p>
              </w:tc>
              <w:tc>
                <w:tcPr>
                  <w:tcW w:w="664" w:type="pct"/>
                  <w:tcBorders>
                    <w:tl2br w:val="nil"/>
                    <w:tr2bl w:val="nil"/>
                  </w:tcBorders>
                  <w:vAlign w:val="center"/>
                </w:tcPr>
                <w:p w14:paraId="6CCC5270">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0.0170</w:t>
                  </w:r>
                </w:p>
              </w:tc>
              <w:tc>
                <w:tcPr>
                  <w:tcW w:w="665" w:type="pct"/>
                  <w:tcBorders>
                    <w:tl2br w:val="nil"/>
                    <w:tr2bl w:val="nil"/>
                  </w:tcBorders>
                  <w:vAlign w:val="center"/>
                </w:tcPr>
                <w:p w14:paraId="59187A3F">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w:t>
                  </w:r>
                </w:p>
              </w:tc>
            </w:tr>
          </w:tbl>
          <w:p w14:paraId="2BDC7448">
            <w:pPr>
              <w:numPr>
                <w:ilvl w:val="0"/>
                <w:numId w:val="50"/>
              </w:numPr>
              <w:adjustRightInd w:val="0"/>
              <w:spacing w:line="360" w:lineRule="auto"/>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纯水制备</w:t>
            </w:r>
            <w:r>
              <w:rPr>
                <w:rFonts w:hint="default" w:ascii="Times New Roman" w:hAnsi="Times New Roman" w:eastAsia="宋体" w:cs="Times New Roman"/>
                <w:sz w:val="24"/>
                <w:highlight w:val="none"/>
                <w:lang w:val="en-US" w:eastAsia="zh-CN"/>
              </w:rPr>
              <w:t>及超声波清洗</w:t>
            </w:r>
            <w:r>
              <w:rPr>
                <w:rFonts w:hint="default" w:ascii="Times New Roman" w:hAnsi="Times New Roman" w:eastAsia="宋体" w:cs="Times New Roman"/>
                <w:sz w:val="24"/>
                <w:highlight w:val="none"/>
              </w:rPr>
              <w:t>废水</w:t>
            </w:r>
            <w:bookmarkStart w:id="1" w:name="制备废水"/>
            <w:bookmarkEnd w:id="1"/>
          </w:p>
          <w:p w14:paraId="0C0C9413">
            <w:pPr>
              <w:numPr>
                <w:ilvl w:val="0"/>
                <w:numId w:val="0"/>
              </w:numPr>
              <w:tabs>
                <w:tab w:val="left" w:pos="0"/>
              </w:tabs>
              <w:spacing w:line="360" w:lineRule="auto"/>
              <w:ind w:firstLine="480" w:firstLineChars="200"/>
              <w:rPr>
                <w:rFonts w:hint="default" w:ascii="Times New Roman" w:hAnsi="Times New Roman" w:eastAsia="宋体" w:cs="Times New Roman"/>
                <w:bCs/>
                <w:sz w:val="24"/>
                <w:highlight w:val="none"/>
                <w:lang w:val="en-US" w:eastAsia="zh-CN"/>
              </w:rPr>
            </w:pPr>
            <w:r>
              <w:rPr>
                <w:rFonts w:hint="default" w:ascii="Times New Roman" w:hAnsi="Times New Roman" w:eastAsia="宋体" w:cs="Times New Roman"/>
                <w:bCs/>
                <w:sz w:val="24"/>
                <w:highlight w:val="none"/>
                <w:lang w:val="en-US" w:eastAsia="zh-CN"/>
              </w:rPr>
              <w:t>本项目纯水制备废水产生量9.49m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lang w:val="en-US" w:eastAsia="zh-CN"/>
              </w:rPr>
              <w:t xml:space="preserve"> /a，超声波清洗废水0.45m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lang w:val="en-US" w:eastAsia="zh-CN"/>
              </w:rPr>
              <w:t xml:space="preserve"> /a，超声波清使用纯水，不使用清洗剂，清洗件只含积尘，纯水制备废水与超声波清洗废水水质相近，参照《社会区域类环境影响评价》（中国科学出版社）中数据，本项目纯水制备废水</w:t>
            </w:r>
            <w:r>
              <w:rPr>
                <w:rFonts w:hint="default" w:ascii="Times New Roman" w:hAnsi="Times New Roman" w:eastAsia="宋体" w:cs="Times New Roman"/>
                <w:sz w:val="24"/>
                <w:highlight w:val="none"/>
                <w:lang w:val="en-US" w:eastAsia="zh-CN"/>
              </w:rPr>
              <w:t>水质及排放量参数详见下表</w:t>
            </w:r>
            <w:r>
              <w:rPr>
                <w:rFonts w:hint="default" w:ascii="Times New Roman" w:hAnsi="Times New Roman" w:eastAsia="宋体" w:cs="Times New Roman"/>
                <w:bCs/>
                <w:sz w:val="24"/>
                <w:highlight w:val="none"/>
                <w:lang w:val="en-US" w:eastAsia="zh-CN"/>
              </w:rPr>
              <w:t>。</w:t>
            </w:r>
          </w:p>
          <w:p w14:paraId="1BDFFAC1">
            <w:pPr>
              <w:numPr>
                <w:ilvl w:val="0"/>
                <w:numId w:val="48"/>
              </w:numPr>
              <w:adjustRightInd w:val="0"/>
              <w:snapToGrid w:val="0"/>
              <w:ind w:left="425" w:leftChars="0" w:hanging="425" w:firstLineChars="0"/>
              <w:jc w:val="center"/>
              <w:rPr>
                <w:rFonts w:hint="default" w:ascii="Times New Roman" w:hAnsi="Times New Roman" w:eastAsia="宋体" w:cs="Times New Roman"/>
              </w:rPr>
            </w:pPr>
            <w:r>
              <w:rPr>
                <w:rFonts w:hint="default" w:ascii="Times New Roman" w:hAnsi="Times New Roman" w:eastAsia="宋体" w:cs="Times New Roman"/>
                <w:b/>
                <w:bCs/>
                <w:color w:val="000000"/>
                <w:kern w:val="0"/>
                <w:sz w:val="24"/>
                <w:szCs w:val="24"/>
                <w:lang w:val="en-US" w:eastAsia="zh-CN" w:bidi="ar"/>
              </w:rPr>
              <w:t>纯水制备废水产生情况一览表</w:t>
            </w:r>
          </w:p>
          <w:tbl>
            <w:tblPr>
              <w:tblStyle w:val="17"/>
              <w:tblW w:w="7617"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2025"/>
              <w:gridCol w:w="931"/>
              <w:gridCol w:w="931"/>
              <w:gridCol w:w="931"/>
              <w:gridCol w:w="933"/>
              <w:gridCol w:w="933"/>
              <w:gridCol w:w="933"/>
            </w:tblGrid>
            <w:tr w14:paraId="40C1CB9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62" w:hRule="atLeast"/>
                <w:jc w:val="center"/>
              </w:trPr>
              <w:tc>
                <w:tcPr>
                  <w:tcW w:w="1329" w:type="pct"/>
                  <w:tcBorders>
                    <w:tl2br w:val="nil"/>
                    <w:tr2bl w:val="nil"/>
                  </w:tcBorders>
                  <w:vAlign w:val="center"/>
                </w:tcPr>
                <w:p w14:paraId="5A794ED9">
                  <w:pPr>
                    <w:adjustRightInd w:val="0"/>
                    <w:snapToGrid w:val="0"/>
                    <w:jc w:val="center"/>
                    <w:rPr>
                      <w:rFonts w:hint="default" w:ascii="Times New Roman" w:hAnsi="Times New Roman" w:eastAsia="宋体" w:cs="Times New Roman"/>
                      <w:b/>
                      <w:szCs w:val="21"/>
                      <w:highlight w:val="none"/>
                      <w:lang w:val="en-US" w:eastAsia="zh-CN"/>
                    </w:rPr>
                  </w:pPr>
                  <w:r>
                    <w:rPr>
                      <w:rFonts w:hint="default" w:ascii="Times New Roman" w:hAnsi="Times New Roman" w:eastAsia="宋体" w:cs="Times New Roman"/>
                      <w:b/>
                      <w:szCs w:val="21"/>
                      <w:highlight w:val="none"/>
                      <w:lang w:val="en-US" w:eastAsia="zh-CN"/>
                    </w:rPr>
                    <w:t>项目</w:t>
                  </w:r>
                </w:p>
              </w:tc>
              <w:tc>
                <w:tcPr>
                  <w:tcW w:w="611" w:type="pct"/>
                  <w:tcBorders>
                    <w:tl2br w:val="nil"/>
                    <w:tr2bl w:val="nil"/>
                  </w:tcBorders>
                  <w:vAlign w:val="center"/>
                </w:tcPr>
                <w:p w14:paraId="54EA465B">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COD</w:t>
                  </w:r>
                  <w:r>
                    <w:rPr>
                      <w:rFonts w:hint="default" w:ascii="Times New Roman" w:hAnsi="Times New Roman" w:eastAsia="宋体" w:cs="Times New Roman"/>
                      <w:b/>
                      <w:szCs w:val="21"/>
                      <w:highlight w:val="none"/>
                      <w:vertAlign w:val="subscript"/>
                    </w:rPr>
                    <w:t>Cr</w:t>
                  </w:r>
                </w:p>
              </w:tc>
              <w:tc>
                <w:tcPr>
                  <w:tcW w:w="611" w:type="pct"/>
                  <w:tcBorders>
                    <w:tl2br w:val="nil"/>
                    <w:tr2bl w:val="nil"/>
                  </w:tcBorders>
                  <w:vAlign w:val="center"/>
                </w:tcPr>
                <w:p w14:paraId="7E73E123">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BOD</w:t>
                  </w:r>
                  <w:r>
                    <w:rPr>
                      <w:rFonts w:hint="default" w:ascii="Times New Roman" w:hAnsi="Times New Roman" w:eastAsia="宋体" w:cs="Times New Roman"/>
                      <w:b/>
                      <w:szCs w:val="21"/>
                      <w:highlight w:val="none"/>
                      <w:vertAlign w:val="subscript"/>
                    </w:rPr>
                    <w:t>5</w:t>
                  </w:r>
                </w:p>
              </w:tc>
              <w:tc>
                <w:tcPr>
                  <w:tcW w:w="611" w:type="pct"/>
                  <w:tcBorders>
                    <w:tl2br w:val="nil"/>
                    <w:tr2bl w:val="nil"/>
                  </w:tcBorders>
                  <w:vAlign w:val="center"/>
                </w:tcPr>
                <w:p w14:paraId="2B20E782">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SS</w:t>
                  </w:r>
                </w:p>
              </w:tc>
              <w:tc>
                <w:tcPr>
                  <w:tcW w:w="612" w:type="pct"/>
                  <w:tcBorders>
                    <w:tl2br w:val="nil"/>
                    <w:tr2bl w:val="nil"/>
                  </w:tcBorders>
                  <w:vAlign w:val="center"/>
                </w:tcPr>
                <w:p w14:paraId="61450183">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氨氮</w:t>
                  </w:r>
                </w:p>
              </w:tc>
              <w:tc>
                <w:tcPr>
                  <w:tcW w:w="612" w:type="pct"/>
                  <w:tcBorders>
                    <w:tl2br w:val="nil"/>
                    <w:tr2bl w:val="nil"/>
                  </w:tcBorders>
                  <w:vAlign w:val="center"/>
                </w:tcPr>
                <w:p w14:paraId="73EFCD88">
                  <w:pPr>
                    <w:adjustRightInd w:val="0"/>
                    <w:snapToGrid w:val="0"/>
                    <w:jc w:val="center"/>
                    <w:rPr>
                      <w:rFonts w:hint="default" w:ascii="Times New Roman" w:hAnsi="Times New Roman" w:eastAsia="宋体" w:cs="Times New Roman"/>
                      <w:b/>
                      <w:szCs w:val="21"/>
                      <w:highlight w:val="none"/>
                      <w:lang w:val="en-US" w:eastAsia="zh-CN"/>
                    </w:rPr>
                  </w:pPr>
                  <w:r>
                    <w:rPr>
                      <w:rFonts w:hint="default" w:ascii="Times New Roman" w:hAnsi="Times New Roman" w:eastAsia="宋体" w:cs="Times New Roman"/>
                      <w:b/>
                      <w:szCs w:val="21"/>
                      <w:highlight w:val="none"/>
                      <w:lang w:val="en-US" w:eastAsia="zh-CN"/>
                    </w:rPr>
                    <w:t>可溶性固体总量</w:t>
                  </w:r>
                </w:p>
              </w:tc>
              <w:tc>
                <w:tcPr>
                  <w:tcW w:w="612" w:type="pct"/>
                  <w:tcBorders>
                    <w:tl2br w:val="nil"/>
                    <w:tr2bl w:val="nil"/>
                  </w:tcBorders>
                  <w:vAlign w:val="center"/>
                </w:tcPr>
                <w:p w14:paraId="2B6E137A">
                  <w:pPr>
                    <w:adjustRightInd w:val="0"/>
                    <w:snapToGrid w:val="0"/>
                    <w:jc w:val="center"/>
                    <w:rPr>
                      <w:rFonts w:hint="default" w:ascii="Times New Roman" w:hAnsi="Times New Roman" w:eastAsia="宋体" w:cs="Times New Roman"/>
                      <w:b/>
                      <w:szCs w:val="21"/>
                      <w:highlight w:val="none"/>
                      <w:lang w:val="en-US" w:eastAsia="zh-CN"/>
                    </w:rPr>
                  </w:pPr>
                  <w:r>
                    <w:rPr>
                      <w:rFonts w:hint="default" w:ascii="Times New Roman" w:hAnsi="Times New Roman" w:eastAsia="宋体" w:cs="Times New Roman"/>
                      <w:b/>
                      <w:szCs w:val="21"/>
                      <w:highlight w:val="none"/>
                      <w:lang w:val="en-US" w:eastAsia="zh-CN"/>
                    </w:rPr>
                    <w:t>pH</w:t>
                  </w:r>
                </w:p>
              </w:tc>
            </w:tr>
            <w:tr w14:paraId="34F1E7F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1" w:hRule="atLeast"/>
                <w:jc w:val="center"/>
              </w:trPr>
              <w:tc>
                <w:tcPr>
                  <w:tcW w:w="1329" w:type="pct"/>
                  <w:tcBorders>
                    <w:tl2br w:val="nil"/>
                    <w:tr2bl w:val="nil"/>
                  </w:tcBorders>
                  <w:vAlign w:val="center"/>
                </w:tcPr>
                <w:p w14:paraId="3C91A7DE">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纯水制备废水</w:t>
                  </w:r>
                  <w:r>
                    <w:rPr>
                      <w:rFonts w:hint="default" w:ascii="Times New Roman" w:hAnsi="Times New Roman" w:eastAsia="宋体" w:cs="Times New Roman"/>
                      <w:szCs w:val="21"/>
                      <w:highlight w:val="none"/>
                    </w:rPr>
                    <w:t>（mg/L）</w:t>
                  </w:r>
                </w:p>
              </w:tc>
              <w:tc>
                <w:tcPr>
                  <w:tcW w:w="611" w:type="pct"/>
                  <w:tcBorders>
                    <w:tl2br w:val="nil"/>
                    <w:tr2bl w:val="nil"/>
                  </w:tcBorders>
                  <w:vAlign w:val="center"/>
                </w:tcPr>
                <w:p w14:paraId="494DADA9">
                  <w:pPr>
                    <w:adjustRightInd w:val="0"/>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50</w:t>
                  </w:r>
                </w:p>
              </w:tc>
              <w:tc>
                <w:tcPr>
                  <w:tcW w:w="611" w:type="pct"/>
                  <w:tcBorders>
                    <w:tl2br w:val="nil"/>
                    <w:tr2bl w:val="nil"/>
                  </w:tcBorders>
                  <w:vAlign w:val="center"/>
                </w:tcPr>
                <w:p w14:paraId="4911AE4A">
                  <w:pPr>
                    <w:adjustRightInd w:val="0"/>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30</w:t>
                  </w:r>
                </w:p>
              </w:tc>
              <w:tc>
                <w:tcPr>
                  <w:tcW w:w="611" w:type="pct"/>
                  <w:tcBorders>
                    <w:tl2br w:val="nil"/>
                    <w:tr2bl w:val="nil"/>
                  </w:tcBorders>
                  <w:vAlign w:val="center"/>
                </w:tcPr>
                <w:p w14:paraId="539ECB21">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1</w:t>
                  </w:r>
                  <w:r>
                    <w:rPr>
                      <w:rFonts w:hint="default" w:ascii="Times New Roman" w:hAnsi="Times New Roman" w:eastAsia="宋体" w:cs="Times New Roman"/>
                      <w:szCs w:val="21"/>
                      <w:highlight w:val="none"/>
                    </w:rPr>
                    <w:t>00</w:t>
                  </w:r>
                </w:p>
              </w:tc>
              <w:tc>
                <w:tcPr>
                  <w:tcW w:w="612" w:type="pct"/>
                  <w:tcBorders>
                    <w:tl2br w:val="nil"/>
                    <w:tr2bl w:val="nil"/>
                  </w:tcBorders>
                  <w:vAlign w:val="center"/>
                </w:tcPr>
                <w:p w14:paraId="3F71AB25">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10</w:t>
                  </w:r>
                </w:p>
              </w:tc>
              <w:tc>
                <w:tcPr>
                  <w:tcW w:w="612" w:type="pct"/>
                  <w:tcBorders>
                    <w:tl2br w:val="nil"/>
                    <w:tr2bl w:val="nil"/>
                  </w:tcBorders>
                  <w:vAlign w:val="center"/>
                </w:tcPr>
                <w:p w14:paraId="1ECE19C4">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1200</w:t>
                  </w:r>
                </w:p>
              </w:tc>
              <w:tc>
                <w:tcPr>
                  <w:tcW w:w="612" w:type="pct"/>
                  <w:tcBorders>
                    <w:tl2br w:val="nil"/>
                    <w:tr2bl w:val="nil"/>
                  </w:tcBorders>
                  <w:vAlign w:val="center"/>
                </w:tcPr>
                <w:p w14:paraId="22CE336E">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6.5-9</w:t>
                  </w:r>
                </w:p>
              </w:tc>
            </w:tr>
            <w:tr w14:paraId="60D08E0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73" w:hRule="atLeast"/>
                <w:jc w:val="center"/>
              </w:trPr>
              <w:tc>
                <w:tcPr>
                  <w:tcW w:w="1329" w:type="pct"/>
                  <w:tcBorders>
                    <w:tl2br w:val="nil"/>
                    <w:tr2bl w:val="nil"/>
                  </w:tcBorders>
                  <w:vAlign w:val="center"/>
                </w:tcPr>
                <w:p w14:paraId="4C8B3523">
                  <w:pPr>
                    <w:keepNext w:val="0"/>
                    <w:keepLines w:val="0"/>
                    <w:widowControl/>
                    <w:suppressLineNumbers w:val="0"/>
                    <w:ind w:firstLine="210" w:firstLineChars="10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排放量量（</w:t>
                  </w:r>
                  <w:r>
                    <w:rPr>
                      <w:rFonts w:hint="default" w:ascii="Times New Roman" w:hAnsi="Times New Roman" w:eastAsia="宋体" w:cs="Times New Roman"/>
                      <w:color w:val="000000"/>
                      <w:kern w:val="0"/>
                      <w:sz w:val="21"/>
                      <w:szCs w:val="21"/>
                      <w:lang w:val="en-US" w:eastAsia="zh-CN" w:bidi="ar"/>
                    </w:rPr>
                    <w:t>t/a</w:t>
                  </w:r>
                  <w:r>
                    <w:rPr>
                      <w:rFonts w:hint="default" w:ascii="Times New Roman" w:hAnsi="Times New Roman" w:eastAsia="宋体" w:cs="Times New Roman"/>
                      <w:szCs w:val="21"/>
                      <w:highlight w:val="none"/>
                      <w:lang w:val="en-US" w:eastAsia="zh-CN"/>
                    </w:rPr>
                    <w:t>）</w:t>
                  </w:r>
                </w:p>
              </w:tc>
              <w:tc>
                <w:tcPr>
                  <w:tcW w:w="611" w:type="pct"/>
                  <w:tcBorders>
                    <w:tl2br w:val="nil"/>
                    <w:tr2bl w:val="nil"/>
                  </w:tcBorders>
                  <w:vAlign w:val="center"/>
                </w:tcPr>
                <w:p w14:paraId="54144383">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0.000497</w:t>
                  </w:r>
                </w:p>
              </w:tc>
              <w:tc>
                <w:tcPr>
                  <w:tcW w:w="611" w:type="pct"/>
                  <w:tcBorders>
                    <w:tl2br w:val="nil"/>
                    <w:tr2bl w:val="nil"/>
                  </w:tcBorders>
                  <w:vAlign w:val="center"/>
                </w:tcPr>
                <w:p w14:paraId="0ACF0C1B">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0.000299</w:t>
                  </w:r>
                </w:p>
              </w:tc>
              <w:tc>
                <w:tcPr>
                  <w:tcW w:w="611" w:type="pct"/>
                  <w:tcBorders>
                    <w:tl2br w:val="nil"/>
                    <w:tr2bl w:val="nil"/>
                  </w:tcBorders>
                  <w:vAlign w:val="center"/>
                </w:tcPr>
                <w:p w14:paraId="4D0CD43E">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0.00099</w:t>
                  </w:r>
                </w:p>
              </w:tc>
              <w:tc>
                <w:tcPr>
                  <w:tcW w:w="612" w:type="pct"/>
                  <w:tcBorders>
                    <w:tl2br w:val="nil"/>
                    <w:tr2bl w:val="nil"/>
                  </w:tcBorders>
                  <w:vAlign w:val="center"/>
                </w:tcPr>
                <w:p w14:paraId="246F7B14">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0.000099</w:t>
                  </w:r>
                </w:p>
              </w:tc>
              <w:tc>
                <w:tcPr>
                  <w:tcW w:w="612" w:type="pct"/>
                  <w:tcBorders>
                    <w:tl2br w:val="nil"/>
                    <w:tr2bl w:val="nil"/>
                  </w:tcBorders>
                  <w:vAlign w:val="center"/>
                </w:tcPr>
                <w:p w14:paraId="507D3BA1">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0.011928</w:t>
                  </w:r>
                </w:p>
              </w:tc>
              <w:tc>
                <w:tcPr>
                  <w:tcW w:w="612" w:type="pct"/>
                  <w:tcBorders>
                    <w:tl2br w:val="nil"/>
                    <w:tr2bl w:val="nil"/>
                  </w:tcBorders>
                  <w:vAlign w:val="center"/>
                </w:tcPr>
                <w:p w14:paraId="5DBE190B">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w:t>
                  </w:r>
                </w:p>
              </w:tc>
            </w:tr>
          </w:tbl>
          <w:p w14:paraId="5B24C892">
            <w:pPr>
              <w:numPr>
                <w:ilvl w:val="0"/>
                <w:numId w:val="50"/>
              </w:numPr>
              <w:spacing w:line="360" w:lineRule="auto"/>
              <w:rPr>
                <w:rFonts w:hint="default" w:ascii="Times New Roman" w:hAnsi="Times New Roman" w:eastAsia="宋体" w:cs="Times New Roman"/>
                <w:bCs/>
                <w:sz w:val="24"/>
                <w:highlight w:val="none"/>
                <w:lang w:val="en-US" w:eastAsia="zh-CN"/>
              </w:rPr>
            </w:pPr>
            <w:r>
              <w:rPr>
                <w:rFonts w:hint="default" w:ascii="Times New Roman" w:hAnsi="Times New Roman" w:eastAsia="宋体" w:cs="Times New Roman"/>
                <w:bCs/>
                <w:sz w:val="24"/>
                <w:highlight w:val="none"/>
                <w:lang w:val="en-US" w:eastAsia="zh-CN"/>
              </w:rPr>
              <w:t>其他设备第三次清洗废水：</w:t>
            </w:r>
          </w:p>
          <w:p w14:paraId="099CF035">
            <w:pPr>
              <w:numPr>
                <w:ilvl w:val="0"/>
                <w:numId w:val="0"/>
              </w:numPr>
              <w:tabs>
                <w:tab w:val="left" w:pos="0"/>
              </w:tabs>
              <w:spacing w:line="360" w:lineRule="auto"/>
              <w:ind w:firstLine="480" w:firstLineChars="200"/>
              <w:rPr>
                <w:rFonts w:hint="default" w:ascii="Times New Roman" w:hAnsi="Times New Roman" w:eastAsia="宋体" w:cs="Times New Roman"/>
                <w:bCs/>
                <w:sz w:val="24"/>
                <w:highlight w:val="none"/>
                <w:lang w:val="en-US" w:eastAsia="zh-CN"/>
              </w:rPr>
            </w:pPr>
            <w:r>
              <w:rPr>
                <w:rFonts w:hint="default" w:ascii="Times New Roman" w:hAnsi="Times New Roman" w:eastAsia="宋体" w:cs="Times New Roman"/>
                <w:bCs/>
                <w:sz w:val="24"/>
                <w:highlight w:val="none"/>
                <w:lang w:val="en-US" w:eastAsia="zh-CN"/>
              </w:rPr>
              <w:t>第三次设备清洗废水排放量为 1.3m</w:t>
            </w:r>
            <w:r>
              <w:rPr>
                <w:rFonts w:hint="default" w:ascii="Times New Roman" w:hAnsi="Times New Roman" w:eastAsia="宋体" w:cs="Times New Roman"/>
                <w:bCs/>
                <w:sz w:val="24"/>
                <w:highlight w:val="none"/>
                <w:vertAlign w:val="superscript"/>
                <w:lang w:val="en-US" w:eastAsia="zh-CN"/>
              </w:rPr>
              <w:t>3</w:t>
            </w:r>
            <w:r>
              <w:rPr>
                <w:rFonts w:hint="default" w:ascii="Times New Roman" w:hAnsi="Times New Roman" w:eastAsia="宋体" w:cs="Times New Roman"/>
                <w:bCs/>
                <w:sz w:val="24"/>
                <w:highlight w:val="none"/>
                <w:lang w:val="en-US" w:eastAsia="zh-CN"/>
              </w:rPr>
              <w:t xml:space="preserve"> /a。设备废水产生浓度参照《科研单位实验室废水处理工程设计与分析》（给水排水 2012 年第 1 期第 38 卷）中</w:t>
            </w:r>
            <w:r>
              <w:rPr>
                <w:rFonts w:hint="eastAsia" w:ascii="Times New Roman" w:hAnsi="Times New Roman" w:eastAsia="宋体" w:cs="Times New Roman"/>
                <w:bCs/>
                <w:sz w:val="24"/>
                <w:highlight w:val="none"/>
                <w:lang w:val="en-US" w:eastAsia="zh-CN"/>
              </w:rPr>
              <w:t>“</w:t>
            </w:r>
            <w:r>
              <w:rPr>
                <w:rFonts w:hint="default" w:ascii="Times New Roman" w:hAnsi="Times New Roman" w:eastAsia="宋体" w:cs="Times New Roman"/>
                <w:bCs/>
                <w:sz w:val="24"/>
                <w:highlight w:val="none"/>
                <w:lang w:val="en-US" w:eastAsia="zh-CN"/>
              </w:rPr>
              <w:t>2.工程涉及—2.1.2 设计进水水质中的参数</w:t>
            </w:r>
            <w:r>
              <w:rPr>
                <w:rFonts w:hint="eastAsia" w:ascii="Times New Roman" w:hAnsi="Times New Roman" w:eastAsia="宋体" w:cs="Times New Roman"/>
                <w:bCs/>
                <w:sz w:val="24"/>
                <w:highlight w:val="none"/>
                <w:lang w:val="en-US" w:eastAsia="zh-CN"/>
              </w:rPr>
              <w:t>”</w:t>
            </w:r>
            <w:r>
              <w:rPr>
                <w:rFonts w:hint="default" w:ascii="Times New Roman" w:hAnsi="Times New Roman" w:eastAsia="宋体" w:cs="Times New Roman"/>
                <w:bCs/>
                <w:sz w:val="24"/>
                <w:highlight w:val="none"/>
                <w:lang w:val="en-US" w:eastAsia="zh-CN"/>
              </w:rPr>
              <w:t>，设备清洗废水属于实验室废水中的综合废水，</w:t>
            </w:r>
            <w:r>
              <w:rPr>
                <w:rFonts w:hint="default" w:ascii="Times New Roman" w:hAnsi="Times New Roman" w:eastAsia="宋体" w:cs="Times New Roman"/>
                <w:sz w:val="24"/>
                <w:highlight w:val="none"/>
                <w:lang w:val="en-US" w:eastAsia="zh-CN"/>
              </w:rPr>
              <w:t>水质及排放量参数详见下表</w:t>
            </w:r>
            <w:r>
              <w:rPr>
                <w:rFonts w:hint="default" w:ascii="Times New Roman" w:hAnsi="Times New Roman" w:eastAsia="宋体" w:cs="Times New Roman"/>
                <w:bCs/>
                <w:sz w:val="24"/>
                <w:highlight w:val="none"/>
                <w:lang w:val="en-US" w:eastAsia="zh-CN"/>
              </w:rPr>
              <w:t>。</w:t>
            </w:r>
          </w:p>
          <w:p w14:paraId="21CADBB4">
            <w:pPr>
              <w:numPr>
                <w:ilvl w:val="0"/>
                <w:numId w:val="48"/>
              </w:numPr>
              <w:adjustRightInd w:val="0"/>
              <w:snapToGrid w:val="0"/>
              <w:ind w:left="425" w:leftChars="0" w:hanging="425" w:firstLineChars="0"/>
              <w:jc w:val="center"/>
              <w:rPr>
                <w:rFonts w:hint="default" w:ascii="Times New Roman" w:hAnsi="Times New Roman" w:eastAsia="宋体" w:cs="Times New Roman"/>
              </w:rPr>
            </w:pPr>
            <w:r>
              <w:rPr>
                <w:rFonts w:hint="default" w:ascii="Times New Roman" w:hAnsi="Times New Roman" w:eastAsia="宋体" w:cs="Times New Roman"/>
                <w:b/>
                <w:bCs/>
                <w:color w:val="000000"/>
                <w:kern w:val="0"/>
                <w:sz w:val="24"/>
                <w:szCs w:val="24"/>
                <w:lang w:val="en-US" w:eastAsia="zh-CN" w:bidi="ar"/>
              </w:rPr>
              <w:t>实验室废水产生情况一览表</w:t>
            </w:r>
          </w:p>
          <w:tbl>
            <w:tblPr>
              <w:tblStyle w:val="17"/>
              <w:tblW w:w="4817"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2566"/>
              <w:gridCol w:w="1181"/>
              <w:gridCol w:w="1181"/>
              <w:gridCol w:w="1181"/>
              <w:gridCol w:w="1183"/>
            </w:tblGrid>
            <w:tr w14:paraId="3F8C951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73" w:hRule="atLeast"/>
                <w:jc w:val="center"/>
              </w:trPr>
              <w:tc>
                <w:tcPr>
                  <w:tcW w:w="1759" w:type="pct"/>
                  <w:tcBorders>
                    <w:tl2br w:val="nil"/>
                    <w:tr2bl w:val="nil"/>
                  </w:tcBorders>
                  <w:vAlign w:val="center"/>
                </w:tcPr>
                <w:p w14:paraId="26CFD7DE">
                  <w:pPr>
                    <w:adjustRightInd w:val="0"/>
                    <w:snapToGrid w:val="0"/>
                    <w:jc w:val="center"/>
                    <w:rPr>
                      <w:rFonts w:hint="default" w:ascii="Times New Roman" w:hAnsi="Times New Roman" w:eastAsia="宋体" w:cs="Times New Roman"/>
                      <w:b/>
                      <w:szCs w:val="21"/>
                      <w:highlight w:val="none"/>
                      <w:lang w:val="en-US" w:eastAsia="zh-CN"/>
                    </w:rPr>
                  </w:pPr>
                  <w:r>
                    <w:rPr>
                      <w:rFonts w:hint="default" w:ascii="Times New Roman" w:hAnsi="Times New Roman" w:eastAsia="宋体" w:cs="Times New Roman"/>
                      <w:b/>
                      <w:szCs w:val="21"/>
                      <w:highlight w:val="none"/>
                      <w:lang w:val="en-US" w:eastAsia="zh-CN"/>
                    </w:rPr>
                    <w:t>项目</w:t>
                  </w:r>
                </w:p>
              </w:tc>
              <w:tc>
                <w:tcPr>
                  <w:tcW w:w="809" w:type="pct"/>
                  <w:tcBorders>
                    <w:tl2br w:val="nil"/>
                    <w:tr2bl w:val="nil"/>
                  </w:tcBorders>
                  <w:vAlign w:val="center"/>
                </w:tcPr>
                <w:p w14:paraId="727804F6">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COD</w:t>
                  </w:r>
                  <w:r>
                    <w:rPr>
                      <w:rFonts w:hint="default" w:ascii="Times New Roman" w:hAnsi="Times New Roman" w:eastAsia="宋体" w:cs="Times New Roman"/>
                      <w:b/>
                      <w:szCs w:val="21"/>
                      <w:highlight w:val="none"/>
                      <w:vertAlign w:val="subscript"/>
                    </w:rPr>
                    <w:t>Cr</w:t>
                  </w:r>
                </w:p>
              </w:tc>
              <w:tc>
                <w:tcPr>
                  <w:tcW w:w="809" w:type="pct"/>
                  <w:tcBorders>
                    <w:tl2br w:val="nil"/>
                    <w:tr2bl w:val="nil"/>
                  </w:tcBorders>
                  <w:vAlign w:val="center"/>
                </w:tcPr>
                <w:p w14:paraId="4ACCBB92">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BOD</w:t>
                  </w:r>
                  <w:r>
                    <w:rPr>
                      <w:rFonts w:hint="default" w:ascii="Times New Roman" w:hAnsi="Times New Roman" w:eastAsia="宋体" w:cs="Times New Roman"/>
                      <w:b/>
                      <w:szCs w:val="21"/>
                      <w:highlight w:val="none"/>
                      <w:vertAlign w:val="subscript"/>
                    </w:rPr>
                    <w:t>5</w:t>
                  </w:r>
                </w:p>
              </w:tc>
              <w:tc>
                <w:tcPr>
                  <w:tcW w:w="809" w:type="pct"/>
                  <w:tcBorders>
                    <w:tl2br w:val="nil"/>
                    <w:tr2bl w:val="nil"/>
                  </w:tcBorders>
                  <w:vAlign w:val="center"/>
                </w:tcPr>
                <w:p w14:paraId="3F35D530">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SS</w:t>
                  </w:r>
                </w:p>
              </w:tc>
              <w:tc>
                <w:tcPr>
                  <w:tcW w:w="811" w:type="pct"/>
                  <w:tcBorders>
                    <w:tl2br w:val="nil"/>
                    <w:tr2bl w:val="nil"/>
                  </w:tcBorders>
                  <w:vAlign w:val="center"/>
                </w:tcPr>
                <w:p w14:paraId="69537E4B">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氨氮</w:t>
                  </w:r>
                </w:p>
              </w:tc>
            </w:tr>
            <w:tr w14:paraId="7269850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6" w:hRule="atLeast"/>
                <w:jc w:val="center"/>
              </w:trPr>
              <w:tc>
                <w:tcPr>
                  <w:tcW w:w="1759" w:type="pct"/>
                  <w:tcBorders>
                    <w:tl2br w:val="nil"/>
                    <w:tr2bl w:val="nil"/>
                  </w:tcBorders>
                  <w:vAlign w:val="center"/>
                </w:tcPr>
                <w:p w14:paraId="0F26B5A5">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设备清洗废水</w:t>
                  </w:r>
                  <w:r>
                    <w:rPr>
                      <w:rFonts w:hint="default" w:ascii="Times New Roman" w:hAnsi="Times New Roman" w:eastAsia="宋体" w:cs="Times New Roman"/>
                      <w:szCs w:val="21"/>
                      <w:highlight w:val="none"/>
                    </w:rPr>
                    <w:t>（mg/L）</w:t>
                  </w:r>
                </w:p>
              </w:tc>
              <w:tc>
                <w:tcPr>
                  <w:tcW w:w="809" w:type="pct"/>
                  <w:tcBorders>
                    <w:tl2br w:val="nil"/>
                    <w:tr2bl w:val="nil"/>
                  </w:tcBorders>
                  <w:vAlign w:val="center"/>
                </w:tcPr>
                <w:p w14:paraId="5EEE11F4">
                  <w:pPr>
                    <w:adjustRightInd w:val="0"/>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200</w:t>
                  </w:r>
                </w:p>
              </w:tc>
              <w:tc>
                <w:tcPr>
                  <w:tcW w:w="809" w:type="pct"/>
                  <w:tcBorders>
                    <w:tl2br w:val="nil"/>
                    <w:tr2bl w:val="nil"/>
                  </w:tcBorders>
                  <w:vAlign w:val="center"/>
                </w:tcPr>
                <w:p w14:paraId="7359B495">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180</w:t>
                  </w:r>
                </w:p>
              </w:tc>
              <w:tc>
                <w:tcPr>
                  <w:tcW w:w="809" w:type="pct"/>
                  <w:tcBorders>
                    <w:tl2br w:val="nil"/>
                    <w:tr2bl w:val="nil"/>
                  </w:tcBorders>
                  <w:vAlign w:val="center"/>
                </w:tcPr>
                <w:p w14:paraId="5060CE29">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200</w:t>
                  </w:r>
                </w:p>
              </w:tc>
              <w:tc>
                <w:tcPr>
                  <w:tcW w:w="811" w:type="pct"/>
                  <w:tcBorders>
                    <w:tl2br w:val="nil"/>
                    <w:tr2bl w:val="nil"/>
                  </w:tcBorders>
                  <w:vAlign w:val="center"/>
                </w:tcPr>
                <w:p w14:paraId="65697C29">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25</w:t>
                  </w:r>
                </w:p>
              </w:tc>
            </w:tr>
            <w:tr w14:paraId="6F2150F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45" w:hRule="atLeast"/>
                <w:jc w:val="center"/>
              </w:trPr>
              <w:tc>
                <w:tcPr>
                  <w:tcW w:w="1759" w:type="pct"/>
                  <w:tcBorders>
                    <w:tl2br w:val="nil"/>
                    <w:tr2bl w:val="nil"/>
                  </w:tcBorders>
                  <w:vAlign w:val="center"/>
                </w:tcPr>
                <w:p w14:paraId="2FE6651A">
                  <w:pPr>
                    <w:keepNext w:val="0"/>
                    <w:keepLines w:val="0"/>
                    <w:widowControl/>
                    <w:suppressLineNumbers w:val="0"/>
                    <w:ind w:firstLine="420" w:firstLineChars="20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排放量量（</w:t>
                  </w:r>
                  <w:r>
                    <w:rPr>
                      <w:rFonts w:hint="default" w:ascii="Times New Roman" w:hAnsi="Times New Roman" w:eastAsia="宋体" w:cs="Times New Roman"/>
                      <w:color w:val="000000"/>
                      <w:kern w:val="0"/>
                      <w:sz w:val="21"/>
                      <w:szCs w:val="21"/>
                      <w:lang w:val="en-US" w:eastAsia="zh-CN" w:bidi="ar"/>
                    </w:rPr>
                    <w:t>t/a</w:t>
                  </w:r>
                  <w:r>
                    <w:rPr>
                      <w:rFonts w:hint="default" w:ascii="Times New Roman" w:hAnsi="Times New Roman" w:eastAsia="宋体" w:cs="Times New Roman"/>
                      <w:szCs w:val="21"/>
                      <w:highlight w:val="none"/>
                      <w:lang w:val="en-US" w:eastAsia="zh-CN"/>
                    </w:rPr>
                    <w:t>）</w:t>
                  </w:r>
                </w:p>
              </w:tc>
              <w:tc>
                <w:tcPr>
                  <w:tcW w:w="809" w:type="pct"/>
                  <w:tcBorders>
                    <w:tl2br w:val="nil"/>
                    <w:tr2bl w:val="nil"/>
                  </w:tcBorders>
                  <w:vAlign w:val="center"/>
                </w:tcPr>
                <w:p w14:paraId="3D926EC5">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0.00026</w:t>
                  </w:r>
                </w:p>
              </w:tc>
              <w:tc>
                <w:tcPr>
                  <w:tcW w:w="809" w:type="pct"/>
                  <w:tcBorders>
                    <w:tl2br w:val="nil"/>
                    <w:tr2bl w:val="nil"/>
                  </w:tcBorders>
                  <w:vAlign w:val="center"/>
                </w:tcPr>
                <w:p w14:paraId="02ACB996">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0.000234</w:t>
                  </w:r>
                </w:p>
              </w:tc>
              <w:tc>
                <w:tcPr>
                  <w:tcW w:w="809" w:type="pct"/>
                  <w:tcBorders>
                    <w:tl2br w:val="nil"/>
                    <w:tr2bl w:val="nil"/>
                  </w:tcBorders>
                  <w:vAlign w:val="center"/>
                </w:tcPr>
                <w:p w14:paraId="7FB951F9">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0.00026</w:t>
                  </w:r>
                </w:p>
              </w:tc>
              <w:tc>
                <w:tcPr>
                  <w:tcW w:w="811" w:type="pct"/>
                  <w:tcBorders>
                    <w:tl2br w:val="nil"/>
                    <w:tr2bl w:val="nil"/>
                  </w:tcBorders>
                  <w:vAlign w:val="center"/>
                </w:tcPr>
                <w:p w14:paraId="581AD5D2">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0.0000325</w:t>
                  </w:r>
                </w:p>
              </w:tc>
            </w:tr>
          </w:tbl>
          <w:p w14:paraId="264F8BA7">
            <w:pPr>
              <w:numPr>
                <w:ilvl w:val="0"/>
                <w:numId w:val="50"/>
              </w:numPr>
              <w:spacing w:line="360" w:lineRule="auto"/>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综合污水</w:t>
            </w:r>
          </w:p>
          <w:p w14:paraId="4C032BF1">
            <w:pPr>
              <w:spacing w:line="360" w:lineRule="auto"/>
              <w:ind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lang w:val="en-US" w:eastAsia="zh-CN"/>
              </w:rPr>
              <w:t>根据《化粪池原理及水污染物去除率》中数据，化粪池对各个污染物COD、BOD</w:t>
            </w:r>
            <w:r>
              <w:rPr>
                <w:rFonts w:hint="default" w:ascii="Times New Roman" w:hAnsi="Times New Roman" w:eastAsia="宋体" w:cs="Times New Roman"/>
                <w:bCs/>
                <w:sz w:val="24"/>
                <w:highlight w:val="none"/>
                <w:vertAlign w:val="subscript"/>
                <w:lang w:val="en-US" w:eastAsia="zh-CN"/>
              </w:rPr>
              <w:t>5</w:t>
            </w:r>
            <w:r>
              <w:rPr>
                <w:rFonts w:hint="default" w:ascii="Times New Roman" w:hAnsi="Times New Roman" w:eastAsia="宋体" w:cs="Times New Roman"/>
                <w:bCs/>
                <w:sz w:val="24"/>
                <w:highlight w:val="none"/>
                <w:lang w:val="en-US" w:eastAsia="zh-CN"/>
              </w:rPr>
              <w:t>、SS、氨氮的去除率分别为 15%、9%、30%、3%。本项目废水中各污染物产生量计算结果汇总见下表。</w:t>
            </w:r>
          </w:p>
          <w:p w14:paraId="5AF5287B">
            <w:pPr>
              <w:numPr>
                <w:ilvl w:val="0"/>
                <w:numId w:val="48"/>
              </w:numPr>
              <w:adjustRightInd w:val="0"/>
              <w:snapToGrid w:val="0"/>
              <w:ind w:left="425" w:leftChars="0" w:hanging="425" w:firstLineChars="0"/>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项目综合污水水污染物产生及排放情况一览表</w:t>
            </w:r>
          </w:p>
          <w:tbl>
            <w:tblPr>
              <w:tblStyle w:val="18"/>
              <w:tblW w:w="7361"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163"/>
              <w:gridCol w:w="1506"/>
              <w:gridCol w:w="782"/>
              <w:gridCol w:w="782"/>
              <w:gridCol w:w="782"/>
              <w:gridCol w:w="782"/>
              <w:gridCol w:w="782"/>
              <w:gridCol w:w="782"/>
            </w:tblGrid>
            <w:tr w14:paraId="1726ABC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63" w:type="dxa"/>
                  <w:tcBorders>
                    <w:tl2br w:val="nil"/>
                    <w:tr2bl w:val="nil"/>
                  </w:tcBorders>
                  <w:vAlign w:val="center"/>
                </w:tcPr>
                <w:p w14:paraId="36CC8413">
                  <w:pPr>
                    <w:widowControl/>
                    <w:adjustRightInd w:val="0"/>
                    <w:snapToGrid w:val="0"/>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项目</w:t>
                  </w:r>
                </w:p>
              </w:tc>
              <w:tc>
                <w:tcPr>
                  <w:tcW w:w="1506" w:type="dxa"/>
                  <w:tcBorders>
                    <w:tl2br w:val="nil"/>
                    <w:tr2bl w:val="nil"/>
                  </w:tcBorders>
                  <w:vAlign w:val="center"/>
                </w:tcPr>
                <w:p w14:paraId="759EC053">
                  <w:pPr>
                    <w:widowControl/>
                    <w:adjustRightInd w:val="0"/>
                    <w:snapToGrid w:val="0"/>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污染物种类</w:t>
                  </w:r>
                </w:p>
              </w:tc>
              <w:tc>
                <w:tcPr>
                  <w:tcW w:w="782" w:type="dxa"/>
                  <w:tcBorders>
                    <w:tl2br w:val="nil"/>
                    <w:tr2bl w:val="nil"/>
                  </w:tcBorders>
                  <w:vAlign w:val="center"/>
                </w:tcPr>
                <w:p w14:paraId="6CE3B160">
                  <w:pPr>
                    <w:widowControl/>
                    <w:adjustRightInd w:val="0"/>
                    <w:snapToGrid w:val="0"/>
                    <w:jc w:val="center"/>
                    <w:rPr>
                      <w:rFonts w:hint="default" w:ascii="Times New Roman" w:hAnsi="Times New Roman" w:eastAsia="宋体" w:cs="Times New Roman"/>
                      <w:b/>
                      <w:bCs/>
                      <w:kern w:val="0"/>
                      <w:szCs w:val="21"/>
                      <w:highlight w:val="none"/>
                      <w:vertAlign w:val="subscript"/>
                    </w:rPr>
                  </w:pPr>
                  <w:r>
                    <w:rPr>
                      <w:rFonts w:hint="default" w:ascii="Times New Roman" w:hAnsi="Times New Roman" w:eastAsia="宋体" w:cs="Times New Roman"/>
                      <w:b/>
                      <w:bCs/>
                      <w:kern w:val="0"/>
                      <w:szCs w:val="21"/>
                      <w:highlight w:val="none"/>
                    </w:rPr>
                    <w:t>COD</w:t>
                  </w:r>
                  <w:r>
                    <w:rPr>
                      <w:rFonts w:hint="default" w:ascii="Times New Roman" w:hAnsi="Times New Roman" w:eastAsia="宋体" w:cs="Times New Roman"/>
                      <w:b/>
                      <w:bCs/>
                      <w:kern w:val="0"/>
                      <w:szCs w:val="21"/>
                      <w:highlight w:val="none"/>
                      <w:vertAlign w:val="subscript"/>
                    </w:rPr>
                    <w:t>Cr</w:t>
                  </w:r>
                </w:p>
              </w:tc>
              <w:tc>
                <w:tcPr>
                  <w:tcW w:w="782" w:type="dxa"/>
                  <w:tcBorders>
                    <w:tl2br w:val="nil"/>
                    <w:tr2bl w:val="nil"/>
                  </w:tcBorders>
                  <w:vAlign w:val="center"/>
                </w:tcPr>
                <w:p w14:paraId="79BB8B9C">
                  <w:pPr>
                    <w:widowControl/>
                    <w:adjustRightInd w:val="0"/>
                    <w:snapToGrid w:val="0"/>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BOD</w:t>
                  </w:r>
                  <w:r>
                    <w:rPr>
                      <w:rFonts w:hint="default" w:ascii="Times New Roman" w:hAnsi="Times New Roman" w:eastAsia="宋体" w:cs="Times New Roman"/>
                      <w:b/>
                      <w:bCs/>
                      <w:kern w:val="0"/>
                      <w:szCs w:val="21"/>
                      <w:highlight w:val="none"/>
                      <w:vertAlign w:val="subscript"/>
                    </w:rPr>
                    <w:t>5</w:t>
                  </w:r>
                </w:p>
              </w:tc>
              <w:tc>
                <w:tcPr>
                  <w:tcW w:w="782" w:type="dxa"/>
                  <w:tcBorders>
                    <w:tl2br w:val="nil"/>
                    <w:tr2bl w:val="nil"/>
                  </w:tcBorders>
                  <w:vAlign w:val="center"/>
                </w:tcPr>
                <w:p w14:paraId="173B7FD5">
                  <w:pPr>
                    <w:widowControl/>
                    <w:adjustRightInd w:val="0"/>
                    <w:snapToGrid w:val="0"/>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SS</w:t>
                  </w:r>
                </w:p>
              </w:tc>
              <w:tc>
                <w:tcPr>
                  <w:tcW w:w="782" w:type="dxa"/>
                  <w:tcBorders>
                    <w:tl2br w:val="nil"/>
                    <w:tr2bl w:val="nil"/>
                  </w:tcBorders>
                  <w:vAlign w:val="center"/>
                </w:tcPr>
                <w:p w14:paraId="1C61D3D2">
                  <w:pPr>
                    <w:widowControl/>
                    <w:adjustRightInd w:val="0"/>
                    <w:snapToGrid w:val="0"/>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氨氮</w:t>
                  </w:r>
                </w:p>
              </w:tc>
              <w:tc>
                <w:tcPr>
                  <w:tcW w:w="782" w:type="dxa"/>
                  <w:tcBorders>
                    <w:tl2br w:val="nil"/>
                    <w:tr2bl w:val="nil"/>
                  </w:tcBorders>
                  <w:vAlign w:val="center"/>
                </w:tcPr>
                <w:p w14:paraId="56B18884">
                  <w:pPr>
                    <w:widowControl/>
                    <w:adjustRightInd w:val="0"/>
                    <w:snapToGrid w:val="0"/>
                    <w:jc w:val="center"/>
                    <w:rPr>
                      <w:rFonts w:hint="default" w:ascii="Times New Roman" w:hAnsi="Times New Roman" w:eastAsia="宋体" w:cs="Times New Roman"/>
                      <w:b/>
                      <w:bCs/>
                      <w:kern w:val="0"/>
                      <w:szCs w:val="21"/>
                      <w:highlight w:val="none"/>
                      <w:lang w:eastAsia="zh-CN"/>
                    </w:rPr>
                  </w:pPr>
                  <w:r>
                    <w:rPr>
                      <w:rFonts w:hint="default" w:ascii="Times New Roman" w:hAnsi="Times New Roman" w:eastAsia="宋体" w:cs="Times New Roman"/>
                      <w:b/>
                      <w:bCs/>
                      <w:kern w:val="0"/>
                      <w:szCs w:val="21"/>
                      <w:highlight w:val="none"/>
                      <w:lang w:eastAsia="zh-CN"/>
                    </w:rPr>
                    <w:t>pH</w:t>
                  </w:r>
                </w:p>
                <w:p w14:paraId="2D9D44DE">
                  <w:pPr>
                    <w:widowControl/>
                    <w:adjustRightInd w:val="0"/>
                    <w:snapToGrid w:val="0"/>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无量纲</w:t>
                  </w:r>
                </w:p>
              </w:tc>
              <w:tc>
                <w:tcPr>
                  <w:tcW w:w="782" w:type="dxa"/>
                  <w:tcBorders>
                    <w:tl2br w:val="nil"/>
                    <w:tr2bl w:val="nil"/>
                  </w:tcBorders>
                  <w:vAlign w:val="center"/>
                </w:tcPr>
                <w:p w14:paraId="3C81F940">
                  <w:pPr>
                    <w:widowControl/>
                    <w:adjustRightInd w:val="0"/>
                    <w:snapToGrid w:val="0"/>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可溶性固体总量</w:t>
                  </w:r>
                </w:p>
              </w:tc>
            </w:tr>
            <w:tr w14:paraId="20537AD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1163" w:type="dxa"/>
                  <w:vMerge w:val="restart"/>
                  <w:tcBorders>
                    <w:tl2br w:val="nil"/>
                    <w:tr2bl w:val="nil"/>
                  </w:tcBorders>
                  <w:shd w:val="clear" w:color="auto" w:fill="auto"/>
                  <w:vAlign w:val="center"/>
                </w:tcPr>
                <w:p w14:paraId="37A5B612">
                  <w:pPr>
                    <w:widowControl/>
                    <w:adjustRightInd w:val="0"/>
                    <w:snapToGrid w:val="0"/>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生活污水</w:t>
                  </w:r>
                </w:p>
              </w:tc>
              <w:tc>
                <w:tcPr>
                  <w:tcW w:w="1506" w:type="dxa"/>
                  <w:tcBorders>
                    <w:tl2br w:val="nil"/>
                    <w:tr2bl w:val="nil"/>
                  </w:tcBorders>
                  <w:shd w:val="clear" w:color="auto" w:fill="auto"/>
                  <w:vAlign w:val="center"/>
                </w:tcPr>
                <w:p w14:paraId="2B2FF959">
                  <w:pPr>
                    <w:adjustRightInd w:val="0"/>
                    <w:snapToGrid w:val="0"/>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产生浓度</w:t>
                  </w:r>
                  <w:r>
                    <w:rPr>
                      <w:rFonts w:hint="default" w:ascii="Times New Roman" w:hAnsi="Times New Roman" w:eastAsia="宋体" w:cs="Times New Roman"/>
                      <w:b/>
                      <w:bCs/>
                      <w:szCs w:val="21"/>
                      <w:highlight w:val="none"/>
                    </w:rPr>
                    <w:t>（mg/L）</w:t>
                  </w:r>
                </w:p>
              </w:tc>
              <w:tc>
                <w:tcPr>
                  <w:tcW w:w="782" w:type="dxa"/>
                  <w:tcBorders>
                    <w:tl2br w:val="nil"/>
                    <w:tr2bl w:val="nil"/>
                  </w:tcBorders>
                  <w:shd w:val="clear" w:color="auto" w:fill="auto"/>
                  <w:vAlign w:val="center"/>
                </w:tcPr>
                <w:p w14:paraId="0FFC98B7">
                  <w:pPr>
                    <w:widowControl/>
                    <w:jc w:val="center"/>
                    <w:textAlignment w:val="center"/>
                    <w:rPr>
                      <w:rFonts w:hint="default" w:ascii="Times New Roman" w:hAnsi="Times New Roman" w:eastAsia="宋体" w:cs="Times New Roman"/>
                      <w:szCs w:val="21"/>
                      <w:highlight w:val="none"/>
                    </w:rPr>
                  </w:pPr>
                  <w:r>
                    <w:rPr>
                      <w:rFonts w:hint="default" w:ascii="Times New Roman" w:hAnsi="Times New Roman" w:eastAsia="宋体" w:cs="Times New Roman"/>
                      <w:color w:val="000000"/>
                      <w:kern w:val="0"/>
                      <w:szCs w:val="21"/>
                      <w:highlight w:val="none"/>
                      <w:lang w:bidi="ar"/>
                    </w:rPr>
                    <w:t>450</w:t>
                  </w:r>
                </w:p>
              </w:tc>
              <w:tc>
                <w:tcPr>
                  <w:tcW w:w="782" w:type="dxa"/>
                  <w:tcBorders>
                    <w:tl2br w:val="nil"/>
                    <w:tr2bl w:val="nil"/>
                  </w:tcBorders>
                  <w:shd w:val="clear" w:color="auto" w:fill="auto"/>
                  <w:vAlign w:val="center"/>
                </w:tcPr>
                <w:p w14:paraId="18053AA9">
                  <w:pPr>
                    <w:widowControl/>
                    <w:jc w:val="center"/>
                    <w:textAlignment w:val="center"/>
                    <w:rPr>
                      <w:rFonts w:hint="default" w:ascii="Times New Roman" w:hAnsi="Times New Roman" w:eastAsia="宋体" w:cs="Times New Roman"/>
                      <w:szCs w:val="21"/>
                      <w:highlight w:val="none"/>
                    </w:rPr>
                  </w:pPr>
                  <w:r>
                    <w:rPr>
                      <w:rFonts w:hint="default" w:ascii="Times New Roman" w:hAnsi="Times New Roman" w:eastAsia="宋体" w:cs="Times New Roman"/>
                      <w:color w:val="000000"/>
                      <w:kern w:val="0"/>
                      <w:szCs w:val="21"/>
                      <w:highlight w:val="none"/>
                      <w:lang w:bidi="ar"/>
                    </w:rPr>
                    <w:t>250</w:t>
                  </w:r>
                </w:p>
              </w:tc>
              <w:tc>
                <w:tcPr>
                  <w:tcW w:w="782" w:type="dxa"/>
                  <w:tcBorders>
                    <w:tl2br w:val="nil"/>
                    <w:tr2bl w:val="nil"/>
                  </w:tcBorders>
                  <w:shd w:val="clear" w:color="auto" w:fill="auto"/>
                  <w:vAlign w:val="center"/>
                </w:tcPr>
                <w:p w14:paraId="6A688071">
                  <w:pPr>
                    <w:widowControl/>
                    <w:jc w:val="center"/>
                    <w:textAlignment w:val="center"/>
                    <w:rPr>
                      <w:rFonts w:hint="default" w:ascii="Times New Roman" w:hAnsi="Times New Roman" w:eastAsia="宋体" w:cs="Times New Roman"/>
                      <w:szCs w:val="21"/>
                      <w:highlight w:val="none"/>
                    </w:rPr>
                  </w:pPr>
                  <w:r>
                    <w:rPr>
                      <w:rFonts w:hint="default" w:ascii="Times New Roman" w:hAnsi="Times New Roman" w:eastAsia="宋体" w:cs="Times New Roman"/>
                      <w:color w:val="000000"/>
                      <w:kern w:val="0"/>
                      <w:szCs w:val="21"/>
                      <w:highlight w:val="none"/>
                      <w:lang w:bidi="ar"/>
                    </w:rPr>
                    <w:t>300</w:t>
                  </w:r>
                </w:p>
              </w:tc>
              <w:tc>
                <w:tcPr>
                  <w:tcW w:w="782" w:type="dxa"/>
                  <w:tcBorders>
                    <w:tl2br w:val="nil"/>
                    <w:tr2bl w:val="nil"/>
                  </w:tcBorders>
                  <w:shd w:val="clear" w:color="auto" w:fill="auto"/>
                  <w:vAlign w:val="center"/>
                </w:tcPr>
                <w:p w14:paraId="51DD45C5">
                  <w:pPr>
                    <w:widowControl/>
                    <w:jc w:val="center"/>
                    <w:textAlignment w:val="center"/>
                    <w:rPr>
                      <w:rFonts w:hint="default" w:ascii="Times New Roman" w:hAnsi="Times New Roman" w:eastAsia="宋体" w:cs="Times New Roman"/>
                      <w:szCs w:val="21"/>
                      <w:highlight w:val="none"/>
                    </w:rPr>
                  </w:pPr>
                  <w:r>
                    <w:rPr>
                      <w:rFonts w:hint="default" w:ascii="Times New Roman" w:hAnsi="Times New Roman" w:eastAsia="宋体" w:cs="Times New Roman"/>
                      <w:color w:val="000000"/>
                      <w:kern w:val="0"/>
                      <w:szCs w:val="21"/>
                      <w:highlight w:val="none"/>
                      <w:lang w:bidi="ar"/>
                    </w:rPr>
                    <w:t>40</w:t>
                  </w:r>
                </w:p>
              </w:tc>
              <w:tc>
                <w:tcPr>
                  <w:tcW w:w="782" w:type="dxa"/>
                  <w:tcBorders>
                    <w:tl2br w:val="nil"/>
                    <w:tr2bl w:val="nil"/>
                  </w:tcBorders>
                  <w:shd w:val="clear" w:color="auto" w:fill="auto"/>
                  <w:vAlign w:val="center"/>
                </w:tcPr>
                <w:p w14:paraId="152E048C">
                  <w:pPr>
                    <w:widowControl/>
                    <w:jc w:val="center"/>
                    <w:textAlignment w:val="center"/>
                    <w:rPr>
                      <w:rFonts w:hint="default" w:ascii="Times New Roman" w:hAnsi="Times New Roman" w:eastAsia="宋体" w:cs="Times New Roman"/>
                      <w:szCs w:val="21"/>
                      <w:highlight w:val="none"/>
                    </w:rPr>
                  </w:pPr>
                  <w:r>
                    <w:rPr>
                      <w:rFonts w:hint="default" w:ascii="Times New Roman" w:hAnsi="Times New Roman" w:eastAsia="宋体" w:cs="Times New Roman"/>
                      <w:color w:val="000000"/>
                      <w:kern w:val="0"/>
                      <w:szCs w:val="21"/>
                      <w:highlight w:val="none"/>
                      <w:lang w:bidi="ar"/>
                    </w:rPr>
                    <w:t>6.5~7.5</w:t>
                  </w:r>
                </w:p>
              </w:tc>
              <w:tc>
                <w:tcPr>
                  <w:tcW w:w="782" w:type="dxa"/>
                  <w:tcBorders>
                    <w:tl2br w:val="nil"/>
                    <w:tr2bl w:val="nil"/>
                  </w:tcBorders>
                  <w:shd w:val="clear" w:color="auto" w:fill="auto"/>
                  <w:vAlign w:val="center"/>
                </w:tcPr>
                <w:p w14:paraId="78DEE93E">
                  <w:pPr>
                    <w:widowControl/>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color w:val="000000"/>
                      <w:kern w:val="0"/>
                      <w:szCs w:val="21"/>
                      <w:highlight w:val="none"/>
                      <w:lang w:bidi="ar"/>
                    </w:rPr>
                    <w:t>/</w:t>
                  </w:r>
                </w:p>
              </w:tc>
            </w:tr>
            <w:tr w14:paraId="0E0C9FC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1163" w:type="dxa"/>
                  <w:vMerge w:val="continue"/>
                  <w:tcBorders>
                    <w:tl2br w:val="nil"/>
                    <w:tr2bl w:val="nil"/>
                  </w:tcBorders>
                  <w:vAlign w:val="center"/>
                </w:tcPr>
                <w:p w14:paraId="03980E56">
                  <w:pPr>
                    <w:widowControl/>
                    <w:adjustRightInd w:val="0"/>
                    <w:snapToGrid w:val="0"/>
                    <w:jc w:val="center"/>
                    <w:rPr>
                      <w:rFonts w:hint="default" w:ascii="Times New Roman" w:hAnsi="Times New Roman" w:eastAsia="宋体" w:cs="Times New Roman"/>
                      <w:b/>
                      <w:bCs/>
                      <w:kern w:val="0"/>
                      <w:szCs w:val="21"/>
                      <w:highlight w:val="none"/>
                    </w:rPr>
                  </w:pPr>
                </w:p>
              </w:tc>
              <w:tc>
                <w:tcPr>
                  <w:tcW w:w="1506" w:type="dxa"/>
                  <w:tcBorders>
                    <w:tl2br w:val="nil"/>
                    <w:tr2bl w:val="nil"/>
                  </w:tcBorders>
                  <w:shd w:val="clear" w:color="auto" w:fill="auto"/>
                  <w:vAlign w:val="center"/>
                </w:tcPr>
                <w:p w14:paraId="19B1CC8B">
                  <w:pPr>
                    <w:adjustRightInd w:val="0"/>
                    <w:snapToGrid w:val="0"/>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产生量（t/a）</w:t>
                  </w:r>
                </w:p>
              </w:tc>
              <w:tc>
                <w:tcPr>
                  <w:tcW w:w="782" w:type="dxa"/>
                  <w:tcBorders>
                    <w:tl2br w:val="nil"/>
                    <w:tr2bl w:val="nil"/>
                  </w:tcBorders>
                  <w:shd w:val="clear" w:color="auto" w:fill="auto"/>
                  <w:vAlign w:val="center"/>
                </w:tcPr>
                <w:p w14:paraId="6AB580E3">
                  <w:pPr>
                    <w:snapToGrid w:val="0"/>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szCs w:val="21"/>
                      <w:highlight w:val="none"/>
                      <w:lang w:val="en-US" w:eastAsia="zh-CN"/>
                    </w:rPr>
                    <w:t>0.1913</w:t>
                  </w:r>
                </w:p>
              </w:tc>
              <w:tc>
                <w:tcPr>
                  <w:tcW w:w="782" w:type="dxa"/>
                  <w:tcBorders>
                    <w:tl2br w:val="nil"/>
                    <w:tr2bl w:val="nil"/>
                  </w:tcBorders>
                  <w:shd w:val="clear" w:color="auto" w:fill="auto"/>
                  <w:vAlign w:val="center"/>
                </w:tcPr>
                <w:p w14:paraId="6EBBDFB4">
                  <w:pPr>
                    <w:snapToGrid w:val="0"/>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szCs w:val="21"/>
                      <w:highlight w:val="none"/>
                      <w:lang w:val="en-US" w:eastAsia="zh-CN"/>
                    </w:rPr>
                    <w:t>0.1063</w:t>
                  </w:r>
                </w:p>
              </w:tc>
              <w:tc>
                <w:tcPr>
                  <w:tcW w:w="782" w:type="dxa"/>
                  <w:tcBorders>
                    <w:tl2br w:val="nil"/>
                    <w:tr2bl w:val="nil"/>
                  </w:tcBorders>
                  <w:shd w:val="clear" w:color="auto" w:fill="auto"/>
                  <w:vAlign w:val="center"/>
                </w:tcPr>
                <w:p w14:paraId="0BAF4EDA">
                  <w:pPr>
                    <w:snapToGrid w:val="0"/>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szCs w:val="21"/>
                      <w:highlight w:val="none"/>
                      <w:lang w:val="en-US" w:eastAsia="zh-CN"/>
                    </w:rPr>
                    <w:t>0.1275</w:t>
                  </w:r>
                </w:p>
              </w:tc>
              <w:tc>
                <w:tcPr>
                  <w:tcW w:w="782" w:type="dxa"/>
                  <w:tcBorders>
                    <w:tl2br w:val="nil"/>
                    <w:tr2bl w:val="nil"/>
                  </w:tcBorders>
                  <w:shd w:val="clear" w:color="auto" w:fill="auto"/>
                  <w:vAlign w:val="center"/>
                </w:tcPr>
                <w:p w14:paraId="4ACD6A41">
                  <w:pPr>
                    <w:snapToGrid w:val="0"/>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szCs w:val="21"/>
                      <w:highlight w:val="none"/>
                      <w:lang w:val="en-US" w:eastAsia="zh-CN"/>
                    </w:rPr>
                    <w:t>0.0170</w:t>
                  </w:r>
                </w:p>
              </w:tc>
              <w:tc>
                <w:tcPr>
                  <w:tcW w:w="782" w:type="dxa"/>
                  <w:tcBorders>
                    <w:tl2br w:val="nil"/>
                    <w:tr2bl w:val="nil"/>
                  </w:tcBorders>
                  <w:shd w:val="clear" w:color="auto" w:fill="auto"/>
                  <w:vAlign w:val="center"/>
                </w:tcPr>
                <w:p w14:paraId="2CBFE2F2">
                  <w:pPr>
                    <w:widowControl/>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color w:val="000000"/>
                      <w:kern w:val="0"/>
                      <w:szCs w:val="21"/>
                      <w:highlight w:val="none"/>
                      <w:lang w:bidi="ar"/>
                    </w:rPr>
                    <w:t>/</w:t>
                  </w:r>
                </w:p>
              </w:tc>
              <w:tc>
                <w:tcPr>
                  <w:tcW w:w="782" w:type="dxa"/>
                  <w:tcBorders>
                    <w:tl2br w:val="nil"/>
                    <w:tr2bl w:val="nil"/>
                  </w:tcBorders>
                  <w:shd w:val="clear" w:color="auto" w:fill="auto"/>
                  <w:vAlign w:val="center"/>
                </w:tcPr>
                <w:p w14:paraId="35156230">
                  <w:pPr>
                    <w:widowControl/>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color w:val="000000"/>
                      <w:kern w:val="0"/>
                      <w:szCs w:val="21"/>
                      <w:highlight w:val="none"/>
                      <w:lang w:bidi="ar"/>
                    </w:rPr>
                    <w:t>/</w:t>
                  </w:r>
                </w:p>
              </w:tc>
            </w:tr>
            <w:tr w14:paraId="41AFB28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1163" w:type="dxa"/>
                  <w:vMerge w:val="restart"/>
                  <w:tcBorders>
                    <w:tl2br w:val="nil"/>
                    <w:tr2bl w:val="nil"/>
                  </w:tcBorders>
                  <w:shd w:val="clear" w:color="auto" w:fill="auto"/>
                  <w:vAlign w:val="center"/>
                </w:tcPr>
                <w:p w14:paraId="7FE239E8">
                  <w:pPr>
                    <w:widowControl/>
                    <w:adjustRightInd w:val="0"/>
                    <w:snapToGrid w:val="0"/>
                    <w:jc w:val="center"/>
                    <w:rPr>
                      <w:rFonts w:hint="default" w:ascii="Times New Roman" w:hAnsi="Times New Roman" w:eastAsia="宋体" w:cs="Times New Roman"/>
                      <w:b/>
                      <w:bCs/>
                      <w:kern w:val="0"/>
                      <w:szCs w:val="21"/>
                      <w:highlight w:val="none"/>
                      <w:lang w:val="en-US" w:eastAsia="zh-CN"/>
                    </w:rPr>
                  </w:pPr>
                  <w:r>
                    <w:rPr>
                      <w:rFonts w:hint="default" w:ascii="Times New Roman" w:hAnsi="Times New Roman" w:eastAsia="宋体" w:cs="Times New Roman"/>
                      <w:b/>
                      <w:bCs/>
                      <w:kern w:val="0"/>
                      <w:szCs w:val="21"/>
                      <w:highlight w:val="none"/>
                    </w:rPr>
                    <w:t>纯水制备</w:t>
                  </w:r>
                  <w:r>
                    <w:rPr>
                      <w:rFonts w:hint="default" w:ascii="Times New Roman" w:hAnsi="Times New Roman" w:eastAsia="宋体" w:cs="Times New Roman"/>
                      <w:b/>
                      <w:bCs/>
                      <w:kern w:val="0"/>
                      <w:szCs w:val="21"/>
                      <w:highlight w:val="none"/>
                      <w:lang w:val="en-US" w:eastAsia="zh-CN"/>
                    </w:rPr>
                    <w:t>及超声波清洗废水</w:t>
                  </w:r>
                </w:p>
              </w:tc>
              <w:tc>
                <w:tcPr>
                  <w:tcW w:w="1506" w:type="dxa"/>
                  <w:tcBorders>
                    <w:tl2br w:val="nil"/>
                    <w:tr2bl w:val="nil"/>
                  </w:tcBorders>
                  <w:shd w:val="clear" w:color="auto" w:fill="auto"/>
                  <w:vAlign w:val="center"/>
                </w:tcPr>
                <w:p w14:paraId="11611372">
                  <w:pPr>
                    <w:adjustRightInd w:val="0"/>
                    <w:snapToGrid w:val="0"/>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产生浓度</w:t>
                  </w:r>
                  <w:r>
                    <w:rPr>
                      <w:rFonts w:hint="default" w:ascii="Times New Roman" w:hAnsi="Times New Roman" w:eastAsia="宋体" w:cs="Times New Roman"/>
                      <w:b/>
                      <w:bCs/>
                      <w:szCs w:val="21"/>
                      <w:highlight w:val="none"/>
                    </w:rPr>
                    <w:t>（mg/L）</w:t>
                  </w:r>
                </w:p>
              </w:tc>
              <w:tc>
                <w:tcPr>
                  <w:tcW w:w="782" w:type="dxa"/>
                  <w:tcBorders>
                    <w:tl2br w:val="nil"/>
                    <w:tr2bl w:val="nil"/>
                  </w:tcBorders>
                  <w:shd w:val="clear" w:color="auto" w:fill="auto"/>
                  <w:vAlign w:val="center"/>
                </w:tcPr>
                <w:p w14:paraId="0F90CB2A">
                  <w:pPr>
                    <w:widowControl/>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color w:val="000000"/>
                      <w:kern w:val="0"/>
                      <w:szCs w:val="21"/>
                      <w:highlight w:val="none"/>
                      <w:lang w:bidi="ar"/>
                    </w:rPr>
                    <w:t>50</w:t>
                  </w:r>
                </w:p>
              </w:tc>
              <w:tc>
                <w:tcPr>
                  <w:tcW w:w="782" w:type="dxa"/>
                  <w:tcBorders>
                    <w:tl2br w:val="nil"/>
                    <w:tr2bl w:val="nil"/>
                  </w:tcBorders>
                  <w:shd w:val="clear" w:color="auto" w:fill="auto"/>
                  <w:vAlign w:val="center"/>
                </w:tcPr>
                <w:p w14:paraId="06D4DED2">
                  <w:pPr>
                    <w:widowControl/>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color w:val="000000"/>
                      <w:kern w:val="0"/>
                      <w:szCs w:val="21"/>
                      <w:highlight w:val="none"/>
                      <w:lang w:bidi="ar"/>
                    </w:rPr>
                    <w:t>30</w:t>
                  </w:r>
                </w:p>
              </w:tc>
              <w:tc>
                <w:tcPr>
                  <w:tcW w:w="782" w:type="dxa"/>
                  <w:tcBorders>
                    <w:tl2br w:val="nil"/>
                    <w:tr2bl w:val="nil"/>
                  </w:tcBorders>
                  <w:shd w:val="clear" w:color="auto" w:fill="auto"/>
                  <w:vAlign w:val="center"/>
                </w:tcPr>
                <w:p w14:paraId="52CCFA61">
                  <w:pPr>
                    <w:widowControl/>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color w:val="000000"/>
                      <w:kern w:val="0"/>
                      <w:szCs w:val="21"/>
                      <w:highlight w:val="none"/>
                      <w:lang w:bidi="ar"/>
                    </w:rPr>
                    <w:t>100</w:t>
                  </w:r>
                </w:p>
              </w:tc>
              <w:tc>
                <w:tcPr>
                  <w:tcW w:w="782" w:type="dxa"/>
                  <w:tcBorders>
                    <w:tl2br w:val="nil"/>
                    <w:tr2bl w:val="nil"/>
                  </w:tcBorders>
                  <w:shd w:val="clear" w:color="auto" w:fill="auto"/>
                  <w:vAlign w:val="center"/>
                </w:tcPr>
                <w:p w14:paraId="6611EF15">
                  <w:pPr>
                    <w:widowControl/>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color w:val="000000"/>
                      <w:kern w:val="0"/>
                      <w:szCs w:val="21"/>
                      <w:highlight w:val="none"/>
                      <w:lang w:bidi="ar"/>
                    </w:rPr>
                    <w:t>10</w:t>
                  </w:r>
                </w:p>
              </w:tc>
              <w:tc>
                <w:tcPr>
                  <w:tcW w:w="782" w:type="dxa"/>
                  <w:tcBorders>
                    <w:tl2br w:val="nil"/>
                    <w:tr2bl w:val="nil"/>
                  </w:tcBorders>
                  <w:shd w:val="clear" w:color="auto" w:fill="auto"/>
                  <w:vAlign w:val="center"/>
                </w:tcPr>
                <w:p w14:paraId="5559D498">
                  <w:pPr>
                    <w:widowControl/>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color w:val="000000"/>
                      <w:kern w:val="0"/>
                      <w:szCs w:val="21"/>
                      <w:highlight w:val="none"/>
                      <w:lang w:bidi="ar"/>
                    </w:rPr>
                    <w:t>6.5~9</w:t>
                  </w:r>
                </w:p>
              </w:tc>
              <w:tc>
                <w:tcPr>
                  <w:tcW w:w="782" w:type="dxa"/>
                  <w:tcBorders>
                    <w:tl2br w:val="nil"/>
                    <w:tr2bl w:val="nil"/>
                  </w:tcBorders>
                  <w:shd w:val="clear" w:color="auto" w:fill="auto"/>
                  <w:vAlign w:val="center"/>
                </w:tcPr>
                <w:p w14:paraId="6443AFEB">
                  <w:pPr>
                    <w:widowControl/>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color w:val="000000"/>
                      <w:kern w:val="0"/>
                      <w:szCs w:val="21"/>
                      <w:highlight w:val="none"/>
                      <w:lang w:bidi="ar"/>
                    </w:rPr>
                    <w:t>1200</w:t>
                  </w:r>
                </w:p>
              </w:tc>
            </w:tr>
            <w:tr w14:paraId="5236E35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1163" w:type="dxa"/>
                  <w:vMerge w:val="continue"/>
                  <w:tcBorders>
                    <w:tl2br w:val="nil"/>
                    <w:tr2bl w:val="nil"/>
                  </w:tcBorders>
                  <w:vAlign w:val="center"/>
                </w:tcPr>
                <w:p w14:paraId="7AD219E2">
                  <w:pPr>
                    <w:widowControl/>
                    <w:adjustRightInd w:val="0"/>
                    <w:snapToGrid w:val="0"/>
                    <w:jc w:val="center"/>
                    <w:rPr>
                      <w:rFonts w:hint="default" w:ascii="Times New Roman" w:hAnsi="Times New Roman" w:eastAsia="宋体" w:cs="Times New Roman"/>
                      <w:b/>
                      <w:bCs/>
                      <w:kern w:val="0"/>
                      <w:szCs w:val="21"/>
                      <w:highlight w:val="none"/>
                    </w:rPr>
                  </w:pPr>
                </w:p>
              </w:tc>
              <w:tc>
                <w:tcPr>
                  <w:tcW w:w="1506" w:type="dxa"/>
                  <w:tcBorders>
                    <w:tl2br w:val="nil"/>
                    <w:tr2bl w:val="nil"/>
                  </w:tcBorders>
                  <w:shd w:val="clear" w:color="auto" w:fill="auto"/>
                  <w:vAlign w:val="center"/>
                </w:tcPr>
                <w:p w14:paraId="6F816542">
                  <w:pPr>
                    <w:adjustRightInd w:val="0"/>
                    <w:snapToGrid w:val="0"/>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产生量（t/a）</w:t>
                  </w:r>
                </w:p>
              </w:tc>
              <w:tc>
                <w:tcPr>
                  <w:tcW w:w="782" w:type="dxa"/>
                  <w:tcBorders>
                    <w:tl2br w:val="nil"/>
                    <w:tr2bl w:val="nil"/>
                  </w:tcBorders>
                  <w:shd w:val="clear" w:color="auto" w:fill="auto"/>
                  <w:vAlign w:val="center"/>
                </w:tcPr>
                <w:p w14:paraId="6A9D3F94">
                  <w:pPr>
                    <w:snapToGrid w:val="0"/>
                    <w:jc w:val="center"/>
                    <w:rPr>
                      <w:rFonts w:hint="default" w:ascii="Times New Roman" w:hAnsi="Times New Roman" w:eastAsia="宋体" w:cs="Times New Roman"/>
                      <w:kern w:val="0"/>
                      <w:szCs w:val="21"/>
                      <w:highlight w:val="none"/>
                      <w:lang w:val="en-US"/>
                    </w:rPr>
                  </w:pPr>
                  <w:r>
                    <w:rPr>
                      <w:rFonts w:hint="default" w:ascii="Times New Roman" w:hAnsi="Times New Roman" w:eastAsia="宋体" w:cs="Times New Roman"/>
                      <w:szCs w:val="21"/>
                      <w:highlight w:val="none"/>
                      <w:lang w:val="en-US" w:eastAsia="zh-CN"/>
                    </w:rPr>
                    <w:t>0.000497</w:t>
                  </w:r>
                </w:p>
              </w:tc>
              <w:tc>
                <w:tcPr>
                  <w:tcW w:w="782" w:type="dxa"/>
                  <w:tcBorders>
                    <w:tl2br w:val="nil"/>
                    <w:tr2bl w:val="nil"/>
                  </w:tcBorders>
                  <w:shd w:val="clear" w:color="auto" w:fill="auto"/>
                  <w:vAlign w:val="center"/>
                </w:tcPr>
                <w:p w14:paraId="1AB59164">
                  <w:pPr>
                    <w:snapToGrid w:val="0"/>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szCs w:val="21"/>
                      <w:highlight w:val="none"/>
                      <w:lang w:val="en-US" w:eastAsia="zh-CN"/>
                    </w:rPr>
                    <w:t>0.000299</w:t>
                  </w:r>
                </w:p>
              </w:tc>
              <w:tc>
                <w:tcPr>
                  <w:tcW w:w="782" w:type="dxa"/>
                  <w:tcBorders>
                    <w:tl2br w:val="nil"/>
                    <w:tr2bl w:val="nil"/>
                  </w:tcBorders>
                  <w:shd w:val="clear" w:color="auto" w:fill="auto"/>
                  <w:vAlign w:val="center"/>
                </w:tcPr>
                <w:p w14:paraId="15EE02B3">
                  <w:pPr>
                    <w:snapToGrid w:val="0"/>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szCs w:val="21"/>
                      <w:highlight w:val="none"/>
                      <w:lang w:val="en-US" w:eastAsia="zh-CN"/>
                    </w:rPr>
                    <w:t>0.00099</w:t>
                  </w:r>
                </w:p>
              </w:tc>
              <w:tc>
                <w:tcPr>
                  <w:tcW w:w="782" w:type="dxa"/>
                  <w:tcBorders>
                    <w:tl2br w:val="nil"/>
                    <w:tr2bl w:val="nil"/>
                  </w:tcBorders>
                  <w:shd w:val="clear" w:color="auto" w:fill="auto"/>
                  <w:vAlign w:val="center"/>
                </w:tcPr>
                <w:p w14:paraId="3C2116A1">
                  <w:pPr>
                    <w:snapToGrid w:val="0"/>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szCs w:val="21"/>
                      <w:highlight w:val="none"/>
                      <w:lang w:val="en-US" w:eastAsia="zh-CN"/>
                    </w:rPr>
                    <w:t>0.000099</w:t>
                  </w:r>
                </w:p>
              </w:tc>
              <w:tc>
                <w:tcPr>
                  <w:tcW w:w="782" w:type="dxa"/>
                  <w:tcBorders>
                    <w:tl2br w:val="nil"/>
                    <w:tr2bl w:val="nil"/>
                  </w:tcBorders>
                  <w:shd w:val="clear" w:color="auto" w:fill="auto"/>
                  <w:vAlign w:val="center"/>
                </w:tcPr>
                <w:p w14:paraId="40652083">
                  <w:pPr>
                    <w:snapToGrid w:val="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w:t>
                  </w:r>
                </w:p>
              </w:tc>
              <w:tc>
                <w:tcPr>
                  <w:tcW w:w="782" w:type="dxa"/>
                  <w:tcBorders>
                    <w:tl2br w:val="nil"/>
                    <w:tr2bl w:val="nil"/>
                  </w:tcBorders>
                  <w:shd w:val="clear" w:color="auto" w:fill="auto"/>
                  <w:vAlign w:val="center"/>
                </w:tcPr>
                <w:p w14:paraId="79C8B900">
                  <w:pPr>
                    <w:widowControl/>
                    <w:jc w:val="center"/>
                    <w:textAlignment w:val="center"/>
                    <w:rPr>
                      <w:rFonts w:hint="default" w:ascii="Times New Roman" w:hAnsi="Times New Roman" w:eastAsia="宋体" w:cs="Times New Roman"/>
                      <w:kern w:val="0"/>
                      <w:szCs w:val="21"/>
                      <w:highlight w:val="none"/>
                      <w:lang w:val="en-US"/>
                    </w:rPr>
                  </w:pPr>
                  <w:r>
                    <w:rPr>
                      <w:rFonts w:hint="default" w:ascii="Times New Roman" w:hAnsi="Times New Roman" w:eastAsia="宋体" w:cs="Times New Roman"/>
                      <w:szCs w:val="21"/>
                      <w:highlight w:val="none"/>
                      <w:lang w:val="en-US" w:eastAsia="zh-CN"/>
                    </w:rPr>
                    <w:t>0.01193</w:t>
                  </w:r>
                </w:p>
              </w:tc>
            </w:tr>
            <w:tr w14:paraId="7C958CE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1163" w:type="dxa"/>
                  <w:vMerge w:val="restart"/>
                  <w:tcBorders>
                    <w:tl2br w:val="nil"/>
                    <w:tr2bl w:val="nil"/>
                  </w:tcBorders>
                  <w:vAlign w:val="center"/>
                </w:tcPr>
                <w:p w14:paraId="11BAD7C4">
                  <w:pPr>
                    <w:widowControl/>
                    <w:adjustRightInd w:val="0"/>
                    <w:snapToGrid w:val="0"/>
                    <w:jc w:val="center"/>
                    <w:rPr>
                      <w:rFonts w:hint="default" w:ascii="Times New Roman" w:hAnsi="Times New Roman" w:eastAsia="宋体" w:cs="Times New Roman"/>
                      <w:b/>
                      <w:bCs/>
                      <w:kern w:val="0"/>
                      <w:szCs w:val="21"/>
                      <w:highlight w:val="none"/>
                      <w:lang w:val="en-US" w:eastAsia="zh-CN"/>
                    </w:rPr>
                  </w:pPr>
                  <w:r>
                    <w:rPr>
                      <w:rFonts w:hint="default" w:ascii="Times New Roman" w:hAnsi="Times New Roman" w:eastAsia="宋体" w:cs="Times New Roman"/>
                      <w:b/>
                      <w:bCs/>
                      <w:kern w:val="0"/>
                      <w:szCs w:val="21"/>
                      <w:highlight w:val="none"/>
                      <w:lang w:val="en-US" w:eastAsia="zh-CN"/>
                    </w:rPr>
                    <w:t>第三遍设备清洗废水</w:t>
                  </w:r>
                </w:p>
              </w:tc>
              <w:tc>
                <w:tcPr>
                  <w:tcW w:w="1506" w:type="dxa"/>
                  <w:tcBorders>
                    <w:tl2br w:val="nil"/>
                    <w:tr2bl w:val="nil"/>
                  </w:tcBorders>
                  <w:shd w:val="clear" w:color="auto" w:fill="auto"/>
                  <w:vAlign w:val="center"/>
                </w:tcPr>
                <w:p w14:paraId="614157A6">
                  <w:pPr>
                    <w:adjustRightInd w:val="0"/>
                    <w:snapToGrid w:val="0"/>
                    <w:jc w:val="center"/>
                    <w:rPr>
                      <w:rFonts w:hint="default" w:ascii="Times New Roman" w:hAnsi="Times New Roman" w:eastAsia="宋体" w:cs="Times New Roman"/>
                      <w:b/>
                      <w:bCs/>
                      <w:kern w:val="0"/>
                      <w:sz w:val="21"/>
                      <w:szCs w:val="21"/>
                      <w:highlight w:val="none"/>
                      <w:lang w:val="en-US" w:eastAsia="zh-CN" w:bidi="ar-SA"/>
                    </w:rPr>
                  </w:pPr>
                  <w:r>
                    <w:rPr>
                      <w:rFonts w:hint="default" w:ascii="Times New Roman" w:hAnsi="Times New Roman" w:eastAsia="宋体" w:cs="Times New Roman"/>
                      <w:b/>
                      <w:bCs/>
                      <w:kern w:val="0"/>
                      <w:szCs w:val="21"/>
                      <w:highlight w:val="none"/>
                    </w:rPr>
                    <w:t>产生浓度</w:t>
                  </w:r>
                  <w:r>
                    <w:rPr>
                      <w:rFonts w:hint="default" w:ascii="Times New Roman" w:hAnsi="Times New Roman" w:eastAsia="宋体" w:cs="Times New Roman"/>
                      <w:b/>
                      <w:bCs/>
                      <w:szCs w:val="21"/>
                      <w:highlight w:val="none"/>
                    </w:rPr>
                    <w:t>（mg/L）</w:t>
                  </w:r>
                </w:p>
              </w:tc>
              <w:tc>
                <w:tcPr>
                  <w:tcW w:w="782" w:type="dxa"/>
                  <w:tcBorders>
                    <w:tl2br w:val="nil"/>
                    <w:tr2bl w:val="nil"/>
                  </w:tcBorders>
                  <w:shd w:val="clear" w:color="auto" w:fill="auto"/>
                  <w:vAlign w:val="center"/>
                </w:tcPr>
                <w:p w14:paraId="1B738A13">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200</w:t>
                  </w:r>
                </w:p>
              </w:tc>
              <w:tc>
                <w:tcPr>
                  <w:tcW w:w="782" w:type="dxa"/>
                  <w:tcBorders>
                    <w:tl2br w:val="nil"/>
                    <w:tr2bl w:val="nil"/>
                  </w:tcBorders>
                  <w:shd w:val="clear" w:color="auto" w:fill="auto"/>
                  <w:vAlign w:val="center"/>
                </w:tcPr>
                <w:p w14:paraId="4832C3B8">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180</w:t>
                  </w:r>
                </w:p>
              </w:tc>
              <w:tc>
                <w:tcPr>
                  <w:tcW w:w="782" w:type="dxa"/>
                  <w:tcBorders>
                    <w:tl2br w:val="nil"/>
                    <w:tr2bl w:val="nil"/>
                  </w:tcBorders>
                  <w:shd w:val="clear" w:color="auto" w:fill="auto"/>
                  <w:vAlign w:val="center"/>
                </w:tcPr>
                <w:p w14:paraId="3BB9652B">
                  <w:pPr>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200</w:t>
                  </w:r>
                </w:p>
              </w:tc>
              <w:tc>
                <w:tcPr>
                  <w:tcW w:w="782" w:type="dxa"/>
                  <w:tcBorders>
                    <w:tl2br w:val="nil"/>
                    <w:tr2bl w:val="nil"/>
                  </w:tcBorders>
                  <w:shd w:val="clear" w:color="auto" w:fill="auto"/>
                  <w:vAlign w:val="center"/>
                </w:tcPr>
                <w:p w14:paraId="1A9ADA55">
                  <w:pPr>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25</w:t>
                  </w:r>
                </w:p>
              </w:tc>
              <w:tc>
                <w:tcPr>
                  <w:tcW w:w="782" w:type="dxa"/>
                  <w:tcBorders>
                    <w:tl2br w:val="nil"/>
                    <w:tr2bl w:val="nil"/>
                  </w:tcBorders>
                  <w:shd w:val="clear" w:color="auto" w:fill="auto"/>
                  <w:vAlign w:val="center"/>
                </w:tcPr>
                <w:p w14:paraId="7D1D0BDE">
                  <w:pPr>
                    <w:snapToGrid w:val="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w:t>
                  </w:r>
                </w:p>
              </w:tc>
              <w:tc>
                <w:tcPr>
                  <w:tcW w:w="782" w:type="dxa"/>
                  <w:tcBorders>
                    <w:tl2br w:val="nil"/>
                    <w:tr2bl w:val="nil"/>
                  </w:tcBorders>
                  <w:shd w:val="clear" w:color="auto" w:fill="auto"/>
                  <w:vAlign w:val="center"/>
                </w:tcPr>
                <w:p w14:paraId="7FE667F6">
                  <w:pPr>
                    <w:widowControl/>
                    <w:jc w:val="center"/>
                    <w:textAlignment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kern w:val="0"/>
                      <w:szCs w:val="21"/>
                      <w:highlight w:val="none"/>
                      <w:lang w:val="en-US" w:eastAsia="zh-CN"/>
                    </w:rPr>
                    <w:t>/</w:t>
                  </w:r>
                </w:p>
              </w:tc>
            </w:tr>
            <w:tr w14:paraId="240EF9A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1163" w:type="dxa"/>
                  <w:vMerge w:val="continue"/>
                  <w:tcBorders>
                    <w:tl2br w:val="nil"/>
                    <w:tr2bl w:val="nil"/>
                  </w:tcBorders>
                  <w:vAlign w:val="center"/>
                </w:tcPr>
                <w:p w14:paraId="6C4A62D1">
                  <w:pPr>
                    <w:widowControl/>
                    <w:adjustRightInd w:val="0"/>
                    <w:snapToGrid w:val="0"/>
                    <w:jc w:val="center"/>
                    <w:rPr>
                      <w:rFonts w:hint="default" w:ascii="Times New Roman" w:hAnsi="Times New Roman" w:eastAsia="宋体" w:cs="Times New Roman"/>
                      <w:b/>
                      <w:bCs/>
                      <w:kern w:val="0"/>
                      <w:szCs w:val="21"/>
                      <w:highlight w:val="none"/>
                    </w:rPr>
                  </w:pPr>
                </w:p>
              </w:tc>
              <w:tc>
                <w:tcPr>
                  <w:tcW w:w="1506" w:type="dxa"/>
                  <w:tcBorders>
                    <w:tl2br w:val="nil"/>
                    <w:tr2bl w:val="nil"/>
                  </w:tcBorders>
                  <w:shd w:val="clear" w:color="auto" w:fill="auto"/>
                  <w:vAlign w:val="center"/>
                </w:tcPr>
                <w:p w14:paraId="69FDB5FC">
                  <w:pPr>
                    <w:adjustRightInd w:val="0"/>
                    <w:snapToGrid w:val="0"/>
                    <w:jc w:val="center"/>
                    <w:rPr>
                      <w:rFonts w:hint="default" w:ascii="Times New Roman" w:hAnsi="Times New Roman" w:eastAsia="宋体" w:cs="Times New Roman"/>
                      <w:b/>
                      <w:bCs/>
                      <w:kern w:val="0"/>
                      <w:sz w:val="21"/>
                      <w:szCs w:val="21"/>
                      <w:highlight w:val="none"/>
                      <w:lang w:val="en-US" w:eastAsia="zh-CN" w:bidi="ar-SA"/>
                    </w:rPr>
                  </w:pPr>
                  <w:r>
                    <w:rPr>
                      <w:rFonts w:hint="default" w:ascii="Times New Roman" w:hAnsi="Times New Roman" w:eastAsia="宋体" w:cs="Times New Roman"/>
                      <w:b/>
                      <w:bCs/>
                      <w:kern w:val="0"/>
                      <w:szCs w:val="21"/>
                      <w:highlight w:val="none"/>
                    </w:rPr>
                    <w:t>产生量（t/a）</w:t>
                  </w:r>
                </w:p>
              </w:tc>
              <w:tc>
                <w:tcPr>
                  <w:tcW w:w="782" w:type="dxa"/>
                  <w:tcBorders>
                    <w:tl2br w:val="nil"/>
                    <w:tr2bl w:val="nil"/>
                  </w:tcBorders>
                  <w:shd w:val="clear" w:color="auto" w:fill="auto"/>
                  <w:vAlign w:val="center"/>
                </w:tcPr>
                <w:p w14:paraId="64BDF9AB">
                  <w:pPr>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0.00026</w:t>
                  </w:r>
                </w:p>
              </w:tc>
              <w:tc>
                <w:tcPr>
                  <w:tcW w:w="782" w:type="dxa"/>
                  <w:tcBorders>
                    <w:tl2br w:val="nil"/>
                    <w:tr2bl w:val="nil"/>
                  </w:tcBorders>
                  <w:shd w:val="clear" w:color="auto" w:fill="auto"/>
                  <w:vAlign w:val="center"/>
                </w:tcPr>
                <w:p w14:paraId="4EC2FE3C">
                  <w:pPr>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0.000234</w:t>
                  </w:r>
                </w:p>
              </w:tc>
              <w:tc>
                <w:tcPr>
                  <w:tcW w:w="782" w:type="dxa"/>
                  <w:tcBorders>
                    <w:tl2br w:val="nil"/>
                    <w:tr2bl w:val="nil"/>
                  </w:tcBorders>
                  <w:shd w:val="clear" w:color="auto" w:fill="auto"/>
                  <w:vAlign w:val="center"/>
                </w:tcPr>
                <w:p w14:paraId="59D15C5B">
                  <w:pPr>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0.00026</w:t>
                  </w:r>
                </w:p>
              </w:tc>
              <w:tc>
                <w:tcPr>
                  <w:tcW w:w="782" w:type="dxa"/>
                  <w:tcBorders>
                    <w:tl2br w:val="nil"/>
                    <w:tr2bl w:val="nil"/>
                  </w:tcBorders>
                  <w:shd w:val="clear" w:color="auto" w:fill="auto"/>
                  <w:vAlign w:val="center"/>
                </w:tcPr>
                <w:p w14:paraId="447EB506">
                  <w:pPr>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0.0000325</w:t>
                  </w:r>
                </w:p>
              </w:tc>
              <w:tc>
                <w:tcPr>
                  <w:tcW w:w="782" w:type="dxa"/>
                  <w:tcBorders>
                    <w:tl2br w:val="nil"/>
                    <w:tr2bl w:val="nil"/>
                  </w:tcBorders>
                  <w:shd w:val="clear" w:color="auto" w:fill="auto"/>
                  <w:vAlign w:val="center"/>
                </w:tcPr>
                <w:p w14:paraId="130EB23E">
                  <w:pPr>
                    <w:snapToGrid w:val="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w:t>
                  </w:r>
                </w:p>
              </w:tc>
              <w:tc>
                <w:tcPr>
                  <w:tcW w:w="782" w:type="dxa"/>
                  <w:tcBorders>
                    <w:tl2br w:val="nil"/>
                    <w:tr2bl w:val="nil"/>
                  </w:tcBorders>
                  <w:shd w:val="clear" w:color="auto" w:fill="auto"/>
                  <w:vAlign w:val="center"/>
                </w:tcPr>
                <w:p w14:paraId="0AAD77D7">
                  <w:pPr>
                    <w:widowControl/>
                    <w:jc w:val="center"/>
                    <w:textAlignment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kern w:val="0"/>
                      <w:szCs w:val="21"/>
                      <w:highlight w:val="none"/>
                      <w:lang w:val="en-US" w:eastAsia="zh-CN"/>
                    </w:rPr>
                    <w:t>/</w:t>
                  </w:r>
                </w:p>
              </w:tc>
            </w:tr>
            <w:tr w14:paraId="5DED205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22" w:hRule="atLeast"/>
                <w:jc w:val="center"/>
              </w:trPr>
              <w:tc>
                <w:tcPr>
                  <w:tcW w:w="1163" w:type="dxa"/>
                  <w:vMerge w:val="restart"/>
                  <w:tcBorders>
                    <w:tl2br w:val="nil"/>
                    <w:tr2bl w:val="nil"/>
                  </w:tcBorders>
                  <w:vAlign w:val="center"/>
                </w:tcPr>
                <w:p w14:paraId="4A865B42">
                  <w:pPr>
                    <w:widowControl/>
                    <w:adjustRightInd w:val="0"/>
                    <w:snapToGrid w:val="0"/>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综合废水</w:t>
                  </w:r>
                </w:p>
              </w:tc>
              <w:tc>
                <w:tcPr>
                  <w:tcW w:w="1506" w:type="dxa"/>
                  <w:tcBorders>
                    <w:tl2br w:val="nil"/>
                    <w:tr2bl w:val="nil"/>
                  </w:tcBorders>
                  <w:vAlign w:val="center"/>
                </w:tcPr>
                <w:p w14:paraId="49FC714E">
                  <w:pPr>
                    <w:adjustRightInd w:val="0"/>
                    <w:snapToGrid w:val="0"/>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综合废水产生浓度</w:t>
                  </w:r>
                  <w:r>
                    <w:rPr>
                      <w:rFonts w:hint="default" w:ascii="Times New Roman" w:hAnsi="Times New Roman" w:eastAsia="宋体" w:cs="Times New Roman"/>
                      <w:b/>
                      <w:bCs/>
                      <w:szCs w:val="21"/>
                      <w:highlight w:val="none"/>
                    </w:rPr>
                    <w:t>（mg/L）</w:t>
                  </w:r>
                </w:p>
              </w:tc>
              <w:tc>
                <w:tcPr>
                  <w:tcW w:w="782" w:type="dxa"/>
                  <w:tcBorders>
                    <w:tl2br w:val="nil"/>
                    <w:tr2bl w:val="nil"/>
                  </w:tcBorders>
                  <w:vAlign w:val="center"/>
                </w:tcPr>
                <w:p w14:paraId="5D81D667">
                  <w:pPr>
                    <w:keepNext w:val="0"/>
                    <w:keepLines w:val="0"/>
                    <w:widowControl/>
                    <w:suppressLineNumbers w:val="0"/>
                    <w:jc w:val="center"/>
                    <w:textAlignment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439.7 </w:t>
                  </w:r>
                </w:p>
              </w:tc>
              <w:tc>
                <w:tcPr>
                  <w:tcW w:w="782" w:type="dxa"/>
                  <w:tcBorders>
                    <w:tl2br w:val="nil"/>
                    <w:tr2bl w:val="nil"/>
                  </w:tcBorders>
                  <w:vAlign w:val="center"/>
                </w:tcPr>
                <w:p w14:paraId="705A59BA">
                  <w:pPr>
                    <w:keepNext w:val="0"/>
                    <w:keepLines w:val="0"/>
                    <w:widowControl/>
                    <w:suppressLineNumbers w:val="0"/>
                    <w:jc w:val="center"/>
                    <w:textAlignment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244.9 </w:t>
                  </w:r>
                </w:p>
              </w:tc>
              <w:tc>
                <w:tcPr>
                  <w:tcW w:w="782" w:type="dxa"/>
                  <w:tcBorders>
                    <w:tl2br w:val="nil"/>
                    <w:tr2bl w:val="nil"/>
                  </w:tcBorders>
                  <w:vAlign w:val="center"/>
                </w:tcPr>
                <w:p w14:paraId="642BB99A">
                  <w:pPr>
                    <w:keepNext w:val="0"/>
                    <w:keepLines w:val="0"/>
                    <w:widowControl/>
                    <w:suppressLineNumbers w:val="0"/>
                    <w:jc w:val="center"/>
                    <w:textAlignment w:val="center"/>
                    <w:rPr>
                      <w:rFonts w:hint="default" w:ascii="Times New Roman" w:hAnsi="Times New Roman" w:eastAsia="宋体" w:cs="Times New Roman"/>
                      <w:kern w:val="0"/>
                      <w:szCs w:val="21"/>
                      <w:highlight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295.1</w:t>
                  </w:r>
                </w:p>
              </w:tc>
              <w:tc>
                <w:tcPr>
                  <w:tcW w:w="782" w:type="dxa"/>
                  <w:tcBorders>
                    <w:tl2br w:val="nil"/>
                    <w:tr2bl w:val="nil"/>
                  </w:tcBorders>
                  <w:vAlign w:val="center"/>
                </w:tcPr>
                <w:p w14:paraId="0A142691">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39.3 </w:t>
                  </w:r>
                </w:p>
              </w:tc>
              <w:tc>
                <w:tcPr>
                  <w:tcW w:w="782" w:type="dxa"/>
                  <w:tcBorders>
                    <w:tl2br w:val="nil"/>
                    <w:tr2bl w:val="nil"/>
                  </w:tcBorders>
                  <w:vAlign w:val="center"/>
                </w:tcPr>
                <w:p w14:paraId="15FFCC64">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6.5~9</w:t>
                  </w:r>
                </w:p>
              </w:tc>
              <w:tc>
                <w:tcPr>
                  <w:tcW w:w="782" w:type="dxa"/>
                  <w:tcBorders>
                    <w:tl2br w:val="nil"/>
                    <w:tr2bl w:val="nil"/>
                  </w:tcBorders>
                  <w:vAlign w:val="center"/>
                </w:tcPr>
                <w:p w14:paraId="7D7F5F30">
                  <w:pPr>
                    <w:keepNext w:val="0"/>
                    <w:keepLines w:val="0"/>
                    <w:widowControl/>
                    <w:suppressLineNumbers w:val="0"/>
                    <w:jc w:val="center"/>
                    <w:textAlignment w:val="center"/>
                    <w:rPr>
                      <w:rFonts w:hint="default" w:ascii="Times New Roman" w:hAnsi="Times New Roman" w:eastAsia="宋体" w:cs="Times New Roman"/>
                      <w:kern w:val="0"/>
                      <w:szCs w:val="21"/>
                      <w:highlight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27.3</w:t>
                  </w:r>
                </w:p>
              </w:tc>
            </w:tr>
            <w:tr w14:paraId="4281DCB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1163" w:type="dxa"/>
                  <w:vMerge w:val="continue"/>
                  <w:tcBorders>
                    <w:tl2br w:val="nil"/>
                    <w:tr2bl w:val="nil"/>
                  </w:tcBorders>
                  <w:vAlign w:val="center"/>
                </w:tcPr>
                <w:p w14:paraId="24621849">
                  <w:pPr>
                    <w:widowControl/>
                    <w:adjustRightInd w:val="0"/>
                    <w:snapToGrid w:val="0"/>
                    <w:jc w:val="center"/>
                    <w:rPr>
                      <w:rFonts w:hint="default" w:ascii="Times New Roman" w:hAnsi="Times New Roman" w:eastAsia="宋体" w:cs="Times New Roman"/>
                      <w:b/>
                      <w:bCs/>
                      <w:kern w:val="0"/>
                      <w:szCs w:val="21"/>
                      <w:highlight w:val="none"/>
                    </w:rPr>
                  </w:pPr>
                </w:p>
              </w:tc>
              <w:tc>
                <w:tcPr>
                  <w:tcW w:w="1506" w:type="dxa"/>
                  <w:tcBorders>
                    <w:tl2br w:val="nil"/>
                    <w:tr2bl w:val="nil"/>
                  </w:tcBorders>
                  <w:vAlign w:val="center"/>
                </w:tcPr>
                <w:p w14:paraId="17210788">
                  <w:pPr>
                    <w:adjustRightInd w:val="0"/>
                    <w:snapToGrid w:val="0"/>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污染物产生量（t/a）</w:t>
                  </w:r>
                </w:p>
              </w:tc>
              <w:tc>
                <w:tcPr>
                  <w:tcW w:w="782" w:type="dxa"/>
                  <w:tcBorders>
                    <w:tl2br w:val="nil"/>
                    <w:tr2bl w:val="nil"/>
                  </w:tcBorders>
                  <w:vAlign w:val="center"/>
                </w:tcPr>
                <w:p w14:paraId="545FFDE6">
                  <w:pPr>
                    <w:keepNext w:val="0"/>
                    <w:keepLines w:val="0"/>
                    <w:widowControl/>
                    <w:suppressLineNumbers w:val="0"/>
                    <w:jc w:val="center"/>
                    <w:textAlignment w:val="center"/>
                    <w:rPr>
                      <w:rFonts w:hint="default" w:ascii="Times New Roman" w:hAnsi="Times New Roman" w:eastAsia="宋体" w:cs="Times New Roman"/>
                      <w:kern w:val="0"/>
                      <w:szCs w:val="21"/>
                      <w:highlight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0.19180</w:t>
                  </w:r>
                </w:p>
              </w:tc>
              <w:tc>
                <w:tcPr>
                  <w:tcW w:w="782" w:type="dxa"/>
                  <w:tcBorders>
                    <w:tl2br w:val="nil"/>
                    <w:tr2bl w:val="nil"/>
                  </w:tcBorders>
                  <w:vAlign w:val="center"/>
                </w:tcPr>
                <w:p w14:paraId="75928DD9">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0.10683 </w:t>
                  </w:r>
                </w:p>
              </w:tc>
              <w:tc>
                <w:tcPr>
                  <w:tcW w:w="782" w:type="dxa"/>
                  <w:tcBorders>
                    <w:tl2br w:val="nil"/>
                    <w:tr2bl w:val="nil"/>
                  </w:tcBorders>
                  <w:vAlign w:val="center"/>
                </w:tcPr>
                <w:p w14:paraId="458A4262">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0.12875 </w:t>
                  </w:r>
                </w:p>
              </w:tc>
              <w:tc>
                <w:tcPr>
                  <w:tcW w:w="782" w:type="dxa"/>
                  <w:tcBorders>
                    <w:tl2br w:val="nil"/>
                    <w:tr2bl w:val="nil"/>
                  </w:tcBorders>
                  <w:vAlign w:val="center"/>
                </w:tcPr>
                <w:p w14:paraId="057DD939">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0.01713 </w:t>
                  </w:r>
                </w:p>
              </w:tc>
              <w:tc>
                <w:tcPr>
                  <w:tcW w:w="782" w:type="dxa"/>
                  <w:tcBorders>
                    <w:tl2br w:val="nil"/>
                    <w:tr2bl w:val="nil"/>
                  </w:tcBorders>
                  <w:vAlign w:val="center"/>
                </w:tcPr>
                <w:p w14:paraId="208A977B">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782" w:type="dxa"/>
                  <w:tcBorders>
                    <w:tl2br w:val="nil"/>
                    <w:tr2bl w:val="nil"/>
                  </w:tcBorders>
                  <w:vAlign w:val="center"/>
                </w:tcPr>
                <w:p w14:paraId="35A86412">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0.01193 </w:t>
                  </w:r>
                </w:p>
              </w:tc>
            </w:tr>
            <w:tr w14:paraId="194002B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1163" w:type="dxa"/>
                  <w:vMerge w:val="continue"/>
                  <w:tcBorders>
                    <w:tl2br w:val="nil"/>
                    <w:tr2bl w:val="nil"/>
                  </w:tcBorders>
                  <w:vAlign w:val="center"/>
                </w:tcPr>
                <w:p w14:paraId="3438718F">
                  <w:pPr>
                    <w:widowControl/>
                    <w:adjustRightInd w:val="0"/>
                    <w:snapToGrid w:val="0"/>
                    <w:jc w:val="center"/>
                    <w:rPr>
                      <w:rFonts w:hint="default" w:ascii="Times New Roman" w:hAnsi="Times New Roman" w:eastAsia="宋体" w:cs="Times New Roman"/>
                      <w:b/>
                      <w:bCs/>
                      <w:kern w:val="0"/>
                      <w:szCs w:val="21"/>
                      <w:highlight w:val="none"/>
                    </w:rPr>
                  </w:pPr>
                </w:p>
              </w:tc>
              <w:tc>
                <w:tcPr>
                  <w:tcW w:w="1506" w:type="dxa"/>
                  <w:tcBorders>
                    <w:tl2br w:val="nil"/>
                    <w:tr2bl w:val="nil"/>
                  </w:tcBorders>
                  <w:vAlign w:val="center"/>
                </w:tcPr>
                <w:p w14:paraId="61E530F2">
                  <w:pPr>
                    <w:adjustRightInd w:val="0"/>
                    <w:snapToGrid w:val="0"/>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化粪池去除效率</w:t>
                  </w:r>
                </w:p>
              </w:tc>
              <w:tc>
                <w:tcPr>
                  <w:tcW w:w="782" w:type="dxa"/>
                  <w:tcBorders>
                    <w:tl2br w:val="nil"/>
                    <w:tr2bl w:val="nil"/>
                  </w:tcBorders>
                  <w:vAlign w:val="center"/>
                </w:tcPr>
                <w:p w14:paraId="5F76A6D0">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15%</w:t>
                  </w:r>
                </w:p>
              </w:tc>
              <w:tc>
                <w:tcPr>
                  <w:tcW w:w="782" w:type="dxa"/>
                  <w:tcBorders>
                    <w:tl2br w:val="nil"/>
                    <w:tr2bl w:val="nil"/>
                  </w:tcBorders>
                  <w:vAlign w:val="center"/>
                </w:tcPr>
                <w:p w14:paraId="0411DB3B">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9%</w:t>
                  </w:r>
                </w:p>
              </w:tc>
              <w:tc>
                <w:tcPr>
                  <w:tcW w:w="782" w:type="dxa"/>
                  <w:tcBorders>
                    <w:tl2br w:val="nil"/>
                    <w:tr2bl w:val="nil"/>
                  </w:tcBorders>
                  <w:vAlign w:val="center"/>
                </w:tcPr>
                <w:p w14:paraId="63F5C390">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782" w:type="dxa"/>
                  <w:tcBorders>
                    <w:tl2br w:val="nil"/>
                    <w:tr2bl w:val="nil"/>
                  </w:tcBorders>
                  <w:vAlign w:val="center"/>
                </w:tcPr>
                <w:p w14:paraId="03F103D2">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782" w:type="dxa"/>
                  <w:tcBorders>
                    <w:tl2br w:val="nil"/>
                    <w:tr2bl w:val="nil"/>
                  </w:tcBorders>
                  <w:vAlign w:val="center"/>
                </w:tcPr>
                <w:p w14:paraId="2E0467BA">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782" w:type="dxa"/>
                  <w:tcBorders>
                    <w:tl2br w:val="nil"/>
                    <w:tr2bl w:val="nil"/>
                  </w:tcBorders>
                  <w:vAlign w:val="center"/>
                </w:tcPr>
                <w:p w14:paraId="5E44B2E3">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r>
            <w:tr w14:paraId="0E0EBC5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22" w:hRule="atLeast"/>
                <w:jc w:val="center"/>
              </w:trPr>
              <w:tc>
                <w:tcPr>
                  <w:tcW w:w="1163" w:type="dxa"/>
                  <w:vMerge w:val="continue"/>
                  <w:tcBorders>
                    <w:tl2br w:val="nil"/>
                    <w:tr2bl w:val="nil"/>
                  </w:tcBorders>
                  <w:vAlign w:val="center"/>
                </w:tcPr>
                <w:p w14:paraId="025615B2">
                  <w:pPr>
                    <w:widowControl/>
                    <w:adjustRightInd w:val="0"/>
                    <w:snapToGrid w:val="0"/>
                    <w:jc w:val="center"/>
                    <w:rPr>
                      <w:rFonts w:hint="default" w:ascii="Times New Roman" w:hAnsi="Times New Roman" w:eastAsia="宋体" w:cs="Times New Roman"/>
                      <w:b/>
                      <w:bCs/>
                      <w:kern w:val="0"/>
                      <w:szCs w:val="21"/>
                      <w:highlight w:val="none"/>
                    </w:rPr>
                  </w:pPr>
                </w:p>
              </w:tc>
              <w:tc>
                <w:tcPr>
                  <w:tcW w:w="1506" w:type="dxa"/>
                  <w:tcBorders>
                    <w:tl2br w:val="nil"/>
                    <w:tr2bl w:val="nil"/>
                  </w:tcBorders>
                  <w:vAlign w:val="center"/>
                </w:tcPr>
                <w:p w14:paraId="0EFD76CC">
                  <w:pPr>
                    <w:adjustRightInd w:val="0"/>
                    <w:snapToGrid w:val="0"/>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综合废水排放浓度</w:t>
                  </w:r>
                  <w:r>
                    <w:rPr>
                      <w:rFonts w:hint="default" w:ascii="Times New Roman" w:hAnsi="Times New Roman" w:eastAsia="宋体" w:cs="Times New Roman"/>
                      <w:b/>
                      <w:bCs/>
                      <w:szCs w:val="21"/>
                      <w:highlight w:val="none"/>
                    </w:rPr>
                    <w:t>（mg/L）</w:t>
                  </w:r>
                </w:p>
              </w:tc>
              <w:tc>
                <w:tcPr>
                  <w:tcW w:w="782" w:type="dxa"/>
                  <w:tcBorders>
                    <w:tl2br w:val="nil"/>
                    <w:tr2bl w:val="nil"/>
                  </w:tcBorders>
                  <w:vAlign w:val="center"/>
                </w:tcPr>
                <w:p w14:paraId="02CAFBE0">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373.7 </w:t>
                  </w:r>
                </w:p>
              </w:tc>
              <w:tc>
                <w:tcPr>
                  <w:tcW w:w="782" w:type="dxa"/>
                  <w:tcBorders>
                    <w:tl2br w:val="nil"/>
                    <w:tr2bl w:val="nil"/>
                  </w:tcBorders>
                  <w:vAlign w:val="center"/>
                </w:tcPr>
                <w:p w14:paraId="63B022B0">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222.9 </w:t>
                  </w:r>
                </w:p>
              </w:tc>
              <w:tc>
                <w:tcPr>
                  <w:tcW w:w="782" w:type="dxa"/>
                  <w:tcBorders>
                    <w:tl2br w:val="nil"/>
                    <w:tr2bl w:val="nil"/>
                  </w:tcBorders>
                  <w:vAlign w:val="center"/>
                </w:tcPr>
                <w:p w14:paraId="061BDE54">
                  <w:pPr>
                    <w:keepNext w:val="0"/>
                    <w:keepLines w:val="0"/>
                    <w:widowControl/>
                    <w:suppressLineNumbers w:val="0"/>
                    <w:jc w:val="center"/>
                    <w:textAlignment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206.6</w:t>
                  </w:r>
                </w:p>
              </w:tc>
              <w:tc>
                <w:tcPr>
                  <w:tcW w:w="782" w:type="dxa"/>
                  <w:tcBorders>
                    <w:tl2br w:val="nil"/>
                    <w:tr2bl w:val="nil"/>
                  </w:tcBorders>
                  <w:vAlign w:val="center"/>
                </w:tcPr>
                <w:p w14:paraId="7E47BB51">
                  <w:pPr>
                    <w:keepNext w:val="0"/>
                    <w:keepLines w:val="0"/>
                    <w:widowControl/>
                    <w:suppressLineNumbers w:val="0"/>
                    <w:jc w:val="center"/>
                    <w:textAlignment w:val="center"/>
                    <w:rPr>
                      <w:rFonts w:hint="default" w:ascii="Times New Roman" w:hAnsi="Times New Roman" w:eastAsia="宋体" w:cs="Times New Roman"/>
                      <w:kern w:val="0"/>
                      <w:szCs w:val="21"/>
                      <w:highlight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38.1</w:t>
                  </w:r>
                </w:p>
              </w:tc>
              <w:tc>
                <w:tcPr>
                  <w:tcW w:w="782" w:type="dxa"/>
                  <w:tcBorders>
                    <w:tl2br w:val="nil"/>
                    <w:tr2bl w:val="nil"/>
                  </w:tcBorders>
                  <w:vAlign w:val="center"/>
                </w:tcPr>
                <w:p w14:paraId="6896CC55">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6.5~9</w:t>
                  </w:r>
                </w:p>
              </w:tc>
              <w:tc>
                <w:tcPr>
                  <w:tcW w:w="782" w:type="dxa"/>
                  <w:tcBorders>
                    <w:tl2br w:val="nil"/>
                    <w:tr2bl w:val="nil"/>
                  </w:tcBorders>
                  <w:vAlign w:val="center"/>
                </w:tcPr>
                <w:p w14:paraId="52D47ACD">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27.3</w:t>
                  </w:r>
                </w:p>
              </w:tc>
            </w:tr>
            <w:tr w14:paraId="5EC994E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1163" w:type="dxa"/>
                  <w:vMerge w:val="continue"/>
                  <w:tcBorders>
                    <w:tl2br w:val="nil"/>
                    <w:tr2bl w:val="nil"/>
                  </w:tcBorders>
                  <w:vAlign w:val="center"/>
                </w:tcPr>
                <w:p w14:paraId="39689C90">
                  <w:pPr>
                    <w:widowControl/>
                    <w:adjustRightInd w:val="0"/>
                    <w:snapToGrid w:val="0"/>
                    <w:jc w:val="center"/>
                    <w:rPr>
                      <w:rFonts w:hint="default" w:ascii="Times New Roman" w:hAnsi="Times New Roman" w:eastAsia="宋体" w:cs="Times New Roman"/>
                      <w:b/>
                      <w:bCs/>
                      <w:kern w:val="0"/>
                      <w:szCs w:val="21"/>
                      <w:highlight w:val="none"/>
                    </w:rPr>
                  </w:pPr>
                </w:p>
              </w:tc>
              <w:tc>
                <w:tcPr>
                  <w:tcW w:w="1506" w:type="dxa"/>
                  <w:tcBorders>
                    <w:tl2br w:val="nil"/>
                    <w:tr2bl w:val="nil"/>
                  </w:tcBorders>
                  <w:vAlign w:val="center"/>
                </w:tcPr>
                <w:p w14:paraId="55E2028E">
                  <w:pPr>
                    <w:widowControl/>
                    <w:adjustRightInd w:val="0"/>
                    <w:snapToGrid w:val="0"/>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污染物排放量（t/a）</w:t>
                  </w:r>
                </w:p>
              </w:tc>
              <w:tc>
                <w:tcPr>
                  <w:tcW w:w="782" w:type="dxa"/>
                  <w:tcBorders>
                    <w:tl2br w:val="nil"/>
                    <w:tr2bl w:val="nil"/>
                  </w:tcBorders>
                  <w:vAlign w:val="center"/>
                </w:tcPr>
                <w:p w14:paraId="516EE141">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0.16303 </w:t>
                  </w:r>
                </w:p>
              </w:tc>
              <w:tc>
                <w:tcPr>
                  <w:tcW w:w="782" w:type="dxa"/>
                  <w:tcBorders>
                    <w:tl2br w:val="nil"/>
                    <w:tr2bl w:val="nil"/>
                  </w:tcBorders>
                  <w:vAlign w:val="center"/>
                </w:tcPr>
                <w:p w14:paraId="4E505CEF">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0.09722 </w:t>
                  </w:r>
                </w:p>
              </w:tc>
              <w:tc>
                <w:tcPr>
                  <w:tcW w:w="782" w:type="dxa"/>
                  <w:tcBorders>
                    <w:tl2br w:val="nil"/>
                    <w:tr2bl w:val="nil"/>
                  </w:tcBorders>
                  <w:vAlign w:val="center"/>
                </w:tcPr>
                <w:p w14:paraId="63C53A23">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0.09013 </w:t>
                  </w:r>
                </w:p>
              </w:tc>
              <w:tc>
                <w:tcPr>
                  <w:tcW w:w="782" w:type="dxa"/>
                  <w:tcBorders>
                    <w:tl2br w:val="nil"/>
                    <w:tr2bl w:val="nil"/>
                  </w:tcBorders>
                  <w:vAlign w:val="center"/>
                </w:tcPr>
                <w:p w14:paraId="370E9339">
                  <w:pPr>
                    <w:keepNext w:val="0"/>
                    <w:keepLines w:val="0"/>
                    <w:widowControl/>
                    <w:suppressLineNumbers w:val="0"/>
                    <w:jc w:val="center"/>
                    <w:textAlignment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0.01662 </w:t>
                  </w:r>
                </w:p>
              </w:tc>
              <w:tc>
                <w:tcPr>
                  <w:tcW w:w="782" w:type="dxa"/>
                  <w:tcBorders>
                    <w:tl2br w:val="nil"/>
                    <w:tr2bl w:val="nil"/>
                  </w:tcBorders>
                  <w:vAlign w:val="center"/>
                </w:tcPr>
                <w:p w14:paraId="0487B6C1">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782" w:type="dxa"/>
                  <w:tcBorders>
                    <w:tl2br w:val="nil"/>
                    <w:tr2bl w:val="nil"/>
                  </w:tcBorders>
                  <w:vAlign w:val="center"/>
                </w:tcPr>
                <w:p w14:paraId="32AF199B">
                  <w:pPr>
                    <w:keepNext w:val="0"/>
                    <w:keepLines w:val="0"/>
                    <w:widowControl/>
                    <w:suppressLineNumbers w:val="0"/>
                    <w:jc w:val="center"/>
                    <w:textAlignment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0.01193 </w:t>
                  </w:r>
                </w:p>
              </w:tc>
            </w:tr>
          </w:tbl>
          <w:p w14:paraId="3A681799">
            <w:pPr>
              <w:numPr>
                <w:ilvl w:val="0"/>
                <w:numId w:val="47"/>
              </w:numPr>
              <w:adjustRightInd w:val="0"/>
              <w:spacing w:line="360" w:lineRule="auto"/>
              <w:ind w:left="0" w:leftChars="0" w:firstLine="480" w:firstLineChars="200"/>
              <w:rPr>
                <w:rFonts w:hint="default" w:ascii="Times New Roman" w:hAnsi="Times New Roman" w:eastAsia="宋体" w:cs="Times New Roman"/>
                <w:b w:val="0"/>
                <w:bCs w:val="0"/>
                <w:sz w:val="24"/>
                <w:highlight w:val="none"/>
                <w:lang w:eastAsia="zh-CN"/>
              </w:rPr>
            </w:pPr>
            <w:r>
              <w:rPr>
                <w:rFonts w:hint="default" w:ascii="Times New Roman" w:hAnsi="Times New Roman" w:eastAsia="宋体" w:cs="Times New Roman"/>
                <w:b w:val="0"/>
                <w:bCs w:val="0"/>
                <w:sz w:val="24"/>
                <w:highlight w:val="none"/>
                <w:lang w:eastAsia="zh-CN"/>
              </w:rPr>
              <w:t>废水排放口基本情况</w:t>
            </w:r>
          </w:p>
          <w:p w14:paraId="793D169C">
            <w:pPr>
              <w:numPr>
                <w:ilvl w:val="0"/>
                <w:numId w:val="0"/>
              </w:numPr>
              <w:adjustRightInd w:val="0"/>
              <w:spacing w:line="360" w:lineRule="auto"/>
              <w:rPr>
                <w:rFonts w:hint="default" w:ascii="Times New Roman" w:hAnsi="Times New Roman" w:eastAsia="宋体" w:cs="Times New Roman"/>
                <w:b w:val="0"/>
                <w:bCs w:val="0"/>
                <w:sz w:val="24"/>
                <w:highlight w:val="none"/>
                <w:lang w:val="en-US" w:eastAsia="zh-CN"/>
              </w:rPr>
            </w:pPr>
            <w:r>
              <w:rPr>
                <w:rFonts w:hint="eastAsia" w:cs="Times New Roman"/>
                <w:b w:val="0"/>
                <w:bCs w:val="0"/>
                <w:sz w:val="24"/>
                <w:highlight w:val="none"/>
                <w:lang w:val="en-US" w:eastAsia="zh-CN"/>
              </w:rPr>
              <w:t xml:space="preserve">    铌源前驱体制备室涉及含镍元素的原辅料使用，实验操作过程产生的实验废液、设备清洗废液全部分类收集后作危险废物暂存处置，本实验室不设废水排放口，其他实验室第三遍设备清洗废水、纯水制备废水、超声波清洗废水、生活污水进园区化粪池处理后经市政管网进</w:t>
            </w:r>
            <w:r>
              <w:rPr>
                <w:rFonts w:hint="default" w:ascii="Times New Roman" w:hAnsi="Times New Roman" w:eastAsia="宋体" w:cs="Times New Roman"/>
                <w:sz w:val="24"/>
                <w:highlight w:val="none"/>
                <w:lang w:val="en-US" w:eastAsia="zh-CN"/>
              </w:rPr>
              <w:t>北京亦庄环境科技集团有限公司经开污水处理厂</w:t>
            </w:r>
            <w:r>
              <w:rPr>
                <w:rFonts w:hint="eastAsia" w:ascii="Times New Roman" w:hAnsi="Times New Roman" w:eastAsia="宋体" w:cs="Times New Roman"/>
                <w:sz w:val="24"/>
                <w:highlight w:val="none"/>
                <w:lang w:val="en-US" w:eastAsia="zh-CN"/>
              </w:rPr>
              <w:t>。本项目废水排放口情况见下表。</w:t>
            </w:r>
          </w:p>
          <w:p w14:paraId="5D5DB57B">
            <w:pPr>
              <w:numPr>
                <w:ilvl w:val="0"/>
                <w:numId w:val="48"/>
              </w:numPr>
              <w:adjustRightInd w:val="0"/>
              <w:snapToGrid w:val="0"/>
              <w:ind w:left="425" w:leftChars="0" w:hanging="425" w:firstLineChars="0"/>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废水排放口基本情况</w:t>
            </w:r>
          </w:p>
          <w:tbl>
            <w:tblPr>
              <w:tblStyle w:val="17"/>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667"/>
              <w:gridCol w:w="898"/>
              <w:gridCol w:w="1722"/>
              <w:gridCol w:w="1117"/>
              <w:gridCol w:w="2164"/>
            </w:tblGrid>
            <w:tr w14:paraId="7491C32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100" w:type="pct"/>
                  <w:tcBorders>
                    <w:tl2br w:val="nil"/>
                    <w:tr2bl w:val="nil"/>
                  </w:tcBorders>
                  <w:vAlign w:val="center"/>
                </w:tcPr>
                <w:p w14:paraId="4D0F3A22">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排放口名称</w:t>
                  </w:r>
                </w:p>
              </w:tc>
              <w:tc>
                <w:tcPr>
                  <w:tcW w:w="593" w:type="pct"/>
                  <w:tcBorders>
                    <w:tl2br w:val="nil"/>
                    <w:tr2bl w:val="nil"/>
                  </w:tcBorders>
                  <w:vAlign w:val="center"/>
                </w:tcPr>
                <w:p w14:paraId="33FFB7B9">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编号</w:t>
                  </w:r>
                </w:p>
              </w:tc>
              <w:tc>
                <w:tcPr>
                  <w:tcW w:w="1137" w:type="pct"/>
                  <w:tcBorders>
                    <w:tl2br w:val="nil"/>
                    <w:tr2bl w:val="nil"/>
                  </w:tcBorders>
                  <w:vAlign w:val="center"/>
                </w:tcPr>
                <w:p w14:paraId="235CEEE9">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地理坐标</w:t>
                  </w:r>
                </w:p>
              </w:tc>
              <w:tc>
                <w:tcPr>
                  <w:tcW w:w="738" w:type="pct"/>
                  <w:tcBorders>
                    <w:tl2br w:val="nil"/>
                    <w:tr2bl w:val="nil"/>
                  </w:tcBorders>
                  <w:vAlign w:val="center"/>
                </w:tcPr>
                <w:p w14:paraId="71C3B35C">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类型</w:t>
                  </w:r>
                </w:p>
              </w:tc>
              <w:tc>
                <w:tcPr>
                  <w:tcW w:w="1429" w:type="pct"/>
                  <w:tcBorders>
                    <w:tl2br w:val="nil"/>
                    <w:tr2bl w:val="nil"/>
                  </w:tcBorders>
                  <w:vAlign w:val="center"/>
                </w:tcPr>
                <w:p w14:paraId="274AD0A3">
                  <w:pPr>
                    <w:adjustRightInd w:val="0"/>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排放标准</w:t>
                  </w:r>
                </w:p>
              </w:tc>
            </w:tr>
            <w:tr w14:paraId="31342DF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00" w:type="pct"/>
                  <w:tcBorders>
                    <w:tl2br w:val="nil"/>
                    <w:tr2bl w:val="nil"/>
                  </w:tcBorders>
                  <w:vAlign w:val="center"/>
                </w:tcPr>
                <w:p w14:paraId="240C7758">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废水总排口（园区化粪池公用排口）</w:t>
                  </w:r>
                </w:p>
              </w:tc>
              <w:tc>
                <w:tcPr>
                  <w:tcW w:w="593" w:type="pct"/>
                  <w:tcBorders>
                    <w:tl2br w:val="nil"/>
                    <w:tr2bl w:val="nil"/>
                  </w:tcBorders>
                  <w:vAlign w:val="center"/>
                </w:tcPr>
                <w:p w14:paraId="5D770F07">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DW001</w:t>
                  </w:r>
                </w:p>
              </w:tc>
              <w:tc>
                <w:tcPr>
                  <w:tcW w:w="1137" w:type="pct"/>
                  <w:tcBorders>
                    <w:tl2br w:val="nil"/>
                    <w:tr2bl w:val="nil"/>
                  </w:tcBorders>
                  <w:vAlign w:val="center"/>
                </w:tcPr>
                <w:p w14:paraId="243E9B13">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 xml:space="preserve"> </w:t>
                  </w:r>
                  <w:r>
                    <w:rPr>
                      <w:rFonts w:hint="default" w:ascii="Times New Roman" w:hAnsi="Times New Roman" w:eastAsia="宋体" w:cs="Times New Roman"/>
                      <w:szCs w:val="21"/>
                      <w:highlight w:val="none"/>
                    </w:rPr>
                    <w:t>东经116.5</w:t>
                  </w:r>
                  <w:r>
                    <w:rPr>
                      <w:rFonts w:hint="default" w:ascii="Times New Roman" w:hAnsi="Times New Roman" w:eastAsia="宋体" w:cs="Times New Roman"/>
                      <w:szCs w:val="21"/>
                      <w:highlight w:val="none"/>
                      <w:lang w:val="en-US" w:eastAsia="zh-CN"/>
                    </w:rPr>
                    <w:t>5357</w:t>
                  </w:r>
                  <w:r>
                    <w:rPr>
                      <w:rFonts w:hint="default" w:ascii="Times New Roman" w:hAnsi="Times New Roman" w:eastAsia="宋体" w:cs="Times New Roman"/>
                      <w:szCs w:val="21"/>
                      <w:highlight w:val="none"/>
                    </w:rPr>
                    <w:t>°</w:t>
                  </w:r>
                </w:p>
                <w:p w14:paraId="0CBE7E58">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 xml:space="preserve"> </w:t>
                  </w:r>
                  <w:r>
                    <w:rPr>
                      <w:rFonts w:hint="default" w:ascii="Times New Roman" w:hAnsi="Times New Roman" w:eastAsia="宋体" w:cs="Times New Roman"/>
                      <w:szCs w:val="21"/>
                      <w:highlight w:val="none"/>
                    </w:rPr>
                    <w:t>北纬</w:t>
                  </w:r>
                  <w:r>
                    <w:rPr>
                      <w:rFonts w:hint="default" w:ascii="Times New Roman" w:hAnsi="Times New Roman" w:eastAsia="宋体" w:cs="Times New Roman"/>
                      <w:szCs w:val="21"/>
                      <w:highlight w:val="none"/>
                      <w:lang w:val="en-US" w:eastAsia="zh-CN"/>
                    </w:rPr>
                    <w:t xml:space="preserve"> </w:t>
                  </w:r>
                  <w:r>
                    <w:rPr>
                      <w:rFonts w:hint="default" w:ascii="Times New Roman" w:hAnsi="Times New Roman" w:eastAsia="宋体" w:cs="Times New Roman"/>
                      <w:szCs w:val="21"/>
                      <w:highlight w:val="none"/>
                    </w:rPr>
                    <w:t>39.</w:t>
                  </w:r>
                  <w:r>
                    <w:rPr>
                      <w:rFonts w:hint="default" w:ascii="Times New Roman" w:hAnsi="Times New Roman" w:eastAsia="宋体" w:cs="Times New Roman"/>
                      <w:szCs w:val="21"/>
                      <w:highlight w:val="none"/>
                      <w:lang w:val="en-US" w:eastAsia="zh-CN"/>
                    </w:rPr>
                    <w:t>77342</w:t>
                  </w:r>
                  <w:r>
                    <w:rPr>
                      <w:rFonts w:hint="default" w:ascii="Times New Roman" w:hAnsi="Times New Roman" w:eastAsia="宋体" w:cs="Times New Roman"/>
                      <w:szCs w:val="21"/>
                      <w:highlight w:val="none"/>
                    </w:rPr>
                    <w:t>°</w:t>
                  </w:r>
                </w:p>
              </w:tc>
              <w:tc>
                <w:tcPr>
                  <w:tcW w:w="738" w:type="pct"/>
                  <w:tcBorders>
                    <w:tl2br w:val="nil"/>
                    <w:tr2bl w:val="nil"/>
                  </w:tcBorders>
                  <w:vAlign w:val="center"/>
                </w:tcPr>
                <w:p w14:paraId="281E7A9E">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一般排放口</w:t>
                  </w:r>
                </w:p>
              </w:tc>
              <w:tc>
                <w:tcPr>
                  <w:tcW w:w="1429" w:type="pct"/>
                  <w:tcBorders>
                    <w:tl2br w:val="nil"/>
                    <w:tr2bl w:val="nil"/>
                  </w:tcBorders>
                  <w:vAlign w:val="center"/>
                </w:tcPr>
                <w:p w14:paraId="4FBFE42E">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北京市《水污染物综合排放标准》（DB11/307-2013）</w:t>
                  </w:r>
                </w:p>
              </w:tc>
            </w:tr>
          </w:tbl>
          <w:p w14:paraId="3C83E75D">
            <w:pPr>
              <w:numPr>
                <w:ilvl w:val="255"/>
                <w:numId w:val="0"/>
              </w:numPr>
              <w:adjustRightInd w:val="0"/>
              <w:spacing w:line="360" w:lineRule="auto"/>
              <w:ind w:left="420" w:leftChars="200"/>
              <w:rPr>
                <w:rFonts w:hint="default" w:ascii="Times New Roman" w:hAnsi="Times New Roman" w:eastAsia="宋体" w:cs="Times New Roman"/>
                <w:b w:val="0"/>
                <w:bCs w:val="0"/>
                <w:sz w:val="24"/>
                <w:highlight w:val="none"/>
                <w:lang w:eastAsia="zh-CN"/>
              </w:rPr>
            </w:pPr>
            <w:r>
              <w:rPr>
                <w:rFonts w:hint="default" w:ascii="Times New Roman" w:hAnsi="Times New Roman" w:eastAsia="宋体" w:cs="Times New Roman"/>
                <w:b w:val="0"/>
                <w:bCs w:val="0"/>
                <w:sz w:val="24"/>
                <w:highlight w:val="none"/>
                <w:lang w:eastAsia="zh-CN"/>
              </w:rPr>
              <w:t>（</w:t>
            </w:r>
            <w:r>
              <w:rPr>
                <w:rFonts w:hint="default" w:ascii="Times New Roman" w:hAnsi="Times New Roman" w:eastAsia="宋体" w:cs="Times New Roman"/>
                <w:b w:val="0"/>
                <w:bCs w:val="0"/>
                <w:sz w:val="24"/>
                <w:highlight w:val="none"/>
                <w:lang w:val="en-US" w:eastAsia="zh-CN"/>
              </w:rPr>
              <w:t>3</w:t>
            </w:r>
            <w:r>
              <w:rPr>
                <w:rFonts w:hint="default" w:ascii="Times New Roman" w:hAnsi="Times New Roman" w:eastAsia="宋体" w:cs="Times New Roman"/>
                <w:b w:val="0"/>
                <w:bCs w:val="0"/>
                <w:sz w:val="24"/>
                <w:highlight w:val="none"/>
                <w:lang w:eastAsia="zh-CN"/>
              </w:rPr>
              <w:t>）达标及影响分析</w:t>
            </w:r>
          </w:p>
          <w:p w14:paraId="642D679D">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sz w:val="24"/>
                <w:highlight w:val="none"/>
                <w:lang w:val="zh-CN" w:eastAsia="zh-CN"/>
              </w:rPr>
            </w:pPr>
            <w:r>
              <w:rPr>
                <w:rFonts w:hint="default" w:ascii="Times New Roman" w:hAnsi="Times New Roman" w:eastAsia="宋体" w:cs="Times New Roman"/>
                <w:sz w:val="24"/>
                <w:highlight w:val="none"/>
                <w:lang w:val="zh-CN"/>
              </w:rPr>
              <w:t>本项目废水达标排放分析</w:t>
            </w:r>
            <w:r>
              <w:rPr>
                <w:rFonts w:hint="default" w:ascii="Times New Roman" w:hAnsi="Times New Roman" w:eastAsia="宋体" w:cs="Times New Roman"/>
                <w:sz w:val="24"/>
                <w:highlight w:val="none"/>
                <w:lang w:val="zh-CN" w:eastAsia="zh-CN"/>
              </w:rPr>
              <w:t>见下表。</w:t>
            </w:r>
          </w:p>
          <w:p w14:paraId="10729187">
            <w:pPr>
              <w:numPr>
                <w:ilvl w:val="0"/>
                <w:numId w:val="48"/>
              </w:numPr>
              <w:adjustRightInd w:val="0"/>
              <w:snapToGrid w:val="0"/>
              <w:ind w:left="425" w:leftChars="0" w:hanging="425" w:firstLineChars="0"/>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项目废水排放及达标情况一览表</w:t>
            </w:r>
          </w:p>
          <w:tbl>
            <w:tblPr>
              <w:tblStyle w:val="17"/>
              <w:tblW w:w="4957"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649"/>
              <w:gridCol w:w="975"/>
              <w:gridCol w:w="975"/>
              <w:gridCol w:w="975"/>
              <w:gridCol w:w="975"/>
              <w:gridCol w:w="975"/>
              <w:gridCol w:w="980"/>
            </w:tblGrid>
            <w:tr w14:paraId="74A2DDE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098" w:type="pct"/>
                  <w:tcBorders>
                    <w:tl2br w:val="nil"/>
                    <w:tr2bl w:val="nil"/>
                  </w:tcBorders>
                  <w:vAlign w:val="center"/>
                </w:tcPr>
                <w:p w14:paraId="53846CE5">
                  <w:pPr>
                    <w:adjustRightIn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名称</w:t>
                  </w:r>
                </w:p>
              </w:tc>
              <w:tc>
                <w:tcPr>
                  <w:tcW w:w="649" w:type="pct"/>
                  <w:tcBorders>
                    <w:tl2br w:val="nil"/>
                    <w:tr2bl w:val="nil"/>
                  </w:tcBorders>
                  <w:vAlign w:val="center"/>
                </w:tcPr>
                <w:p w14:paraId="2FFFB428">
                  <w:pPr>
                    <w:adjustRightIn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COD</w:t>
                  </w:r>
                  <w:r>
                    <w:rPr>
                      <w:rFonts w:hint="default" w:ascii="Times New Roman" w:hAnsi="Times New Roman" w:eastAsia="宋体" w:cs="Times New Roman"/>
                      <w:b/>
                      <w:bCs/>
                      <w:szCs w:val="21"/>
                      <w:highlight w:val="none"/>
                      <w:vertAlign w:val="subscript"/>
                    </w:rPr>
                    <w:t>Cr</w:t>
                  </w:r>
                </w:p>
              </w:tc>
              <w:tc>
                <w:tcPr>
                  <w:tcW w:w="649" w:type="pct"/>
                  <w:tcBorders>
                    <w:tl2br w:val="nil"/>
                    <w:tr2bl w:val="nil"/>
                  </w:tcBorders>
                  <w:vAlign w:val="center"/>
                </w:tcPr>
                <w:p w14:paraId="729BCD80">
                  <w:pPr>
                    <w:adjustRightIn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kern w:val="28"/>
                      <w:szCs w:val="21"/>
                      <w:highlight w:val="none"/>
                    </w:rPr>
                    <w:t>BOD</w:t>
                  </w:r>
                  <w:r>
                    <w:rPr>
                      <w:rFonts w:hint="default" w:ascii="Times New Roman" w:hAnsi="Times New Roman" w:eastAsia="宋体" w:cs="Times New Roman"/>
                      <w:b/>
                      <w:bCs/>
                      <w:kern w:val="28"/>
                      <w:szCs w:val="21"/>
                      <w:highlight w:val="none"/>
                      <w:vertAlign w:val="subscript"/>
                    </w:rPr>
                    <w:t>5</w:t>
                  </w:r>
                </w:p>
              </w:tc>
              <w:tc>
                <w:tcPr>
                  <w:tcW w:w="649" w:type="pct"/>
                  <w:tcBorders>
                    <w:tl2br w:val="nil"/>
                    <w:tr2bl w:val="nil"/>
                  </w:tcBorders>
                  <w:vAlign w:val="center"/>
                </w:tcPr>
                <w:p w14:paraId="183D1A25">
                  <w:pPr>
                    <w:adjustRightIn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SS</w:t>
                  </w:r>
                </w:p>
              </w:tc>
              <w:tc>
                <w:tcPr>
                  <w:tcW w:w="649" w:type="pct"/>
                  <w:tcBorders>
                    <w:tl2br w:val="nil"/>
                    <w:tr2bl w:val="nil"/>
                  </w:tcBorders>
                  <w:vAlign w:val="center"/>
                </w:tcPr>
                <w:p w14:paraId="05A4C24A">
                  <w:pPr>
                    <w:adjustRightIn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NH</w:t>
                  </w:r>
                  <w:r>
                    <w:rPr>
                      <w:rFonts w:hint="default" w:ascii="Times New Roman" w:hAnsi="Times New Roman" w:eastAsia="宋体" w:cs="Times New Roman"/>
                      <w:b/>
                      <w:bCs/>
                      <w:szCs w:val="21"/>
                      <w:highlight w:val="none"/>
                      <w:vertAlign w:val="subscript"/>
                    </w:rPr>
                    <w:t>3</w:t>
                  </w:r>
                  <w:r>
                    <w:rPr>
                      <w:rFonts w:hint="default" w:ascii="Times New Roman" w:hAnsi="Times New Roman" w:eastAsia="宋体" w:cs="Times New Roman"/>
                      <w:b/>
                      <w:bCs/>
                      <w:szCs w:val="21"/>
                      <w:highlight w:val="none"/>
                    </w:rPr>
                    <w:t>-N</w:t>
                  </w:r>
                </w:p>
              </w:tc>
              <w:tc>
                <w:tcPr>
                  <w:tcW w:w="649" w:type="pct"/>
                  <w:tcBorders>
                    <w:tl2br w:val="nil"/>
                    <w:tr2bl w:val="nil"/>
                  </w:tcBorders>
                  <w:vAlign w:val="center"/>
                </w:tcPr>
                <w:p w14:paraId="61CF38F5">
                  <w:pPr>
                    <w:adjustRightInd w:val="0"/>
                    <w:jc w:val="center"/>
                    <w:rPr>
                      <w:rFonts w:hint="default" w:ascii="Times New Roman" w:hAnsi="Times New Roman" w:eastAsia="宋体" w:cs="Times New Roman"/>
                      <w:b/>
                      <w:bCs/>
                      <w:szCs w:val="21"/>
                      <w:highlight w:val="none"/>
                      <w:lang w:eastAsia="zh-CN"/>
                    </w:rPr>
                  </w:pPr>
                  <w:r>
                    <w:rPr>
                      <w:rFonts w:hint="default" w:ascii="Times New Roman" w:hAnsi="Times New Roman" w:eastAsia="宋体" w:cs="Times New Roman"/>
                      <w:b/>
                      <w:bCs/>
                      <w:szCs w:val="21"/>
                      <w:highlight w:val="none"/>
                      <w:lang w:eastAsia="zh-CN"/>
                    </w:rPr>
                    <w:t>pH</w:t>
                  </w:r>
                </w:p>
              </w:tc>
              <w:tc>
                <w:tcPr>
                  <w:tcW w:w="652" w:type="pct"/>
                  <w:tcBorders>
                    <w:tl2br w:val="nil"/>
                    <w:tr2bl w:val="nil"/>
                  </w:tcBorders>
                  <w:vAlign w:val="center"/>
                </w:tcPr>
                <w:p w14:paraId="32F53BAA">
                  <w:pPr>
                    <w:adjustRightIn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TDS</w:t>
                  </w:r>
                </w:p>
              </w:tc>
            </w:tr>
            <w:tr w14:paraId="32C17E7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098" w:type="pct"/>
                  <w:tcBorders>
                    <w:tl2br w:val="nil"/>
                    <w:tr2bl w:val="nil"/>
                  </w:tcBorders>
                  <w:vAlign w:val="center"/>
                </w:tcPr>
                <w:p w14:paraId="07FAC881">
                  <w:pPr>
                    <w:adjustRightIn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排放浓度（mg/L）</w:t>
                  </w:r>
                </w:p>
              </w:tc>
              <w:tc>
                <w:tcPr>
                  <w:tcW w:w="975" w:type="dxa"/>
                  <w:tcBorders>
                    <w:tl2br w:val="nil"/>
                    <w:tr2bl w:val="nil"/>
                  </w:tcBorders>
                  <w:shd w:val="clear" w:color="auto" w:fill="auto"/>
                  <w:vAlign w:val="center"/>
                </w:tcPr>
                <w:p w14:paraId="6CCB76DF">
                  <w:pPr>
                    <w:keepNext w:val="0"/>
                    <w:keepLines w:val="0"/>
                    <w:widowControl/>
                    <w:suppressLineNumbers w:val="0"/>
                    <w:jc w:val="center"/>
                    <w:textAlignment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373.7 </w:t>
                  </w:r>
                </w:p>
              </w:tc>
              <w:tc>
                <w:tcPr>
                  <w:tcW w:w="975" w:type="dxa"/>
                  <w:tcBorders>
                    <w:tl2br w:val="nil"/>
                    <w:tr2bl w:val="nil"/>
                  </w:tcBorders>
                  <w:shd w:val="clear" w:color="auto" w:fill="auto"/>
                  <w:vAlign w:val="center"/>
                </w:tcPr>
                <w:p w14:paraId="1DA19434">
                  <w:pPr>
                    <w:keepNext w:val="0"/>
                    <w:keepLines w:val="0"/>
                    <w:widowControl/>
                    <w:suppressLineNumbers w:val="0"/>
                    <w:jc w:val="center"/>
                    <w:textAlignment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222.9 </w:t>
                  </w:r>
                </w:p>
              </w:tc>
              <w:tc>
                <w:tcPr>
                  <w:tcW w:w="975" w:type="dxa"/>
                  <w:tcBorders>
                    <w:tl2br w:val="nil"/>
                    <w:tr2bl w:val="nil"/>
                  </w:tcBorders>
                  <w:shd w:val="clear" w:color="auto" w:fill="auto"/>
                  <w:vAlign w:val="center"/>
                </w:tcPr>
                <w:p w14:paraId="7EAD55EA">
                  <w:pPr>
                    <w:keepNext w:val="0"/>
                    <w:keepLines w:val="0"/>
                    <w:widowControl/>
                    <w:suppressLineNumbers w:val="0"/>
                    <w:jc w:val="center"/>
                    <w:textAlignment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206.6</w:t>
                  </w:r>
                </w:p>
              </w:tc>
              <w:tc>
                <w:tcPr>
                  <w:tcW w:w="975" w:type="dxa"/>
                  <w:tcBorders>
                    <w:tl2br w:val="nil"/>
                    <w:tr2bl w:val="nil"/>
                  </w:tcBorders>
                  <w:shd w:val="clear" w:color="auto" w:fill="auto"/>
                  <w:vAlign w:val="center"/>
                </w:tcPr>
                <w:p w14:paraId="15846E76">
                  <w:pPr>
                    <w:keepNext w:val="0"/>
                    <w:keepLines w:val="0"/>
                    <w:widowControl/>
                    <w:suppressLineNumbers w:val="0"/>
                    <w:jc w:val="center"/>
                    <w:textAlignment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38.1</w:t>
                  </w:r>
                </w:p>
              </w:tc>
              <w:tc>
                <w:tcPr>
                  <w:tcW w:w="975" w:type="dxa"/>
                  <w:tcBorders>
                    <w:tl2br w:val="nil"/>
                    <w:tr2bl w:val="nil"/>
                  </w:tcBorders>
                  <w:shd w:val="clear" w:color="auto" w:fill="auto"/>
                  <w:vAlign w:val="center"/>
                </w:tcPr>
                <w:p w14:paraId="743F6DEB">
                  <w:pPr>
                    <w:keepNext w:val="0"/>
                    <w:keepLines w:val="0"/>
                    <w:widowControl/>
                    <w:suppressLineNumbers w:val="0"/>
                    <w:jc w:val="center"/>
                    <w:textAlignment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6.5~9</w:t>
                  </w:r>
                </w:p>
              </w:tc>
              <w:tc>
                <w:tcPr>
                  <w:tcW w:w="980" w:type="dxa"/>
                  <w:tcBorders>
                    <w:tl2br w:val="nil"/>
                    <w:tr2bl w:val="nil"/>
                  </w:tcBorders>
                  <w:shd w:val="clear" w:color="auto" w:fill="auto"/>
                  <w:vAlign w:val="center"/>
                </w:tcPr>
                <w:p w14:paraId="56200F2B">
                  <w:pPr>
                    <w:keepNext w:val="0"/>
                    <w:keepLines w:val="0"/>
                    <w:widowControl/>
                    <w:suppressLineNumbers w:val="0"/>
                    <w:jc w:val="center"/>
                    <w:textAlignment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27.3</w:t>
                  </w:r>
                </w:p>
              </w:tc>
            </w:tr>
            <w:tr w14:paraId="4D962DB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1" w:hRule="atLeast"/>
                <w:jc w:val="center"/>
              </w:trPr>
              <w:tc>
                <w:tcPr>
                  <w:tcW w:w="1098" w:type="pct"/>
                  <w:tcBorders>
                    <w:tl2br w:val="nil"/>
                    <w:tr2bl w:val="nil"/>
                  </w:tcBorders>
                  <w:vAlign w:val="center"/>
                </w:tcPr>
                <w:p w14:paraId="3A636A4C">
                  <w:pPr>
                    <w:adjustRightIn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标准值</w:t>
                  </w:r>
                </w:p>
              </w:tc>
              <w:tc>
                <w:tcPr>
                  <w:tcW w:w="649" w:type="pct"/>
                  <w:tcBorders>
                    <w:tl2br w:val="nil"/>
                    <w:tr2bl w:val="nil"/>
                  </w:tcBorders>
                  <w:vAlign w:val="center"/>
                </w:tcPr>
                <w:p w14:paraId="464EAE71">
                  <w:pPr>
                    <w:adjustRightIn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500</w:t>
                  </w:r>
                </w:p>
              </w:tc>
              <w:tc>
                <w:tcPr>
                  <w:tcW w:w="649" w:type="pct"/>
                  <w:tcBorders>
                    <w:tl2br w:val="nil"/>
                    <w:tr2bl w:val="nil"/>
                  </w:tcBorders>
                  <w:vAlign w:val="center"/>
                </w:tcPr>
                <w:p w14:paraId="68CE5451">
                  <w:pPr>
                    <w:adjustRightIn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300</w:t>
                  </w:r>
                </w:p>
              </w:tc>
              <w:tc>
                <w:tcPr>
                  <w:tcW w:w="649" w:type="pct"/>
                  <w:tcBorders>
                    <w:tl2br w:val="nil"/>
                    <w:tr2bl w:val="nil"/>
                  </w:tcBorders>
                  <w:vAlign w:val="center"/>
                </w:tcPr>
                <w:p w14:paraId="04375807">
                  <w:pPr>
                    <w:adjustRightIn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400</w:t>
                  </w:r>
                </w:p>
              </w:tc>
              <w:tc>
                <w:tcPr>
                  <w:tcW w:w="649" w:type="pct"/>
                  <w:tcBorders>
                    <w:tl2br w:val="nil"/>
                    <w:tr2bl w:val="nil"/>
                  </w:tcBorders>
                  <w:vAlign w:val="center"/>
                </w:tcPr>
                <w:p w14:paraId="74B86864">
                  <w:pPr>
                    <w:adjustRightIn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45</w:t>
                  </w:r>
                </w:p>
              </w:tc>
              <w:tc>
                <w:tcPr>
                  <w:tcW w:w="649" w:type="pct"/>
                  <w:tcBorders>
                    <w:tl2br w:val="nil"/>
                    <w:tr2bl w:val="nil"/>
                  </w:tcBorders>
                  <w:vAlign w:val="center"/>
                </w:tcPr>
                <w:p w14:paraId="1919B9BF">
                  <w:pPr>
                    <w:adjustRightIn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6.5～9</w:t>
                  </w:r>
                </w:p>
              </w:tc>
              <w:tc>
                <w:tcPr>
                  <w:tcW w:w="652" w:type="pct"/>
                  <w:tcBorders>
                    <w:tl2br w:val="nil"/>
                    <w:tr2bl w:val="nil"/>
                  </w:tcBorders>
                  <w:vAlign w:val="center"/>
                </w:tcPr>
                <w:p w14:paraId="74B0E901">
                  <w:pPr>
                    <w:adjustRightIn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2000</w:t>
                  </w:r>
                </w:p>
              </w:tc>
            </w:tr>
            <w:tr w14:paraId="3F68835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098" w:type="pct"/>
                  <w:tcBorders>
                    <w:tl2br w:val="nil"/>
                    <w:tr2bl w:val="nil"/>
                  </w:tcBorders>
                  <w:vAlign w:val="center"/>
                </w:tcPr>
                <w:p w14:paraId="0B34F8D9">
                  <w:pPr>
                    <w:adjustRightIn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达标分析</w:t>
                  </w:r>
                </w:p>
              </w:tc>
              <w:tc>
                <w:tcPr>
                  <w:tcW w:w="649" w:type="pct"/>
                  <w:tcBorders>
                    <w:tl2br w:val="nil"/>
                    <w:tr2bl w:val="nil"/>
                  </w:tcBorders>
                  <w:vAlign w:val="center"/>
                </w:tcPr>
                <w:p w14:paraId="1097DB79">
                  <w:pPr>
                    <w:adjustRightIn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达标</w:t>
                  </w:r>
                </w:p>
              </w:tc>
              <w:tc>
                <w:tcPr>
                  <w:tcW w:w="649" w:type="pct"/>
                  <w:tcBorders>
                    <w:tl2br w:val="nil"/>
                    <w:tr2bl w:val="nil"/>
                  </w:tcBorders>
                  <w:vAlign w:val="center"/>
                </w:tcPr>
                <w:p w14:paraId="28CF2151">
                  <w:pPr>
                    <w:adjustRightInd w:val="0"/>
                    <w:spacing w:line="240" w:lineRule="atLeast"/>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达标</w:t>
                  </w:r>
                </w:p>
              </w:tc>
              <w:tc>
                <w:tcPr>
                  <w:tcW w:w="649" w:type="pct"/>
                  <w:tcBorders>
                    <w:tl2br w:val="nil"/>
                    <w:tr2bl w:val="nil"/>
                  </w:tcBorders>
                  <w:vAlign w:val="center"/>
                </w:tcPr>
                <w:p w14:paraId="5EBD90CB">
                  <w:pPr>
                    <w:adjustRightIn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达标</w:t>
                  </w:r>
                </w:p>
              </w:tc>
              <w:tc>
                <w:tcPr>
                  <w:tcW w:w="649" w:type="pct"/>
                  <w:tcBorders>
                    <w:tl2br w:val="nil"/>
                    <w:tr2bl w:val="nil"/>
                  </w:tcBorders>
                  <w:vAlign w:val="center"/>
                </w:tcPr>
                <w:p w14:paraId="67A636BD">
                  <w:pPr>
                    <w:adjustRightIn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达标</w:t>
                  </w:r>
                </w:p>
              </w:tc>
              <w:tc>
                <w:tcPr>
                  <w:tcW w:w="649" w:type="pct"/>
                  <w:tcBorders>
                    <w:tl2br w:val="nil"/>
                    <w:tr2bl w:val="nil"/>
                  </w:tcBorders>
                  <w:vAlign w:val="center"/>
                </w:tcPr>
                <w:p w14:paraId="66544157">
                  <w:pPr>
                    <w:adjustRightInd w:val="0"/>
                    <w:spacing w:line="240" w:lineRule="atLeast"/>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达标</w:t>
                  </w:r>
                </w:p>
              </w:tc>
              <w:tc>
                <w:tcPr>
                  <w:tcW w:w="652" w:type="pct"/>
                  <w:tcBorders>
                    <w:tl2br w:val="nil"/>
                    <w:tr2bl w:val="nil"/>
                  </w:tcBorders>
                  <w:vAlign w:val="center"/>
                </w:tcPr>
                <w:p w14:paraId="112DCEB7">
                  <w:pPr>
                    <w:adjustRightIn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达标</w:t>
                  </w:r>
                </w:p>
              </w:tc>
            </w:tr>
          </w:tbl>
          <w:p w14:paraId="40075587">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综上，本项目废水的排放满足北京市《</w:t>
            </w:r>
            <w:r>
              <w:rPr>
                <w:rFonts w:hint="default" w:ascii="Times New Roman" w:hAnsi="Times New Roman" w:eastAsia="宋体" w:cs="Times New Roman"/>
                <w:sz w:val="24"/>
                <w:highlight w:val="none"/>
                <w:lang w:val="zh-CN"/>
              </w:rPr>
              <w:t>水污染物综合排放标准》（DB11/307-</w:t>
            </w:r>
            <w:r>
              <w:rPr>
                <w:rFonts w:hint="default" w:ascii="Times New Roman" w:hAnsi="Times New Roman" w:eastAsia="宋体" w:cs="Times New Roman"/>
                <w:sz w:val="24"/>
                <w:highlight w:val="none"/>
              </w:rPr>
              <w:t>2013</w:t>
            </w:r>
            <w:r>
              <w:rPr>
                <w:rFonts w:hint="default" w:ascii="Times New Roman" w:hAnsi="Times New Roman" w:eastAsia="宋体" w:cs="Times New Roman"/>
                <w:sz w:val="24"/>
                <w:highlight w:val="none"/>
                <w:lang w:val="zh-CN"/>
              </w:rPr>
              <w:t>）中</w:t>
            </w:r>
            <w:r>
              <w:rPr>
                <w:rFonts w:hint="eastAsia" w:ascii="Times New Roman" w:hAnsi="Times New Roman" w:eastAsia="宋体" w:cs="Times New Roman"/>
                <w:sz w:val="24"/>
                <w:highlight w:val="none"/>
                <w:lang w:val="zh-CN"/>
              </w:rPr>
              <w:t>“</w:t>
            </w:r>
            <w:r>
              <w:rPr>
                <w:rFonts w:hint="default" w:ascii="Times New Roman" w:hAnsi="Times New Roman" w:eastAsia="宋体" w:cs="Times New Roman"/>
                <w:sz w:val="24"/>
                <w:highlight w:val="none"/>
                <w:lang w:val="zh-CN"/>
              </w:rPr>
              <w:t>表</w:t>
            </w:r>
            <w:r>
              <w:rPr>
                <w:rFonts w:hint="default" w:ascii="Times New Roman" w:hAnsi="Times New Roman" w:eastAsia="宋体" w:cs="Times New Roman"/>
                <w:sz w:val="24"/>
                <w:highlight w:val="none"/>
              </w:rPr>
              <w:t>3</w:t>
            </w:r>
            <w:r>
              <w:rPr>
                <w:rFonts w:hint="default" w:ascii="Times New Roman" w:hAnsi="Times New Roman" w:eastAsia="宋体" w:cs="Times New Roman"/>
                <w:sz w:val="24"/>
                <w:highlight w:val="none"/>
                <w:lang w:val="zh-CN"/>
              </w:rPr>
              <w:t>排入公共污水处理系统的水污染物排放限值</w:t>
            </w:r>
            <w:r>
              <w:rPr>
                <w:rFonts w:hint="eastAsia" w:ascii="Times New Roman" w:hAnsi="Times New Roman" w:eastAsia="宋体" w:cs="Times New Roman"/>
                <w:sz w:val="24"/>
                <w:highlight w:val="none"/>
                <w:lang w:val="zh-CN"/>
              </w:rPr>
              <w:t>”</w:t>
            </w:r>
            <w:r>
              <w:rPr>
                <w:rFonts w:hint="default" w:ascii="Times New Roman" w:hAnsi="Times New Roman" w:eastAsia="宋体" w:cs="Times New Roman"/>
                <w:sz w:val="24"/>
                <w:highlight w:val="none"/>
              </w:rPr>
              <w:t>的标准要求，本项目建设对周围水环境影响较小。</w:t>
            </w:r>
          </w:p>
          <w:p w14:paraId="11E346DC">
            <w:pPr>
              <w:numPr>
                <w:ilvl w:val="255"/>
                <w:numId w:val="0"/>
              </w:numPr>
              <w:adjustRightInd w:val="0"/>
              <w:spacing w:line="360" w:lineRule="auto"/>
              <w:ind w:left="420" w:leftChars="200"/>
              <w:rPr>
                <w:rFonts w:hint="default" w:ascii="Times New Roman" w:hAnsi="Times New Roman" w:eastAsia="宋体" w:cs="Times New Roman"/>
                <w:b w:val="0"/>
                <w:bCs w:val="0"/>
                <w:sz w:val="24"/>
                <w:highlight w:val="none"/>
                <w:lang w:eastAsia="zh-CN"/>
              </w:rPr>
            </w:pPr>
            <w:r>
              <w:rPr>
                <w:rFonts w:hint="default" w:ascii="Times New Roman" w:hAnsi="Times New Roman" w:eastAsia="宋体" w:cs="Times New Roman"/>
                <w:b w:val="0"/>
                <w:bCs w:val="0"/>
                <w:sz w:val="24"/>
                <w:highlight w:val="none"/>
                <w:lang w:eastAsia="zh-CN"/>
              </w:rPr>
              <w:t>（4）污水处理厂可行性分析</w:t>
            </w:r>
          </w:p>
          <w:p w14:paraId="72C8C0CE">
            <w:pPr>
              <w:adjustRightInd w:val="0"/>
              <w:spacing w:line="360" w:lineRule="auto"/>
              <w:ind w:firstLine="480" w:firstLineChars="200"/>
              <w:rPr>
                <w:rFonts w:hint="default" w:ascii="Times New Roman" w:hAnsi="Times New Roman" w:eastAsia="宋体" w:cs="Times New Roman"/>
                <w:sz w:val="24"/>
                <w:highlight w:val="none"/>
                <w:lang w:val="zh-CN"/>
              </w:rPr>
            </w:pPr>
            <w:r>
              <w:rPr>
                <w:rFonts w:hint="default" w:ascii="Times New Roman" w:hAnsi="Times New Roman" w:eastAsia="宋体" w:cs="Times New Roman"/>
                <w:sz w:val="24"/>
                <w:highlight w:val="none"/>
                <w:lang w:val="zh-CN"/>
              </w:rPr>
              <w:t>本项目废水最终均通过市政污水管网排入北京亦庄环境科技集团有限公司经开污水处理厂。</w:t>
            </w:r>
          </w:p>
          <w:p w14:paraId="057A3546">
            <w:pPr>
              <w:adjustRightInd w:val="0"/>
              <w:spacing w:line="360" w:lineRule="auto"/>
              <w:ind w:firstLine="480" w:firstLineChars="200"/>
              <w:rPr>
                <w:rFonts w:hint="default" w:ascii="Times New Roman" w:hAnsi="Times New Roman" w:eastAsia="宋体" w:cs="Times New Roman"/>
                <w:sz w:val="24"/>
                <w:highlight w:val="none"/>
                <w:lang w:val="zh-CN"/>
              </w:rPr>
            </w:pPr>
            <w:r>
              <w:rPr>
                <w:rFonts w:hint="default" w:ascii="Times New Roman" w:hAnsi="Times New Roman" w:eastAsia="宋体" w:cs="Times New Roman"/>
                <w:sz w:val="24"/>
                <w:highlight w:val="none"/>
                <w:lang w:val="zh-CN"/>
              </w:rPr>
              <w:t>北京亦庄环境科技集团有限公司经开污水处理厂，始建于2001年3 月，位于西环南路以南，凉水河以北，康定街以东，占地面积约2.09hm</w:t>
            </w:r>
            <w:r>
              <w:rPr>
                <w:rFonts w:hint="default" w:ascii="Times New Roman" w:hAnsi="Times New Roman" w:eastAsia="宋体" w:cs="Times New Roman"/>
                <w:sz w:val="24"/>
                <w:highlight w:val="none"/>
                <w:vertAlign w:val="superscript"/>
                <w:lang w:val="zh-CN"/>
              </w:rPr>
              <w:t>2</w:t>
            </w:r>
            <w:r>
              <w:rPr>
                <w:rFonts w:hint="default" w:ascii="Times New Roman" w:hAnsi="Times New Roman" w:eastAsia="宋体" w:cs="Times New Roman"/>
                <w:sz w:val="24"/>
                <w:highlight w:val="none"/>
                <w:lang w:val="zh-CN"/>
              </w:rPr>
              <w:t>，设计污水处理规模为10万m</w:t>
            </w:r>
            <w:r>
              <w:rPr>
                <w:rFonts w:hint="default" w:ascii="Times New Roman" w:hAnsi="Times New Roman" w:eastAsia="宋体" w:cs="Times New Roman"/>
                <w:sz w:val="24"/>
                <w:highlight w:val="none"/>
                <w:vertAlign w:val="superscript"/>
                <w:lang w:val="zh-CN"/>
              </w:rPr>
              <w:t>3</w:t>
            </w:r>
            <w:r>
              <w:rPr>
                <w:rFonts w:hint="default" w:ascii="Times New Roman" w:hAnsi="Times New Roman" w:eastAsia="宋体" w:cs="Times New Roman"/>
                <w:sz w:val="24"/>
                <w:highlight w:val="none"/>
                <w:lang w:val="zh-CN"/>
              </w:rPr>
              <w:t>/d，目前污水处理能力为5万m</w:t>
            </w:r>
            <w:r>
              <w:rPr>
                <w:rFonts w:hint="default" w:ascii="Times New Roman" w:hAnsi="Times New Roman" w:eastAsia="宋体" w:cs="Times New Roman"/>
                <w:sz w:val="24"/>
                <w:highlight w:val="none"/>
                <w:vertAlign w:val="superscript"/>
                <w:lang w:val="zh-CN"/>
              </w:rPr>
              <w:t>3</w:t>
            </w:r>
            <w:r>
              <w:rPr>
                <w:rFonts w:hint="default" w:ascii="Times New Roman" w:hAnsi="Times New Roman" w:eastAsia="宋体" w:cs="Times New Roman"/>
                <w:sz w:val="24"/>
                <w:highlight w:val="none"/>
                <w:lang w:val="zh-CN"/>
              </w:rPr>
              <w:t>/d，采用循环式活性污泥法工艺，出水达标后排入凉水河。2012年北京亦庄环境科技集团有限公司经开污水处理厂进行全面的提级改造，设计处理规模为5 万m</w:t>
            </w:r>
            <w:r>
              <w:rPr>
                <w:rFonts w:hint="default" w:ascii="Times New Roman" w:hAnsi="Times New Roman" w:eastAsia="宋体" w:cs="Times New Roman"/>
                <w:sz w:val="24"/>
                <w:highlight w:val="none"/>
                <w:vertAlign w:val="superscript"/>
                <w:lang w:val="zh-CN"/>
              </w:rPr>
              <w:t>3</w:t>
            </w:r>
            <w:r>
              <w:rPr>
                <w:rFonts w:hint="default" w:ascii="Times New Roman" w:hAnsi="Times New Roman" w:eastAsia="宋体" w:cs="Times New Roman"/>
                <w:sz w:val="24"/>
                <w:highlight w:val="none"/>
                <w:lang w:val="zh-CN"/>
              </w:rPr>
              <w:t>/d，提级改造项目于2014 年12月24日取得环保验收，原污水厂出水全部进入提级改造处理单元，经过</w:t>
            </w:r>
            <w:r>
              <w:rPr>
                <w:rFonts w:hint="eastAsia" w:ascii="Times New Roman" w:hAnsi="Times New Roman" w:eastAsia="宋体" w:cs="Times New Roman"/>
                <w:sz w:val="24"/>
                <w:highlight w:val="none"/>
                <w:lang w:val="zh-CN"/>
              </w:rPr>
              <w:t>“</w:t>
            </w:r>
            <w:r>
              <w:rPr>
                <w:rFonts w:hint="default" w:ascii="Times New Roman" w:hAnsi="Times New Roman" w:eastAsia="宋体" w:cs="Times New Roman"/>
                <w:sz w:val="24"/>
                <w:highlight w:val="none"/>
                <w:lang w:val="zh-CN"/>
              </w:rPr>
              <w:t>两级生物滤池+混凝沉淀砂滤+滤布滤池+紫外消毒</w:t>
            </w:r>
            <w:r>
              <w:rPr>
                <w:rFonts w:hint="eastAsia" w:ascii="Times New Roman" w:hAnsi="Times New Roman" w:eastAsia="宋体" w:cs="Times New Roman"/>
                <w:sz w:val="24"/>
                <w:highlight w:val="none"/>
                <w:lang w:val="zh-CN"/>
              </w:rPr>
              <w:t>”</w:t>
            </w:r>
            <w:r>
              <w:rPr>
                <w:rFonts w:hint="default" w:ascii="Times New Roman" w:hAnsi="Times New Roman" w:eastAsia="宋体" w:cs="Times New Roman"/>
                <w:sz w:val="24"/>
                <w:highlight w:val="none"/>
                <w:lang w:val="zh-CN"/>
              </w:rPr>
              <w:t>工艺的处理，出水达到北京市《城镇污水处理厂水污染物排放标准》（DB11/890-2012）中的一级B标准排放限值后排入凉水河。</w:t>
            </w:r>
          </w:p>
          <w:p w14:paraId="610B497A">
            <w:pPr>
              <w:adjustRightInd w:val="0"/>
              <w:spacing w:line="360" w:lineRule="auto"/>
              <w:ind w:firstLine="480" w:firstLineChars="200"/>
              <w:rPr>
                <w:rFonts w:hint="default" w:ascii="Times New Roman" w:hAnsi="Times New Roman" w:eastAsia="宋体" w:cs="Times New Roman"/>
                <w:sz w:val="24"/>
                <w:highlight w:val="none"/>
                <w:lang w:val="zh-CN"/>
              </w:rPr>
            </w:pPr>
            <w:r>
              <w:rPr>
                <w:rFonts w:hint="default" w:ascii="Times New Roman" w:hAnsi="Times New Roman" w:eastAsia="宋体" w:cs="Times New Roman"/>
                <w:sz w:val="24"/>
                <w:highlight w:val="none"/>
                <w:lang w:val="zh-CN"/>
              </w:rPr>
              <w:t>本次评价引用北京亦庄环境科技集团有限公司官网公布的2025年</w:t>
            </w:r>
            <w:r>
              <w:rPr>
                <w:rFonts w:hint="default" w:ascii="Times New Roman" w:hAnsi="Times New Roman" w:eastAsia="宋体" w:cs="Times New Roman"/>
                <w:sz w:val="24"/>
                <w:highlight w:val="none"/>
                <w:lang w:val="en-US" w:eastAsia="zh-CN"/>
              </w:rPr>
              <w:t>5</w:t>
            </w:r>
            <w:r>
              <w:rPr>
                <w:rFonts w:hint="default" w:ascii="Times New Roman" w:hAnsi="Times New Roman" w:eastAsia="宋体" w:cs="Times New Roman"/>
                <w:sz w:val="24"/>
                <w:highlight w:val="none"/>
                <w:lang w:val="zh-CN"/>
              </w:rPr>
              <w:t xml:space="preserve"> 月1</w:t>
            </w:r>
            <w:r>
              <w:rPr>
                <w:rFonts w:hint="default" w:ascii="Times New Roman" w:hAnsi="Times New Roman" w:eastAsia="宋体" w:cs="Times New Roman"/>
                <w:sz w:val="24"/>
                <w:highlight w:val="none"/>
                <w:lang w:val="en-US" w:eastAsia="zh-CN"/>
              </w:rPr>
              <w:t>2</w:t>
            </w:r>
            <w:r>
              <w:rPr>
                <w:rFonts w:hint="default" w:ascii="Times New Roman" w:hAnsi="Times New Roman" w:eastAsia="宋体" w:cs="Times New Roman"/>
                <w:sz w:val="24"/>
                <w:highlight w:val="none"/>
                <w:lang w:val="zh-CN"/>
              </w:rPr>
              <w:t>日</w:t>
            </w:r>
            <w:r>
              <w:rPr>
                <w:rFonts w:hint="default" w:ascii="Times New Roman" w:hAnsi="Times New Roman" w:eastAsia="宋体" w:cs="Times New Roman"/>
                <w:sz w:val="24"/>
                <w:highlight w:val="none"/>
                <w:lang w:val="en-US" w:eastAsia="zh-CN"/>
              </w:rPr>
              <w:t>的</w:t>
            </w:r>
            <w:r>
              <w:rPr>
                <w:rFonts w:hint="eastAsia" w:ascii="Times New Roman" w:hAnsi="Times New Roman" w:eastAsia="宋体" w:cs="Times New Roman"/>
                <w:sz w:val="24"/>
                <w:highlight w:val="none"/>
                <w:lang w:val="en-US" w:eastAsia="zh-CN"/>
              </w:rPr>
              <w:t>“</w:t>
            </w:r>
            <w:r>
              <w:rPr>
                <w:rFonts w:hint="default" w:ascii="Times New Roman" w:hAnsi="Times New Roman" w:eastAsia="宋体" w:cs="Times New Roman"/>
                <w:sz w:val="24"/>
                <w:highlight w:val="none"/>
                <w:lang w:val="zh-CN"/>
              </w:rPr>
              <w:t>北京亦庄环境科技集团有限公司经开污水处理厂出水口水质监测数据</w:t>
            </w:r>
            <w:r>
              <w:rPr>
                <w:rFonts w:hint="eastAsia" w:ascii="Times New Roman" w:hAnsi="Times New Roman" w:eastAsia="宋体" w:cs="Times New Roman"/>
                <w:sz w:val="24"/>
                <w:highlight w:val="none"/>
                <w:lang w:val="zh-CN"/>
              </w:rPr>
              <w:t>”</w:t>
            </w:r>
            <w:r>
              <w:rPr>
                <w:rFonts w:hint="default" w:ascii="Times New Roman" w:hAnsi="Times New Roman" w:eastAsia="宋体" w:cs="Times New Roman"/>
                <w:sz w:val="24"/>
                <w:highlight w:val="none"/>
                <w:lang w:val="zh-CN"/>
              </w:rPr>
              <w:t>，来说明北京亦庄环境科技集团有限公司经开污水处理厂的出水水质达标及排放情况，具体见下表。</w:t>
            </w:r>
          </w:p>
          <w:p w14:paraId="1A927D54">
            <w:pPr>
              <w:numPr>
                <w:ilvl w:val="0"/>
                <w:numId w:val="48"/>
              </w:numPr>
              <w:adjustRightInd w:val="0"/>
              <w:snapToGrid w:val="0"/>
              <w:ind w:left="425" w:leftChars="0" w:hanging="425" w:firstLineChars="0"/>
              <w:jc w:val="center"/>
              <w:rPr>
                <w:rFonts w:hint="default" w:ascii="Times New Roman" w:hAnsi="Times New Roman" w:eastAsia="宋体" w:cs="Times New Roman"/>
                <w:b/>
                <w:bCs/>
                <w:sz w:val="24"/>
                <w:highlight w:val="none"/>
                <w:lang w:val="zh-CN"/>
              </w:rPr>
            </w:pPr>
            <w:r>
              <w:rPr>
                <w:rFonts w:hint="default" w:ascii="Times New Roman" w:hAnsi="Times New Roman" w:eastAsia="宋体" w:cs="Times New Roman"/>
                <w:b/>
                <w:bCs/>
                <w:sz w:val="24"/>
                <w:highlight w:val="none"/>
                <w:lang w:val="zh-CN"/>
              </w:rPr>
              <w:t>经开污水处理厂的出水水质数据公开一览表（摘录）</w:t>
            </w:r>
          </w:p>
          <w:tbl>
            <w:tblPr>
              <w:tblStyle w:val="18"/>
              <w:tblW w:w="7568"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9"/>
              <w:gridCol w:w="1413"/>
              <w:gridCol w:w="823"/>
              <w:gridCol w:w="1298"/>
              <w:gridCol w:w="895"/>
              <w:gridCol w:w="796"/>
              <w:gridCol w:w="1594"/>
            </w:tblGrid>
            <w:tr w14:paraId="200C365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49" w:type="dxa"/>
                  <w:tcBorders>
                    <w:tl2br w:val="nil"/>
                    <w:tr2bl w:val="nil"/>
                  </w:tcBorders>
                  <w:vAlign w:val="center"/>
                </w:tcPr>
                <w:p w14:paraId="5E9E0198">
                  <w:pPr>
                    <w:numPr>
                      <w:ilvl w:val="0"/>
                      <w:numId w:val="0"/>
                    </w:numPr>
                    <w:adjustRightInd w:val="0"/>
                    <w:snapToGrid w:val="0"/>
                    <w:jc w:val="center"/>
                    <w:rPr>
                      <w:rFonts w:hint="default" w:ascii="Times New Roman" w:hAnsi="Times New Roman" w:eastAsia="宋体" w:cs="Times New Roman"/>
                      <w:b/>
                      <w:bCs/>
                      <w:sz w:val="21"/>
                      <w:szCs w:val="21"/>
                      <w:highlight w:val="none"/>
                      <w:vertAlign w:val="baseline"/>
                      <w:lang w:val="zh-CN"/>
                    </w:rPr>
                  </w:pPr>
                  <w:r>
                    <w:rPr>
                      <w:rFonts w:hint="default" w:ascii="Times New Roman" w:hAnsi="Times New Roman" w:eastAsia="宋体" w:cs="Times New Roman"/>
                      <w:b/>
                      <w:bCs/>
                      <w:sz w:val="21"/>
                      <w:szCs w:val="21"/>
                      <w:highlight w:val="none"/>
                      <w:vertAlign w:val="baseline"/>
                      <w:lang w:val="zh-CN"/>
                    </w:rPr>
                    <w:t>监测时间</w:t>
                  </w:r>
                </w:p>
              </w:tc>
              <w:tc>
                <w:tcPr>
                  <w:tcW w:w="1413" w:type="dxa"/>
                  <w:tcBorders>
                    <w:tl2br w:val="nil"/>
                    <w:tr2bl w:val="nil"/>
                  </w:tcBorders>
                  <w:vAlign w:val="center"/>
                </w:tcPr>
                <w:p w14:paraId="59DB5354">
                  <w:pPr>
                    <w:numPr>
                      <w:ilvl w:val="0"/>
                      <w:numId w:val="0"/>
                    </w:numPr>
                    <w:adjustRightInd w:val="0"/>
                    <w:snapToGrid w:val="0"/>
                    <w:jc w:val="center"/>
                    <w:rPr>
                      <w:rFonts w:hint="default" w:ascii="Times New Roman" w:hAnsi="Times New Roman" w:eastAsia="宋体" w:cs="Times New Roman"/>
                      <w:b/>
                      <w:bCs/>
                      <w:sz w:val="21"/>
                      <w:szCs w:val="21"/>
                      <w:highlight w:val="none"/>
                      <w:vertAlign w:val="baseline"/>
                      <w:lang w:val="zh-CN"/>
                    </w:rPr>
                  </w:pPr>
                  <w:r>
                    <w:rPr>
                      <w:rFonts w:hint="default" w:ascii="Times New Roman" w:hAnsi="Times New Roman" w:eastAsia="宋体" w:cs="Times New Roman"/>
                      <w:b/>
                      <w:bCs/>
                      <w:sz w:val="21"/>
                      <w:szCs w:val="21"/>
                      <w:highlight w:val="none"/>
                      <w:vertAlign w:val="baseline"/>
                      <w:lang w:val="zh-CN"/>
                    </w:rPr>
                    <w:t>检测项目</w:t>
                  </w:r>
                </w:p>
              </w:tc>
              <w:tc>
                <w:tcPr>
                  <w:tcW w:w="823" w:type="dxa"/>
                  <w:tcBorders>
                    <w:tl2br w:val="nil"/>
                    <w:tr2bl w:val="nil"/>
                  </w:tcBorders>
                  <w:vAlign w:val="center"/>
                </w:tcPr>
                <w:p w14:paraId="03794136">
                  <w:pPr>
                    <w:numPr>
                      <w:ilvl w:val="0"/>
                      <w:numId w:val="0"/>
                    </w:numPr>
                    <w:adjustRightInd w:val="0"/>
                    <w:snapToGrid w:val="0"/>
                    <w:jc w:val="center"/>
                    <w:rPr>
                      <w:rFonts w:hint="default" w:ascii="Times New Roman" w:hAnsi="Times New Roman" w:eastAsia="宋体" w:cs="Times New Roman"/>
                      <w:b/>
                      <w:bCs/>
                      <w:sz w:val="21"/>
                      <w:szCs w:val="21"/>
                      <w:highlight w:val="none"/>
                      <w:vertAlign w:val="baseline"/>
                      <w:lang w:val="zh-CN"/>
                    </w:rPr>
                  </w:pPr>
                  <w:r>
                    <w:rPr>
                      <w:rFonts w:hint="default" w:ascii="Times New Roman" w:hAnsi="Times New Roman" w:eastAsia="宋体" w:cs="Times New Roman"/>
                      <w:b/>
                      <w:bCs/>
                      <w:sz w:val="21"/>
                      <w:szCs w:val="21"/>
                      <w:highlight w:val="none"/>
                      <w:vertAlign w:val="baseline"/>
                      <w:lang w:val="zh-CN"/>
                    </w:rPr>
                    <w:t>排放浓度</w:t>
                  </w:r>
                </w:p>
              </w:tc>
              <w:tc>
                <w:tcPr>
                  <w:tcW w:w="1298" w:type="dxa"/>
                  <w:tcBorders>
                    <w:tl2br w:val="nil"/>
                    <w:tr2bl w:val="nil"/>
                  </w:tcBorders>
                  <w:vAlign w:val="center"/>
                </w:tcPr>
                <w:p w14:paraId="45E4CFEE">
                  <w:pPr>
                    <w:numPr>
                      <w:ilvl w:val="0"/>
                      <w:numId w:val="0"/>
                    </w:numPr>
                    <w:adjustRightInd w:val="0"/>
                    <w:snapToGrid w:val="0"/>
                    <w:jc w:val="center"/>
                    <w:rPr>
                      <w:rFonts w:hint="default" w:ascii="Times New Roman" w:hAnsi="Times New Roman" w:eastAsia="宋体" w:cs="Times New Roman"/>
                      <w:b/>
                      <w:bCs/>
                      <w:sz w:val="21"/>
                      <w:szCs w:val="21"/>
                      <w:highlight w:val="none"/>
                      <w:vertAlign w:val="baseline"/>
                      <w:lang w:val="zh-CN"/>
                    </w:rPr>
                  </w:pPr>
                  <w:r>
                    <w:rPr>
                      <w:rFonts w:hint="default" w:ascii="Times New Roman" w:hAnsi="Times New Roman" w:eastAsia="宋体" w:cs="Times New Roman"/>
                      <w:b/>
                      <w:bCs/>
                      <w:sz w:val="21"/>
                      <w:szCs w:val="21"/>
                      <w:highlight w:val="none"/>
                      <w:vertAlign w:val="baseline"/>
                      <w:lang w:val="zh-CN"/>
                    </w:rPr>
                    <w:t>污染物浓度排放限值</w:t>
                  </w:r>
                </w:p>
              </w:tc>
              <w:tc>
                <w:tcPr>
                  <w:tcW w:w="895" w:type="dxa"/>
                  <w:tcBorders>
                    <w:tl2br w:val="nil"/>
                    <w:tr2bl w:val="nil"/>
                  </w:tcBorders>
                  <w:vAlign w:val="center"/>
                </w:tcPr>
                <w:p w14:paraId="7BF3D697">
                  <w:pPr>
                    <w:numPr>
                      <w:ilvl w:val="0"/>
                      <w:numId w:val="0"/>
                    </w:numPr>
                    <w:adjustRightInd w:val="0"/>
                    <w:snapToGrid w:val="0"/>
                    <w:jc w:val="center"/>
                    <w:rPr>
                      <w:rFonts w:hint="default" w:ascii="Times New Roman" w:hAnsi="Times New Roman" w:eastAsia="宋体" w:cs="Times New Roman"/>
                      <w:b/>
                      <w:bCs/>
                      <w:sz w:val="21"/>
                      <w:szCs w:val="21"/>
                      <w:highlight w:val="none"/>
                      <w:vertAlign w:val="baseline"/>
                      <w:lang w:val="zh-CN"/>
                    </w:rPr>
                  </w:pPr>
                  <w:r>
                    <w:rPr>
                      <w:rFonts w:hint="default" w:ascii="Times New Roman" w:hAnsi="Times New Roman" w:eastAsia="宋体" w:cs="Times New Roman"/>
                      <w:b/>
                      <w:bCs/>
                      <w:sz w:val="21"/>
                      <w:szCs w:val="21"/>
                      <w:highlight w:val="none"/>
                      <w:vertAlign w:val="baseline"/>
                      <w:lang w:val="zh-CN"/>
                    </w:rPr>
                    <w:t>是否</w:t>
                  </w:r>
                </w:p>
                <w:p w14:paraId="3349DCFA">
                  <w:pPr>
                    <w:numPr>
                      <w:ilvl w:val="0"/>
                      <w:numId w:val="0"/>
                    </w:numPr>
                    <w:adjustRightInd w:val="0"/>
                    <w:snapToGrid w:val="0"/>
                    <w:jc w:val="center"/>
                    <w:rPr>
                      <w:rFonts w:hint="default" w:ascii="Times New Roman" w:hAnsi="Times New Roman" w:eastAsia="宋体" w:cs="Times New Roman"/>
                      <w:b/>
                      <w:bCs/>
                      <w:sz w:val="21"/>
                      <w:szCs w:val="21"/>
                      <w:highlight w:val="none"/>
                      <w:vertAlign w:val="baseline"/>
                      <w:lang w:val="zh-CN"/>
                    </w:rPr>
                  </w:pPr>
                  <w:r>
                    <w:rPr>
                      <w:rFonts w:hint="default" w:ascii="Times New Roman" w:hAnsi="Times New Roman" w:eastAsia="宋体" w:cs="Times New Roman"/>
                      <w:b/>
                      <w:bCs/>
                      <w:sz w:val="21"/>
                      <w:szCs w:val="21"/>
                      <w:highlight w:val="none"/>
                      <w:vertAlign w:val="baseline"/>
                      <w:lang w:val="zh-CN"/>
                    </w:rPr>
                    <w:t>达标</w:t>
                  </w:r>
                </w:p>
              </w:tc>
              <w:tc>
                <w:tcPr>
                  <w:tcW w:w="796" w:type="dxa"/>
                  <w:tcBorders>
                    <w:tl2br w:val="nil"/>
                    <w:tr2bl w:val="nil"/>
                  </w:tcBorders>
                  <w:vAlign w:val="center"/>
                </w:tcPr>
                <w:p w14:paraId="039BFE9D">
                  <w:pPr>
                    <w:numPr>
                      <w:ilvl w:val="0"/>
                      <w:numId w:val="0"/>
                    </w:numPr>
                    <w:adjustRightInd w:val="0"/>
                    <w:snapToGrid w:val="0"/>
                    <w:jc w:val="center"/>
                    <w:rPr>
                      <w:rFonts w:hint="default" w:ascii="Times New Roman" w:hAnsi="Times New Roman" w:eastAsia="宋体" w:cs="Times New Roman"/>
                      <w:b/>
                      <w:bCs/>
                      <w:sz w:val="21"/>
                      <w:szCs w:val="21"/>
                      <w:highlight w:val="none"/>
                      <w:vertAlign w:val="baseline"/>
                      <w:lang w:val="zh-CN"/>
                    </w:rPr>
                  </w:pPr>
                  <w:r>
                    <w:rPr>
                      <w:rFonts w:hint="default" w:ascii="Times New Roman" w:hAnsi="Times New Roman" w:eastAsia="宋体" w:cs="Times New Roman"/>
                      <w:b/>
                      <w:bCs/>
                      <w:sz w:val="21"/>
                      <w:szCs w:val="21"/>
                      <w:highlight w:val="none"/>
                      <w:vertAlign w:val="baseline"/>
                      <w:lang w:val="zh-CN"/>
                    </w:rPr>
                    <w:t>超标倍数</w:t>
                  </w:r>
                </w:p>
              </w:tc>
              <w:tc>
                <w:tcPr>
                  <w:tcW w:w="1594" w:type="dxa"/>
                  <w:tcBorders>
                    <w:tl2br w:val="nil"/>
                    <w:tr2bl w:val="nil"/>
                  </w:tcBorders>
                  <w:vAlign w:val="center"/>
                </w:tcPr>
                <w:p w14:paraId="6A39862E">
                  <w:pPr>
                    <w:numPr>
                      <w:ilvl w:val="0"/>
                      <w:numId w:val="0"/>
                    </w:numPr>
                    <w:adjustRightInd w:val="0"/>
                    <w:snapToGrid w:val="0"/>
                    <w:jc w:val="center"/>
                    <w:rPr>
                      <w:rFonts w:hint="default" w:ascii="Times New Roman" w:hAnsi="Times New Roman" w:eastAsia="宋体" w:cs="Times New Roman"/>
                      <w:b/>
                      <w:bCs/>
                      <w:sz w:val="21"/>
                      <w:szCs w:val="21"/>
                      <w:highlight w:val="none"/>
                      <w:vertAlign w:val="baseline"/>
                      <w:lang w:val="zh-CN"/>
                    </w:rPr>
                  </w:pPr>
                  <w:r>
                    <w:rPr>
                      <w:rFonts w:hint="default" w:ascii="Times New Roman" w:hAnsi="Times New Roman" w:eastAsia="宋体" w:cs="Times New Roman"/>
                      <w:b/>
                      <w:bCs/>
                      <w:sz w:val="21"/>
                      <w:szCs w:val="21"/>
                      <w:highlight w:val="none"/>
                      <w:vertAlign w:val="baseline"/>
                      <w:lang w:val="zh-CN"/>
                    </w:rPr>
                    <w:t>评价标准</w:t>
                  </w:r>
                </w:p>
              </w:tc>
            </w:tr>
            <w:tr w14:paraId="296476B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9" w:type="dxa"/>
                  <w:vMerge w:val="restart"/>
                  <w:tcBorders>
                    <w:tl2br w:val="nil"/>
                    <w:tr2bl w:val="nil"/>
                  </w:tcBorders>
                  <w:vAlign w:val="center"/>
                </w:tcPr>
                <w:p w14:paraId="3454B02A">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202</w:t>
                  </w:r>
                  <w:r>
                    <w:rPr>
                      <w:rFonts w:hint="default" w:ascii="Times New Roman" w:hAnsi="Times New Roman" w:eastAsia="宋体" w:cs="Times New Roman"/>
                      <w:sz w:val="21"/>
                      <w:szCs w:val="21"/>
                      <w:highlight w:val="none"/>
                      <w:vertAlign w:val="baseline"/>
                      <w:lang w:val="en-US" w:eastAsia="zh-CN"/>
                    </w:rPr>
                    <w:t>5</w:t>
                  </w:r>
                  <w:r>
                    <w:rPr>
                      <w:rFonts w:hint="default" w:ascii="Times New Roman" w:hAnsi="Times New Roman" w:eastAsia="宋体" w:cs="Times New Roman"/>
                      <w:sz w:val="21"/>
                      <w:szCs w:val="21"/>
                      <w:highlight w:val="none"/>
                      <w:vertAlign w:val="baseline"/>
                      <w:lang w:val="zh-CN"/>
                    </w:rPr>
                    <w:t>年</w:t>
                  </w:r>
                  <w:r>
                    <w:rPr>
                      <w:rFonts w:hint="default" w:ascii="Times New Roman" w:hAnsi="Times New Roman" w:eastAsia="宋体" w:cs="Times New Roman"/>
                      <w:sz w:val="21"/>
                      <w:szCs w:val="21"/>
                      <w:highlight w:val="none"/>
                      <w:vertAlign w:val="baseline"/>
                      <w:lang w:val="en-US" w:eastAsia="zh-CN"/>
                    </w:rPr>
                    <w:t>5</w:t>
                  </w:r>
                  <w:r>
                    <w:rPr>
                      <w:rFonts w:hint="default" w:ascii="Times New Roman" w:hAnsi="Times New Roman" w:eastAsia="宋体" w:cs="Times New Roman"/>
                      <w:sz w:val="21"/>
                      <w:szCs w:val="21"/>
                      <w:highlight w:val="none"/>
                      <w:vertAlign w:val="baseline"/>
                      <w:lang w:val="zh-CN"/>
                    </w:rPr>
                    <w:t>月1</w:t>
                  </w:r>
                  <w:r>
                    <w:rPr>
                      <w:rFonts w:hint="default" w:ascii="Times New Roman" w:hAnsi="Times New Roman" w:eastAsia="宋体" w:cs="Times New Roman"/>
                      <w:sz w:val="21"/>
                      <w:szCs w:val="21"/>
                      <w:highlight w:val="none"/>
                      <w:vertAlign w:val="baseline"/>
                      <w:lang w:val="en-US" w:eastAsia="zh-CN"/>
                    </w:rPr>
                    <w:t>2</w:t>
                  </w:r>
                  <w:r>
                    <w:rPr>
                      <w:rFonts w:hint="default" w:ascii="Times New Roman" w:hAnsi="Times New Roman" w:eastAsia="宋体" w:cs="Times New Roman"/>
                      <w:sz w:val="21"/>
                      <w:szCs w:val="21"/>
                      <w:highlight w:val="none"/>
                      <w:vertAlign w:val="baseline"/>
                      <w:lang w:val="zh-CN"/>
                    </w:rPr>
                    <w:t>日</w:t>
                  </w:r>
                </w:p>
              </w:tc>
              <w:tc>
                <w:tcPr>
                  <w:tcW w:w="1413" w:type="dxa"/>
                  <w:tcBorders>
                    <w:tl2br w:val="nil"/>
                    <w:tr2bl w:val="nil"/>
                  </w:tcBorders>
                  <w:vAlign w:val="center"/>
                </w:tcPr>
                <w:p w14:paraId="269C5C7D">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pH（无量纲）</w:t>
                  </w:r>
                </w:p>
              </w:tc>
              <w:tc>
                <w:tcPr>
                  <w:tcW w:w="823" w:type="dxa"/>
                  <w:tcBorders>
                    <w:tl2br w:val="nil"/>
                    <w:tr2bl w:val="nil"/>
                  </w:tcBorders>
                  <w:vAlign w:val="center"/>
                </w:tcPr>
                <w:p w14:paraId="6DD04A92">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7.57</w:t>
                  </w:r>
                </w:p>
              </w:tc>
              <w:tc>
                <w:tcPr>
                  <w:tcW w:w="1298" w:type="dxa"/>
                  <w:tcBorders>
                    <w:tl2br w:val="nil"/>
                    <w:tr2bl w:val="nil"/>
                  </w:tcBorders>
                  <w:vAlign w:val="center"/>
                </w:tcPr>
                <w:p w14:paraId="47D80CDD">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6~9</w:t>
                  </w:r>
                </w:p>
              </w:tc>
              <w:tc>
                <w:tcPr>
                  <w:tcW w:w="895" w:type="dxa"/>
                  <w:tcBorders>
                    <w:tl2br w:val="nil"/>
                    <w:tr2bl w:val="nil"/>
                  </w:tcBorders>
                  <w:vAlign w:val="center"/>
                </w:tcPr>
                <w:p w14:paraId="55D60286">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是</w:t>
                  </w:r>
                </w:p>
              </w:tc>
              <w:tc>
                <w:tcPr>
                  <w:tcW w:w="796" w:type="dxa"/>
                  <w:tcBorders>
                    <w:tl2br w:val="nil"/>
                    <w:tr2bl w:val="nil"/>
                  </w:tcBorders>
                  <w:vAlign w:val="center"/>
                </w:tcPr>
                <w:p w14:paraId="02EF01FA">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0</w:t>
                  </w:r>
                </w:p>
              </w:tc>
              <w:tc>
                <w:tcPr>
                  <w:tcW w:w="1594" w:type="dxa"/>
                  <w:vMerge w:val="restart"/>
                  <w:tcBorders>
                    <w:tl2br w:val="nil"/>
                    <w:tr2bl w:val="nil"/>
                  </w:tcBorders>
                  <w:vAlign w:val="center"/>
                </w:tcPr>
                <w:p w14:paraId="367E049C">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《城镇污水处理厂水污染物排放标准》（DB11/890-2012）表 1中的 B 标准</w:t>
                  </w:r>
                </w:p>
              </w:tc>
            </w:tr>
            <w:tr w14:paraId="44F5293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49" w:type="dxa"/>
                  <w:vMerge w:val="continue"/>
                  <w:tcBorders>
                    <w:tl2br w:val="nil"/>
                    <w:tr2bl w:val="nil"/>
                  </w:tcBorders>
                  <w:vAlign w:val="center"/>
                </w:tcPr>
                <w:p w14:paraId="6A76E6BD">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p>
              </w:tc>
              <w:tc>
                <w:tcPr>
                  <w:tcW w:w="1413" w:type="dxa"/>
                  <w:tcBorders>
                    <w:tl2br w:val="nil"/>
                    <w:tr2bl w:val="nil"/>
                  </w:tcBorders>
                  <w:vAlign w:val="center"/>
                </w:tcPr>
                <w:p w14:paraId="586760FF">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化学需氧量（mg/L）</w:t>
                  </w:r>
                </w:p>
              </w:tc>
              <w:tc>
                <w:tcPr>
                  <w:tcW w:w="823" w:type="dxa"/>
                  <w:tcBorders>
                    <w:tl2br w:val="nil"/>
                    <w:tr2bl w:val="nil"/>
                  </w:tcBorders>
                  <w:vAlign w:val="center"/>
                </w:tcPr>
                <w:p w14:paraId="4154D115">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zh-CN"/>
                    </w:rPr>
                    <w:t>1</w:t>
                  </w:r>
                  <w:r>
                    <w:rPr>
                      <w:rFonts w:hint="default" w:ascii="Times New Roman" w:hAnsi="Times New Roman" w:eastAsia="宋体" w:cs="Times New Roman"/>
                      <w:sz w:val="21"/>
                      <w:szCs w:val="21"/>
                      <w:highlight w:val="none"/>
                      <w:vertAlign w:val="baseline"/>
                      <w:lang w:val="en-US" w:eastAsia="zh-CN"/>
                    </w:rPr>
                    <w:t>2.70</w:t>
                  </w:r>
                </w:p>
              </w:tc>
              <w:tc>
                <w:tcPr>
                  <w:tcW w:w="1298" w:type="dxa"/>
                  <w:tcBorders>
                    <w:tl2br w:val="nil"/>
                    <w:tr2bl w:val="nil"/>
                  </w:tcBorders>
                  <w:vAlign w:val="center"/>
                </w:tcPr>
                <w:p w14:paraId="7CB6327E">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30</w:t>
                  </w:r>
                </w:p>
              </w:tc>
              <w:tc>
                <w:tcPr>
                  <w:tcW w:w="895" w:type="dxa"/>
                  <w:tcBorders>
                    <w:tl2br w:val="nil"/>
                    <w:tr2bl w:val="nil"/>
                  </w:tcBorders>
                  <w:vAlign w:val="center"/>
                </w:tcPr>
                <w:p w14:paraId="0570175D">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是</w:t>
                  </w:r>
                </w:p>
              </w:tc>
              <w:tc>
                <w:tcPr>
                  <w:tcW w:w="796" w:type="dxa"/>
                  <w:tcBorders>
                    <w:tl2br w:val="nil"/>
                    <w:tr2bl w:val="nil"/>
                  </w:tcBorders>
                  <w:vAlign w:val="center"/>
                </w:tcPr>
                <w:p w14:paraId="0FF222A9">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0</w:t>
                  </w:r>
                </w:p>
              </w:tc>
              <w:tc>
                <w:tcPr>
                  <w:tcW w:w="1594" w:type="dxa"/>
                  <w:vMerge w:val="continue"/>
                  <w:tcBorders>
                    <w:tl2br w:val="nil"/>
                    <w:tr2bl w:val="nil"/>
                  </w:tcBorders>
                  <w:vAlign w:val="center"/>
                </w:tcPr>
                <w:p w14:paraId="19D9BBD6">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p>
              </w:tc>
            </w:tr>
            <w:tr w14:paraId="52B6EC4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49" w:type="dxa"/>
                  <w:vMerge w:val="continue"/>
                  <w:tcBorders>
                    <w:tl2br w:val="nil"/>
                    <w:tr2bl w:val="nil"/>
                  </w:tcBorders>
                  <w:vAlign w:val="center"/>
                </w:tcPr>
                <w:p w14:paraId="7F9E7B37">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p>
              </w:tc>
              <w:tc>
                <w:tcPr>
                  <w:tcW w:w="1413" w:type="dxa"/>
                  <w:tcBorders>
                    <w:tl2br w:val="nil"/>
                    <w:tr2bl w:val="nil"/>
                  </w:tcBorders>
                  <w:vAlign w:val="center"/>
                </w:tcPr>
                <w:p w14:paraId="5A02AF68">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氨氮（mg/L）</w:t>
                  </w:r>
                </w:p>
              </w:tc>
              <w:tc>
                <w:tcPr>
                  <w:tcW w:w="823" w:type="dxa"/>
                  <w:tcBorders>
                    <w:tl2br w:val="nil"/>
                    <w:tr2bl w:val="nil"/>
                  </w:tcBorders>
                  <w:vAlign w:val="center"/>
                </w:tcPr>
                <w:p w14:paraId="65C4E552">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zh-CN"/>
                    </w:rPr>
                    <w:t>0.</w:t>
                  </w:r>
                  <w:r>
                    <w:rPr>
                      <w:rFonts w:hint="default" w:ascii="Times New Roman" w:hAnsi="Times New Roman" w:eastAsia="宋体" w:cs="Times New Roman"/>
                      <w:sz w:val="21"/>
                      <w:szCs w:val="21"/>
                      <w:highlight w:val="none"/>
                      <w:vertAlign w:val="baseline"/>
                      <w:lang w:val="en-US" w:eastAsia="zh-CN"/>
                    </w:rPr>
                    <w:t>56</w:t>
                  </w:r>
                </w:p>
              </w:tc>
              <w:tc>
                <w:tcPr>
                  <w:tcW w:w="1298" w:type="dxa"/>
                  <w:tcBorders>
                    <w:tl2br w:val="nil"/>
                    <w:tr2bl w:val="nil"/>
                  </w:tcBorders>
                  <w:vAlign w:val="center"/>
                </w:tcPr>
                <w:p w14:paraId="44516254">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1.5(2.5)</w:t>
                  </w:r>
                </w:p>
              </w:tc>
              <w:tc>
                <w:tcPr>
                  <w:tcW w:w="895" w:type="dxa"/>
                  <w:tcBorders>
                    <w:tl2br w:val="nil"/>
                    <w:tr2bl w:val="nil"/>
                  </w:tcBorders>
                  <w:vAlign w:val="center"/>
                </w:tcPr>
                <w:p w14:paraId="0017B271">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是</w:t>
                  </w:r>
                </w:p>
              </w:tc>
              <w:tc>
                <w:tcPr>
                  <w:tcW w:w="796" w:type="dxa"/>
                  <w:tcBorders>
                    <w:tl2br w:val="nil"/>
                    <w:tr2bl w:val="nil"/>
                  </w:tcBorders>
                  <w:vAlign w:val="center"/>
                </w:tcPr>
                <w:p w14:paraId="0B7BC3D3">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0</w:t>
                  </w:r>
                </w:p>
              </w:tc>
              <w:tc>
                <w:tcPr>
                  <w:tcW w:w="1594" w:type="dxa"/>
                  <w:vMerge w:val="continue"/>
                  <w:tcBorders>
                    <w:tl2br w:val="nil"/>
                    <w:tr2bl w:val="nil"/>
                  </w:tcBorders>
                  <w:vAlign w:val="center"/>
                </w:tcPr>
                <w:p w14:paraId="5994439A">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p>
              </w:tc>
            </w:tr>
            <w:tr w14:paraId="0F2215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49" w:type="dxa"/>
                  <w:vMerge w:val="continue"/>
                  <w:tcBorders>
                    <w:tl2br w:val="nil"/>
                    <w:tr2bl w:val="nil"/>
                  </w:tcBorders>
                  <w:vAlign w:val="center"/>
                </w:tcPr>
                <w:p w14:paraId="4A48BBA8">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p>
              </w:tc>
              <w:tc>
                <w:tcPr>
                  <w:tcW w:w="1413" w:type="dxa"/>
                  <w:tcBorders>
                    <w:tl2br w:val="nil"/>
                    <w:tr2bl w:val="nil"/>
                  </w:tcBorders>
                  <w:vAlign w:val="center"/>
                </w:tcPr>
                <w:p w14:paraId="0D84A69D">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en-US" w:eastAsia="zh-CN"/>
                    </w:rPr>
                    <w:t>五日生化需氧量</w:t>
                  </w:r>
                  <w:r>
                    <w:rPr>
                      <w:rFonts w:hint="default" w:ascii="Times New Roman" w:hAnsi="Times New Roman" w:eastAsia="宋体" w:cs="Times New Roman"/>
                      <w:sz w:val="21"/>
                      <w:szCs w:val="21"/>
                      <w:highlight w:val="none"/>
                      <w:vertAlign w:val="baseline"/>
                      <w:lang w:val="zh-CN"/>
                    </w:rPr>
                    <w:t>（mg/L）</w:t>
                  </w:r>
                </w:p>
              </w:tc>
              <w:tc>
                <w:tcPr>
                  <w:tcW w:w="823" w:type="dxa"/>
                  <w:tcBorders>
                    <w:tl2br w:val="nil"/>
                    <w:tr2bl w:val="nil"/>
                  </w:tcBorders>
                  <w:vAlign w:val="center"/>
                </w:tcPr>
                <w:p w14:paraId="68835901">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3.53</w:t>
                  </w:r>
                </w:p>
              </w:tc>
              <w:tc>
                <w:tcPr>
                  <w:tcW w:w="1298" w:type="dxa"/>
                  <w:tcBorders>
                    <w:tl2br w:val="nil"/>
                    <w:tr2bl w:val="nil"/>
                  </w:tcBorders>
                  <w:vAlign w:val="center"/>
                </w:tcPr>
                <w:p w14:paraId="2615CA4E">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eastAsia="zh-CN"/>
                    </w:rPr>
                  </w:pPr>
                  <w:r>
                    <w:rPr>
                      <w:rFonts w:hint="default" w:ascii="Times New Roman" w:hAnsi="Times New Roman" w:eastAsia="宋体" w:cs="Times New Roman"/>
                      <w:sz w:val="21"/>
                      <w:szCs w:val="21"/>
                      <w:highlight w:val="none"/>
                      <w:vertAlign w:val="baseline"/>
                      <w:lang w:val="en-US" w:eastAsia="zh-CN"/>
                    </w:rPr>
                    <w:t>6</w:t>
                  </w:r>
                </w:p>
              </w:tc>
              <w:tc>
                <w:tcPr>
                  <w:tcW w:w="895" w:type="dxa"/>
                  <w:tcBorders>
                    <w:tl2br w:val="nil"/>
                    <w:tr2bl w:val="nil"/>
                  </w:tcBorders>
                  <w:vAlign w:val="center"/>
                </w:tcPr>
                <w:p w14:paraId="0D2260E3">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是</w:t>
                  </w:r>
                </w:p>
              </w:tc>
              <w:tc>
                <w:tcPr>
                  <w:tcW w:w="796" w:type="dxa"/>
                  <w:tcBorders>
                    <w:tl2br w:val="nil"/>
                    <w:tr2bl w:val="nil"/>
                  </w:tcBorders>
                  <w:vAlign w:val="center"/>
                </w:tcPr>
                <w:p w14:paraId="4DA69DF8">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0</w:t>
                  </w:r>
                </w:p>
              </w:tc>
              <w:tc>
                <w:tcPr>
                  <w:tcW w:w="1594" w:type="dxa"/>
                  <w:vMerge w:val="continue"/>
                  <w:tcBorders>
                    <w:tl2br w:val="nil"/>
                    <w:tr2bl w:val="nil"/>
                  </w:tcBorders>
                  <w:vAlign w:val="center"/>
                </w:tcPr>
                <w:p w14:paraId="1EEC4E45">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p>
              </w:tc>
            </w:tr>
            <w:tr w14:paraId="4C20FCD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49" w:type="dxa"/>
                  <w:vMerge w:val="continue"/>
                  <w:tcBorders>
                    <w:tl2br w:val="nil"/>
                    <w:tr2bl w:val="nil"/>
                  </w:tcBorders>
                  <w:vAlign w:val="center"/>
                </w:tcPr>
                <w:p w14:paraId="16AC8892">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p>
              </w:tc>
              <w:tc>
                <w:tcPr>
                  <w:tcW w:w="1413" w:type="dxa"/>
                  <w:tcBorders>
                    <w:tl2br w:val="nil"/>
                    <w:tr2bl w:val="nil"/>
                  </w:tcBorders>
                  <w:vAlign w:val="center"/>
                </w:tcPr>
                <w:p w14:paraId="0D8AAB2E">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总氮（mg/L）</w:t>
                  </w:r>
                </w:p>
              </w:tc>
              <w:tc>
                <w:tcPr>
                  <w:tcW w:w="823" w:type="dxa"/>
                  <w:tcBorders>
                    <w:tl2br w:val="nil"/>
                    <w:tr2bl w:val="nil"/>
                  </w:tcBorders>
                  <w:vAlign w:val="center"/>
                </w:tcPr>
                <w:p w14:paraId="7644D5B3">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6.37</w:t>
                  </w:r>
                </w:p>
              </w:tc>
              <w:tc>
                <w:tcPr>
                  <w:tcW w:w="1298" w:type="dxa"/>
                  <w:tcBorders>
                    <w:tl2br w:val="nil"/>
                    <w:tr2bl w:val="nil"/>
                  </w:tcBorders>
                  <w:vAlign w:val="center"/>
                </w:tcPr>
                <w:p w14:paraId="5998900E">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15</w:t>
                  </w:r>
                </w:p>
              </w:tc>
              <w:tc>
                <w:tcPr>
                  <w:tcW w:w="895" w:type="dxa"/>
                  <w:tcBorders>
                    <w:tl2br w:val="nil"/>
                    <w:tr2bl w:val="nil"/>
                  </w:tcBorders>
                  <w:vAlign w:val="center"/>
                </w:tcPr>
                <w:p w14:paraId="39EA29BE">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是</w:t>
                  </w:r>
                </w:p>
              </w:tc>
              <w:tc>
                <w:tcPr>
                  <w:tcW w:w="796" w:type="dxa"/>
                  <w:tcBorders>
                    <w:tl2br w:val="nil"/>
                    <w:tr2bl w:val="nil"/>
                  </w:tcBorders>
                  <w:vAlign w:val="center"/>
                </w:tcPr>
                <w:p w14:paraId="2B751D68">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r>
                    <w:rPr>
                      <w:rFonts w:hint="default" w:ascii="Times New Roman" w:hAnsi="Times New Roman" w:eastAsia="宋体" w:cs="Times New Roman"/>
                      <w:sz w:val="21"/>
                      <w:szCs w:val="21"/>
                      <w:highlight w:val="none"/>
                      <w:vertAlign w:val="baseline"/>
                      <w:lang w:val="zh-CN"/>
                    </w:rPr>
                    <w:t>0</w:t>
                  </w:r>
                </w:p>
              </w:tc>
              <w:tc>
                <w:tcPr>
                  <w:tcW w:w="1594" w:type="dxa"/>
                  <w:vMerge w:val="continue"/>
                  <w:tcBorders>
                    <w:tl2br w:val="nil"/>
                    <w:tr2bl w:val="nil"/>
                  </w:tcBorders>
                  <w:vAlign w:val="center"/>
                </w:tcPr>
                <w:p w14:paraId="69393AC3">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p>
              </w:tc>
            </w:tr>
            <w:tr w14:paraId="290925F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49" w:type="dxa"/>
                  <w:vMerge w:val="continue"/>
                  <w:tcBorders>
                    <w:tl2br w:val="nil"/>
                    <w:tr2bl w:val="nil"/>
                  </w:tcBorders>
                  <w:vAlign w:val="center"/>
                </w:tcPr>
                <w:p w14:paraId="3B6E1F22">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p>
              </w:tc>
              <w:tc>
                <w:tcPr>
                  <w:tcW w:w="1413" w:type="dxa"/>
                  <w:tcBorders>
                    <w:tl2br w:val="nil"/>
                    <w:tr2bl w:val="nil"/>
                  </w:tcBorders>
                  <w:vAlign w:val="center"/>
                </w:tcPr>
                <w:p w14:paraId="4DDEDE95">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悬浮物</w:t>
                  </w:r>
                </w:p>
              </w:tc>
              <w:tc>
                <w:tcPr>
                  <w:tcW w:w="823" w:type="dxa"/>
                  <w:tcBorders>
                    <w:tl2br w:val="nil"/>
                    <w:tr2bl w:val="nil"/>
                  </w:tcBorders>
                  <w:vAlign w:val="center"/>
                </w:tcPr>
                <w:p w14:paraId="48F39285">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＜5</w:t>
                  </w:r>
                </w:p>
              </w:tc>
              <w:tc>
                <w:tcPr>
                  <w:tcW w:w="1298" w:type="dxa"/>
                  <w:tcBorders>
                    <w:tl2br w:val="nil"/>
                    <w:tr2bl w:val="nil"/>
                  </w:tcBorders>
                  <w:vAlign w:val="center"/>
                </w:tcPr>
                <w:p w14:paraId="77E99B3F">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5</w:t>
                  </w:r>
                </w:p>
              </w:tc>
              <w:tc>
                <w:tcPr>
                  <w:tcW w:w="895" w:type="dxa"/>
                  <w:tcBorders>
                    <w:tl2br w:val="nil"/>
                    <w:tr2bl w:val="nil"/>
                  </w:tcBorders>
                  <w:shd w:val="clear" w:color="auto" w:fill="auto"/>
                  <w:vAlign w:val="center"/>
                </w:tcPr>
                <w:p w14:paraId="2D2C53E7">
                  <w:pPr>
                    <w:numPr>
                      <w:ilvl w:val="0"/>
                      <w:numId w:val="0"/>
                    </w:numPr>
                    <w:adjustRightInd w:val="0"/>
                    <w:snapToGrid w:val="0"/>
                    <w:ind w:left="0" w:leftChars="0" w:firstLine="0" w:firstLineChars="0"/>
                    <w:jc w:val="center"/>
                    <w:rPr>
                      <w:rFonts w:hint="default" w:ascii="Times New Roman" w:hAnsi="Times New Roman" w:eastAsia="宋体" w:cs="Times New Roman"/>
                      <w:kern w:val="2"/>
                      <w:sz w:val="21"/>
                      <w:szCs w:val="21"/>
                      <w:highlight w:val="none"/>
                      <w:vertAlign w:val="baseline"/>
                      <w:lang w:val="zh-CN" w:eastAsia="zh-CN" w:bidi="ar-SA"/>
                    </w:rPr>
                  </w:pPr>
                  <w:r>
                    <w:rPr>
                      <w:rFonts w:hint="default" w:ascii="Times New Roman" w:hAnsi="Times New Roman" w:eastAsia="宋体" w:cs="Times New Roman"/>
                      <w:sz w:val="21"/>
                      <w:szCs w:val="21"/>
                      <w:highlight w:val="none"/>
                      <w:vertAlign w:val="baseline"/>
                      <w:lang w:val="zh-CN"/>
                    </w:rPr>
                    <w:t>是</w:t>
                  </w:r>
                </w:p>
              </w:tc>
              <w:tc>
                <w:tcPr>
                  <w:tcW w:w="796" w:type="dxa"/>
                  <w:tcBorders>
                    <w:tl2br w:val="nil"/>
                    <w:tr2bl w:val="nil"/>
                  </w:tcBorders>
                  <w:shd w:val="clear" w:color="auto" w:fill="auto"/>
                  <w:vAlign w:val="center"/>
                </w:tcPr>
                <w:p w14:paraId="72798D4E">
                  <w:pPr>
                    <w:numPr>
                      <w:ilvl w:val="0"/>
                      <w:numId w:val="0"/>
                    </w:numPr>
                    <w:adjustRightInd w:val="0"/>
                    <w:snapToGrid w:val="0"/>
                    <w:ind w:left="0" w:leftChars="0" w:firstLine="0" w:firstLineChars="0"/>
                    <w:jc w:val="center"/>
                    <w:rPr>
                      <w:rFonts w:hint="default" w:ascii="Times New Roman" w:hAnsi="Times New Roman" w:eastAsia="宋体" w:cs="Times New Roman"/>
                      <w:kern w:val="2"/>
                      <w:sz w:val="21"/>
                      <w:szCs w:val="21"/>
                      <w:highlight w:val="none"/>
                      <w:vertAlign w:val="baseline"/>
                      <w:lang w:val="zh-CN" w:eastAsia="zh-CN" w:bidi="ar-SA"/>
                    </w:rPr>
                  </w:pPr>
                  <w:r>
                    <w:rPr>
                      <w:rFonts w:hint="default" w:ascii="Times New Roman" w:hAnsi="Times New Roman" w:eastAsia="宋体" w:cs="Times New Roman"/>
                      <w:sz w:val="21"/>
                      <w:szCs w:val="21"/>
                      <w:highlight w:val="none"/>
                      <w:vertAlign w:val="baseline"/>
                      <w:lang w:val="zh-CN"/>
                    </w:rPr>
                    <w:t>0</w:t>
                  </w:r>
                </w:p>
              </w:tc>
              <w:tc>
                <w:tcPr>
                  <w:tcW w:w="1594" w:type="dxa"/>
                  <w:vMerge w:val="continue"/>
                  <w:tcBorders>
                    <w:tl2br w:val="nil"/>
                    <w:tr2bl w:val="nil"/>
                  </w:tcBorders>
                  <w:vAlign w:val="center"/>
                </w:tcPr>
                <w:p w14:paraId="145B35BE">
                  <w:pPr>
                    <w:numPr>
                      <w:ilvl w:val="0"/>
                      <w:numId w:val="0"/>
                    </w:numPr>
                    <w:adjustRightInd w:val="0"/>
                    <w:snapToGrid w:val="0"/>
                    <w:jc w:val="center"/>
                    <w:rPr>
                      <w:rFonts w:hint="default" w:ascii="Times New Roman" w:hAnsi="Times New Roman" w:eastAsia="宋体" w:cs="Times New Roman"/>
                      <w:sz w:val="21"/>
                      <w:szCs w:val="21"/>
                      <w:highlight w:val="none"/>
                      <w:vertAlign w:val="baseline"/>
                      <w:lang w:val="zh-CN"/>
                    </w:rPr>
                  </w:pPr>
                </w:p>
              </w:tc>
            </w:tr>
          </w:tbl>
          <w:p w14:paraId="3FC25A32">
            <w:pPr>
              <w:adjustRightInd w:val="0"/>
              <w:spacing w:line="360" w:lineRule="auto"/>
              <w:ind w:firstLine="480" w:firstLineChars="200"/>
              <w:rPr>
                <w:rFonts w:hint="default" w:ascii="Times New Roman" w:hAnsi="Times New Roman" w:eastAsia="宋体" w:cs="Times New Roman"/>
                <w:sz w:val="24"/>
                <w:highlight w:val="none"/>
                <w:lang w:val="zh-CN"/>
              </w:rPr>
            </w:pPr>
            <w:r>
              <w:rPr>
                <w:rFonts w:hint="default" w:ascii="Times New Roman" w:hAnsi="Times New Roman" w:eastAsia="宋体" w:cs="Times New Roman"/>
                <w:sz w:val="24"/>
                <w:highlight w:val="none"/>
                <w:lang w:val="zh-CN"/>
              </w:rPr>
              <w:t>由上表数据可知，北京亦庄环境科技集团有限公司经开污水处理厂水质监测结果满足《城镇污水处理厂污染物排放标准》（DB11/890-2012）表1中的B标准，污水处理厂污水处理设备运行稳定，出水可稳定达标排放。本项目位于北京亦庄环境科技集团有限公司经开污水处理厂收水范围内，污水处理厂目前污水处理能力为</w:t>
            </w:r>
            <w:r>
              <w:rPr>
                <w:rFonts w:hint="default" w:ascii="Times New Roman" w:hAnsi="Times New Roman" w:eastAsia="宋体" w:cs="Times New Roman"/>
                <w:sz w:val="24"/>
                <w:highlight w:val="none"/>
                <w:lang w:val="en-US" w:eastAsia="zh-CN"/>
              </w:rPr>
              <w:t>5</w:t>
            </w:r>
            <w:r>
              <w:rPr>
                <w:rFonts w:hint="default" w:ascii="Times New Roman" w:hAnsi="Times New Roman" w:eastAsia="宋体" w:cs="Times New Roman"/>
                <w:sz w:val="24"/>
                <w:highlight w:val="none"/>
                <w:lang w:val="zh-CN"/>
              </w:rPr>
              <w:t>万m</w:t>
            </w:r>
            <w:r>
              <w:rPr>
                <w:rFonts w:hint="default" w:ascii="Times New Roman" w:hAnsi="Times New Roman" w:eastAsia="宋体" w:cs="Times New Roman"/>
                <w:sz w:val="24"/>
                <w:highlight w:val="none"/>
                <w:vertAlign w:val="superscript"/>
                <w:lang w:val="zh-CN"/>
              </w:rPr>
              <w:t>3</w:t>
            </w:r>
            <w:r>
              <w:rPr>
                <w:rFonts w:hint="default" w:ascii="Times New Roman" w:hAnsi="Times New Roman" w:eastAsia="宋体" w:cs="Times New Roman"/>
                <w:sz w:val="24"/>
                <w:highlight w:val="none"/>
                <w:lang w:val="zh-CN"/>
              </w:rPr>
              <w:t>/d，现有余量约5000m</w:t>
            </w:r>
            <w:r>
              <w:rPr>
                <w:rFonts w:hint="default" w:ascii="Times New Roman" w:hAnsi="Times New Roman" w:eastAsia="宋体" w:cs="Times New Roman"/>
                <w:sz w:val="24"/>
                <w:highlight w:val="none"/>
                <w:vertAlign w:val="superscript"/>
                <w:lang w:val="zh-CN"/>
              </w:rPr>
              <w:t>3</w:t>
            </w:r>
            <w:r>
              <w:rPr>
                <w:rFonts w:hint="default" w:ascii="Times New Roman" w:hAnsi="Times New Roman" w:eastAsia="宋体" w:cs="Times New Roman"/>
                <w:sz w:val="24"/>
                <w:highlight w:val="none"/>
                <w:lang w:val="zh-CN"/>
              </w:rPr>
              <w:t>/d。本项目周边市政排水条件完善。本项目新增污水排放量为</w:t>
            </w:r>
            <w:r>
              <w:rPr>
                <w:rFonts w:hint="default" w:ascii="Times New Roman" w:hAnsi="Times New Roman" w:eastAsia="宋体" w:cs="Times New Roman"/>
                <w:sz w:val="24"/>
                <w:highlight w:val="none"/>
                <w:lang w:val="en-US" w:eastAsia="zh-CN"/>
              </w:rPr>
              <w:t>1.74</w:t>
            </w:r>
            <w:r>
              <w:rPr>
                <w:rFonts w:hint="default" w:ascii="Times New Roman" w:hAnsi="Times New Roman" w:eastAsia="宋体" w:cs="Times New Roman"/>
                <w:sz w:val="24"/>
                <w:highlight w:val="none"/>
                <w:lang w:val="zh-CN"/>
              </w:rPr>
              <w:t>m</w:t>
            </w:r>
            <w:r>
              <w:rPr>
                <w:rFonts w:hint="default" w:ascii="Times New Roman" w:hAnsi="Times New Roman" w:eastAsia="宋体" w:cs="Times New Roman"/>
                <w:sz w:val="24"/>
                <w:highlight w:val="none"/>
                <w:vertAlign w:val="superscript"/>
                <w:lang w:val="zh-CN"/>
              </w:rPr>
              <w:t>3</w:t>
            </w:r>
            <w:r>
              <w:rPr>
                <w:rFonts w:hint="default" w:ascii="Times New Roman" w:hAnsi="Times New Roman" w:eastAsia="宋体" w:cs="Times New Roman"/>
                <w:sz w:val="24"/>
                <w:highlight w:val="none"/>
                <w:lang w:val="zh-CN"/>
              </w:rPr>
              <w:t>/d，排水量完全可被现有污水管网收纳。项目排水水质能够符合《水污染物综合排放标准》（DB11/307-2013）中排入公共污水处理系统的水污染物排放限值，不会给市政管网造成不利影响。因此，本项目废水排入市政污水管网，最终进入北京亦庄环境科技集团有限公司经开污水处理厂处理是可行的。</w:t>
            </w:r>
          </w:p>
          <w:p w14:paraId="20DAAA22">
            <w:pPr>
              <w:adjustRightInd w:val="0"/>
              <w:snapToGrid w:val="0"/>
              <w:spacing w:line="360" w:lineRule="auto"/>
              <w:ind w:firstLine="360" w:firstLineChars="15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5</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废水监测计划</w:t>
            </w:r>
          </w:p>
          <w:p w14:paraId="1C385784">
            <w:pPr>
              <w:adjustRightInd w:val="0"/>
              <w:snapToGrid w:val="0"/>
              <w:spacing w:line="360" w:lineRule="auto"/>
              <w:ind w:firstLine="360" w:firstLineChars="15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根据《排污许可证申请与核发技术规范总则》(HJ942-2018)、《排污单位自行监测技术指南 总则》(HJ819-2017)，本项目废水监测计划详见下表。</w:t>
            </w:r>
          </w:p>
          <w:p w14:paraId="252F95CD">
            <w:pPr>
              <w:numPr>
                <w:ilvl w:val="0"/>
                <w:numId w:val="48"/>
              </w:numPr>
              <w:adjustRightInd w:val="0"/>
              <w:snapToGrid w:val="0"/>
              <w:ind w:left="425" w:leftChars="0" w:hanging="425" w:firstLineChars="0"/>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项目废水监测计划</w:t>
            </w:r>
          </w:p>
          <w:tbl>
            <w:tblPr>
              <w:tblStyle w:val="17"/>
              <w:tblW w:w="7643" w:type="dxa"/>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5"/>
              <w:gridCol w:w="705"/>
              <w:gridCol w:w="4020"/>
              <w:gridCol w:w="915"/>
              <w:gridCol w:w="1288"/>
            </w:tblGrid>
            <w:tr w14:paraId="160C0A6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467" w:type="pct"/>
                  <w:tcBorders>
                    <w:tl2br w:val="nil"/>
                    <w:tr2bl w:val="nil"/>
                  </w:tcBorders>
                  <w:vAlign w:val="center"/>
                </w:tcPr>
                <w:p w14:paraId="2282F8BD">
                  <w:pPr>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时段</w:t>
                  </w:r>
                </w:p>
              </w:tc>
              <w:tc>
                <w:tcPr>
                  <w:tcW w:w="461" w:type="pct"/>
                  <w:tcBorders>
                    <w:tl2br w:val="nil"/>
                    <w:tr2bl w:val="nil"/>
                  </w:tcBorders>
                  <w:vAlign w:val="center"/>
                </w:tcPr>
                <w:p w14:paraId="7DC71777">
                  <w:pPr>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监测内容</w:t>
                  </w:r>
                </w:p>
              </w:tc>
              <w:tc>
                <w:tcPr>
                  <w:tcW w:w="2629" w:type="pct"/>
                  <w:tcBorders>
                    <w:tl2br w:val="nil"/>
                    <w:tr2bl w:val="nil"/>
                  </w:tcBorders>
                  <w:vAlign w:val="center"/>
                </w:tcPr>
                <w:p w14:paraId="7AB68C23">
                  <w:pPr>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监测因子</w:t>
                  </w:r>
                </w:p>
              </w:tc>
              <w:tc>
                <w:tcPr>
                  <w:tcW w:w="598" w:type="pct"/>
                  <w:tcBorders>
                    <w:tl2br w:val="nil"/>
                    <w:tr2bl w:val="nil"/>
                  </w:tcBorders>
                  <w:vAlign w:val="center"/>
                </w:tcPr>
                <w:p w14:paraId="4D7FA380">
                  <w:pPr>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监测点位</w:t>
                  </w:r>
                </w:p>
              </w:tc>
              <w:tc>
                <w:tcPr>
                  <w:tcW w:w="842" w:type="pct"/>
                  <w:tcBorders>
                    <w:tl2br w:val="nil"/>
                    <w:tr2bl w:val="nil"/>
                  </w:tcBorders>
                  <w:vAlign w:val="center"/>
                </w:tcPr>
                <w:p w14:paraId="7A369332">
                  <w:pPr>
                    <w:adjustRightInd w:val="0"/>
                    <w:snapToGri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监测频次</w:t>
                  </w:r>
                </w:p>
              </w:tc>
            </w:tr>
            <w:tr w14:paraId="343268C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467" w:type="pct"/>
                  <w:vMerge w:val="restart"/>
                  <w:tcBorders>
                    <w:tl2br w:val="nil"/>
                    <w:tr2bl w:val="nil"/>
                  </w:tcBorders>
                  <w:vAlign w:val="center"/>
                </w:tcPr>
                <w:p w14:paraId="6FCA8E39">
                  <w:pPr>
                    <w:widowControl/>
                    <w:snapToGri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运营期</w:t>
                  </w:r>
                </w:p>
              </w:tc>
              <w:tc>
                <w:tcPr>
                  <w:tcW w:w="461" w:type="pct"/>
                  <w:vMerge w:val="restart"/>
                  <w:tcBorders>
                    <w:tl2br w:val="nil"/>
                    <w:tr2bl w:val="nil"/>
                  </w:tcBorders>
                  <w:vAlign w:val="center"/>
                </w:tcPr>
                <w:p w14:paraId="13E489FF">
                  <w:pPr>
                    <w:adjustRightInd w:val="0"/>
                    <w:snapToGri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废水</w:t>
                  </w:r>
                </w:p>
              </w:tc>
              <w:tc>
                <w:tcPr>
                  <w:tcW w:w="2629" w:type="pct"/>
                  <w:tcBorders>
                    <w:tl2br w:val="nil"/>
                    <w:tr2bl w:val="nil"/>
                  </w:tcBorders>
                  <w:vAlign w:val="center"/>
                </w:tcPr>
                <w:p w14:paraId="35C71D85">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COD</w:t>
                  </w:r>
                  <w:r>
                    <w:rPr>
                      <w:rFonts w:hint="default" w:ascii="Times New Roman" w:hAnsi="Times New Roman" w:eastAsia="宋体" w:cs="Times New Roman"/>
                      <w:szCs w:val="21"/>
                      <w:highlight w:val="none"/>
                      <w:vertAlign w:val="subscript"/>
                    </w:rPr>
                    <w:t>Cr</w:t>
                  </w:r>
                  <w:r>
                    <w:rPr>
                      <w:rFonts w:hint="default" w:ascii="Times New Roman" w:hAnsi="Times New Roman" w:eastAsia="宋体" w:cs="Times New Roman"/>
                      <w:szCs w:val="21"/>
                      <w:highlight w:val="none"/>
                    </w:rPr>
                    <w:t>、BOD</w:t>
                  </w:r>
                  <w:r>
                    <w:rPr>
                      <w:rFonts w:hint="default" w:ascii="Times New Roman" w:hAnsi="Times New Roman" w:eastAsia="宋体" w:cs="Times New Roman"/>
                      <w:szCs w:val="21"/>
                      <w:highlight w:val="none"/>
                      <w:vertAlign w:val="subscript"/>
                    </w:rPr>
                    <w:t>5</w:t>
                  </w:r>
                  <w:r>
                    <w:rPr>
                      <w:rFonts w:hint="default" w:ascii="Times New Roman" w:hAnsi="Times New Roman" w:eastAsia="宋体" w:cs="Times New Roman"/>
                      <w:szCs w:val="21"/>
                      <w:highlight w:val="none"/>
                    </w:rPr>
                    <w:t>、SS、NH</w:t>
                  </w:r>
                  <w:r>
                    <w:rPr>
                      <w:rFonts w:hint="default" w:ascii="Times New Roman" w:hAnsi="Times New Roman" w:eastAsia="宋体" w:cs="Times New Roman"/>
                      <w:szCs w:val="21"/>
                      <w:highlight w:val="none"/>
                      <w:vertAlign w:val="subscript"/>
                    </w:rPr>
                    <w:t>3</w:t>
                  </w:r>
                  <w:r>
                    <w:rPr>
                      <w:rFonts w:hint="default" w:ascii="Times New Roman" w:hAnsi="Times New Roman" w:eastAsia="宋体" w:cs="Times New Roman"/>
                      <w:szCs w:val="21"/>
                      <w:highlight w:val="none"/>
                    </w:rPr>
                    <w:t>-N</w:t>
                  </w:r>
                </w:p>
              </w:tc>
              <w:tc>
                <w:tcPr>
                  <w:tcW w:w="598" w:type="pct"/>
                  <w:vMerge w:val="restart"/>
                  <w:tcBorders>
                    <w:tl2br w:val="nil"/>
                    <w:tr2bl w:val="nil"/>
                  </w:tcBorders>
                  <w:vAlign w:val="center"/>
                </w:tcPr>
                <w:p w14:paraId="0BB6B45D">
                  <w:pPr>
                    <w:adjustRightInd w:val="0"/>
                    <w:snapToGri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废水总排口</w:t>
                  </w:r>
                </w:p>
              </w:tc>
              <w:tc>
                <w:tcPr>
                  <w:tcW w:w="842" w:type="pct"/>
                  <w:tcBorders>
                    <w:tl2br w:val="nil"/>
                    <w:tr2bl w:val="nil"/>
                  </w:tcBorders>
                  <w:vAlign w:val="center"/>
                </w:tcPr>
                <w:p w14:paraId="5B5B8794">
                  <w:pPr>
                    <w:adjustRightInd w:val="0"/>
                    <w:snapToGri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每季度1次</w:t>
                  </w:r>
                </w:p>
              </w:tc>
            </w:tr>
            <w:tr w14:paraId="345236F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467" w:type="pct"/>
                  <w:vMerge w:val="continue"/>
                  <w:tcBorders>
                    <w:tl2br w:val="nil"/>
                    <w:tr2bl w:val="nil"/>
                  </w:tcBorders>
                  <w:vAlign w:val="center"/>
                </w:tcPr>
                <w:p w14:paraId="5C22CD2A">
                  <w:pPr>
                    <w:widowControl/>
                    <w:snapToGrid w:val="0"/>
                    <w:jc w:val="center"/>
                    <w:rPr>
                      <w:rFonts w:hint="default" w:ascii="Times New Roman" w:hAnsi="Times New Roman" w:eastAsia="宋体" w:cs="Times New Roman"/>
                      <w:bCs/>
                      <w:szCs w:val="21"/>
                      <w:highlight w:val="none"/>
                    </w:rPr>
                  </w:pPr>
                </w:p>
              </w:tc>
              <w:tc>
                <w:tcPr>
                  <w:tcW w:w="461" w:type="pct"/>
                  <w:vMerge w:val="continue"/>
                  <w:tcBorders>
                    <w:tl2br w:val="nil"/>
                    <w:tr2bl w:val="nil"/>
                  </w:tcBorders>
                  <w:vAlign w:val="center"/>
                </w:tcPr>
                <w:p w14:paraId="193B89C1">
                  <w:pPr>
                    <w:adjustRightInd w:val="0"/>
                    <w:snapToGrid w:val="0"/>
                    <w:jc w:val="center"/>
                    <w:rPr>
                      <w:rFonts w:hint="default" w:ascii="Times New Roman" w:hAnsi="Times New Roman" w:eastAsia="宋体" w:cs="Times New Roman"/>
                      <w:bCs/>
                      <w:szCs w:val="21"/>
                      <w:highlight w:val="none"/>
                    </w:rPr>
                  </w:pPr>
                </w:p>
              </w:tc>
              <w:tc>
                <w:tcPr>
                  <w:tcW w:w="2629" w:type="pct"/>
                  <w:tcBorders>
                    <w:tl2br w:val="nil"/>
                    <w:tr2bl w:val="nil"/>
                  </w:tcBorders>
                  <w:vAlign w:val="center"/>
                </w:tcPr>
                <w:p w14:paraId="2195957B">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eastAsia="zh-CN"/>
                    </w:rPr>
                    <w:t>pH</w:t>
                  </w:r>
                  <w:r>
                    <w:rPr>
                      <w:rFonts w:hint="default" w:ascii="Times New Roman" w:hAnsi="Times New Roman" w:eastAsia="宋体" w:cs="Times New Roman"/>
                      <w:szCs w:val="21"/>
                      <w:highlight w:val="none"/>
                    </w:rPr>
                    <w:t>、可溶性固体总量</w:t>
                  </w:r>
                </w:p>
              </w:tc>
              <w:tc>
                <w:tcPr>
                  <w:tcW w:w="598" w:type="pct"/>
                  <w:vMerge w:val="continue"/>
                  <w:tcBorders>
                    <w:tl2br w:val="nil"/>
                    <w:tr2bl w:val="nil"/>
                  </w:tcBorders>
                  <w:vAlign w:val="center"/>
                </w:tcPr>
                <w:p w14:paraId="59981DEF">
                  <w:pPr>
                    <w:adjustRightInd w:val="0"/>
                    <w:snapToGrid w:val="0"/>
                    <w:jc w:val="center"/>
                    <w:rPr>
                      <w:rFonts w:hint="default" w:ascii="Times New Roman" w:hAnsi="Times New Roman" w:eastAsia="宋体" w:cs="Times New Roman"/>
                      <w:bCs/>
                      <w:szCs w:val="21"/>
                      <w:highlight w:val="none"/>
                    </w:rPr>
                  </w:pPr>
                </w:p>
              </w:tc>
              <w:tc>
                <w:tcPr>
                  <w:tcW w:w="842" w:type="pct"/>
                  <w:tcBorders>
                    <w:tl2br w:val="nil"/>
                    <w:tr2bl w:val="nil"/>
                  </w:tcBorders>
                  <w:vAlign w:val="center"/>
                </w:tcPr>
                <w:p w14:paraId="29C4DEB0">
                  <w:pPr>
                    <w:adjustRightInd w:val="0"/>
                    <w:snapToGri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每年1次</w:t>
                  </w:r>
                </w:p>
              </w:tc>
            </w:tr>
          </w:tbl>
          <w:p w14:paraId="68718DFA">
            <w:pPr>
              <w:adjustRightInd w:val="0"/>
              <w:spacing w:line="360" w:lineRule="auto"/>
              <w:ind w:firstLine="380" w:firstLineChars="200"/>
              <w:rPr>
                <w:rFonts w:hint="default" w:ascii="Times New Roman" w:hAnsi="Times New Roman" w:eastAsia="宋体" w:cs="Times New Roman"/>
                <w:sz w:val="24"/>
                <w:highlight w:val="none"/>
                <w:lang w:val="zh-CN"/>
              </w:rPr>
            </w:pPr>
            <w:r>
              <w:rPr>
                <w:rFonts w:hint="default" w:ascii="Times New Roman" w:hAnsi="Times New Roman" w:eastAsia="宋体" w:cs="Times New Roman"/>
                <w:bCs/>
                <w:spacing w:val="-10"/>
                <w:szCs w:val="21"/>
                <w:highlight w:val="none"/>
              </w:rPr>
              <w:t>（注：</w:t>
            </w:r>
            <w:r>
              <w:rPr>
                <w:rFonts w:hint="default" w:ascii="Times New Roman" w:hAnsi="Times New Roman" w:eastAsia="宋体" w:cs="Times New Roman"/>
                <w:bCs/>
                <w:szCs w:val="21"/>
                <w:highlight w:val="none"/>
              </w:rPr>
              <w:t>废水监测计划参照《</w:t>
            </w:r>
            <w:r>
              <w:rPr>
                <w:rFonts w:hint="default" w:ascii="Times New Roman" w:hAnsi="Times New Roman" w:eastAsia="宋体" w:cs="Times New Roman"/>
                <w:bCs/>
                <w:szCs w:val="21"/>
                <w:highlight w:val="none"/>
                <w:lang w:val="ru-RU"/>
              </w:rPr>
              <w:t>排污单位自行监测技术指南 总则</w:t>
            </w:r>
            <w:r>
              <w:rPr>
                <w:rFonts w:hint="default" w:ascii="Times New Roman" w:hAnsi="Times New Roman" w:eastAsia="宋体" w:cs="Times New Roman"/>
                <w:bCs/>
                <w:szCs w:val="21"/>
                <w:highlight w:val="none"/>
              </w:rPr>
              <w:t>》（HJ819-2017）</w:t>
            </w:r>
            <w:r>
              <w:rPr>
                <w:rFonts w:hint="default" w:ascii="Times New Roman" w:hAnsi="Times New Roman" w:eastAsia="宋体" w:cs="Times New Roman"/>
                <w:bCs/>
                <w:spacing w:val="-10"/>
                <w:szCs w:val="21"/>
                <w:highlight w:val="none"/>
              </w:rPr>
              <w:t>）</w:t>
            </w:r>
          </w:p>
          <w:p w14:paraId="4BE7B8D8">
            <w:pPr>
              <w:numPr>
                <w:ilvl w:val="0"/>
                <w:numId w:val="46"/>
              </w:numPr>
              <w:adjustRightInd w:val="0"/>
              <w:snapToGrid w:val="0"/>
              <w:spacing w:line="360" w:lineRule="auto"/>
              <w:rPr>
                <w:rFonts w:hint="default" w:ascii="Times New Roman" w:hAnsi="Times New Roman" w:eastAsia="宋体" w:cs="Times New Roman"/>
                <w:b/>
                <w:bCs/>
                <w:spacing w:val="-10"/>
                <w:sz w:val="24"/>
                <w:highlight w:val="none"/>
              </w:rPr>
            </w:pPr>
            <w:r>
              <w:rPr>
                <w:rFonts w:hint="default" w:ascii="Times New Roman" w:hAnsi="Times New Roman" w:eastAsia="宋体" w:cs="Times New Roman"/>
                <w:b/>
                <w:bCs/>
                <w:spacing w:val="-10"/>
                <w:sz w:val="24"/>
                <w:highlight w:val="none"/>
              </w:rPr>
              <w:t>声环境影响分析及环境保护措施</w:t>
            </w:r>
          </w:p>
          <w:p w14:paraId="68B90EC1">
            <w:pPr>
              <w:adjustRightIn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（1）噪声源强</w:t>
            </w:r>
          </w:p>
          <w:p w14:paraId="0832F1B2">
            <w:pPr>
              <w:adjustRightInd w:val="0"/>
              <w:spacing w:line="360" w:lineRule="auto"/>
              <w:ind w:firstLine="480" w:firstLineChars="200"/>
              <w:rPr>
                <w:rFonts w:hint="default" w:ascii="Times New Roman" w:hAnsi="Times New Roman" w:eastAsia="宋体" w:cs="Times New Roman"/>
                <w:sz w:val="24"/>
                <w:highlight w:val="none"/>
                <w:lang w:val="zh-CN"/>
              </w:rPr>
            </w:pPr>
            <w:r>
              <w:rPr>
                <w:rFonts w:hint="default" w:ascii="Times New Roman" w:hAnsi="Times New Roman" w:eastAsia="宋体" w:cs="Times New Roman"/>
                <w:sz w:val="24"/>
                <w:highlight w:val="none"/>
                <w:lang w:val="en-US" w:eastAsia="zh-CN"/>
              </w:rPr>
              <w:t>本项目主要噪声源为实验设备、废气治理设施、新风系统、空气干燥系统、冷水系统等。废气治理设施、冷水系统的冷凝器布置在楼顶，距离地面高20m，其他噪声源均在室内，产噪情况详见下表。</w:t>
            </w:r>
          </w:p>
          <w:p w14:paraId="0C2B513F">
            <w:pPr>
              <w:numPr>
                <w:ilvl w:val="0"/>
                <w:numId w:val="48"/>
              </w:numPr>
              <w:adjustRightInd w:val="0"/>
              <w:spacing w:line="360" w:lineRule="auto"/>
              <w:ind w:left="425" w:leftChars="0" w:hanging="425" w:firstLineChars="0"/>
              <w:jc w:val="center"/>
              <w:rPr>
                <w:rFonts w:hint="default" w:ascii="Times New Roman" w:hAnsi="Times New Roman" w:eastAsia="宋体" w:cs="Times New Roman"/>
                <w:b/>
                <w:color w:val="auto"/>
                <w:kern w:val="0"/>
                <w:sz w:val="24"/>
                <w:highlight w:val="none"/>
              </w:rPr>
            </w:pPr>
            <w:r>
              <w:rPr>
                <w:rFonts w:hint="default" w:ascii="Times New Roman" w:hAnsi="Times New Roman" w:eastAsia="宋体" w:cs="Times New Roman"/>
                <w:b/>
                <w:color w:val="auto"/>
                <w:sz w:val="24"/>
                <w:highlight w:val="none"/>
              </w:rPr>
              <w:t>本项目噪声源强调查清单（室外声源）</w:t>
            </w:r>
          </w:p>
          <w:tbl>
            <w:tblPr>
              <w:tblStyle w:val="18"/>
              <w:tblW w:w="7518" w:type="dxa"/>
              <w:tblInd w:w="5"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87"/>
              <w:gridCol w:w="1358"/>
              <w:gridCol w:w="720"/>
              <w:gridCol w:w="807"/>
              <w:gridCol w:w="709"/>
              <w:gridCol w:w="960"/>
              <w:gridCol w:w="840"/>
              <w:gridCol w:w="927"/>
              <w:gridCol w:w="710"/>
            </w:tblGrid>
            <w:tr w14:paraId="67F0BB4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7" w:hRule="atLeast"/>
              </w:trPr>
              <w:tc>
                <w:tcPr>
                  <w:tcW w:w="487" w:type="dxa"/>
                  <w:vMerge w:val="restart"/>
                  <w:tcBorders>
                    <w:tl2br w:val="nil"/>
                    <w:tr2bl w:val="nil"/>
                  </w:tcBorders>
                  <w:vAlign w:val="center"/>
                </w:tcPr>
                <w:p w14:paraId="699740BB">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1358" w:type="dxa"/>
                  <w:vMerge w:val="restart"/>
                  <w:tcBorders>
                    <w:tl2br w:val="nil"/>
                    <w:tr2bl w:val="nil"/>
                  </w:tcBorders>
                  <w:vAlign w:val="center"/>
                </w:tcPr>
                <w:p w14:paraId="7B3B815C">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声源名称</w:t>
                  </w:r>
                </w:p>
              </w:tc>
              <w:tc>
                <w:tcPr>
                  <w:tcW w:w="2236" w:type="dxa"/>
                  <w:gridSpan w:val="3"/>
                  <w:tcBorders>
                    <w:tl2br w:val="nil"/>
                    <w:tr2bl w:val="nil"/>
                  </w:tcBorders>
                  <w:vAlign w:val="center"/>
                </w:tcPr>
                <w:p w14:paraId="3722948C">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空间相对位置/m</w:t>
                  </w:r>
                </w:p>
              </w:tc>
              <w:tc>
                <w:tcPr>
                  <w:tcW w:w="960" w:type="dxa"/>
                  <w:vMerge w:val="restart"/>
                  <w:tcBorders>
                    <w:tl2br w:val="nil"/>
                    <w:tr2bl w:val="nil"/>
                  </w:tcBorders>
                  <w:vAlign w:val="center"/>
                </w:tcPr>
                <w:p w14:paraId="7C2C0732">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声功率级/dB(A)</w:t>
                  </w:r>
                </w:p>
              </w:tc>
              <w:tc>
                <w:tcPr>
                  <w:tcW w:w="840" w:type="dxa"/>
                  <w:vMerge w:val="restart"/>
                  <w:tcBorders>
                    <w:tl2br w:val="nil"/>
                    <w:tr2bl w:val="nil"/>
                  </w:tcBorders>
                  <w:vAlign w:val="center"/>
                </w:tcPr>
                <w:p w14:paraId="29EE943C">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声源控制措施</w:t>
                  </w:r>
                </w:p>
              </w:tc>
              <w:tc>
                <w:tcPr>
                  <w:tcW w:w="927" w:type="dxa"/>
                  <w:vMerge w:val="restart"/>
                  <w:tcBorders>
                    <w:tl2br w:val="nil"/>
                    <w:tr2bl w:val="nil"/>
                  </w:tcBorders>
                  <w:vAlign w:val="center"/>
                </w:tcPr>
                <w:p w14:paraId="6AB5D121">
                  <w:pPr>
                    <w:adjustRightInd w:val="0"/>
                    <w:snapToGrid w:val="0"/>
                    <w:jc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排放强度</w:t>
                  </w:r>
                  <w:r>
                    <w:rPr>
                      <w:rFonts w:hint="default" w:ascii="Times New Roman" w:hAnsi="Times New Roman" w:eastAsia="宋体" w:cs="Times New Roman"/>
                      <w:b/>
                      <w:bCs/>
                      <w:color w:val="auto"/>
                      <w:szCs w:val="21"/>
                      <w:highlight w:val="none"/>
                    </w:rPr>
                    <w:t>/dB(A)</w:t>
                  </w:r>
                </w:p>
              </w:tc>
              <w:tc>
                <w:tcPr>
                  <w:tcW w:w="710" w:type="dxa"/>
                  <w:vMerge w:val="restart"/>
                  <w:tcBorders>
                    <w:tl2br w:val="nil"/>
                    <w:tr2bl w:val="nil"/>
                  </w:tcBorders>
                  <w:shd w:val="clear" w:color="auto" w:fill="auto"/>
                  <w:vAlign w:val="center"/>
                </w:tcPr>
                <w:p w14:paraId="305564B0">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运行时段</w:t>
                  </w:r>
                </w:p>
              </w:tc>
            </w:tr>
            <w:tr w14:paraId="6442E46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7" w:hRule="atLeast"/>
              </w:trPr>
              <w:tc>
                <w:tcPr>
                  <w:tcW w:w="487" w:type="dxa"/>
                  <w:vMerge w:val="continue"/>
                  <w:tcBorders>
                    <w:tl2br w:val="nil"/>
                    <w:tr2bl w:val="nil"/>
                  </w:tcBorders>
                  <w:vAlign w:val="center"/>
                </w:tcPr>
                <w:p w14:paraId="151F251C">
                  <w:pPr>
                    <w:adjustRightInd w:val="0"/>
                    <w:snapToGrid w:val="0"/>
                    <w:jc w:val="center"/>
                    <w:rPr>
                      <w:rFonts w:hint="default" w:ascii="Times New Roman" w:hAnsi="Times New Roman" w:eastAsia="宋体" w:cs="Times New Roman"/>
                      <w:b/>
                      <w:bCs/>
                      <w:color w:val="auto"/>
                      <w:szCs w:val="21"/>
                      <w:highlight w:val="none"/>
                    </w:rPr>
                  </w:pPr>
                </w:p>
              </w:tc>
              <w:tc>
                <w:tcPr>
                  <w:tcW w:w="1358" w:type="dxa"/>
                  <w:vMerge w:val="continue"/>
                  <w:tcBorders>
                    <w:tl2br w:val="nil"/>
                    <w:tr2bl w:val="nil"/>
                  </w:tcBorders>
                  <w:vAlign w:val="center"/>
                </w:tcPr>
                <w:p w14:paraId="421036B3">
                  <w:pPr>
                    <w:adjustRightInd w:val="0"/>
                    <w:snapToGrid w:val="0"/>
                    <w:jc w:val="center"/>
                    <w:rPr>
                      <w:rFonts w:hint="default" w:ascii="Times New Roman" w:hAnsi="Times New Roman" w:eastAsia="宋体" w:cs="Times New Roman"/>
                      <w:b/>
                      <w:bCs/>
                      <w:color w:val="auto"/>
                      <w:szCs w:val="21"/>
                      <w:highlight w:val="none"/>
                    </w:rPr>
                  </w:pPr>
                </w:p>
              </w:tc>
              <w:tc>
                <w:tcPr>
                  <w:tcW w:w="720" w:type="dxa"/>
                  <w:tcBorders>
                    <w:tl2br w:val="nil"/>
                    <w:tr2bl w:val="nil"/>
                  </w:tcBorders>
                  <w:vAlign w:val="center"/>
                </w:tcPr>
                <w:p w14:paraId="3F4FFCFE">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X</w:t>
                  </w:r>
                </w:p>
              </w:tc>
              <w:tc>
                <w:tcPr>
                  <w:tcW w:w="807" w:type="dxa"/>
                  <w:tcBorders>
                    <w:tl2br w:val="nil"/>
                    <w:tr2bl w:val="nil"/>
                  </w:tcBorders>
                  <w:vAlign w:val="center"/>
                </w:tcPr>
                <w:p w14:paraId="6DE1D877">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Y</w:t>
                  </w:r>
                </w:p>
              </w:tc>
              <w:tc>
                <w:tcPr>
                  <w:tcW w:w="709" w:type="dxa"/>
                  <w:tcBorders>
                    <w:tl2br w:val="nil"/>
                    <w:tr2bl w:val="nil"/>
                  </w:tcBorders>
                  <w:vAlign w:val="center"/>
                </w:tcPr>
                <w:p w14:paraId="39AB8EBD">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Z</w:t>
                  </w:r>
                </w:p>
              </w:tc>
              <w:tc>
                <w:tcPr>
                  <w:tcW w:w="960" w:type="dxa"/>
                  <w:vMerge w:val="continue"/>
                  <w:tcBorders>
                    <w:tl2br w:val="nil"/>
                    <w:tr2bl w:val="nil"/>
                  </w:tcBorders>
                  <w:vAlign w:val="center"/>
                </w:tcPr>
                <w:p w14:paraId="25F9DA04">
                  <w:pPr>
                    <w:adjustRightInd w:val="0"/>
                    <w:snapToGrid w:val="0"/>
                    <w:jc w:val="center"/>
                    <w:rPr>
                      <w:rFonts w:hint="default" w:ascii="Times New Roman" w:hAnsi="Times New Roman" w:eastAsia="宋体" w:cs="Times New Roman"/>
                      <w:b/>
                      <w:bCs/>
                      <w:color w:val="auto"/>
                      <w:szCs w:val="21"/>
                      <w:highlight w:val="none"/>
                    </w:rPr>
                  </w:pPr>
                </w:p>
              </w:tc>
              <w:tc>
                <w:tcPr>
                  <w:tcW w:w="840" w:type="dxa"/>
                  <w:vMerge w:val="continue"/>
                  <w:tcBorders>
                    <w:tl2br w:val="nil"/>
                    <w:tr2bl w:val="nil"/>
                  </w:tcBorders>
                  <w:vAlign w:val="center"/>
                </w:tcPr>
                <w:p w14:paraId="02212153">
                  <w:pPr>
                    <w:adjustRightInd w:val="0"/>
                    <w:snapToGrid w:val="0"/>
                    <w:jc w:val="center"/>
                    <w:rPr>
                      <w:rFonts w:hint="default" w:ascii="Times New Roman" w:hAnsi="Times New Roman" w:eastAsia="宋体" w:cs="Times New Roman"/>
                      <w:b/>
                      <w:bCs/>
                      <w:color w:val="auto"/>
                      <w:szCs w:val="21"/>
                      <w:highlight w:val="none"/>
                    </w:rPr>
                  </w:pPr>
                </w:p>
              </w:tc>
              <w:tc>
                <w:tcPr>
                  <w:tcW w:w="927" w:type="dxa"/>
                  <w:vMerge w:val="continue"/>
                  <w:tcBorders>
                    <w:tl2br w:val="nil"/>
                    <w:tr2bl w:val="nil"/>
                  </w:tcBorders>
                  <w:vAlign w:val="center"/>
                </w:tcPr>
                <w:p w14:paraId="6DC235D0">
                  <w:pPr>
                    <w:adjustRightInd w:val="0"/>
                    <w:snapToGrid w:val="0"/>
                    <w:jc w:val="center"/>
                    <w:rPr>
                      <w:rFonts w:hint="default" w:ascii="Times New Roman" w:hAnsi="Times New Roman" w:eastAsia="宋体" w:cs="Times New Roman"/>
                      <w:b/>
                      <w:bCs/>
                      <w:color w:val="auto"/>
                      <w:szCs w:val="21"/>
                      <w:highlight w:val="none"/>
                    </w:rPr>
                  </w:pPr>
                </w:p>
              </w:tc>
              <w:tc>
                <w:tcPr>
                  <w:tcW w:w="710" w:type="dxa"/>
                  <w:vMerge w:val="continue"/>
                  <w:tcBorders>
                    <w:tl2br w:val="nil"/>
                    <w:tr2bl w:val="nil"/>
                  </w:tcBorders>
                  <w:vAlign w:val="center"/>
                </w:tcPr>
                <w:p w14:paraId="230C1F91">
                  <w:pPr>
                    <w:adjustRightInd w:val="0"/>
                    <w:snapToGrid w:val="0"/>
                    <w:jc w:val="center"/>
                    <w:rPr>
                      <w:rFonts w:hint="default" w:ascii="Times New Roman" w:hAnsi="Times New Roman" w:eastAsia="宋体" w:cs="Times New Roman"/>
                      <w:b/>
                      <w:bCs/>
                      <w:color w:val="auto"/>
                      <w:szCs w:val="21"/>
                      <w:highlight w:val="none"/>
                    </w:rPr>
                  </w:pPr>
                </w:p>
              </w:tc>
            </w:tr>
            <w:tr w14:paraId="2198CA5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7" w:hRule="atLeast"/>
              </w:trPr>
              <w:tc>
                <w:tcPr>
                  <w:tcW w:w="487" w:type="dxa"/>
                  <w:tcBorders>
                    <w:tl2br w:val="nil"/>
                    <w:tr2bl w:val="nil"/>
                  </w:tcBorders>
                  <w:vAlign w:val="center"/>
                </w:tcPr>
                <w:p w14:paraId="7DB37CB1">
                  <w:pPr>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w:t>
                  </w:r>
                </w:p>
              </w:tc>
              <w:tc>
                <w:tcPr>
                  <w:tcW w:w="1358" w:type="dxa"/>
                  <w:tcBorders>
                    <w:tl2br w:val="nil"/>
                    <w:tr2bl w:val="nil"/>
                  </w:tcBorders>
                  <w:shd w:val="clear" w:color="auto" w:fill="FFFFFF"/>
                  <w:vAlign w:val="center"/>
                </w:tcPr>
                <w:p w14:paraId="52C3F21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DA001废气处理设施风机</w:t>
                  </w:r>
                </w:p>
                <w:p w14:paraId="4627BC9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w:t>
                  </w:r>
                  <w:r>
                    <w:rPr>
                      <w:rFonts w:hint="eastAsia" w:ascii="Times New Roman" w:hAnsi="Times New Roman" w:eastAsia="宋体" w:cs="Times New Roman"/>
                      <w:b w:val="0"/>
                      <w:bCs w:val="0"/>
                      <w:color w:val="auto"/>
                      <w:szCs w:val="21"/>
                      <w:highlight w:val="none"/>
                      <w:lang w:val="en-US" w:eastAsia="zh-CN"/>
                    </w:rPr>
                    <w:t>2</w:t>
                  </w:r>
                  <w:r>
                    <w:rPr>
                      <w:rFonts w:hint="default" w:ascii="Times New Roman" w:hAnsi="Times New Roman" w:eastAsia="宋体" w:cs="Times New Roman"/>
                      <w:b w:val="0"/>
                      <w:bCs w:val="0"/>
                      <w:color w:val="auto"/>
                      <w:szCs w:val="21"/>
                      <w:highlight w:val="none"/>
                      <w:lang w:val="en-US" w:eastAsia="zh-CN"/>
                    </w:rPr>
                    <w:t>000m3/h）</w:t>
                  </w:r>
                </w:p>
              </w:tc>
              <w:tc>
                <w:tcPr>
                  <w:tcW w:w="720" w:type="dxa"/>
                  <w:tcBorders>
                    <w:tl2br w:val="nil"/>
                    <w:tr2bl w:val="nil"/>
                  </w:tcBorders>
                  <w:shd w:val="clear" w:color="auto" w:fill="FFFFFF"/>
                  <w:vAlign w:val="center"/>
                </w:tcPr>
                <w:p w14:paraId="2CD941D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16.5</w:t>
                  </w:r>
                </w:p>
              </w:tc>
              <w:tc>
                <w:tcPr>
                  <w:tcW w:w="807" w:type="dxa"/>
                  <w:tcBorders>
                    <w:tl2br w:val="nil"/>
                    <w:tr2bl w:val="nil"/>
                  </w:tcBorders>
                  <w:shd w:val="clear" w:color="auto" w:fill="FFFFFF"/>
                  <w:vAlign w:val="center"/>
                </w:tcPr>
                <w:p w14:paraId="228DBFD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15.4</w:t>
                  </w:r>
                </w:p>
              </w:tc>
              <w:tc>
                <w:tcPr>
                  <w:tcW w:w="709" w:type="dxa"/>
                  <w:tcBorders>
                    <w:tl2br w:val="nil"/>
                    <w:tr2bl w:val="nil"/>
                  </w:tcBorders>
                  <w:shd w:val="clear" w:color="auto" w:fill="FFFFFF"/>
                  <w:vAlign w:val="center"/>
                </w:tcPr>
                <w:p w14:paraId="18C143F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960" w:type="dxa"/>
                  <w:tcBorders>
                    <w:tl2br w:val="nil"/>
                    <w:tr2bl w:val="nil"/>
                  </w:tcBorders>
                  <w:shd w:val="clear" w:color="auto" w:fill="auto"/>
                  <w:vAlign w:val="center"/>
                </w:tcPr>
                <w:p w14:paraId="29ABE75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75</w:t>
                  </w:r>
                </w:p>
              </w:tc>
              <w:tc>
                <w:tcPr>
                  <w:tcW w:w="840" w:type="dxa"/>
                  <w:vMerge w:val="restart"/>
                  <w:tcBorders>
                    <w:tl2br w:val="nil"/>
                    <w:tr2bl w:val="nil"/>
                  </w:tcBorders>
                  <w:vAlign w:val="center"/>
                </w:tcPr>
                <w:p w14:paraId="691A1FC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选用低噪声设备、减振等措施</w:t>
                  </w:r>
                </w:p>
              </w:tc>
              <w:tc>
                <w:tcPr>
                  <w:tcW w:w="927" w:type="dxa"/>
                  <w:tcBorders>
                    <w:tl2br w:val="nil"/>
                    <w:tr2bl w:val="nil"/>
                  </w:tcBorders>
                  <w:vAlign w:val="center"/>
                </w:tcPr>
                <w:p w14:paraId="1F4C32B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710" w:type="dxa"/>
                  <w:tcBorders>
                    <w:tl2br w:val="nil"/>
                    <w:tr2bl w:val="nil"/>
                  </w:tcBorders>
                  <w:vAlign w:val="center"/>
                </w:tcPr>
                <w:p w14:paraId="0F4F8BA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昼夜</w:t>
                  </w:r>
                </w:p>
                <w:p w14:paraId="18B1348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运行</w:t>
                  </w:r>
                </w:p>
              </w:tc>
            </w:tr>
            <w:tr w14:paraId="2B2FED6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7" w:hRule="atLeast"/>
              </w:trPr>
              <w:tc>
                <w:tcPr>
                  <w:tcW w:w="487" w:type="dxa"/>
                  <w:tcBorders>
                    <w:tl2br w:val="nil"/>
                    <w:tr2bl w:val="nil"/>
                  </w:tcBorders>
                  <w:vAlign w:val="center"/>
                </w:tcPr>
                <w:p w14:paraId="4D059AC5">
                  <w:pPr>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w:t>
                  </w:r>
                </w:p>
              </w:tc>
              <w:tc>
                <w:tcPr>
                  <w:tcW w:w="1358" w:type="dxa"/>
                  <w:tcBorders>
                    <w:tl2br w:val="nil"/>
                    <w:tr2bl w:val="nil"/>
                  </w:tcBorders>
                  <w:shd w:val="clear" w:color="auto" w:fill="FFFFFF"/>
                  <w:vAlign w:val="center"/>
                </w:tcPr>
                <w:p w14:paraId="5F816C7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DA002废气处理设施风机</w:t>
                  </w:r>
                </w:p>
                <w:p w14:paraId="3FF12EB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w:t>
                  </w:r>
                  <w:r>
                    <w:rPr>
                      <w:rFonts w:hint="eastAsia" w:ascii="Times New Roman" w:hAnsi="Times New Roman" w:eastAsia="宋体" w:cs="Times New Roman"/>
                      <w:b w:val="0"/>
                      <w:bCs w:val="0"/>
                      <w:color w:val="auto"/>
                      <w:szCs w:val="21"/>
                      <w:highlight w:val="none"/>
                      <w:lang w:val="en-US" w:eastAsia="zh-CN"/>
                    </w:rPr>
                    <w:t>5</w:t>
                  </w:r>
                  <w:r>
                    <w:rPr>
                      <w:rFonts w:hint="default" w:ascii="Times New Roman" w:hAnsi="Times New Roman" w:eastAsia="宋体" w:cs="Times New Roman"/>
                      <w:b w:val="0"/>
                      <w:bCs w:val="0"/>
                      <w:color w:val="auto"/>
                      <w:szCs w:val="21"/>
                      <w:highlight w:val="none"/>
                      <w:lang w:val="en-US" w:eastAsia="zh-CN"/>
                    </w:rPr>
                    <w:t>000m3/h）</w:t>
                  </w:r>
                </w:p>
              </w:tc>
              <w:tc>
                <w:tcPr>
                  <w:tcW w:w="720" w:type="dxa"/>
                  <w:tcBorders>
                    <w:tl2br w:val="nil"/>
                    <w:tr2bl w:val="nil"/>
                  </w:tcBorders>
                  <w:shd w:val="clear" w:color="auto" w:fill="FFFFFF"/>
                  <w:vAlign w:val="center"/>
                </w:tcPr>
                <w:p w14:paraId="4E42C0B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20.7</w:t>
                  </w:r>
                </w:p>
              </w:tc>
              <w:tc>
                <w:tcPr>
                  <w:tcW w:w="807" w:type="dxa"/>
                  <w:tcBorders>
                    <w:tl2br w:val="nil"/>
                    <w:tr2bl w:val="nil"/>
                  </w:tcBorders>
                  <w:shd w:val="clear" w:color="auto" w:fill="FFFFFF"/>
                  <w:vAlign w:val="center"/>
                </w:tcPr>
                <w:p w14:paraId="152AFD6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10</w:t>
                  </w:r>
                </w:p>
              </w:tc>
              <w:tc>
                <w:tcPr>
                  <w:tcW w:w="709" w:type="dxa"/>
                  <w:tcBorders>
                    <w:tl2br w:val="nil"/>
                    <w:tr2bl w:val="nil"/>
                  </w:tcBorders>
                  <w:shd w:val="clear" w:color="auto" w:fill="FFFFFF"/>
                  <w:vAlign w:val="center"/>
                </w:tcPr>
                <w:p w14:paraId="50F0B71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960" w:type="dxa"/>
                  <w:tcBorders>
                    <w:tl2br w:val="nil"/>
                    <w:tr2bl w:val="nil"/>
                  </w:tcBorders>
                  <w:shd w:val="clear" w:color="auto" w:fill="auto"/>
                  <w:vAlign w:val="center"/>
                </w:tcPr>
                <w:p w14:paraId="1EA8051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75</w:t>
                  </w:r>
                </w:p>
              </w:tc>
              <w:tc>
                <w:tcPr>
                  <w:tcW w:w="840" w:type="dxa"/>
                  <w:vMerge w:val="continue"/>
                  <w:tcBorders>
                    <w:tl2br w:val="nil"/>
                    <w:tr2bl w:val="nil"/>
                  </w:tcBorders>
                  <w:vAlign w:val="center"/>
                </w:tcPr>
                <w:p w14:paraId="7C8204F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927" w:type="dxa"/>
                  <w:tcBorders>
                    <w:tl2br w:val="nil"/>
                    <w:tr2bl w:val="nil"/>
                  </w:tcBorders>
                  <w:vAlign w:val="center"/>
                </w:tcPr>
                <w:p w14:paraId="48C442B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710" w:type="dxa"/>
                  <w:vMerge w:val="restart"/>
                  <w:tcBorders>
                    <w:tl2br w:val="nil"/>
                    <w:tr2bl w:val="nil"/>
                  </w:tcBorders>
                  <w:vAlign w:val="center"/>
                </w:tcPr>
                <w:p w14:paraId="64ED6E7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昼间</w:t>
                  </w:r>
                </w:p>
                <w:p w14:paraId="16380E1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运行</w:t>
                  </w:r>
                </w:p>
              </w:tc>
            </w:tr>
            <w:tr w14:paraId="0A0460D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7" w:hRule="atLeast"/>
              </w:trPr>
              <w:tc>
                <w:tcPr>
                  <w:tcW w:w="487" w:type="dxa"/>
                  <w:tcBorders>
                    <w:tl2br w:val="nil"/>
                    <w:tr2bl w:val="nil"/>
                  </w:tcBorders>
                  <w:vAlign w:val="center"/>
                </w:tcPr>
                <w:p w14:paraId="4F53C0B6">
                  <w:pPr>
                    <w:jc w:val="center"/>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3</w:t>
                  </w:r>
                </w:p>
              </w:tc>
              <w:tc>
                <w:tcPr>
                  <w:tcW w:w="1358" w:type="dxa"/>
                  <w:tcBorders>
                    <w:tl2br w:val="nil"/>
                    <w:tr2bl w:val="nil"/>
                  </w:tcBorders>
                  <w:shd w:val="clear" w:color="auto" w:fill="FFFFFF"/>
                  <w:vAlign w:val="center"/>
                </w:tcPr>
                <w:p w14:paraId="611C593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DA00</w:t>
                  </w:r>
                  <w:r>
                    <w:rPr>
                      <w:rFonts w:hint="eastAsia" w:ascii="Times New Roman" w:hAnsi="Times New Roman" w:eastAsia="宋体" w:cs="Times New Roman"/>
                      <w:b w:val="0"/>
                      <w:bCs w:val="0"/>
                      <w:color w:val="auto"/>
                      <w:szCs w:val="21"/>
                      <w:highlight w:val="none"/>
                      <w:lang w:val="en-US" w:eastAsia="zh-CN"/>
                    </w:rPr>
                    <w:t>3</w:t>
                  </w:r>
                  <w:r>
                    <w:rPr>
                      <w:rFonts w:hint="default" w:ascii="Times New Roman" w:hAnsi="Times New Roman" w:eastAsia="宋体" w:cs="Times New Roman"/>
                      <w:b w:val="0"/>
                      <w:bCs w:val="0"/>
                      <w:color w:val="auto"/>
                      <w:szCs w:val="21"/>
                      <w:highlight w:val="none"/>
                      <w:lang w:val="en-US" w:eastAsia="zh-CN"/>
                    </w:rPr>
                    <w:t>废气处理设施风机</w:t>
                  </w:r>
                </w:p>
                <w:p w14:paraId="096E310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w:t>
                  </w:r>
                  <w:r>
                    <w:rPr>
                      <w:rFonts w:hint="eastAsia" w:ascii="Times New Roman" w:hAnsi="Times New Roman" w:eastAsia="宋体" w:cs="Times New Roman"/>
                      <w:b w:val="0"/>
                      <w:bCs w:val="0"/>
                      <w:color w:val="auto"/>
                      <w:szCs w:val="21"/>
                      <w:highlight w:val="none"/>
                      <w:lang w:val="en-US" w:eastAsia="zh-CN"/>
                    </w:rPr>
                    <w:t>2</w:t>
                  </w:r>
                  <w:r>
                    <w:rPr>
                      <w:rFonts w:hint="default" w:ascii="Times New Roman" w:hAnsi="Times New Roman" w:eastAsia="宋体" w:cs="Times New Roman"/>
                      <w:b w:val="0"/>
                      <w:bCs w:val="0"/>
                      <w:color w:val="auto"/>
                      <w:szCs w:val="21"/>
                      <w:highlight w:val="none"/>
                      <w:lang w:val="en-US" w:eastAsia="zh-CN"/>
                    </w:rPr>
                    <w:t>000m3/h）</w:t>
                  </w:r>
                </w:p>
              </w:tc>
              <w:tc>
                <w:tcPr>
                  <w:tcW w:w="720" w:type="dxa"/>
                  <w:tcBorders>
                    <w:tl2br w:val="nil"/>
                    <w:tr2bl w:val="nil"/>
                  </w:tcBorders>
                  <w:shd w:val="clear" w:color="auto" w:fill="FFFFFF"/>
                  <w:vAlign w:val="center"/>
                </w:tcPr>
                <w:p w14:paraId="3A28D3B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807" w:type="dxa"/>
                  <w:tcBorders>
                    <w:tl2br w:val="nil"/>
                    <w:tr2bl w:val="nil"/>
                  </w:tcBorders>
                  <w:shd w:val="clear" w:color="auto" w:fill="FFFFFF"/>
                  <w:vAlign w:val="center"/>
                </w:tcPr>
                <w:p w14:paraId="63465EA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18.6</w:t>
                  </w:r>
                </w:p>
              </w:tc>
              <w:tc>
                <w:tcPr>
                  <w:tcW w:w="709" w:type="dxa"/>
                  <w:tcBorders>
                    <w:tl2br w:val="nil"/>
                    <w:tr2bl w:val="nil"/>
                  </w:tcBorders>
                  <w:shd w:val="clear" w:color="auto" w:fill="FFFFFF"/>
                  <w:vAlign w:val="center"/>
                </w:tcPr>
                <w:p w14:paraId="516F587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960" w:type="dxa"/>
                  <w:tcBorders>
                    <w:tl2br w:val="nil"/>
                    <w:tr2bl w:val="nil"/>
                  </w:tcBorders>
                  <w:shd w:val="clear" w:color="auto" w:fill="auto"/>
                  <w:vAlign w:val="center"/>
                </w:tcPr>
                <w:p w14:paraId="7D3420D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75</w:t>
                  </w:r>
                </w:p>
              </w:tc>
              <w:tc>
                <w:tcPr>
                  <w:tcW w:w="840" w:type="dxa"/>
                  <w:vMerge w:val="continue"/>
                  <w:tcBorders>
                    <w:tl2br w:val="nil"/>
                    <w:tr2bl w:val="nil"/>
                  </w:tcBorders>
                  <w:vAlign w:val="center"/>
                </w:tcPr>
                <w:p w14:paraId="4F3CB7D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927" w:type="dxa"/>
                  <w:tcBorders>
                    <w:tl2br w:val="nil"/>
                    <w:tr2bl w:val="nil"/>
                  </w:tcBorders>
                  <w:vAlign w:val="center"/>
                </w:tcPr>
                <w:p w14:paraId="52C2556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710" w:type="dxa"/>
                  <w:vMerge w:val="continue"/>
                  <w:tcBorders>
                    <w:tl2br w:val="nil"/>
                    <w:tr2bl w:val="nil"/>
                  </w:tcBorders>
                  <w:vAlign w:val="center"/>
                </w:tcPr>
                <w:p w14:paraId="32A5202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30BAB11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7" w:hRule="atLeast"/>
              </w:trPr>
              <w:tc>
                <w:tcPr>
                  <w:tcW w:w="487" w:type="dxa"/>
                  <w:tcBorders>
                    <w:tl2br w:val="nil"/>
                    <w:tr2bl w:val="nil"/>
                  </w:tcBorders>
                  <w:vAlign w:val="center"/>
                </w:tcPr>
                <w:p w14:paraId="193E323C">
                  <w:pPr>
                    <w:jc w:val="center"/>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4</w:t>
                  </w:r>
                </w:p>
              </w:tc>
              <w:tc>
                <w:tcPr>
                  <w:tcW w:w="1358" w:type="dxa"/>
                  <w:tcBorders>
                    <w:tl2br w:val="nil"/>
                    <w:tr2bl w:val="nil"/>
                  </w:tcBorders>
                  <w:shd w:val="clear" w:color="auto" w:fill="FFFFFF"/>
                  <w:vAlign w:val="center"/>
                </w:tcPr>
                <w:p w14:paraId="23F3618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DA00</w:t>
                  </w:r>
                  <w:r>
                    <w:rPr>
                      <w:rFonts w:hint="eastAsia" w:ascii="Times New Roman" w:hAnsi="Times New Roman" w:eastAsia="宋体" w:cs="Times New Roman"/>
                      <w:b w:val="0"/>
                      <w:bCs w:val="0"/>
                      <w:color w:val="auto"/>
                      <w:szCs w:val="21"/>
                      <w:highlight w:val="none"/>
                      <w:lang w:val="en-US" w:eastAsia="zh-CN"/>
                    </w:rPr>
                    <w:t>4</w:t>
                  </w:r>
                  <w:r>
                    <w:rPr>
                      <w:rFonts w:hint="default" w:ascii="Times New Roman" w:hAnsi="Times New Roman" w:eastAsia="宋体" w:cs="Times New Roman"/>
                      <w:b w:val="0"/>
                      <w:bCs w:val="0"/>
                      <w:color w:val="auto"/>
                      <w:szCs w:val="21"/>
                      <w:highlight w:val="none"/>
                      <w:lang w:val="en-US" w:eastAsia="zh-CN"/>
                    </w:rPr>
                    <w:t>废气处理设施风机</w:t>
                  </w:r>
                </w:p>
                <w:p w14:paraId="2AF2C25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w:t>
                  </w:r>
                  <w:r>
                    <w:rPr>
                      <w:rFonts w:hint="eastAsia" w:ascii="Times New Roman" w:hAnsi="Times New Roman" w:eastAsia="宋体" w:cs="Times New Roman"/>
                      <w:b w:val="0"/>
                      <w:bCs w:val="0"/>
                      <w:color w:val="auto"/>
                      <w:szCs w:val="21"/>
                      <w:highlight w:val="none"/>
                      <w:lang w:val="en-US" w:eastAsia="zh-CN"/>
                    </w:rPr>
                    <w:t>5</w:t>
                  </w:r>
                  <w:r>
                    <w:rPr>
                      <w:rFonts w:hint="default" w:ascii="Times New Roman" w:hAnsi="Times New Roman" w:eastAsia="宋体" w:cs="Times New Roman"/>
                      <w:b w:val="0"/>
                      <w:bCs w:val="0"/>
                      <w:color w:val="auto"/>
                      <w:szCs w:val="21"/>
                      <w:highlight w:val="none"/>
                      <w:lang w:val="en-US" w:eastAsia="zh-CN"/>
                    </w:rPr>
                    <w:t>000m3/h）</w:t>
                  </w:r>
                </w:p>
              </w:tc>
              <w:tc>
                <w:tcPr>
                  <w:tcW w:w="720" w:type="dxa"/>
                  <w:tcBorders>
                    <w:tl2br w:val="nil"/>
                    <w:tr2bl w:val="nil"/>
                  </w:tcBorders>
                  <w:shd w:val="clear" w:color="auto" w:fill="FFFFFF"/>
                  <w:vAlign w:val="center"/>
                </w:tcPr>
                <w:p w14:paraId="1071302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-10.2</w:t>
                  </w:r>
                </w:p>
              </w:tc>
              <w:tc>
                <w:tcPr>
                  <w:tcW w:w="807" w:type="dxa"/>
                  <w:tcBorders>
                    <w:tl2br w:val="nil"/>
                    <w:tr2bl w:val="nil"/>
                  </w:tcBorders>
                  <w:shd w:val="clear" w:color="auto" w:fill="FFFFFF"/>
                  <w:vAlign w:val="center"/>
                </w:tcPr>
                <w:p w14:paraId="25D4EDF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2.2</w:t>
                  </w:r>
                </w:p>
              </w:tc>
              <w:tc>
                <w:tcPr>
                  <w:tcW w:w="709" w:type="dxa"/>
                  <w:tcBorders>
                    <w:tl2br w:val="nil"/>
                    <w:tr2bl w:val="nil"/>
                  </w:tcBorders>
                  <w:shd w:val="clear" w:color="auto" w:fill="FFFFFF"/>
                  <w:vAlign w:val="center"/>
                </w:tcPr>
                <w:p w14:paraId="76DE89D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960" w:type="dxa"/>
                  <w:tcBorders>
                    <w:tl2br w:val="nil"/>
                    <w:tr2bl w:val="nil"/>
                  </w:tcBorders>
                  <w:shd w:val="clear" w:color="auto" w:fill="auto"/>
                  <w:vAlign w:val="center"/>
                </w:tcPr>
                <w:p w14:paraId="47ED175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75</w:t>
                  </w:r>
                </w:p>
              </w:tc>
              <w:tc>
                <w:tcPr>
                  <w:tcW w:w="840" w:type="dxa"/>
                  <w:vMerge w:val="continue"/>
                  <w:tcBorders>
                    <w:tl2br w:val="nil"/>
                    <w:tr2bl w:val="nil"/>
                  </w:tcBorders>
                  <w:vAlign w:val="center"/>
                </w:tcPr>
                <w:p w14:paraId="1502F34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927" w:type="dxa"/>
                  <w:tcBorders>
                    <w:tl2br w:val="nil"/>
                    <w:tr2bl w:val="nil"/>
                  </w:tcBorders>
                  <w:vAlign w:val="center"/>
                </w:tcPr>
                <w:p w14:paraId="69153C4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710" w:type="dxa"/>
                  <w:vMerge w:val="continue"/>
                  <w:tcBorders>
                    <w:tl2br w:val="nil"/>
                    <w:tr2bl w:val="nil"/>
                  </w:tcBorders>
                  <w:vAlign w:val="center"/>
                </w:tcPr>
                <w:p w14:paraId="0C5FF00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178811C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7" w:hRule="atLeast"/>
              </w:trPr>
              <w:tc>
                <w:tcPr>
                  <w:tcW w:w="487" w:type="dxa"/>
                  <w:tcBorders>
                    <w:tl2br w:val="nil"/>
                    <w:tr2bl w:val="nil"/>
                  </w:tcBorders>
                  <w:vAlign w:val="center"/>
                </w:tcPr>
                <w:p w14:paraId="4A344844">
                  <w:pPr>
                    <w:jc w:val="center"/>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5</w:t>
                  </w:r>
                </w:p>
              </w:tc>
              <w:tc>
                <w:tcPr>
                  <w:tcW w:w="1358" w:type="dxa"/>
                  <w:tcBorders>
                    <w:tl2br w:val="nil"/>
                    <w:tr2bl w:val="nil"/>
                  </w:tcBorders>
                  <w:shd w:val="clear" w:color="auto" w:fill="FFFFFF"/>
                  <w:vAlign w:val="center"/>
                </w:tcPr>
                <w:p w14:paraId="0D60308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DA00</w:t>
                  </w:r>
                  <w:r>
                    <w:rPr>
                      <w:rFonts w:hint="eastAsia" w:ascii="Times New Roman" w:hAnsi="Times New Roman" w:eastAsia="宋体" w:cs="Times New Roman"/>
                      <w:b w:val="0"/>
                      <w:bCs w:val="0"/>
                      <w:color w:val="auto"/>
                      <w:szCs w:val="21"/>
                      <w:highlight w:val="none"/>
                      <w:lang w:val="en-US" w:eastAsia="zh-CN"/>
                    </w:rPr>
                    <w:t>5</w:t>
                  </w:r>
                  <w:r>
                    <w:rPr>
                      <w:rFonts w:hint="default" w:ascii="Times New Roman" w:hAnsi="Times New Roman" w:eastAsia="宋体" w:cs="Times New Roman"/>
                      <w:b w:val="0"/>
                      <w:bCs w:val="0"/>
                      <w:color w:val="auto"/>
                      <w:szCs w:val="21"/>
                      <w:highlight w:val="none"/>
                      <w:lang w:val="en-US" w:eastAsia="zh-CN"/>
                    </w:rPr>
                    <w:t>废气处理设施风机</w:t>
                  </w:r>
                </w:p>
                <w:p w14:paraId="7941C3F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w:t>
                  </w:r>
                  <w:r>
                    <w:rPr>
                      <w:rFonts w:hint="eastAsia" w:ascii="Times New Roman" w:hAnsi="Times New Roman" w:eastAsia="宋体" w:cs="Times New Roman"/>
                      <w:b w:val="0"/>
                      <w:bCs w:val="0"/>
                      <w:color w:val="auto"/>
                      <w:szCs w:val="21"/>
                      <w:highlight w:val="none"/>
                      <w:lang w:val="en-US" w:eastAsia="zh-CN"/>
                    </w:rPr>
                    <w:t>2</w:t>
                  </w:r>
                  <w:r>
                    <w:rPr>
                      <w:rFonts w:hint="default" w:ascii="Times New Roman" w:hAnsi="Times New Roman" w:eastAsia="宋体" w:cs="Times New Roman"/>
                      <w:b w:val="0"/>
                      <w:bCs w:val="0"/>
                      <w:color w:val="auto"/>
                      <w:szCs w:val="21"/>
                      <w:highlight w:val="none"/>
                      <w:lang w:val="en-US" w:eastAsia="zh-CN"/>
                    </w:rPr>
                    <w:t>000m3/h）</w:t>
                  </w:r>
                </w:p>
              </w:tc>
              <w:tc>
                <w:tcPr>
                  <w:tcW w:w="720" w:type="dxa"/>
                  <w:tcBorders>
                    <w:tl2br w:val="nil"/>
                    <w:tr2bl w:val="nil"/>
                  </w:tcBorders>
                  <w:shd w:val="clear" w:color="auto" w:fill="FFFFFF"/>
                  <w:vAlign w:val="center"/>
                </w:tcPr>
                <w:p w14:paraId="59BB845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-6.8</w:t>
                  </w:r>
                </w:p>
              </w:tc>
              <w:tc>
                <w:tcPr>
                  <w:tcW w:w="807" w:type="dxa"/>
                  <w:tcBorders>
                    <w:tl2br w:val="nil"/>
                    <w:tr2bl w:val="nil"/>
                  </w:tcBorders>
                  <w:shd w:val="clear" w:color="auto" w:fill="FFFFFF"/>
                  <w:vAlign w:val="center"/>
                </w:tcPr>
                <w:p w14:paraId="79DF66D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3.3</w:t>
                  </w:r>
                </w:p>
              </w:tc>
              <w:tc>
                <w:tcPr>
                  <w:tcW w:w="709" w:type="dxa"/>
                  <w:tcBorders>
                    <w:tl2br w:val="nil"/>
                    <w:tr2bl w:val="nil"/>
                  </w:tcBorders>
                  <w:shd w:val="clear" w:color="auto" w:fill="FFFFFF"/>
                  <w:vAlign w:val="center"/>
                </w:tcPr>
                <w:p w14:paraId="7615C8A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960" w:type="dxa"/>
                  <w:tcBorders>
                    <w:tl2br w:val="nil"/>
                    <w:tr2bl w:val="nil"/>
                  </w:tcBorders>
                  <w:shd w:val="clear" w:color="auto" w:fill="auto"/>
                  <w:vAlign w:val="center"/>
                </w:tcPr>
                <w:p w14:paraId="4AF2C1B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75</w:t>
                  </w:r>
                </w:p>
              </w:tc>
              <w:tc>
                <w:tcPr>
                  <w:tcW w:w="840" w:type="dxa"/>
                  <w:vMerge w:val="continue"/>
                  <w:tcBorders>
                    <w:tl2br w:val="nil"/>
                    <w:tr2bl w:val="nil"/>
                  </w:tcBorders>
                  <w:vAlign w:val="center"/>
                </w:tcPr>
                <w:p w14:paraId="1BE1F76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927" w:type="dxa"/>
                  <w:tcBorders>
                    <w:tl2br w:val="nil"/>
                    <w:tr2bl w:val="nil"/>
                  </w:tcBorders>
                  <w:vAlign w:val="center"/>
                </w:tcPr>
                <w:p w14:paraId="0E8C3B0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710" w:type="dxa"/>
                  <w:vMerge w:val="continue"/>
                  <w:tcBorders>
                    <w:tl2br w:val="nil"/>
                    <w:tr2bl w:val="nil"/>
                  </w:tcBorders>
                  <w:vAlign w:val="center"/>
                </w:tcPr>
                <w:p w14:paraId="7C50321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5F5F06F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7" w:hRule="atLeast"/>
              </w:trPr>
              <w:tc>
                <w:tcPr>
                  <w:tcW w:w="487" w:type="dxa"/>
                  <w:tcBorders>
                    <w:tl2br w:val="nil"/>
                    <w:tr2bl w:val="nil"/>
                  </w:tcBorders>
                  <w:vAlign w:val="center"/>
                </w:tcPr>
                <w:p w14:paraId="185E9C58">
                  <w:pPr>
                    <w:jc w:val="center"/>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6</w:t>
                  </w:r>
                </w:p>
              </w:tc>
              <w:tc>
                <w:tcPr>
                  <w:tcW w:w="1358" w:type="dxa"/>
                  <w:tcBorders>
                    <w:tl2br w:val="nil"/>
                    <w:tr2bl w:val="nil"/>
                  </w:tcBorders>
                  <w:shd w:val="clear" w:color="auto" w:fill="FFFFFF"/>
                  <w:vAlign w:val="center"/>
                </w:tcPr>
                <w:p w14:paraId="1D5FF4E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DA00</w:t>
                  </w:r>
                  <w:r>
                    <w:rPr>
                      <w:rFonts w:hint="eastAsia" w:ascii="Times New Roman" w:hAnsi="Times New Roman" w:eastAsia="宋体" w:cs="Times New Roman"/>
                      <w:b w:val="0"/>
                      <w:bCs w:val="0"/>
                      <w:color w:val="auto"/>
                      <w:szCs w:val="21"/>
                      <w:highlight w:val="none"/>
                      <w:lang w:val="en-US" w:eastAsia="zh-CN"/>
                    </w:rPr>
                    <w:t>6</w:t>
                  </w:r>
                  <w:r>
                    <w:rPr>
                      <w:rFonts w:hint="default" w:ascii="Times New Roman" w:hAnsi="Times New Roman" w:eastAsia="宋体" w:cs="Times New Roman"/>
                      <w:b w:val="0"/>
                      <w:bCs w:val="0"/>
                      <w:color w:val="auto"/>
                      <w:szCs w:val="21"/>
                      <w:highlight w:val="none"/>
                      <w:lang w:val="en-US" w:eastAsia="zh-CN"/>
                    </w:rPr>
                    <w:t>废气处理设施风机</w:t>
                  </w:r>
                </w:p>
                <w:p w14:paraId="52D78B1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w:t>
                  </w:r>
                  <w:r>
                    <w:rPr>
                      <w:rFonts w:hint="eastAsia" w:ascii="Times New Roman" w:hAnsi="Times New Roman" w:eastAsia="宋体" w:cs="Times New Roman"/>
                      <w:b w:val="0"/>
                      <w:bCs w:val="0"/>
                      <w:color w:val="auto"/>
                      <w:szCs w:val="21"/>
                      <w:highlight w:val="none"/>
                      <w:lang w:val="en-US" w:eastAsia="zh-CN"/>
                    </w:rPr>
                    <w:t>2</w:t>
                  </w:r>
                  <w:r>
                    <w:rPr>
                      <w:rFonts w:hint="default" w:ascii="Times New Roman" w:hAnsi="Times New Roman" w:eastAsia="宋体" w:cs="Times New Roman"/>
                      <w:b w:val="0"/>
                      <w:bCs w:val="0"/>
                      <w:color w:val="auto"/>
                      <w:szCs w:val="21"/>
                      <w:highlight w:val="none"/>
                      <w:lang w:val="en-US" w:eastAsia="zh-CN"/>
                    </w:rPr>
                    <w:t>000m3/h）</w:t>
                  </w:r>
                </w:p>
              </w:tc>
              <w:tc>
                <w:tcPr>
                  <w:tcW w:w="720" w:type="dxa"/>
                  <w:tcBorders>
                    <w:tl2br w:val="nil"/>
                    <w:tr2bl w:val="nil"/>
                  </w:tcBorders>
                  <w:shd w:val="clear" w:color="auto" w:fill="FFFFFF"/>
                  <w:vAlign w:val="center"/>
                </w:tcPr>
                <w:p w14:paraId="3A68BDE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10.4</w:t>
                  </w:r>
                </w:p>
              </w:tc>
              <w:tc>
                <w:tcPr>
                  <w:tcW w:w="807" w:type="dxa"/>
                  <w:tcBorders>
                    <w:tl2br w:val="nil"/>
                    <w:tr2bl w:val="nil"/>
                  </w:tcBorders>
                  <w:shd w:val="clear" w:color="auto" w:fill="FFFFFF"/>
                  <w:vAlign w:val="center"/>
                </w:tcPr>
                <w:p w14:paraId="32D070C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-2.8</w:t>
                  </w:r>
                </w:p>
              </w:tc>
              <w:tc>
                <w:tcPr>
                  <w:tcW w:w="709" w:type="dxa"/>
                  <w:tcBorders>
                    <w:tl2br w:val="nil"/>
                    <w:tr2bl w:val="nil"/>
                  </w:tcBorders>
                  <w:shd w:val="clear" w:color="auto" w:fill="FFFFFF"/>
                  <w:vAlign w:val="center"/>
                </w:tcPr>
                <w:p w14:paraId="40169B0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960" w:type="dxa"/>
                  <w:tcBorders>
                    <w:tl2br w:val="nil"/>
                    <w:tr2bl w:val="nil"/>
                  </w:tcBorders>
                  <w:shd w:val="clear" w:color="auto" w:fill="auto"/>
                  <w:vAlign w:val="center"/>
                </w:tcPr>
                <w:p w14:paraId="3D0AB35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75</w:t>
                  </w:r>
                </w:p>
              </w:tc>
              <w:tc>
                <w:tcPr>
                  <w:tcW w:w="840" w:type="dxa"/>
                  <w:vMerge w:val="continue"/>
                  <w:tcBorders>
                    <w:tl2br w:val="nil"/>
                    <w:tr2bl w:val="nil"/>
                  </w:tcBorders>
                  <w:vAlign w:val="center"/>
                </w:tcPr>
                <w:p w14:paraId="6B9379F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927" w:type="dxa"/>
                  <w:tcBorders>
                    <w:tl2br w:val="nil"/>
                    <w:tr2bl w:val="nil"/>
                  </w:tcBorders>
                  <w:vAlign w:val="center"/>
                </w:tcPr>
                <w:p w14:paraId="71D2F0D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710" w:type="dxa"/>
                  <w:vMerge w:val="continue"/>
                  <w:tcBorders>
                    <w:tl2br w:val="nil"/>
                    <w:tr2bl w:val="nil"/>
                  </w:tcBorders>
                  <w:vAlign w:val="center"/>
                </w:tcPr>
                <w:p w14:paraId="2FDDCAB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2BA3DA9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7" w:hRule="atLeast"/>
              </w:trPr>
              <w:tc>
                <w:tcPr>
                  <w:tcW w:w="487" w:type="dxa"/>
                  <w:tcBorders>
                    <w:tl2br w:val="nil"/>
                    <w:tr2bl w:val="nil"/>
                  </w:tcBorders>
                  <w:vAlign w:val="center"/>
                </w:tcPr>
                <w:p w14:paraId="68708C06">
                  <w:pPr>
                    <w:jc w:val="center"/>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7</w:t>
                  </w:r>
                </w:p>
              </w:tc>
              <w:tc>
                <w:tcPr>
                  <w:tcW w:w="1358" w:type="dxa"/>
                  <w:tcBorders>
                    <w:tl2br w:val="nil"/>
                    <w:tr2bl w:val="nil"/>
                  </w:tcBorders>
                  <w:shd w:val="clear" w:color="auto" w:fill="FFFFFF"/>
                  <w:vAlign w:val="center"/>
                </w:tcPr>
                <w:p w14:paraId="49128DB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DA00</w:t>
                  </w:r>
                  <w:r>
                    <w:rPr>
                      <w:rFonts w:hint="eastAsia" w:ascii="Times New Roman" w:hAnsi="Times New Roman" w:eastAsia="宋体" w:cs="Times New Roman"/>
                      <w:b w:val="0"/>
                      <w:bCs w:val="0"/>
                      <w:color w:val="auto"/>
                      <w:szCs w:val="21"/>
                      <w:highlight w:val="none"/>
                      <w:lang w:val="en-US" w:eastAsia="zh-CN"/>
                    </w:rPr>
                    <w:t>7</w:t>
                  </w:r>
                  <w:r>
                    <w:rPr>
                      <w:rFonts w:hint="default" w:ascii="Times New Roman" w:hAnsi="Times New Roman" w:eastAsia="宋体" w:cs="Times New Roman"/>
                      <w:b w:val="0"/>
                      <w:bCs w:val="0"/>
                      <w:color w:val="auto"/>
                      <w:szCs w:val="21"/>
                      <w:highlight w:val="none"/>
                      <w:lang w:val="en-US" w:eastAsia="zh-CN"/>
                    </w:rPr>
                    <w:t>废气处理设施风机</w:t>
                  </w:r>
                </w:p>
                <w:p w14:paraId="336759C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w:t>
                  </w:r>
                  <w:r>
                    <w:rPr>
                      <w:rFonts w:hint="eastAsia" w:ascii="Times New Roman" w:hAnsi="Times New Roman" w:eastAsia="宋体" w:cs="Times New Roman"/>
                      <w:b w:val="0"/>
                      <w:bCs w:val="0"/>
                      <w:color w:val="auto"/>
                      <w:szCs w:val="21"/>
                      <w:highlight w:val="none"/>
                      <w:lang w:val="en-US" w:eastAsia="zh-CN"/>
                    </w:rPr>
                    <w:t>2</w:t>
                  </w:r>
                  <w:r>
                    <w:rPr>
                      <w:rFonts w:hint="default" w:ascii="Times New Roman" w:hAnsi="Times New Roman" w:eastAsia="宋体" w:cs="Times New Roman"/>
                      <w:b w:val="0"/>
                      <w:bCs w:val="0"/>
                      <w:color w:val="auto"/>
                      <w:szCs w:val="21"/>
                      <w:highlight w:val="none"/>
                      <w:lang w:val="en-US" w:eastAsia="zh-CN"/>
                    </w:rPr>
                    <w:t>000m3/h）</w:t>
                  </w:r>
                </w:p>
              </w:tc>
              <w:tc>
                <w:tcPr>
                  <w:tcW w:w="720" w:type="dxa"/>
                  <w:tcBorders>
                    <w:tl2br w:val="nil"/>
                    <w:tr2bl w:val="nil"/>
                  </w:tcBorders>
                  <w:shd w:val="clear" w:color="auto" w:fill="FFFFFF"/>
                  <w:vAlign w:val="center"/>
                </w:tcPr>
                <w:p w14:paraId="3A91F34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14.2</w:t>
                  </w:r>
                </w:p>
              </w:tc>
              <w:tc>
                <w:tcPr>
                  <w:tcW w:w="807" w:type="dxa"/>
                  <w:tcBorders>
                    <w:tl2br w:val="nil"/>
                    <w:tr2bl w:val="nil"/>
                  </w:tcBorders>
                  <w:shd w:val="clear" w:color="auto" w:fill="FFFFFF"/>
                  <w:vAlign w:val="center"/>
                </w:tcPr>
                <w:p w14:paraId="6F90C25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17</w:t>
                  </w:r>
                </w:p>
              </w:tc>
              <w:tc>
                <w:tcPr>
                  <w:tcW w:w="709" w:type="dxa"/>
                  <w:tcBorders>
                    <w:tl2br w:val="nil"/>
                    <w:tr2bl w:val="nil"/>
                  </w:tcBorders>
                  <w:shd w:val="clear" w:color="auto" w:fill="FFFFFF"/>
                  <w:vAlign w:val="center"/>
                </w:tcPr>
                <w:p w14:paraId="3A74F76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960" w:type="dxa"/>
                  <w:tcBorders>
                    <w:tl2br w:val="nil"/>
                    <w:tr2bl w:val="nil"/>
                  </w:tcBorders>
                  <w:shd w:val="clear" w:color="auto" w:fill="auto"/>
                  <w:vAlign w:val="center"/>
                </w:tcPr>
                <w:p w14:paraId="6218FBD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75</w:t>
                  </w:r>
                </w:p>
              </w:tc>
              <w:tc>
                <w:tcPr>
                  <w:tcW w:w="840" w:type="dxa"/>
                  <w:vMerge w:val="continue"/>
                  <w:tcBorders>
                    <w:tl2br w:val="nil"/>
                    <w:tr2bl w:val="nil"/>
                  </w:tcBorders>
                  <w:vAlign w:val="center"/>
                </w:tcPr>
                <w:p w14:paraId="1339BEA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927" w:type="dxa"/>
                  <w:tcBorders>
                    <w:tl2br w:val="nil"/>
                    <w:tr2bl w:val="nil"/>
                  </w:tcBorders>
                  <w:vAlign w:val="center"/>
                </w:tcPr>
                <w:p w14:paraId="37AC53E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710" w:type="dxa"/>
                  <w:vMerge w:val="restart"/>
                  <w:tcBorders>
                    <w:tl2br w:val="nil"/>
                    <w:tr2bl w:val="nil"/>
                  </w:tcBorders>
                  <w:vAlign w:val="center"/>
                </w:tcPr>
                <w:p w14:paraId="341826B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昼夜</w:t>
                  </w:r>
                </w:p>
                <w:p w14:paraId="348F6D4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运行</w:t>
                  </w:r>
                </w:p>
              </w:tc>
            </w:tr>
            <w:tr w14:paraId="24D2851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7" w:hRule="atLeast"/>
              </w:trPr>
              <w:tc>
                <w:tcPr>
                  <w:tcW w:w="487" w:type="dxa"/>
                  <w:tcBorders>
                    <w:tl2br w:val="nil"/>
                    <w:tr2bl w:val="nil"/>
                  </w:tcBorders>
                  <w:vAlign w:val="center"/>
                </w:tcPr>
                <w:p w14:paraId="7D4AA4A8">
                  <w:pPr>
                    <w:jc w:val="center"/>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8</w:t>
                  </w:r>
                </w:p>
              </w:tc>
              <w:tc>
                <w:tcPr>
                  <w:tcW w:w="1358" w:type="dxa"/>
                  <w:tcBorders>
                    <w:tl2br w:val="nil"/>
                    <w:tr2bl w:val="nil"/>
                  </w:tcBorders>
                  <w:shd w:val="clear" w:color="auto" w:fill="FFFFFF"/>
                  <w:vAlign w:val="center"/>
                </w:tcPr>
                <w:p w14:paraId="3607C43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DA00</w:t>
                  </w:r>
                  <w:r>
                    <w:rPr>
                      <w:rFonts w:hint="eastAsia" w:ascii="Times New Roman" w:hAnsi="Times New Roman" w:eastAsia="宋体" w:cs="Times New Roman"/>
                      <w:b w:val="0"/>
                      <w:bCs w:val="0"/>
                      <w:color w:val="auto"/>
                      <w:szCs w:val="21"/>
                      <w:highlight w:val="none"/>
                      <w:lang w:val="en-US" w:eastAsia="zh-CN"/>
                    </w:rPr>
                    <w:t>8</w:t>
                  </w:r>
                  <w:r>
                    <w:rPr>
                      <w:rFonts w:hint="default" w:ascii="Times New Roman" w:hAnsi="Times New Roman" w:eastAsia="宋体" w:cs="Times New Roman"/>
                      <w:b w:val="0"/>
                      <w:bCs w:val="0"/>
                      <w:color w:val="auto"/>
                      <w:szCs w:val="21"/>
                      <w:highlight w:val="none"/>
                      <w:lang w:val="en-US" w:eastAsia="zh-CN"/>
                    </w:rPr>
                    <w:t>废气处理设施风机</w:t>
                  </w:r>
                </w:p>
                <w:p w14:paraId="68A27A6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w:t>
                  </w:r>
                  <w:r>
                    <w:rPr>
                      <w:rFonts w:hint="eastAsia" w:ascii="Times New Roman" w:hAnsi="Times New Roman" w:eastAsia="宋体" w:cs="Times New Roman"/>
                      <w:b w:val="0"/>
                      <w:bCs w:val="0"/>
                      <w:color w:val="auto"/>
                      <w:szCs w:val="21"/>
                      <w:highlight w:val="none"/>
                      <w:lang w:val="en-US" w:eastAsia="zh-CN"/>
                    </w:rPr>
                    <w:t>2</w:t>
                  </w:r>
                  <w:r>
                    <w:rPr>
                      <w:rFonts w:hint="default" w:ascii="Times New Roman" w:hAnsi="Times New Roman" w:eastAsia="宋体" w:cs="Times New Roman"/>
                      <w:b w:val="0"/>
                      <w:bCs w:val="0"/>
                      <w:color w:val="auto"/>
                      <w:szCs w:val="21"/>
                      <w:highlight w:val="none"/>
                      <w:lang w:val="en-US" w:eastAsia="zh-CN"/>
                    </w:rPr>
                    <w:t>000m3/h）</w:t>
                  </w:r>
                </w:p>
              </w:tc>
              <w:tc>
                <w:tcPr>
                  <w:tcW w:w="720" w:type="dxa"/>
                  <w:tcBorders>
                    <w:tl2br w:val="nil"/>
                    <w:tr2bl w:val="nil"/>
                  </w:tcBorders>
                  <w:shd w:val="clear" w:color="auto" w:fill="FFFFFF"/>
                  <w:vAlign w:val="center"/>
                </w:tcPr>
                <w:p w14:paraId="6906AE5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15.7</w:t>
                  </w:r>
                </w:p>
              </w:tc>
              <w:tc>
                <w:tcPr>
                  <w:tcW w:w="807" w:type="dxa"/>
                  <w:tcBorders>
                    <w:tl2br w:val="nil"/>
                    <w:tr2bl w:val="nil"/>
                  </w:tcBorders>
                  <w:shd w:val="clear" w:color="auto" w:fill="FFFFFF"/>
                  <w:vAlign w:val="center"/>
                </w:tcPr>
                <w:p w14:paraId="3DEFC54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19.2</w:t>
                  </w:r>
                </w:p>
              </w:tc>
              <w:tc>
                <w:tcPr>
                  <w:tcW w:w="709" w:type="dxa"/>
                  <w:tcBorders>
                    <w:tl2br w:val="nil"/>
                    <w:tr2bl w:val="nil"/>
                  </w:tcBorders>
                  <w:shd w:val="clear" w:color="auto" w:fill="FFFFFF"/>
                  <w:vAlign w:val="center"/>
                </w:tcPr>
                <w:p w14:paraId="6BF878E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960" w:type="dxa"/>
                  <w:tcBorders>
                    <w:tl2br w:val="nil"/>
                    <w:tr2bl w:val="nil"/>
                  </w:tcBorders>
                  <w:shd w:val="clear" w:color="auto" w:fill="auto"/>
                  <w:vAlign w:val="center"/>
                </w:tcPr>
                <w:p w14:paraId="081C674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75</w:t>
                  </w:r>
                </w:p>
              </w:tc>
              <w:tc>
                <w:tcPr>
                  <w:tcW w:w="840" w:type="dxa"/>
                  <w:vMerge w:val="continue"/>
                  <w:tcBorders>
                    <w:tl2br w:val="nil"/>
                    <w:tr2bl w:val="nil"/>
                  </w:tcBorders>
                  <w:vAlign w:val="center"/>
                </w:tcPr>
                <w:p w14:paraId="0E86EB6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927" w:type="dxa"/>
                  <w:tcBorders>
                    <w:tl2br w:val="nil"/>
                    <w:tr2bl w:val="nil"/>
                  </w:tcBorders>
                  <w:vAlign w:val="center"/>
                </w:tcPr>
                <w:p w14:paraId="7BB1C3E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710" w:type="dxa"/>
                  <w:vMerge w:val="continue"/>
                  <w:tcBorders>
                    <w:tl2br w:val="nil"/>
                    <w:tr2bl w:val="nil"/>
                  </w:tcBorders>
                  <w:vAlign w:val="center"/>
                </w:tcPr>
                <w:p w14:paraId="7C5A92B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4684DA4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7" w:hRule="atLeast"/>
              </w:trPr>
              <w:tc>
                <w:tcPr>
                  <w:tcW w:w="487" w:type="dxa"/>
                  <w:tcBorders>
                    <w:tl2br w:val="nil"/>
                    <w:tr2bl w:val="nil"/>
                  </w:tcBorders>
                  <w:vAlign w:val="center"/>
                </w:tcPr>
                <w:p w14:paraId="5E0B7164">
                  <w:pPr>
                    <w:jc w:val="center"/>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9</w:t>
                  </w:r>
                </w:p>
              </w:tc>
              <w:tc>
                <w:tcPr>
                  <w:tcW w:w="1358" w:type="dxa"/>
                  <w:tcBorders>
                    <w:tl2br w:val="nil"/>
                    <w:tr2bl w:val="nil"/>
                  </w:tcBorders>
                  <w:shd w:val="clear" w:color="auto" w:fill="FFFFFF"/>
                  <w:vAlign w:val="center"/>
                </w:tcPr>
                <w:p w14:paraId="5E2CED8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冷凝器风机</w:t>
                  </w:r>
                </w:p>
              </w:tc>
              <w:tc>
                <w:tcPr>
                  <w:tcW w:w="720" w:type="dxa"/>
                  <w:tcBorders>
                    <w:tl2br w:val="nil"/>
                    <w:tr2bl w:val="nil"/>
                  </w:tcBorders>
                  <w:shd w:val="clear" w:color="auto" w:fill="FFFFFF"/>
                  <w:vAlign w:val="center"/>
                </w:tcPr>
                <w:p w14:paraId="55B819E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-11.8</w:t>
                  </w:r>
                </w:p>
              </w:tc>
              <w:tc>
                <w:tcPr>
                  <w:tcW w:w="807" w:type="dxa"/>
                  <w:tcBorders>
                    <w:tl2br w:val="nil"/>
                    <w:tr2bl w:val="nil"/>
                  </w:tcBorders>
                  <w:shd w:val="clear" w:color="auto" w:fill="FFFFFF"/>
                  <w:vAlign w:val="center"/>
                </w:tcPr>
                <w:p w14:paraId="4988B61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-3.9</w:t>
                  </w:r>
                </w:p>
              </w:tc>
              <w:tc>
                <w:tcPr>
                  <w:tcW w:w="709" w:type="dxa"/>
                  <w:tcBorders>
                    <w:tl2br w:val="nil"/>
                    <w:tr2bl w:val="nil"/>
                  </w:tcBorders>
                  <w:shd w:val="clear" w:color="auto" w:fill="FFFFFF"/>
                  <w:vAlign w:val="center"/>
                </w:tcPr>
                <w:p w14:paraId="142490B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960" w:type="dxa"/>
                  <w:tcBorders>
                    <w:tl2br w:val="nil"/>
                    <w:tr2bl w:val="nil"/>
                  </w:tcBorders>
                  <w:shd w:val="clear" w:color="auto" w:fill="auto"/>
                  <w:vAlign w:val="center"/>
                </w:tcPr>
                <w:p w14:paraId="6F60FF6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80</w:t>
                  </w:r>
                </w:p>
              </w:tc>
              <w:tc>
                <w:tcPr>
                  <w:tcW w:w="840" w:type="dxa"/>
                  <w:vMerge w:val="continue"/>
                  <w:tcBorders>
                    <w:tl2br w:val="nil"/>
                    <w:tr2bl w:val="nil"/>
                  </w:tcBorders>
                  <w:vAlign w:val="center"/>
                </w:tcPr>
                <w:p w14:paraId="4915902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927" w:type="dxa"/>
                  <w:tcBorders>
                    <w:tl2br w:val="nil"/>
                    <w:tr2bl w:val="nil"/>
                  </w:tcBorders>
                  <w:vAlign w:val="center"/>
                </w:tcPr>
                <w:p w14:paraId="09DC941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70</w:t>
                  </w:r>
                </w:p>
              </w:tc>
              <w:tc>
                <w:tcPr>
                  <w:tcW w:w="710" w:type="dxa"/>
                  <w:tcBorders>
                    <w:tl2br w:val="nil"/>
                    <w:tr2bl w:val="nil"/>
                  </w:tcBorders>
                  <w:vAlign w:val="center"/>
                </w:tcPr>
                <w:p w14:paraId="54254EF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昼间</w:t>
                  </w:r>
                </w:p>
                <w:p w14:paraId="292979E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运行</w:t>
                  </w:r>
                </w:p>
              </w:tc>
            </w:tr>
            <w:tr w14:paraId="1EBA95E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0" w:hRule="atLeast"/>
              </w:trPr>
              <w:tc>
                <w:tcPr>
                  <w:tcW w:w="7518" w:type="dxa"/>
                  <w:gridSpan w:val="9"/>
                  <w:tcBorders>
                    <w:tl2br w:val="nil"/>
                    <w:tr2bl w:val="nil"/>
                  </w:tcBorders>
                  <w:vAlign w:val="center"/>
                </w:tcPr>
                <w:p w14:paraId="1442EC04">
                  <w:pP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sz w:val="21"/>
                      <w:szCs w:val="21"/>
                      <w:lang w:val="en-US" w:eastAsia="zh-CN"/>
                    </w:rPr>
                    <w:t>表中坐标以厂界中心（</w:t>
                  </w:r>
                  <w:bookmarkStart w:id="2" w:name="PO_6"/>
                  <w:r>
                    <w:rPr>
                      <w:rFonts w:hint="default" w:ascii="Times New Roman" w:hAnsi="Times New Roman" w:eastAsia="宋体" w:cs="Times New Roman"/>
                      <w:b w:val="0"/>
                      <w:bCs/>
                      <w:sz w:val="21"/>
                      <w:szCs w:val="21"/>
                      <w:lang w:val="en-US" w:eastAsia="zh-CN"/>
                    </w:rPr>
                    <w:t>116.534675，39.773857</w:t>
                  </w:r>
                  <w:bookmarkEnd w:id="2"/>
                  <w:r>
                    <w:rPr>
                      <w:rFonts w:hint="default" w:ascii="Times New Roman" w:hAnsi="Times New Roman" w:eastAsia="宋体" w:cs="Times New Roman"/>
                      <w:b w:val="0"/>
                      <w:bCs/>
                      <w:sz w:val="21"/>
                      <w:szCs w:val="21"/>
                      <w:lang w:val="en-US" w:eastAsia="zh-CN"/>
                    </w:rPr>
                    <w:t>）为坐标原点，正东向为X轴正方向，正北向为Y轴正方向。</w:t>
                  </w:r>
                </w:p>
              </w:tc>
            </w:tr>
          </w:tbl>
          <w:p w14:paraId="09507E7B">
            <w:pPr>
              <w:numPr>
                <w:ilvl w:val="0"/>
                <w:numId w:val="48"/>
              </w:numPr>
              <w:adjustRightInd w:val="0"/>
              <w:spacing w:line="360" w:lineRule="auto"/>
              <w:ind w:left="425" w:leftChars="0" w:hanging="425" w:firstLineChars="0"/>
              <w:jc w:val="center"/>
              <w:rPr>
                <w:rFonts w:hint="default" w:ascii="Times New Roman" w:hAnsi="Times New Roman" w:eastAsia="宋体" w:cs="Times New Roman"/>
                <w:b/>
                <w:color w:val="auto"/>
                <w:kern w:val="0"/>
                <w:sz w:val="24"/>
                <w:highlight w:val="none"/>
              </w:rPr>
            </w:pPr>
            <w:r>
              <w:rPr>
                <w:rFonts w:hint="default" w:ascii="Times New Roman" w:hAnsi="Times New Roman" w:eastAsia="宋体" w:cs="Times New Roman"/>
                <w:b/>
                <w:color w:val="auto"/>
                <w:sz w:val="24"/>
                <w:highlight w:val="none"/>
              </w:rPr>
              <w:t>本项目噪声源强调查清单（室内声源）</w:t>
            </w:r>
          </w:p>
          <w:tbl>
            <w:tblPr>
              <w:tblStyle w:val="44"/>
              <w:tblW w:w="7677" w:type="dxa"/>
              <w:jc w:val="center"/>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450"/>
              <w:gridCol w:w="1232"/>
              <w:gridCol w:w="651"/>
              <w:gridCol w:w="936"/>
              <w:gridCol w:w="698"/>
              <w:gridCol w:w="643"/>
              <w:gridCol w:w="546"/>
              <w:gridCol w:w="971"/>
              <w:gridCol w:w="886"/>
              <w:gridCol w:w="664"/>
            </w:tblGrid>
            <w:tr w14:paraId="624C6E61">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vMerge w:val="restart"/>
                  <w:tcBorders>
                    <w:tl2br w:val="nil"/>
                    <w:tr2bl w:val="nil"/>
                  </w:tcBorders>
                  <w:vAlign w:val="center"/>
                </w:tcPr>
                <w:p w14:paraId="49735684">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1232" w:type="dxa"/>
                  <w:vMerge w:val="restart"/>
                  <w:tcBorders>
                    <w:tl2br w:val="nil"/>
                    <w:tr2bl w:val="nil"/>
                  </w:tcBorders>
                  <w:vAlign w:val="center"/>
                </w:tcPr>
                <w:p w14:paraId="65F573FD">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声源名称</w:t>
                  </w:r>
                </w:p>
              </w:tc>
              <w:tc>
                <w:tcPr>
                  <w:tcW w:w="651" w:type="dxa"/>
                  <w:vMerge w:val="restart"/>
                  <w:tcBorders>
                    <w:tl2br w:val="nil"/>
                    <w:tr2bl w:val="nil"/>
                  </w:tcBorders>
                  <w:vAlign w:val="center"/>
                </w:tcPr>
                <w:p w14:paraId="2EBDC5ED">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声源源强/dB(A)</w:t>
                  </w:r>
                </w:p>
              </w:tc>
              <w:tc>
                <w:tcPr>
                  <w:tcW w:w="936" w:type="dxa"/>
                  <w:vMerge w:val="restart"/>
                  <w:tcBorders>
                    <w:tl2br w:val="nil"/>
                    <w:tr2bl w:val="nil"/>
                  </w:tcBorders>
                  <w:vAlign w:val="center"/>
                </w:tcPr>
                <w:p w14:paraId="274D896F">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声源控制措施</w:t>
                  </w:r>
                </w:p>
              </w:tc>
              <w:tc>
                <w:tcPr>
                  <w:tcW w:w="1887" w:type="dxa"/>
                  <w:gridSpan w:val="3"/>
                  <w:tcBorders>
                    <w:tl2br w:val="nil"/>
                    <w:tr2bl w:val="nil"/>
                  </w:tcBorders>
                  <w:vAlign w:val="center"/>
                </w:tcPr>
                <w:p w14:paraId="6BEB8502">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空间相对位置/m</w:t>
                  </w:r>
                </w:p>
              </w:tc>
              <w:tc>
                <w:tcPr>
                  <w:tcW w:w="971" w:type="dxa"/>
                  <w:vMerge w:val="restart"/>
                  <w:tcBorders>
                    <w:tl2br w:val="nil"/>
                    <w:tr2bl w:val="nil"/>
                  </w:tcBorders>
                  <w:vAlign w:val="center"/>
                </w:tcPr>
                <w:p w14:paraId="2C5C791F">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val="en-US" w:eastAsia="zh-CN"/>
                    </w:rPr>
                    <w:t>排放强度</w:t>
                  </w:r>
                  <w:r>
                    <w:rPr>
                      <w:rFonts w:hint="default" w:ascii="Times New Roman" w:hAnsi="Times New Roman" w:eastAsia="宋体" w:cs="Times New Roman"/>
                      <w:b/>
                      <w:bCs/>
                      <w:color w:val="auto"/>
                      <w:szCs w:val="21"/>
                      <w:highlight w:val="none"/>
                    </w:rPr>
                    <w:t>/dB(A)</w:t>
                  </w:r>
                </w:p>
              </w:tc>
              <w:tc>
                <w:tcPr>
                  <w:tcW w:w="886" w:type="dxa"/>
                  <w:vMerge w:val="restart"/>
                  <w:tcBorders>
                    <w:tl2br w:val="nil"/>
                    <w:tr2bl w:val="nil"/>
                  </w:tcBorders>
                  <w:vAlign w:val="center"/>
                </w:tcPr>
                <w:p w14:paraId="2CF80A70">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 w:val="21"/>
                      <w:szCs w:val="21"/>
                      <w:highlight w:val="none"/>
                    </w:rPr>
                    <w:t>建筑物插入损失 / dB(A)</w:t>
                  </w:r>
                </w:p>
              </w:tc>
              <w:tc>
                <w:tcPr>
                  <w:tcW w:w="664" w:type="dxa"/>
                  <w:vMerge w:val="restart"/>
                  <w:tcBorders>
                    <w:tl2br w:val="nil"/>
                    <w:tr2bl w:val="nil"/>
                  </w:tcBorders>
                  <w:vAlign w:val="center"/>
                </w:tcPr>
                <w:p w14:paraId="02721870">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运行</w:t>
                  </w:r>
                </w:p>
                <w:p w14:paraId="693120B1">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时段</w:t>
                  </w:r>
                </w:p>
              </w:tc>
            </w:tr>
            <w:tr w14:paraId="1AD31C56">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vMerge w:val="continue"/>
                  <w:tcBorders>
                    <w:tl2br w:val="nil"/>
                    <w:tr2bl w:val="nil"/>
                  </w:tcBorders>
                  <w:vAlign w:val="center"/>
                </w:tcPr>
                <w:p w14:paraId="30F83BBE">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p>
              </w:tc>
              <w:tc>
                <w:tcPr>
                  <w:tcW w:w="1232" w:type="dxa"/>
                  <w:vMerge w:val="continue"/>
                  <w:tcBorders>
                    <w:tl2br w:val="nil"/>
                    <w:tr2bl w:val="nil"/>
                  </w:tcBorders>
                  <w:vAlign w:val="center"/>
                </w:tcPr>
                <w:p w14:paraId="29AEA69F">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p>
              </w:tc>
              <w:tc>
                <w:tcPr>
                  <w:tcW w:w="651" w:type="dxa"/>
                  <w:vMerge w:val="continue"/>
                  <w:tcBorders>
                    <w:tl2br w:val="nil"/>
                    <w:tr2bl w:val="nil"/>
                  </w:tcBorders>
                  <w:vAlign w:val="center"/>
                </w:tcPr>
                <w:p w14:paraId="7432FF78">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p>
              </w:tc>
              <w:tc>
                <w:tcPr>
                  <w:tcW w:w="936" w:type="dxa"/>
                  <w:vMerge w:val="continue"/>
                  <w:tcBorders>
                    <w:tl2br w:val="nil"/>
                    <w:tr2bl w:val="nil"/>
                  </w:tcBorders>
                  <w:vAlign w:val="center"/>
                </w:tcPr>
                <w:p w14:paraId="61797739">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p>
              </w:tc>
              <w:tc>
                <w:tcPr>
                  <w:tcW w:w="698" w:type="dxa"/>
                  <w:tcBorders>
                    <w:tl2br w:val="nil"/>
                    <w:tr2bl w:val="nil"/>
                  </w:tcBorders>
                  <w:vAlign w:val="center"/>
                </w:tcPr>
                <w:p w14:paraId="7C09AA97">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X</w:t>
                  </w:r>
                </w:p>
              </w:tc>
              <w:tc>
                <w:tcPr>
                  <w:tcW w:w="643" w:type="dxa"/>
                  <w:tcBorders>
                    <w:tl2br w:val="nil"/>
                    <w:tr2bl w:val="nil"/>
                  </w:tcBorders>
                  <w:vAlign w:val="center"/>
                </w:tcPr>
                <w:p w14:paraId="1D562011">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Y</w:t>
                  </w:r>
                </w:p>
              </w:tc>
              <w:tc>
                <w:tcPr>
                  <w:tcW w:w="546" w:type="dxa"/>
                  <w:tcBorders>
                    <w:tl2br w:val="nil"/>
                    <w:tr2bl w:val="nil"/>
                  </w:tcBorders>
                  <w:vAlign w:val="center"/>
                </w:tcPr>
                <w:p w14:paraId="0B3207D0">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Z</w:t>
                  </w:r>
                </w:p>
              </w:tc>
              <w:tc>
                <w:tcPr>
                  <w:tcW w:w="971" w:type="dxa"/>
                  <w:vMerge w:val="continue"/>
                  <w:tcBorders>
                    <w:tl2br w:val="nil"/>
                    <w:tr2bl w:val="nil"/>
                  </w:tcBorders>
                  <w:vAlign w:val="center"/>
                </w:tcPr>
                <w:p w14:paraId="35BA6CE3">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p>
              </w:tc>
              <w:tc>
                <w:tcPr>
                  <w:tcW w:w="886" w:type="dxa"/>
                  <w:vMerge w:val="continue"/>
                  <w:tcBorders>
                    <w:tl2br w:val="nil"/>
                    <w:tr2bl w:val="nil"/>
                  </w:tcBorders>
                  <w:vAlign w:val="center"/>
                </w:tcPr>
                <w:p w14:paraId="47A598C2">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p>
              </w:tc>
              <w:tc>
                <w:tcPr>
                  <w:tcW w:w="664" w:type="dxa"/>
                  <w:vMerge w:val="continue"/>
                  <w:tcBorders>
                    <w:tl2br w:val="nil"/>
                    <w:tr2bl w:val="nil"/>
                  </w:tcBorders>
                  <w:vAlign w:val="center"/>
                </w:tcPr>
                <w:p w14:paraId="1D751F43">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p>
              </w:tc>
            </w:tr>
            <w:tr w14:paraId="11819E5A">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290" w:hRule="atLeast"/>
                <w:jc w:val="center"/>
              </w:trPr>
              <w:tc>
                <w:tcPr>
                  <w:tcW w:w="450" w:type="dxa"/>
                  <w:tcBorders>
                    <w:tl2br w:val="nil"/>
                    <w:tr2bl w:val="nil"/>
                  </w:tcBorders>
                  <w:vAlign w:val="center"/>
                </w:tcPr>
                <w:p w14:paraId="29CED895">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6E530D9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新风风机</w:t>
                  </w:r>
                </w:p>
              </w:tc>
              <w:tc>
                <w:tcPr>
                  <w:tcW w:w="651" w:type="dxa"/>
                  <w:tcBorders>
                    <w:tl2br w:val="nil"/>
                    <w:tr2bl w:val="nil"/>
                  </w:tcBorders>
                  <w:vAlign w:val="center"/>
                </w:tcPr>
                <w:p w14:paraId="5CF2DD4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75</w:t>
                  </w:r>
                </w:p>
              </w:tc>
              <w:tc>
                <w:tcPr>
                  <w:tcW w:w="936" w:type="dxa"/>
                  <w:vMerge w:val="restart"/>
                  <w:tcBorders>
                    <w:tl2br w:val="nil"/>
                    <w:tr2bl w:val="nil"/>
                  </w:tcBorders>
                  <w:vAlign w:val="center"/>
                </w:tcPr>
                <w:p w14:paraId="60A7876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低噪声设备，基础减振，室内布置</w:t>
                  </w:r>
                </w:p>
              </w:tc>
              <w:tc>
                <w:tcPr>
                  <w:tcW w:w="698" w:type="dxa"/>
                  <w:tcBorders>
                    <w:tl2br w:val="nil"/>
                    <w:tr2bl w:val="nil"/>
                  </w:tcBorders>
                  <w:shd w:val="clear" w:color="auto" w:fill="FFFFFF"/>
                  <w:vAlign w:val="center"/>
                </w:tcPr>
                <w:p w14:paraId="69B529A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18.8</w:t>
                  </w:r>
                </w:p>
              </w:tc>
              <w:tc>
                <w:tcPr>
                  <w:tcW w:w="643" w:type="dxa"/>
                  <w:tcBorders>
                    <w:tl2br w:val="nil"/>
                    <w:tr2bl w:val="nil"/>
                  </w:tcBorders>
                  <w:shd w:val="clear" w:color="auto" w:fill="FFFFFF"/>
                  <w:vAlign w:val="center"/>
                </w:tcPr>
                <w:p w14:paraId="4A2D02A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5.9</w:t>
                  </w:r>
                </w:p>
              </w:tc>
              <w:tc>
                <w:tcPr>
                  <w:tcW w:w="546" w:type="dxa"/>
                  <w:tcBorders>
                    <w:tl2br w:val="nil"/>
                    <w:tr2bl w:val="nil"/>
                  </w:tcBorders>
                  <w:shd w:val="clear" w:color="auto" w:fill="FFFFFF"/>
                  <w:vAlign w:val="center"/>
                </w:tcPr>
                <w:p w14:paraId="08D6E66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6E94BE9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55</w:t>
                  </w:r>
                </w:p>
              </w:tc>
              <w:tc>
                <w:tcPr>
                  <w:tcW w:w="886" w:type="dxa"/>
                  <w:tcBorders>
                    <w:tl2br w:val="nil"/>
                    <w:tr2bl w:val="nil"/>
                  </w:tcBorders>
                  <w:shd w:val="clear" w:color="auto" w:fill="auto"/>
                  <w:vAlign w:val="center"/>
                </w:tcPr>
                <w:p w14:paraId="3621692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restart"/>
                  <w:tcBorders>
                    <w:tl2br w:val="nil"/>
                    <w:tr2bl w:val="nil"/>
                  </w:tcBorders>
                  <w:vAlign w:val="center"/>
                </w:tcPr>
                <w:p w14:paraId="1DFDE98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昼间</w:t>
                  </w:r>
                </w:p>
                <w:p w14:paraId="56346EB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运行</w:t>
                  </w:r>
                </w:p>
              </w:tc>
            </w:tr>
            <w:tr w14:paraId="473850C0">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23EAFA37">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144F261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热/力模拟实验机</w:t>
                  </w:r>
                </w:p>
              </w:tc>
              <w:tc>
                <w:tcPr>
                  <w:tcW w:w="651" w:type="dxa"/>
                  <w:tcBorders>
                    <w:tl2br w:val="nil"/>
                    <w:tr2bl w:val="nil"/>
                  </w:tcBorders>
                  <w:vAlign w:val="center"/>
                </w:tcPr>
                <w:p w14:paraId="0F7B9E0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75</w:t>
                  </w:r>
                </w:p>
              </w:tc>
              <w:tc>
                <w:tcPr>
                  <w:tcW w:w="936" w:type="dxa"/>
                  <w:vMerge w:val="continue"/>
                  <w:tcBorders>
                    <w:tl2br w:val="nil"/>
                    <w:tr2bl w:val="nil"/>
                  </w:tcBorders>
                  <w:vAlign w:val="center"/>
                </w:tcPr>
                <w:p w14:paraId="64EA35D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48FD2D4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-10.4</w:t>
                  </w:r>
                </w:p>
              </w:tc>
              <w:tc>
                <w:tcPr>
                  <w:tcW w:w="643" w:type="dxa"/>
                  <w:tcBorders>
                    <w:tl2br w:val="nil"/>
                    <w:tr2bl w:val="nil"/>
                  </w:tcBorders>
                  <w:shd w:val="clear" w:color="auto" w:fill="FFFFFF"/>
                  <w:vAlign w:val="center"/>
                </w:tcPr>
                <w:p w14:paraId="42B4BC7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-12.7</w:t>
                  </w:r>
                </w:p>
              </w:tc>
              <w:tc>
                <w:tcPr>
                  <w:tcW w:w="546" w:type="dxa"/>
                  <w:tcBorders>
                    <w:tl2br w:val="nil"/>
                    <w:tr2bl w:val="nil"/>
                  </w:tcBorders>
                  <w:shd w:val="clear" w:color="auto" w:fill="FFFFFF"/>
                  <w:vAlign w:val="center"/>
                </w:tcPr>
                <w:p w14:paraId="5296A4F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2697A41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55</w:t>
                  </w:r>
                </w:p>
              </w:tc>
              <w:tc>
                <w:tcPr>
                  <w:tcW w:w="886" w:type="dxa"/>
                  <w:tcBorders>
                    <w:tl2br w:val="nil"/>
                    <w:tr2bl w:val="nil"/>
                  </w:tcBorders>
                  <w:shd w:val="clear" w:color="auto" w:fill="auto"/>
                  <w:vAlign w:val="center"/>
                </w:tcPr>
                <w:p w14:paraId="48FE6F4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4559390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36BFC9AA">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3BFDCE1C">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14FF97F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万能实验机</w:t>
                  </w:r>
                </w:p>
              </w:tc>
              <w:tc>
                <w:tcPr>
                  <w:tcW w:w="651" w:type="dxa"/>
                  <w:tcBorders>
                    <w:tl2br w:val="nil"/>
                    <w:tr2bl w:val="nil"/>
                  </w:tcBorders>
                  <w:vAlign w:val="center"/>
                </w:tcPr>
                <w:p w14:paraId="2A64258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936" w:type="dxa"/>
                  <w:vMerge w:val="continue"/>
                  <w:tcBorders>
                    <w:tl2br w:val="nil"/>
                    <w:tr2bl w:val="nil"/>
                  </w:tcBorders>
                  <w:vAlign w:val="center"/>
                </w:tcPr>
                <w:p w14:paraId="4099D2B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2D4EB66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-6.7</w:t>
                  </w:r>
                </w:p>
              </w:tc>
              <w:tc>
                <w:tcPr>
                  <w:tcW w:w="643" w:type="dxa"/>
                  <w:tcBorders>
                    <w:tl2br w:val="nil"/>
                    <w:tr2bl w:val="nil"/>
                  </w:tcBorders>
                  <w:shd w:val="clear" w:color="auto" w:fill="FFFFFF"/>
                  <w:vAlign w:val="center"/>
                </w:tcPr>
                <w:p w14:paraId="38EEC0C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-11.2</w:t>
                  </w:r>
                </w:p>
              </w:tc>
              <w:tc>
                <w:tcPr>
                  <w:tcW w:w="546" w:type="dxa"/>
                  <w:tcBorders>
                    <w:tl2br w:val="nil"/>
                    <w:tr2bl w:val="nil"/>
                  </w:tcBorders>
                  <w:shd w:val="clear" w:color="auto" w:fill="FFFFFF"/>
                  <w:vAlign w:val="center"/>
                </w:tcPr>
                <w:p w14:paraId="6A636CF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0694845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45</w:t>
                  </w:r>
                </w:p>
              </w:tc>
              <w:tc>
                <w:tcPr>
                  <w:tcW w:w="886" w:type="dxa"/>
                  <w:tcBorders>
                    <w:tl2br w:val="nil"/>
                    <w:tr2bl w:val="nil"/>
                  </w:tcBorders>
                  <w:shd w:val="clear" w:color="auto" w:fill="auto"/>
                  <w:vAlign w:val="center"/>
                </w:tcPr>
                <w:p w14:paraId="0C3D969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632C76E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6611C639">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499A9748">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3F123B5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冲击实验机</w:t>
                  </w:r>
                </w:p>
              </w:tc>
              <w:tc>
                <w:tcPr>
                  <w:tcW w:w="651" w:type="dxa"/>
                  <w:tcBorders>
                    <w:tl2br w:val="nil"/>
                    <w:tr2bl w:val="nil"/>
                  </w:tcBorders>
                  <w:vAlign w:val="center"/>
                </w:tcPr>
                <w:p w14:paraId="496919C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75</w:t>
                  </w:r>
                </w:p>
              </w:tc>
              <w:tc>
                <w:tcPr>
                  <w:tcW w:w="936" w:type="dxa"/>
                  <w:vMerge w:val="continue"/>
                  <w:tcBorders>
                    <w:tl2br w:val="nil"/>
                    <w:tr2bl w:val="nil"/>
                  </w:tcBorders>
                  <w:vAlign w:val="center"/>
                </w:tcPr>
                <w:p w14:paraId="5A76EAC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79B46C4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-8.6</w:t>
                  </w:r>
                </w:p>
              </w:tc>
              <w:tc>
                <w:tcPr>
                  <w:tcW w:w="643" w:type="dxa"/>
                  <w:tcBorders>
                    <w:tl2br w:val="nil"/>
                    <w:tr2bl w:val="nil"/>
                  </w:tcBorders>
                  <w:shd w:val="clear" w:color="auto" w:fill="FFFFFF"/>
                  <w:vAlign w:val="center"/>
                </w:tcPr>
                <w:p w14:paraId="6612667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-14.1</w:t>
                  </w:r>
                </w:p>
              </w:tc>
              <w:tc>
                <w:tcPr>
                  <w:tcW w:w="546" w:type="dxa"/>
                  <w:tcBorders>
                    <w:tl2br w:val="nil"/>
                    <w:tr2bl w:val="nil"/>
                  </w:tcBorders>
                  <w:shd w:val="clear" w:color="auto" w:fill="FFFFFF"/>
                  <w:vAlign w:val="center"/>
                </w:tcPr>
                <w:p w14:paraId="5C4EFD5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00D3923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55</w:t>
                  </w:r>
                </w:p>
              </w:tc>
              <w:tc>
                <w:tcPr>
                  <w:tcW w:w="886" w:type="dxa"/>
                  <w:tcBorders>
                    <w:tl2br w:val="nil"/>
                    <w:tr2bl w:val="nil"/>
                  </w:tcBorders>
                  <w:shd w:val="clear" w:color="auto" w:fill="auto"/>
                  <w:vAlign w:val="center"/>
                </w:tcPr>
                <w:p w14:paraId="38683C3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44DA5D9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4ED965E6">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7AB84BEA">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0D89070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扭转实验机</w:t>
                  </w:r>
                </w:p>
              </w:tc>
              <w:tc>
                <w:tcPr>
                  <w:tcW w:w="651" w:type="dxa"/>
                  <w:tcBorders>
                    <w:tl2br w:val="nil"/>
                    <w:tr2bl w:val="nil"/>
                  </w:tcBorders>
                  <w:vAlign w:val="center"/>
                </w:tcPr>
                <w:p w14:paraId="1BDA30A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936" w:type="dxa"/>
                  <w:vMerge w:val="continue"/>
                  <w:tcBorders>
                    <w:tl2br w:val="nil"/>
                    <w:tr2bl w:val="nil"/>
                  </w:tcBorders>
                  <w:vAlign w:val="center"/>
                </w:tcPr>
                <w:p w14:paraId="7EE2583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09C2049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-3.8</w:t>
                  </w:r>
                </w:p>
              </w:tc>
              <w:tc>
                <w:tcPr>
                  <w:tcW w:w="643" w:type="dxa"/>
                  <w:tcBorders>
                    <w:tl2br w:val="nil"/>
                    <w:tr2bl w:val="nil"/>
                  </w:tcBorders>
                  <w:shd w:val="clear" w:color="auto" w:fill="FFFFFF"/>
                  <w:vAlign w:val="center"/>
                </w:tcPr>
                <w:p w14:paraId="74AD98D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-10.5</w:t>
                  </w:r>
                </w:p>
              </w:tc>
              <w:tc>
                <w:tcPr>
                  <w:tcW w:w="546" w:type="dxa"/>
                  <w:tcBorders>
                    <w:tl2br w:val="nil"/>
                    <w:tr2bl w:val="nil"/>
                  </w:tcBorders>
                  <w:shd w:val="clear" w:color="auto" w:fill="FFFFFF"/>
                  <w:vAlign w:val="center"/>
                </w:tcPr>
                <w:p w14:paraId="1C9DD8B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2F65998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45</w:t>
                  </w:r>
                </w:p>
              </w:tc>
              <w:tc>
                <w:tcPr>
                  <w:tcW w:w="886" w:type="dxa"/>
                  <w:tcBorders>
                    <w:tl2br w:val="nil"/>
                    <w:tr2bl w:val="nil"/>
                  </w:tcBorders>
                  <w:shd w:val="clear" w:color="auto" w:fill="auto"/>
                  <w:vAlign w:val="center"/>
                </w:tcPr>
                <w:p w14:paraId="5B4F6C3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5CB5D43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4E167705">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19C0AB01">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0B943EE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带锯锯床</w:t>
                  </w:r>
                </w:p>
              </w:tc>
              <w:tc>
                <w:tcPr>
                  <w:tcW w:w="651" w:type="dxa"/>
                  <w:tcBorders>
                    <w:tl2br w:val="nil"/>
                    <w:tr2bl w:val="nil"/>
                  </w:tcBorders>
                  <w:vAlign w:val="center"/>
                </w:tcPr>
                <w:p w14:paraId="3F8E489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936" w:type="dxa"/>
                  <w:vMerge w:val="continue"/>
                  <w:tcBorders>
                    <w:tl2br w:val="nil"/>
                    <w:tr2bl w:val="nil"/>
                  </w:tcBorders>
                  <w:vAlign w:val="center"/>
                </w:tcPr>
                <w:p w14:paraId="6252CC4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7AA3850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-19.2</w:t>
                  </w:r>
                </w:p>
              </w:tc>
              <w:tc>
                <w:tcPr>
                  <w:tcW w:w="643" w:type="dxa"/>
                  <w:tcBorders>
                    <w:tl2br w:val="nil"/>
                    <w:tr2bl w:val="nil"/>
                  </w:tcBorders>
                  <w:shd w:val="clear" w:color="auto" w:fill="FFFFFF"/>
                  <w:vAlign w:val="center"/>
                </w:tcPr>
                <w:p w14:paraId="6880EDF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546" w:type="dxa"/>
                  <w:tcBorders>
                    <w:tl2br w:val="nil"/>
                    <w:tr2bl w:val="nil"/>
                  </w:tcBorders>
                  <w:shd w:val="clear" w:color="auto" w:fill="FFFFFF"/>
                  <w:vAlign w:val="center"/>
                </w:tcPr>
                <w:p w14:paraId="258CD45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7F48691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45</w:t>
                  </w:r>
                </w:p>
              </w:tc>
              <w:tc>
                <w:tcPr>
                  <w:tcW w:w="886" w:type="dxa"/>
                  <w:tcBorders>
                    <w:tl2br w:val="nil"/>
                    <w:tr2bl w:val="nil"/>
                  </w:tcBorders>
                  <w:shd w:val="clear" w:color="auto" w:fill="auto"/>
                  <w:vAlign w:val="center"/>
                </w:tcPr>
                <w:p w14:paraId="461495F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32CFBD9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3AD2DA39">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90" w:hRule="atLeast"/>
                <w:jc w:val="center"/>
              </w:trPr>
              <w:tc>
                <w:tcPr>
                  <w:tcW w:w="450" w:type="dxa"/>
                  <w:tcBorders>
                    <w:tl2br w:val="nil"/>
                    <w:tr2bl w:val="nil"/>
                  </w:tcBorders>
                  <w:vAlign w:val="center"/>
                </w:tcPr>
                <w:p w14:paraId="42003853">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50820E3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钼丝切割机</w:t>
                  </w:r>
                </w:p>
              </w:tc>
              <w:tc>
                <w:tcPr>
                  <w:tcW w:w="651" w:type="dxa"/>
                  <w:tcBorders>
                    <w:tl2br w:val="nil"/>
                    <w:tr2bl w:val="nil"/>
                  </w:tcBorders>
                  <w:vAlign w:val="center"/>
                </w:tcPr>
                <w:p w14:paraId="255191C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936" w:type="dxa"/>
                  <w:vMerge w:val="continue"/>
                  <w:tcBorders>
                    <w:tl2br w:val="nil"/>
                    <w:tr2bl w:val="nil"/>
                  </w:tcBorders>
                  <w:vAlign w:val="center"/>
                </w:tcPr>
                <w:p w14:paraId="3E52406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10B971D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-18.8</w:t>
                  </w:r>
                </w:p>
              </w:tc>
              <w:tc>
                <w:tcPr>
                  <w:tcW w:w="643" w:type="dxa"/>
                  <w:tcBorders>
                    <w:tl2br w:val="nil"/>
                    <w:tr2bl w:val="nil"/>
                  </w:tcBorders>
                  <w:shd w:val="clear" w:color="auto" w:fill="FFFFFF"/>
                  <w:vAlign w:val="center"/>
                </w:tcPr>
                <w:p w14:paraId="08FA0AE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-22.3</w:t>
                  </w:r>
                </w:p>
              </w:tc>
              <w:tc>
                <w:tcPr>
                  <w:tcW w:w="546" w:type="dxa"/>
                  <w:tcBorders>
                    <w:tl2br w:val="nil"/>
                    <w:tr2bl w:val="nil"/>
                  </w:tcBorders>
                  <w:shd w:val="clear" w:color="auto" w:fill="FFFFFF"/>
                  <w:vAlign w:val="center"/>
                </w:tcPr>
                <w:p w14:paraId="1108AE2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139DCFC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45</w:t>
                  </w:r>
                </w:p>
              </w:tc>
              <w:tc>
                <w:tcPr>
                  <w:tcW w:w="886" w:type="dxa"/>
                  <w:tcBorders>
                    <w:tl2br w:val="nil"/>
                    <w:tr2bl w:val="nil"/>
                  </w:tcBorders>
                  <w:shd w:val="clear" w:color="auto" w:fill="auto"/>
                  <w:vAlign w:val="center"/>
                </w:tcPr>
                <w:p w14:paraId="057C2CC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667A37B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25C80AD7">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5013AE88">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7540C66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小型外圆磨床</w:t>
                  </w:r>
                </w:p>
              </w:tc>
              <w:tc>
                <w:tcPr>
                  <w:tcW w:w="651" w:type="dxa"/>
                  <w:tcBorders>
                    <w:tl2br w:val="nil"/>
                    <w:tr2bl w:val="nil"/>
                  </w:tcBorders>
                  <w:vAlign w:val="center"/>
                </w:tcPr>
                <w:p w14:paraId="3F82EB6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936" w:type="dxa"/>
                  <w:vMerge w:val="continue"/>
                  <w:tcBorders>
                    <w:tl2br w:val="nil"/>
                    <w:tr2bl w:val="nil"/>
                  </w:tcBorders>
                  <w:vAlign w:val="center"/>
                </w:tcPr>
                <w:p w14:paraId="3D48679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537DF6B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-17.3</w:t>
                  </w:r>
                </w:p>
              </w:tc>
              <w:tc>
                <w:tcPr>
                  <w:tcW w:w="643" w:type="dxa"/>
                  <w:tcBorders>
                    <w:tl2br w:val="nil"/>
                    <w:tr2bl w:val="nil"/>
                  </w:tcBorders>
                  <w:shd w:val="clear" w:color="auto" w:fill="FFFFFF"/>
                  <w:vAlign w:val="center"/>
                </w:tcPr>
                <w:p w14:paraId="028380F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-21.3</w:t>
                  </w:r>
                </w:p>
              </w:tc>
              <w:tc>
                <w:tcPr>
                  <w:tcW w:w="546" w:type="dxa"/>
                  <w:tcBorders>
                    <w:tl2br w:val="nil"/>
                    <w:tr2bl w:val="nil"/>
                  </w:tcBorders>
                  <w:shd w:val="clear" w:color="auto" w:fill="FFFFFF"/>
                  <w:vAlign w:val="center"/>
                </w:tcPr>
                <w:p w14:paraId="2198997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1918E0F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45</w:t>
                  </w:r>
                </w:p>
              </w:tc>
              <w:tc>
                <w:tcPr>
                  <w:tcW w:w="886" w:type="dxa"/>
                  <w:tcBorders>
                    <w:tl2br w:val="nil"/>
                    <w:tr2bl w:val="nil"/>
                  </w:tcBorders>
                  <w:shd w:val="clear" w:color="auto" w:fill="auto"/>
                  <w:vAlign w:val="center"/>
                </w:tcPr>
                <w:p w14:paraId="24CF453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1799FBF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5D7B1AD8">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540CE926">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3091B92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自动磨抛样机</w:t>
                  </w:r>
                </w:p>
              </w:tc>
              <w:tc>
                <w:tcPr>
                  <w:tcW w:w="651" w:type="dxa"/>
                  <w:tcBorders>
                    <w:tl2br w:val="nil"/>
                    <w:tr2bl w:val="nil"/>
                  </w:tcBorders>
                  <w:vAlign w:val="center"/>
                </w:tcPr>
                <w:p w14:paraId="13357D3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55</w:t>
                  </w:r>
                </w:p>
              </w:tc>
              <w:tc>
                <w:tcPr>
                  <w:tcW w:w="936" w:type="dxa"/>
                  <w:vMerge w:val="continue"/>
                  <w:tcBorders>
                    <w:tl2br w:val="nil"/>
                    <w:tr2bl w:val="nil"/>
                  </w:tcBorders>
                  <w:vAlign w:val="center"/>
                </w:tcPr>
                <w:p w14:paraId="410F3C7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4338046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-15.9</w:t>
                  </w:r>
                </w:p>
              </w:tc>
              <w:tc>
                <w:tcPr>
                  <w:tcW w:w="643" w:type="dxa"/>
                  <w:tcBorders>
                    <w:tl2br w:val="nil"/>
                    <w:tr2bl w:val="nil"/>
                  </w:tcBorders>
                  <w:shd w:val="clear" w:color="auto" w:fill="FFFFFF"/>
                  <w:vAlign w:val="center"/>
                </w:tcPr>
                <w:p w14:paraId="28A54E3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-19.5</w:t>
                  </w:r>
                </w:p>
              </w:tc>
              <w:tc>
                <w:tcPr>
                  <w:tcW w:w="546" w:type="dxa"/>
                  <w:tcBorders>
                    <w:tl2br w:val="nil"/>
                    <w:tr2bl w:val="nil"/>
                  </w:tcBorders>
                  <w:shd w:val="clear" w:color="auto" w:fill="FFFFFF"/>
                  <w:vAlign w:val="center"/>
                </w:tcPr>
                <w:p w14:paraId="0979D8F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5C83462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35</w:t>
                  </w:r>
                </w:p>
              </w:tc>
              <w:tc>
                <w:tcPr>
                  <w:tcW w:w="886" w:type="dxa"/>
                  <w:tcBorders>
                    <w:tl2br w:val="nil"/>
                    <w:tr2bl w:val="nil"/>
                  </w:tcBorders>
                  <w:shd w:val="clear" w:color="auto" w:fill="auto"/>
                  <w:vAlign w:val="center"/>
                </w:tcPr>
                <w:p w14:paraId="79EBC12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13B3829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6DA1F63B">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67636501">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0997BBE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手动抛光机</w:t>
                  </w:r>
                </w:p>
              </w:tc>
              <w:tc>
                <w:tcPr>
                  <w:tcW w:w="651" w:type="dxa"/>
                  <w:tcBorders>
                    <w:tl2br w:val="nil"/>
                    <w:tr2bl w:val="nil"/>
                  </w:tcBorders>
                  <w:vAlign w:val="center"/>
                </w:tcPr>
                <w:p w14:paraId="122CCB6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55</w:t>
                  </w:r>
                </w:p>
              </w:tc>
              <w:tc>
                <w:tcPr>
                  <w:tcW w:w="936" w:type="dxa"/>
                  <w:vMerge w:val="continue"/>
                  <w:tcBorders>
                    <w:tl2br w:val="nil"/>
                    <w:tr2bl w:val="nil"/>
                  </w:tcBorders>
                  <w:vAlign w:val="center"/>
                </w:tcPr>
                <w:p w14:paraId="3E344B5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19F222A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-15.6</w:t>
                  </w:r>
                </w:p>
              </w:tc>
              <w:tc>
                <w:tcPr>
                  <w:tcW w:w="643" w:type="dxa"/>
                  <w:tcBorders>
                    <w:tl2br w:val="nil"/>
                    <w:tr2bl w:val="nil"/>
                  </w:tcBorders>
                  <w:shd w:val="clear" w:color="auto" w:fill="FFFFFF"/>
                  <w:vAlign w:val="center"/>
                </w:tcPr>
                <w:p w14:paraId="3B9F265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-21</w:t>
                  </w:r>
                </w:p>
              </w:tc>
              <w:tc>
                <w:tcPr>
                  <w:tcW w:w="546" w:type="dxa"/>
                  <w:tcBorders>
                    <w:tl2br w:val="nil"/>
                    <w:tr2bl w:val="nil"/>
                  </w:tcBorders>
                  <w:shd w:val="clear" w:color="auto" w:fill="FFFFFF"/>
                  <w:vAlign w:val="center"/>
                </w:tcPr>
                <w:p w14:paraId="4A06225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0413A6A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35</w:t>
                  </w:r>
                </w:p>
              </w:tc>
              <w:tc>
                <w:tcPr>
                  <w:tcW w:w="886" w:type="dxa"/>
                  <w:tcBorders>
                    <w:tl2br w:val="nil"/>
                    <w:tr2bl w:val="nil"/>
                  </w:tcBorders>
                  <w:shd w:val="clear" w:color="auto" w:fill="auto"/>
                  <w:vAlign w:val="center"/>
                </w:tcPr>
                <w:p w14:paraId="7C7AEE8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4E0B047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2C741412">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1DBD4D58">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33C0CD3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试样切割机</w:t>
                  </w:r>
                </w:p>
              </w:tc>
              <w:tc>
                <w:tcPr>
                  <w:tcW w:w="651" w:type="dxa"/>
                  <w:tcBorders>
                    <w:tl2br w:val="nil"/>
                    <w:tr2bl w:val="nil"/>
                  </w:tcBorders>
                  <w:vAlign w:val="center"/>
                </w:tcPr>
                <w:p w14:paraId="1DD29A0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936" w:type="dxa"/>
                  <w:vMerge w:val="continue"/>
                  <w:tcBorders>
                    <w:tl2br w:val="nil"/>
                    <w:tr2bl w:val="nil"/>
                  </w:tcBorders>
                  <w:vAlign w:val="center"/>
                </w:tcPr>
                <w:p w14:paraId="48CD16F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187965D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-14.1</w:t>
                  </w:r>
                </w:p>
              </w:tc>
              <w:tc>
                <w:tcPr>
                  <w:tcW w:w="643" w:type="dxa"/>
                  <w:tcBorders>
                    <w:tl2br w:val="nil"/>
                    <w:tr2bl w:val="nil"/>
                  </w:tcBorders>
                  <w:shd w:val="clear" w:color="auto" w:fill="FFFFFF"/>
                  <w:vAlign w:val="center"/>
                </w:tcPr>
                <w:p w14:paraId="3776EB5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-19.5</w:t>
                  </w:r>
                </w:p>
              </w:tc>
              <w:tc>
                <w:tcPr>
                  <w:tcW w:w="546" w:type="dxa"/>
                  <w:tcBorders>
                    <w:tl2br w:val="nil"/>
                    <w:tr2bl w:val="nil"/>
                  </w:tcBorders>
                  <w:shd w:val="clear" w:color="auto" w:fill="FFFFFF"/>
                  <w:vAlign w:val="center"/>
                </w:tcPr>
                <w:p w14:paraId="42DADDE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1A2BE9D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45</w:t>
                  </w:r>
                </w:p>
              </w:tc>
              <w:tc>
                <w:tcPr>
                  <w:tcW w:w="886" w:type="dxa"/>
                  <w:tcBorders>
                    <w:tl2br w:val="nil"/>
                    <w:tr2bl w:val="nil"/>
                  </w:tcBorders>
                  <w:shd w:val="clear" w:color="auto" w:fill="auto"/>
                  <w:vAlign w:val="center"/>
                </w:tcPr>
                <w:p w14:paraId="35B4AF4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6F65B25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3ED9667B">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5A836CB9">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2153F96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喷雾干燥机</w:t>
                  </w:r>
                </w:p>
              </w:tc>
              <w:tc>
                <w:tcPr>
                  <w:tcW w:w="651" w:type="dxa"/>
                  <w:tcBorders>
                    <w:tl2br w:val="nil"/>
                    <w:tr2bl w:val="nil"/>
                  </w:tcBorders>
                  <w:vAlign w:val="center"/>
                </w:tcPr>
                <w:p w14:paraId="2C91ED9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936" w:type="dxa"/>
                  <w:vMerge w:val="continue"/>
                  <w:tcBorders>
                    <w:tl2br w:val="nil"/>
                    <w:tr2bl w:val="nil"/>
                  </w:tcBorders>
                  <w:vAlign w:val="center"/>
                </w:tcPr>
                <w:p w14:paraId="7A514EC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4085E80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2.3</w:t>
                  </w:r>
                </w:p>
              </w:tc>
              <w:tc>
                <w:tcPr>
                  <w:tcW w:w="643" w:type="dxa"/>
                  <w:tcBorders>
                    <w:tl2br w:val="nil"/>
                    <w:tr2bl w:val="nil"/>
                  </w:tcBorders>
                  <w:shd w:val="clear" w:color="auto" w:fill="FFFFFF"/>
                  <w:vAlign w:val="center"/>
                </w:tcPr>
                <w:p w14:paraId="6A0F49D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11.3</w:t>
                  </w:r>
                </w:p>
              </w:tc>
              <w:tc>
                <w:tcPr>
                  <w:tcW w:w="546" w:type="dxa"/>
                  <w:tcBorders>
                    <w:tl2br w:val="nil"/>
                    <w:tr2bl w:val="nil"/>
                  </w:tcBorders>
                  <w:shd w:val="clear" w:color="auto" w:fill="FFFFFF"/>
                  <w:vAlign w:val="center"/>
                </w:tcPr>
                <w:p w14:paraId="236489D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38D5E8C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45</w:t>
                  </w:r>
                </w:p>
              </w:tc>
              <w:tc>
                <w:tcPr>
                  <w:tcW w:w="886" w:type="dxa"/>
                  <w:tcBorders>
                    <w:tl2br w:val="nil"/>
                    <w:tr2bl w:val="nil"/>
                  </w:tcBorders>
                  <w:shd w:val="clear" w:color="auto" w:fill="auto"/>
                  <w:vAlign w:val="center"/>
                </w:tcPr>
                <w:p w14:paraId="304B6BE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56C95EF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1E89C936">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4807DBE0">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1E02CC3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立式搅拌磨</w:t>
                  </w:r>
                </w:p>
              </w:tc>
              <w:tc>
                <w:tcPr>
                  <w:tcW w:w="651" w:type="dxa"/>
                  <w:tcBorders>
                    <w:tl2br w:val="nil"/>
                    <w:tr2bl w:val="nil"/>
                  </w:tcBorders>
                  <w:vAlign w:val="center"/>
                </w:tcPr>
                <w:p w14:paraId="520A49D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70</w:t>
                  </w:r>
                </w:p>
              </w:tc>
              <w:tc>
                <w:tcPr>
                  <w:tcW w:w="936" w:type="dxa"/>
                  <w:vMerge w:val="continue"/>
                  <w:tcBorders>
                    <w:tl2br w:val="nil"/>
                    <w:tr2bl w:val="nil"/>
                  </w:tcBorders>
                  <w:vAlign w:val="center"/>
                </w:tcPr>
                <w:p w14:paraId="6E38E7E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33D9360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0</w:t>
                  </w:r>
                </w:p>
              </w:tc>
              <w:tc>
                <w:tcPr>
                  <w:tcW w:w="643" w:type="dxa"/>
                  <w:tcBorders>
                    <w:tl2br w:val="nil"/>
                    <w:tr2bl w:val="nil"/>
                  </w:tcBorders>
                  <w:shd w:val="clear" w:color="auto" w:fill="FFFFFF"/>
                  <w:vAlign w:val="center"/>
                </w:tcPr>
                <w:p w14:paraId="4FF3B4A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9.8</w:t>
                  </w:r>
                </w:p>
              </w:tc>
              <w:tc>
                <w:tcPr>
                  <w:tcW w:w="546" w:type="dxa"/>
                  <w:tcBorders>
                    <w:tl2br w:val="nil"/>
                    <w:tr2bl w:val="nil"/>
                  </w:tcBorders>
                  <w:shd w:val="clear" w:color="auto" w:fill="FFFFFF"/>
                  <w:vAlign w:val="center"/>
                </w:tcPr>
                <w:p w14:paraId="328A2BC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042A8F2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50</w:t>
                  </w:r>
                </w:p>
              </w:tc>
              <w:tc>
                <w:tcPr>
                  <w:tcW w:w="886" w:type="dxa"/>
                  <w:tcBorders>
                    <w:tl2br w:val="nil"/>
                    <w:tr2bl w:val="nil"/>
                  </w:tcBorders>
                  <w:shd w:val="clear" w:color="auto" w:fill="auto"/>
                  <w:vAlign w:val="center"/>
                </w:tcPr>
                <w:p w14:paraId="26C0107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65BF368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7E78E9EF">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4F305470">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1BE6510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纳米砂磨机</w:t>
                  </w:r>
                </w:p>
              </w:tc>
              <w:tc>
                <w:tcPr>
                  <w:tcW w:w="651" w:type="dxa"/>
                  <w:tcBorders>
                    <w:tl2br w:val="nil"/>
                    <w:tr2bl w:val="nil"/>
                  </w:tcBorders>
                  <w:vAlign w:val="center"/>
                </w:tcPr>
                <w:p w14:paraId="36EA9A1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60</w:t>
                  </w:r>
                </w:p>
              </w:tc>
              <w:tc>
                <w:tcPr>
                  <w:tcW w:w="936" w:type="dxa"/>
                  <w:vMerge w:val="continue"/>
                  <w:tcBorders>
                    <w:tl2br w:val="nil"/>
                    <w:tr2bl w:val="nil"/>
                  </w:tcBorders>
                  <w:vAlign w:val="center"/>
                </w:tcPr>
                <w:p w14:paraId="1A9605B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5552D0E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10.4</w:t>
                  </w:r>
                </w:p>
              </w:tc>
              <w:tc>
                <w:tcPr>
                  <w:tcW w:w="643" w:type="dxa"/>
                  <w:tcBorders>
                    <w:tl2br w:val="nil"/>
                    <w:tr2bl w:val="nil"/>
                  </w:tcBorders>
                  <w:shd w:val="clear" w:color="auto" w:fill="FFFFFF"/>
                  <w:vAlign w:val="center"/>
                </w:tcPr>
                <w:p w14:paraId="0C8A01A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2.2</w:t>
                  </w:r>
                </w:p>
              </w:tc>
              <w:tc>
                <w:tcPr>
                  <w:tcW w:w="546" w:type="dxa"/>
                  <w:tcBorders>
                    <w:tl2br w:val="nil"/>
                    <w:tr2bl w:val="nil"/>
                  </w:tcBorders>
                  <w:shd w:val="clear" w:color="auto" w:fill="FFFFFF"/>
                  <w:vAlign w:val="center"/>
                </w:tcPr>
                <w:p w14:paraId="064B41E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7C41408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40</w:t>
                  </w:r>
                </w:p>
              </w:tc>
              <w:tc>
                <w:tcPr>
                  <w:tcW w:w="886" w:type="dxa"/>
                  <w:tcBorders>
                    <w:tl2br w:val="nil"/>
                    <w:tr2bl w:val="nil"/>
                  </w:tcBorders>
                  <w:shd w:val="clear" w:color="auto" w:fill="auto"/>
                  <w:vAlign w:val="center"/>
                </w:tcPr>
                <w:p w14:paraId="3BEC75F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2F137AE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6AC7B94B">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685D08E2">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2A8F2A8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颚破机</w:t>
                  </w:r>
                </w:p>
              </w:tc>
              <w:tc>
                <w:tcPr>
                  <w:tcW w:w="651" w:type="dxa"/>
                  <w:tcBorders>
                    <w:tl2br w:val="nil"/>
                    <w:tr2bl w:val="nil"/>
                  </w:tcBorders>
                  <w:vAlign w:val="center"/>
                </w:tcPr>
                <w:p w14:paraId="39B4E8C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75</w:t>
                  </w:r>
                </w:p>
              </w:tc>
              <w:tc>
                <w:tcPr>
                  <w:tcW w:w="936" w:type="dxa"/>
                  <w:vMerge w:val="continue"/>
                  <w:tcBorders>
                    <w:tl2br w:val="nil"/>
                    <w:tr2bl w:val="nil"/>
                  </w:tcBorders>
                  <w:vAlign w:val="center"/>
                </w:tcPr>
                <w:p w14:paraId="17605BC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07DE9B3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7.2</w:t>
                  </w:r>
                </w:p>
              </w:tc>
              <w:tc>
                <w:tcPr>
                  <w:tcW w:w="643" w:type="dxa"/>
                  <w:tcBorders>
                    <w:tl2br w:val="nil"/>
                    <w:tr2bl w:val="nil"/>
                  </w:tcBorders>
                  <w:shd w:val="clear" w:color="auto" w:fill="FFFFFF"/>
                  <w:vAlign w:val="center"/>
                </w:tcPr>
                <w:p w14:paraId="6108E98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0.6</w:t>
                  </w:r>
                </w:p>
              </w:tc>
              <w:tc>
                <w:tcPr>
                  <w:tcW w:w="546" w:type="dxa"/>
                  <w:tcBorders>
                    <w:tl2br w:val="nil"/>
                    <w:tr2bl w:val="nil"/>
                  </w:tcBorders>
                  <w:shd w:val="clear" w:color="auto" w:fill="FFFFFF"/>
                  <w:vAlign w:val="center"/>
                </w:tcPr>
                <w:p w14:paraId="331A7D0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546740B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55</w:t>
                  </w:r>
                </w:p>
              </w:tc>
              <w:tc>
                <w:tcPr>
                  <w:tcW w:w="886" w:type="dxa"/>
                  <w:tcBorders>
                    <w:tl2br w:val="nil"/>
                    <w:tr2bl w:val="nil"/>
                  </w:tcBorders>
                  <w:shd w:val="clear" w:color="auto" w:fill="auto"/>
                  <w:vAlign w:val="center"/>
                </w:tcPr>
                <w:p w14:paraId="7D0E464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7B86831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225F3E49">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49515790">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505F987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对辊机</w:t>
                  </w:r>
                </w:p>
              </w:tc>
              <w:tc>
                <w:tcPr>
                  <w:tcW w:w="651" w:type="dxa"/>
                  <w:tcBorders>
                    <w:tl2br w:val="nil"/>
                    <w:tr2bl w:val="nil"/>
                  </w:tcBorders>
                  <w:vAlign w:val="center"/>
                </w:tcPr>
                <w:p w14:paraId="159628E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70</w:t>
                  </w:r>
                </w:p>
              </w:tc>
              <w:tc>
                <w:tcPr>
                  <w:tcW w:w="936" w:type="dxa"/>
                  <w:vMerge w:val="continue"/>
                  <w:tcBorders>
                    <w:tl2br w:val="nil"/>
                    <w:tr2bl w:val="nil"/>
                  </w:tcBorders>
                  <w:vAlign w:val="center"/>
                </w:tcPr>
                <w:p w14:paraId="22D2D11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20CE909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4.4</w:t>
                  </w:r>
                </w:p>
              </w:tc>
              <w:tc>
                <w:tcPr>
                  <w:tcW w:w="643" w:type="dxa"/>
                  <w:tcBorders>
                    <w:tl2br w:val="nil"/>
                    <w:tr2bl w:val="nil"/>
                  </w:tcBorders>
                  <w:shd w:val="clear" w:color="auto" w:fill="FFFFFF"/>
                  <w:vAlign w:val="center"/>
                </w:tcPr>
                <w:p w14:paraId="12C4F2A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-0.5</w:t>
                  </w:r>
                </w:p>
              </w:tc>
              <w:tc>
                <w:tcPr>
                  <w:tcW w:w="546" w:type="dxa"/>
                  <w:tcBorders>
                    <w:tl2br w:val="nil"/>
                    <w:tr2bl w:val="nil"/>
                  </w:tcBorders>
                  <w:shd w:val="clear" w:color="auto" w:fill="FFFFFF"/>
                  <w:vAlign w:val="center"/>
                </w:tcPr>
                <w:p w14:paraId="556C0DB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041E749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45</w:t>
                  </w:r>
                </w:p>
              </w:tc>
              <w:tc>
                <w:tcPr>
                  <w:tcW w:w="886" w:type="dxa"/>
                  <w:tcBorders>
                    <w:tl2br w:val="nil"/>
                    <w:tr2bl w:val="nil"/>
                  </w:tcBorders>
                  <w:shd w:val="clear" w:color="auto" w:fill="auto"/>
                  <w:vAlign w:val="center"/>
                </w:tcPr>
                <w:p w14:paraId="4ABCD6C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3FC879B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31B5F723">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200736EE">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182A1F5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球磨仪</w:t>
                  </w:r>
                </w:p>
              </w:tc>
              <w:tc>
                <w:tcPr>
                  <w:tcW w:w="651" w:type="dxa"/>
                  <w:tcBorders>
                    <w:tl2br w:val="nil"/>
                    <w:tr2bl w:val="nil"/>
                  </w:tcBorders>
                  <w:vAlign w:val="center"/>
                </w:tcPr>
                <w:p w14:paraId="3340D5F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936" w:type="dxa"/>
                  <w:vMerge w:val="continue"/>
                  <w:tcBorders>
                    <w:tl2br w:val="nil"/>
                    <w:tr2bl w:val="nil"/>
                  </w:tcBorders>
                  <w:vAlign w:val="center"/>
                </w:tcPr>
                <w:p w14:paraId="7BF9879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64B565D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7.7</w:t>
                  </w:r>
                </w:p>
              </w:tc>
              <w:tc>
                <w:tcPr>
                  <w:tcW w:w="643" w:type="dxa"/>
                  <w:tcBorders>
                    <w:tl2br w:val="nil"/>
                    <w:tr2bl w:val="nil"/>
                  </w:tcBorders>
                  <w:shd w:val="clear" w:color="auto" w:fill="FFFFFF"/>
                  <w:vAlign w:val="center"/>
                </w:tcPr>
                <w:p w14:paraId="55059FE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w:t>
                  </w:r>
                </w:p>
              </w:tc>
              <w:tc>
                <w:tcPr>
                  <w:tcW w:w="546" w:type="dxa"/>
                  <w:tcBorders>
                    <w:tl2br w:val="nil"/>
                    <w:tr2bl w:val="nil"/>
                  </w:tcBorders>
                  <w:shd w:val="clear" w:color="auto" w:fill="FFFFFF"/>
                  <w:vAlign w:val="center"/>
                </w:tcPr>
                <w:p w14:paraId="636F341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36B8BE3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45</w:t>
                  </w:r>
                </w:p>
              </w:tc>
              <w:tc>
                <w:tcPr>
                  <w:tcW w:w="886" w:type="dxa"/>
                  <w:tcBorders>
                    <w:tl2br w:val="nil"/>
                    <w:tr2bl w:val="nil"/>
                  </w:tcBorders>
                  <w:shd w:val="clear" w:color="auto" w:fill="auto"/>
                  <w:vAlign w:val="center"/>
                </w:tcPr>
                <w:p w14:paraId="764BC93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1BB9002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44E28C53">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4DF92E14">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0788C28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气流磨</w:t>
                  </w:r>
                </w:p>
              </w:tc>
              <w:tc>
                <w:tcPr>
                  <w:tcW w:w="651" w:type="dxa"/>
                  <w:tcBorders>
                    <w:tl2br w:val="nil"/>
                    <w:tr2bl w:val="nil"/>
                  </w:tcBorders>
                  <w:vAlign w:val="center"/>
                </w:tcPr>
                <w:p w14:paraId="15C8624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936" w:type="dxa"/>
                  <w:vMerge w:val="continue"/>
                  <w:tcBorders>
                    <w:tl2br w:val="nil"/>
                    <w:tr2bl w:val="nil"/>
                  </w:tcBorders>
                  <w:vAlign w:val="center"/>
                </w:tcPr>
                <w:p w14:paraId="63D5D3D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40FCE5F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5.2</w:t>
                  </w:r>
                </w:p>
              </w:tc>
              <w:tc>
                <w:tcPr>
                  <w:tcW w:w="643" w:type="dxa"/>
                  <w:tcBorders>
                    <w:tl2br w:val="nil"/>
                    <w:tr2bl w:val="nil"/>
                  </w:tcBorders>
                  <w:shd w:val="clear" w:color="auto" w:fill="FFFFFF"/>
                  <w:vAlign w:val="center"/>
                </w:tcPr>
                <w:p w14:paraId="6CF75D7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-2.8</w:t>
                  </w:r>
                </w:p>
              </w:tc>
              <w:tc>
                <w:tcPr>
                  <w:tcW w:w="546" w:type="dxa"/>
                  <w:tcBorders>
                    <w:tl2br w:val="nil"/>
                    <w:tr2bl w:val="nil"/>
                  </w:tcBorders>
                  <w:shd w:val="clear" w:color="auto" w:fill="FFFFFF"/>
                  <w:vAlign w:val="center"/>
                </w:tcPr>
                <w:p w14:paraId="1801E66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1B4E5E4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45</w:t>
                  </w:r>
                </w:p>
              </w:tc>
              <w:tc>
                <w:tcPr>
                  <w:tcW w:w="886" w:type="dxa"/>
                  <w:tcBorders>
                    <w:tl2br w:val="nil"/>
                    <w:tr2bl w:val="nil"/>
                  </w:tcBorders>
                  <w:shd w:val="clear" w:color="auto" w:fill="auto"/>
                  <w:vAlign w:val="center"/>
                </w:tcPr>
                <w:p w14:paraId="4780BF4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15C349B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0AC24637">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2515A32E">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7AE8829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螺杆空压机</w:t>
                  </w:r>
                </w:p>
              </w:tc>
              <w:tc>
                <w:tcPr>
                  <w:tcW w:w="651" w:type="dxa"/>
                  <w:tcBorders>
                    <w:tl2br w:val="nil"/>
                    <w:tr2bl w:val="nil"/>
                  </w:tcBorders>
                  <w:vAlign w:val="center"/>
                </w:tcPr>
                <w:p w14:paraId="009F3B3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75</w:t>
                  </w:r>
                </w:p>
              </w:tc>
              <w:tc>
                <w:tcPr>
                  <w:tcW w:w="936" w:type="dxa"/>
                  <w:vMerge w:val="continue"/>
                  <w:tcBorders>
                    <w:tl2br w:val="nil"/>
                    <w:tr2bl w:val="nil"/>
                  </w:tcBorders>
                  <w:vAlign w:val="center"/>
                </w:tcPr>
                <w:p w14:paraId="70C3129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28BC8A1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25.4</w:t>
                  </w:r>
                </w:p>
              </w:tc>
              <w:tc>
                <w:tcPr>
                  <w:tcW w:w="643" w:type="dxa"/>
                  <w:tcBorders>
                    <w:tl2br w:val="nil"/>
                    <w:tr2bl w:val="nil"/>
                  </w:tcBorders>
                  <w:shd w:val="clear" w:color="auto" w:fill="FFFFFF"/>
                  <w:vAlign w:val="center"/>
                </w:tcPr>
                <w:p w14:paraId="1B32877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8.2</w:t>
                  </w:r>
                </w:p>
              </w:tc>
              <w:tc>
                <w:tcPr>
                  <w:tcW w:w="546" w:type="dxa"/>
                  <w:tcBorders>
                    <w:tl2br w:val="nil"/>
                    <w:tr2bl w:val="nil"/>
                  </w:tcBorders>
                  <w:shd w:val="clear" w:color="auto" w:fill="FFFFFF"/>
                  <w:vAlign w:val="center"/>
                </w:tcPr>
                <w:p w14:paraId="012764B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2E13F03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55</w:t>
                  </w:r>
                </w:p>
              </w:tc>
              <w:tc>
                <w:tcPr>
                  <w:tcW w:w="886" w:type="dxa"/>
                  <w:tcBorders>
                    <w:tl2br w:val="nil"/>
                    <w:tr2bl w:val="nil"/>
                  </w:tcBorders>
                  <w:shd w:val="clear" w:color="auto" w:fill="auto"/>
                  <w:vAlign w:val="center"/>
                </w:tcPr>
                <w:p w14:paraId="2281C45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0471C55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20BB6DB4">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263DED64">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4A7A7F3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小型V型混料机</w:t>
                  </w:r>
                </w:p>
              </w:tc>
              <w:tc>
                <w:tcPr>
                  <w:tcW w:w="651" w:type="dxa"/>
                  <w:tcBorders>
                    <w:tl2br w:val="nil"/>
                    <w:tr2bl w:val="nil"/>
                  </w:tcBorders>
                  <w:vAlign w:val="center"/>
                </w:tcPr>
                <w:p w14:paraId="1663333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936" w:type="dxa"/>
                  <w:vMerge w:val="continue"/>
                  <w:tcBorders>
                    <w:tl2br w:val="nil"/>
                    <w:tr2bl w:val="nil"/>
                  </w:tcBorders>
                  <w:vAlign w:val="center"/>
                </w:tcPr>
                <w:p w14:paraId="0338CDF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5EE2C5C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10.3</w:t>
                  </w:r>
                </w:p>
              </w:tc>
              <w:tc>
                <w:tcPr>
                  <w:tcW w:w="643" w:type="dxa"/>
                  <w:tcBorders>
                    <w:tl2br w:val="nil"/>
                    <w:tr2bl w:val="nil"/>
                  </w:tcBorders>
                  <w:shd w:val="clear" w:color="auto" w:fill="FFFFFF"/>
                  <w:vAlign w:val="center"/>
                </w:tcPr>
                <w:p w14:paraId="22832AB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-0.6</w:t>
                  </w:r>
                </w:p>
              </w:tc>
              <w:tc>
                <w:tcPr>
                  <w:tcW w:w="546" w:type="dxa"/>
                  <w:tcBorders>
                    <w:tl2br w:val="nil"/>
                    <w:tr2bl w:val="nil"/>
                  </w:tcBorders>
                  <w:shd w:val="clear" w:color="auto" w:fill="FFFFFF"/>
                  <w:vAlign w:val="center"/>
                </w:tcPr>
                <w:p w14:paraId="7C390D6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7CE0B32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45</w:t>
                  </w:r>
                </w:p>
              </w:tc>
              <w:tc>
                <w:tcPr>
                  <w:tcW w:w="886" w:type="dxa"/>
                  <w:tcBorders>
                    <w:tl2br w:val="nil"/>
                    <w:tr2bl w:val="nil"/>
                  </w:tcBorders>
                  <w:shd w:val="clear" w:color="auto" w:fill="auto"/>
                  <w:vAlign w:val="center"/>
                </w:tcPr>
                <w:p w14:paraId="1E4A91F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34E3D87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42DCDD9D">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391D975B">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4212282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小型超声筛分系统</w:t>
                  </w:r>
                </w:p>
              </w:tc>
              <w:tc>
                <w:tcPr>
                  <w:tcW w:w="651" w:type="dxa"/>
                  <w:tcBorders>
                    <w:tl2br w:val="nil"/>
                    <w:tr2bl w:val="nil"/>
                  </w:tcBorders>
                  <w:vAlign w:val="center"/>
                </w:tcPr>
                <w:p w14:paraId="0E54575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60</w:t>
                  </w:r>
                </w:p>
              </w:tc>
              <w:tc>
                <w:tcPr>
                  <w:tcW w:w="936" w:type="dxa"/>
                  <w:vMerge w:val="continue"/>
                  <w:tcBorders>
                    <w:tl2br w:val="nil"/>
                    <w:tr2bl w:val="nil"/>
                  </w:tcBorders>
                  <w:vAlign w:val="center"/>
                </w:tcPr>
                <w:p w14:paraId="2B6CBAB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75A519E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12.5</w:t>
                  </w:r>
                </w:p>
              </w:tc>
              <w:tc>
                <w:tcPr>
                  <w:tcW w:w="643" w:type="dxa"/>
                  <w:tcBorders>
                    <w:tl2br w:val="nil"/>
                    <w:tr2bl w:val="nil"/>
                  </w:tcBorders>
                  <w:shd w:val="clear" w:color="auto" w:fill="FFFFFF"/>
                  <w:vAlign w:val="center"/>
                </w:tcPr>
                <w:p w14:paraId="7DAD16D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-0.2</w:t>
                  </w:r>
                </w:p>
              </w:tc>
              <w:tc>
                <w:tcPr>
                  <w:tcW w:w="546" w:type="dxa"/>
                  <w:tcBorders>
                    <w:tl2br w:val="nil"/>
                    <w:tr2bl w:val="nil"/>
                  </w:tcBorders>
                  <w:shd w:val="clear" w:color="auto" w:fill="FFFFFF"/>
                  <w:vAlign w:val="center"/>
                </w:tcPr>
                <w:p w14:paraId="4E7DFEE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1FD258D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40</w:t>
                  </w:r>
                </w:p>
              </w:tc>
              <w:tc>
                <w:tcPr>
                  <w:tcW w:w="886" w:type="dxa"/>
                  <w:tcBorders>
                    <w:tl2br w:val="nil"/>
                    <w:tr2bl w:val="nil"/>
                  </w:tcBorders>
                  <w:shd w:val="clear" w:color="auto" w:fill="auto"/>
                  <w:vAlign w:val="center"/>
                </w:tcPr>
                <w:p w14:paraId="7A5894B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2395189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405FD30D">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46E0EAF0">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160E3EC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250℃鼓风干燥箱</w:t>
                  </w:r>
                </w:p>
              </w:tc>
              <w:tc>
                <w:tcPr>
                  <w:tcW w:w="651" w:type="dxa"/>
                  <w:tcBorders>
                    <w:tl2br w:val="nil"/>
                    <w:tr2bl w:val="nil"/>
                  </w:tcBorders>
                  <w:vAlign w:val="center"/>
                </w:tcPr>
                <w:p w14:paraId="371DC63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60</w:t>
                  </w:r>
                </w:p>
              </w:tc>
              <w:tc>
                <w:tcPr>
                  <w:tcW w:w="936" w:type="dxa"/>
                  <w:vMerge w:val="continue"/>
                  <w:tcBorders>
                    <w:tl2br w:val="nil"/>
                    <w:tr2bl w:val="nil"/>
                  </w:tcBorders>
                  <w:vAlign w:val="center"/>
                </w:tcPr>
                <w:p w14:paraId="4EEF4A3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7183D71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10.5</w:t>
                  </w:r>
                </w:p>
              </w:tc>
              <w:tc>
                <w:tcPr>
                  <w:tcW w:w="643" w:type="dxa"/>
                  <w:tcBorders>
                    <w:tl2br w:val="nil"/>
                    <w:tr2bl w:val="nil"/>
                  </w:tcBorders>
                  <w:shd w:val="clear" w:color="auto" w:fill="FFFFFF"/>
                  <w:vAlign w:val="center"/>
                </w:tcPr>
                <w:p w14:paraId="3AC355A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13.8</w:t>
                  </w:r>
                </w:p>
              </w:tc>
              <w:tc>
                <w:tcPr>
                  <w:tcW w:w="546" w:type="dxa"/>
                  <w:tcBorders>
                    <w:tl2br w:val="nil"/>
                    <w:tr2bl w:val="nil"/>
                  </w:tcBorders>
                  <w:shd w:val="clear" w:color="auto" w:fill="FFFFFF"/>
                  <w:vAlign w:val="center"/>
                </w:tcPr>
                <w:p w14:paraId="37747B5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7BE0DA7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40</w:t>
                  </w:r>
                </w:p>
              </w:tc>
              <w:tc>
                <w:tcPr>
                  <w:tcW w:w="886" w:type="dxa"/>
                  <w:tcBorders>
                    <w:tl2br w:val="nil"/>
                    <w:tr2bl w:val="nil"/>
                  </w:tcBorders>
                  <w:shd w:val="clear" w:color="auto" w:fill="auto"/>
                  <w:vAlign w:val="center"/>
                </w:tcPr>
                <w:p w14:paraId="3858B4E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49239DB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2DE5AC5C">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3644828C">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32D8F55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200℃鼓风干燥箱</w:t>
                  </w:r>
                </w:p>
              </w:tc>
              <w:tc>
                <w:tcPr>
                  <w:tcW w:w="651" w:type="dxa"/>
                  <w:tcBorders>
                    <w:tl2br w:val="nil"/>
                    <w:tr2bl w:val="nil"/>
                  </w:tcBorders>
                  <w:vAlign w:val="center"/>
                </w:tcPr>
                <w:p w14:paraId="49A116B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60</w:t>
                  </w:r>
                </w:p>
              </w:tc>
              <w:tc>
                <w:tcPr>
                  <w:tcW w:w="936" w:type="dxa"/>
                  <w:vMerge w:val="continue"/>
                  <w:tcBorders>
                    <w:tl2br w:val="nil"/>
                    <w:tr2bl w:val="nil"/>
                  </w:tcBorders>
                  <w:vAlign w:val="center"/>
                </w:tcPr>
                <w:p w14:paraId="4FC4643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2107F44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8.4</w:t>
                  </w:r>
                </w:p>
              </w:tc>
              <w:tc>
                <w:tcPr>
                  <w:tcW w:w="643" w:type="dxa"/>
                  <w:tcBorders>
                    <w:tl2br w:val="nil"/>
                    <w:tr2bl w:val="nil"/>
                  </w:tcBorders>
                  <w:shd w:val="clear" w:color="auto" w:fill="FFFFFF"/>
                  <w:vAlign w:val="center"/>
                </w:tcPr>
                <w:p w14:paraId="6793B0A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14</w:t>
                  </w:r>
                </w:p>
              </w:tc>
              <w:tc>
                <w:tcPr>
                  <w:tcW w:w="546" w:type="dxa"/>
                  <w:tcBorders>
                    <w:tl2br w:val="nil"/>
                    <w:tr2bl w:val="nil"/>
                  </w:tcBorders>
                  <w:shd w:val="clear" w:color="auto" w:fill="FFFFFF"/>
                  <w:vAlign w:val="center"/>
                </w:tcPr>
                <w:p w14:paraId="40E0756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35289E3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40</w:t>
                  </w:r>
                </w:p>
              </w:tc>
              <w:tc>
                <w:tcPr>
                  <w:tcW w:w="886" w:type="dxa"/>
                  <w:tcBorders>
                    <w:tl2br w:val="nil"/>
                    <w:tr2bl w:val="nil"/>
                  </w:tcBorders>
                  <w:shd w:val="clear" w:color="auto" w:fill="auto"/>
                  <w:vAlign w:val="center"/>
                </w:tcPr>
                <w:p w14:paraId="4574216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652736A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791090C4">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7B1DC27A">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638FF03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电动对辊机</w:t>
                  </w:r>
                </w:p>
              </w:tc>
              <w:tc>
                <w:tcPr>
                  <w:tcW w:w="651" w:type="dxa"/>
                  <w:tcBorders>
                    <w:tl2br w:val="nil"/>
                    <w:tr2bl w:val="nil"/>
                  </w:tcBorders>
                  <w:vAlign w:val="center"/>
                </w:tcPr>
                <w:p w14:paraId="4EC9A67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70</w:t>
                  </w:r>
                </w:p>
              </w:tc>
              <w:tc>
                <w:tcPr>
                  <w:tcW w:w="936" w:type="dxa"/>
                  <w:vMerge w:val="continue"/>
                  <w:tcBorders>
                    <w:tl2br w:val="nil"/>
                    <w:tr2bl w:val="nil"/>
                  </w:tcBorders>
                  <w:vAlign w:val="center"/>
                </w:tcPr>
                <w:p w14:paraId="66405E2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46E89AA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4.7</w:t>
                  </w:r>
                </w:p>
              </w:tc>
              <w:tc>
                <w:tcPr>
                  <w:tcW w:w="643" w:type="dxa"/>
                  <w:tcBorders>
                    <w:tl2br w:val="nil"/>
                    <w:tr2bl w:val="nil"/>
                  </w:tcBorders>
                  <w:shd w:val="clear" w:color="auto" w:fill="FFFFFF"/>
                  <w:vAlign w:val="center"/>
                </w:tcPr>
                <w:p w14:paraId="63AF8E8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9.9</w:t>
                  </w:r>
                </w:p>
              </w:tc>
              <w:tc>
                <w:tcPr>
                  <w:tcW w:w="546" w:type="dxa"/>
                  <w:tcBorders>
                    <w:tl2br w:val="nil"/>
                    <w:tr2bl w:val="nil"/>
                  </w:tcBorders>
                  <w:shd w:val="clear" w:color="auto" w:fill="FFFFFF"/>
                  <w:vAlign w:val="center"/>
                </w:tcPr>
                <w:p w14:paraId="3EA0F4E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1252553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50</w:t>
                  </w:r>
                </w:p>
              </w:tc>
              <w:tc>
                <w:tcPr>
                  <w:tcW w:w="886" w:type="dxa"/>
                  <w:tcBorders>
                    <w:tl2br w:val="nil"/>
                    <w:tr2bl w:val="nil"/>
                  </w:tcBorders>
                  <w:shd w:val="clear" w:color="auto" w:fill="auto"/>
                  <w:vAlign w:val="center"/>
                </w:tcPr>
                <w:p w14:paraId="5EFCC9B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4D898DB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2ABC41B7">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5A71C09C">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587BAC3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离心混合制浆机</w:t>
                  </w:r>
                </w:p>
              </w:tc>
              <w:tc>
                <w:tcPr>
                  <w:tcW w:w="651" w:type="dxa"/>
                  <w:tcBorders>
                    <w:tl2br w:val="nil"/>
                    <w:tr2bl w:val="nil"/>
                  </w:tcBorders>
                  <w:vAlign w:val="center"/>
                </w:tcPr>
                <w:p w14:paraId="66DD653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60</w:t>
                  </w:r>
                </w:p>
              </w:tc>
              <w:tc>
                <w:tcPr>
                  <w:tcW w:w="936" w:type="dxa"/>
                  <w:vMerge w:val="continue"/>
                  <w:tcBorders>
                    <w:tl2br w:val="nil"/>
                    <w:tr2bl w:val="nil"/>
                  </w:tcBorders>
                  <w:vAlign w:val="center"/>
                </w:tcPr>
                <w:p w14:paraId="3EDBFD1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08FBCEE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12.8</w:t>
                  </w:r>
                </w:p>
              </w:tc>
              <w:tc>
                <w:tcPr>
                  <w:tcW w:w="643" w:type="dxa"/>
                  <w:tcBorders>
                    <w:tl2br w:val="nil"/>
                    <w:tr2bl w:val="nil"/>
                  </w:tcBorders>
                  <w:shd w:val="clear" w:color="auto" w:fill="FFFFFF"/>
                  <w:vAlign w:val="center"/>
                </w:tcPr>
                <w:p w14:paraId="1BD4245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1.4</w:t>
                  </w:r>
                </w:p>
              </w:tc>
              <w:tc>
                <w:tcPr>
                  <w:tcW w:w="546" w:type="dxa"/>
                  <w:tcBorders>
                    <w:tl2br w:val="nil"/>
                    <w:tr2bl w:val="nil"/>
                  </w:tcBorders>
                  <w:shd w:val="clear" w:color="auto" w:fill="FFFFFF"/>
                  <w:vAlign w:val="center"/>
                </w:tcPr>
                <w:p w14:paraId="0A86C40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3DB84E1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40</w:t>
                  </w:r>
                </w:p>
              </w:tc>
              <w:tc>
                <w:tcPr>
                  <w:tcW w:w="886" w:type="dxa"/>
                  <w:tcBorders>
                    <w:tl2br w:val="nil"/>
                    <w:tr2bl w:val="nil"/>
                  </w:tcBorders>
                  <w:shd w:val="clear" w:color="auto" w:fill="auto"/>
                  <w:vAlign w:val="center"/>
                </w:tcPr>
                <w:p w14:paraId="258E6D0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09E1A92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663177C5">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243DDF45">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7A46E1A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干燥房及除湿机组</w:t>
                  </w:r>
                </w:p>
              </w:tc>
              <w:tc>
                <w:tcPr>
                  <w:tcW w:w="651" w:type="dxa"/>
                  <w:tcBorders>
                    <w:tl2br w:val="nil"/>
                    <w:tr2bl w:val="nil"/>
                  </w:tcBorders>
                  <w:vAlign w:val="center"/>
                </w:tcPr>
                <w:p w14:paraId="76C7F0B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75</w:t>
                  </w:r>
                </w:p>
              </w:tc>
              <w:tc>
                <w:tcPr>
                  <w:tcW w:w="936" w:type="dxa"/>
                  <w:vMerge w:val="continue"/>
                  <w:tcBorders>
                    <w:tl2br w:val="nil"/>
                    <w:tr2bl w:val="nil"/>
                  </w:tcBorders>
                  <w:vAlign w:val="center"/>
                </w:tcPr>
                <w:p w14:paraId="5D52822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5FC046A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20.9</w:t>
                  </w:r>
                </w:p>
              </w:tc>
              <w:tc>
                <w:tcPr>
                  <w:tcW w:w="643" w:type="dxa"/>
                  <w:tcBorders>
                    <w:tl2br w:val="nil"/>
                    <w:tr2bl w:val="nil"/>
                  </w:tcBorders>
                  <w:shd w:val="clear" w:color="auto" w:fill="FFFFFF"/>
                  <w:vAlign w:val="center"/>
                </w:tcPr>
                <w:p w14:paraId="6492F07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2.6</w:t>
                  </w:r>
                </w:p>
              </w:tc>
              <w:tc>
                <w:tcPr>
                  <w:tcW w:w="546" w:type="dxa"/>
                  <w:tcBorders>
                    <w:tl2br w:val="nil"/>
                    <w:tr2bl w:val="nil"/>
                  </w:tcBorders>
                  <w:shd w:val="clear" w:color="auto" w:fill="FFFFFF"/>
                  <w:vAlign w:val="center"/>
                </w:tcPr>
                <w:p w14:paraId="7221911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698B197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55</w:t>
                  </w:r>
                </w:p>
              </w:tc>
              <w:tc>
                <w:tcPr>
                  <w:tcW w:w="886" w:type="dxa"/>
                  <w:tcBorders>
                    <w:tl2br w:val="nil"/>
                    <w:tr2bl w:val="nil"/>
                  </w:tcBorders>
                  <w:shd w:val="clear" w:color="auto" w:fill="auto"/>
                  <w:vAlign w:val="center"/>
                </w:tcPr>
                <w:p w14:paraId="09DB87C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468D36A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700C1946">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1B62FF78">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6F7F374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冷却机组</w:t>
                  </w:r>
                </w:p>
              </w:tc>
              <w:tc>
                <w:tcPr>
                  <w:tcW w:w="651" w:type="dxa"/>
                  <w:tcBorders>
                    <w:tl2br w:val="nil"/>
                    <w:tr2bl w:val="nil"/>
                  </w:tcBorders>
                  <w:vAlign w:val="center"/>
                </w:tcPr>
                <w:p w14:paraId="75A1D29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75</w:t>
                  </w:r>
                </w:p>
              </w:tc>
              <w:tc>
                <w:tcPr>
                  <w:tcW w:w="936" w:type="dxa"/>
                  <w:vMerge w:val="continue"/>
                  <w:tcBorders>
                    <w:tl2br w:val="nil"/>
                    <w:tr2bl w:val="nil"/>
                  </w:tcBorders>
                  <w:vAlign w:val="center"/>
                </w:tcPr>
                <w:p w14:paraId="27318A6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5A2B1A3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27</w:t>
                  </w:r>
                </w:p>
              </w:tc>
              <w:tc>
                <w:tcPr>
                  <w:tcW w:w="643" w:type="dxa"/>
                  <w:tcBorders>
                    <w:tl2br w:val="nil"/>
                    <w:tr2bl w:val="nil"/>
                  </w:tcBorders>
                  <w:shd w:val="clear" w:color="auto" w:fill="FFFFFF"/>
                  <w:vAlign w:val="center"/>
                </w:tcPr>
                <w:p w14:paraId="6A8CF0A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5.5</w:t>
                  </w:r>
                </w:p>
              </w:tc>
              <w:tc>
                <w:tcPr>
                  <w:tcW w:w="546" w:type="dxa"/>
                  <w:tcBorders>
                    <w:tl2br w:val="nil"/>
                    <w:tr2bl w:val="nil"/>
                  </w:tcBorders>
                  <w:shd w:val="clear" w:color="auto" w:fill="FFFFFF"/>
                  <w:vAlign w:val="center"/>
                </w:tcPr>
                <w:p w14:paraId="1C96B83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2F48F45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55</w:t>
                  </w:r>
                </w:p>
              </w:tc>
              <w:tc>
                <w:tcPr>
                  <w:tcW w:w="886" w:type="dxa"/>
                  <w:tcBorders>
                    <w:tl2br w:val="nil"/>
                    <w:tr2bl w:val="nil"/>
                  </w:tcBorders>
                  <w:shd w:val="clear" w:color="auto" w:fill="auto"/>
                  <w:vAlign w:val="center"/>
                </w:tcPr>
                <w:p w14:paraId="5CD7B0C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10427C4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25A948B0">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5647B94F">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450C517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全自动铁芯动卷绕机</w:t>
                  </w:r>
                </w:p>
              </w:tc>
              <w:tc>
                <w:tcPr>
                  <w:tcW w:w="651" w:type="dxa"/>
                  <w:tcBorders>
                    <w:tl2br w:val="nil"/>
                    <w:tr2bl w:val="nil"/>
                  </w:tcBorders>
                  <w:vAlign w:val="center"/>
                </w:tcPr>
                <w:p w14:paraId="2DBF80A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60</w:t>
                  </w:r>
                </w:p>
              </w:tc>
              <w:tc>
                <w:tcPr>
                  <w:tcW w:w="936" w:type="dxa"/>
                  <w:vMerge w:val="continue"/>
                  <w:tcBorders>
                    <w:tl2br w:val="nil"/>
                    <w:tr2bl w:val="nil"/>
                  </w:tcBorders>
                  <w:vAlign w:val="center"/>
                </w:tcPr>
                <w:p w14:paraId="3BF1182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6BFC153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17.1</w:t>
                  </w:r>
                </w:p>
              </w:tc>
              <w:tc>
                <w:tcPr>
                  <w:tcW w:w="643" w:type="dxa"/>
                  <w:tcBorders>
                    <w:tl2br w:val="nil"/>
                    <w:tr2bl w:val="nil"/>
                  </w:tcBorders>
                  <w:shd w:val="clear" w:color="auto" w:fill="FFFFFF"/>
                  <w:vAlign w:val="center"/>
                </w:tcPr>
                <w:p w14:paraId="59C17BF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0.6</w:t>
                  </w:r>
                </w:p>
              </w:tc>
              <w:tc>
                <w:tcPr>
                  <w:tcW w:w="546" w:type="dxa"/>
                  <w:tcBorders>
                    <w:tl2br w:val="nil"/>
                    <w:tr2bl w:val="nil"/>
                  </w:tcBorders>
                  <w:shd w:val="clear" w:color="auto" w:fill="FFFFFF"/>
                  <w:vAlign w:val="center"/>
                </w:tcPr>
                <w:p w14:paraId="3A26CCA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1DF2274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40</w:t>
                  </w:r>
                </w:p>
              </w:tc>
              <w:tc>
                <w:tcPr>
                  <w:tcW w:w="886" w:type="dxa"/>
                  <w:tcBorders>
                    <w:tl2br w:val="nil"/>
                    <w:tr2bl w:val="nil"/>
                  </w:tcBorders>
                  <w:shd w:val="clear" w:color="auto" w:fill="auto"/>
                  <w:vAlign w:val="center"/>
                </w:tcPr>
                <w:p w14:paraId="0987944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5572B7D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05CB29D5">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12242BB8">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18C5082C">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共沉淀反应釜1</w:t>
                  </w:r>
                </w:p>
              </w:tc>
              <w:tc>
                <w:tcPr>
                  <w:tcW w:w="651" w:type="dxa"/>
                  <w:tcBorders>
                    <w:tl2br w:val="nil"/>
                    <w:tr2bl w:val="nil"/>
                  </w:tcBorders>
                  <w:vAlign w:val="center"/>
                </w:tcPr>
                <w:p w14:paraId="338EC23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936" w:type="dxa"/>
                  <w:vMerge w:val="continue"/>
                  <w:tcBorders>
                    <w:tl2br w:val="nil"/>
                    <w:tr2bl w:val="nil"/>
                  </w:tcBorders>
                  <w:vAlign w:val="center"/>
                </w:tcPr>
                <w:p w14:paraId="7CBD27F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2770DFF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2.7</w:t>
                  </w:r>
                </w:p>
              </w:tc>
              <w:tc>
                <w:tcPr>
                  <w:tcW w:w="643" w:type="dxa"/>
                  <w:tcBorders>
                    <w:tl2br w:val="nil"/>
                    <w:tr2bl w:val="nil"/>
                  </w:tcBorders>
                  <w:shd w:val="clear" w:color="auto" w:fill="FFFFFF"/>
                  <w:vAlign w:val="center"/>
                </w:tcPr>
                <w:p w14:paraId="1D26654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8.5</w:t>
                  </w:r>
                </w:p>
              </w:tc>
              <w:tc>
                <w:tcPr>
                  <w:tcW w:w="546" w:type="dxa"/>
                  <w:tcBorders>
                    <w:tl2br w:val="nil"/>
                    <w:tr2bl w:val="nil"/>
                  </w:tcBorders>
                  <w:shd w:val="clear" w:color="auto" w:fill="FFFFFF"/>
                  <w:vAlign w:val="center"/>
                </w:tcPr>
                <w:p w14:paraId="5352F1A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498F4FD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45</w:t>
                  </w:r>
                </w:p>
              </w:tc>
              <w:tc>
                <w:tcPr>
                  <w:tcW w:w="886" w:type="dxa"/>
                  <w:tcBorders>
                    <w:tl2br w:val="nil"/>
                    <w:tr2bl w:val="nil"/>
                  </w:tcBorders>
                  <w:shd w:val="clear" w:color="auto" w:fill="auto"/>
                  <w:vAlign w:val="center"/>
                </w:tcPr>
                <w:p w14:paraId="2CC0710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restart"/>
                  <w:tcBorders>
                    <w:tl2br w:val="nil"/>
                    <w:tr2bl w:val="nil"/>
                  </w:tcBorders>
                  <w:vAlign w:val="center"/>
                </w:tcPr>
                <w:p w14:paraId="4FF27B2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昼夜</w:t>
                  </w:r>
                </w:p>
                <w:p w14:paraId="4270508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运行</w:t>
                  </w:r>
                </w:p>
              </w:tc>
            </w:tr>
            <w:tr w14:paraId="6C997D48">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450" w:type="dxa"/>
                  <w:tcBorders>
                    <w:tl2br w:val="nil"/>
                    <w:tr2bl w:val="nil"/>
                  </w:tcBorders>
                  <w:vAlign w:val="center"/>
                </w:tcPr>
                <w:p w14:paraId="763A39BD">
                  <w:pPr>
                    <w:numPr>
                      <w:ilvl w:val="0"/>
                      <w:numId w:val="51"/>
                    </w:numPr>
                    <w:kinsoku w:val="0"/>
                    <w:overflowPunct w:val="0"/>
                    <w:autoSpaceDE w:val="0"/>
                    <w:autoSpaceDN w:val="0"/>
                    <w:adjustRightInd w:val="0"/>
                    <w:snapToGrid w:val="0"/>
                    <w:ind w:left="425" w:leftChars="0" w:hanging="425" w:firstLineChars="0"/>
                    <w:jc w:val="center"/>
                    <w:rPr>
                      <w:rFonts w:hint="default" w:ascii="Times New Roman" w:hAnsi="Times New Roman" w:eastAsia="宋体" w:cs="Times New Roman"/>
                      <w:b w:val="0"/>
                      <w:bCs w:val="0"/>
                      <w:color w:val="auto"/>
                      <w:szCs w:val="21"/>
                      <w:highlight w:val="none"/>
                      <w:lang w:val="en-US" w:eastAsia="zh-CN"/>
                    </w:rPr>
                  </w:pPr>
                </w:p>
              </w:tc>
              <w:tc>
                <w:tcPr>
                  <w:tcW w:w="1232" w:type="dxa"/>
                  <w:tcBorders>
                    <w:tl2br w:val="nil"/>
                    <w:tr2bl w:val="nil"/>
                  </w:tcBorders>
                  <w:vAlign w:val="center"/>
                </w:tcPr>
                <w:p w14:paraId="087CA46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共沉淀反应釜2</w:t>
                  </w:r>
                </w:p>
              </w:tc>
              <w:tc>
                <w:tcPr>
                  <w:tcW w:w="651" w:type="dxa"/>
                  <w:tcBorders>
                    <w:tl2br w:val="nil"/>
                    <w:tr2bl w:val="nil"/>
                  </w:tcBorders>
                  <w:vAlign w:val="center"/>
                </w:tcPr>
                <w:p w14:paraId="1531B2C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65</w:t>
                  </w:r>
                </w:p>
              </w:tc>
              <w:tc>
                <w:tcPr>
                  <w:tcW w:w="936" w:type="dxa"/>
                  <w:vMerge w:val="continue"/>
                  <w:tcBorders>
                    <w:tl2br w:val="nil"/>
                    <w:tr2bl w:val="nil"/>
                  </w:tcBorders>
                  <w:vAlign w:val="center"/>
                </w:tcPr>
                <w:p w14:paraId="2E4CDD2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698" w:type="dxa"/>
                  <w:tcBorders>
                    <w:tl2br w:val="nil"/>
                    <w:tr2bl w:val="nil"/>
                  </w:tcBorders>
                  <w:shd w:val="clear" w:color="auto" w:fill="FFFFFF"/>
                  <w:vAlign w:val="center"/>
                </w:tcPr>
                <w:p w14:paraId="4BC9CA3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0.8</w:t>
                  </w:r>
                </w:p>
              </w:tc>
              <w:tc>
                <w:tcPr>
                  <w:tcW w:w="643" w:type="dxa"/>
                  <w:tcBorders>
                    <w:tl2br w:val="nil"/>
                    <w:tr2bl w:val="nil"/>
                  </w:tcBorders>
                  <w:shd w:val="clear" w:color="auto" w:fill="FFFFFF"/>
                  <w:vAlign w:val="center"/>
                </w:tcPr>
                <w:p w14:paraId="4914E65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7.4</w:t>
                  </w:r>
                </w:p>
              </w:tc>
              <w:tc>
                <w:tcPr>
                  <w:tcW w:w="546" w:type="dxa"/>
                  <w:tcBorders>
                    <w:tl2br w:val="nil"/>
                    <w:tr2bl w:val="nil"/>
                  </w:tcBorders>
                  <w:shd w:val="clear" w:color="auto" w:fill="FFFFFF"/>
                  <w:vAlign w:val="center"/>
                </w:tcPr>
                <w:p w14:paraId="7587561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1.2</w:t>
                  </w:r>
                </w:p>
              </w:tc>
              <w:tc>
                <w:tcPr>
                  <w:tcW w:w="971" w:type="dxa"/>
                  <w:tcBorders>
                    <w:tl2br w:val="nil"/>
                    <w:tr2bl w:val="nil"/>
                  </w:tcBorders>
                  <w:shd w:val="clear" w:color="auto" w:fill="auto"/>
                  <w:vAlign w:val="center"/>
                </w:tcPr>
                <w:p w14:paraId="5D0B9E3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45</w:t>
                  </w:r>
                </w:p>
              </w:tc>
              <w:tc>
                <w:tcPr>
                  <w:tcW w:w="886" w:type="dxa"/>
                  <w:tcBorders>
                    <w:tl2br w:val="nil"/>
                    <w:tr2bl w:val="nil"/>
                  </w:tcBorders>
                  <w:shd w:val="clear" w:color="auto" w:fill="auto"/>
                  <w:vAlign w:val="center"/>
                </w:tcPr>
                <w:p w14:paraId="35D3A84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20</w:t>
                  </w:r>
                </w:p>
              </w:tc>
              <w:tc>
                <w:tcPr>
                  <w:tcW w:w="664" w:type="dxa"/>
                  <w:vMerge w:val="continue"/>
                  <w:tcBorders>
                    <w:tl2br w:val="nil"/>
                    <w:tr2bl w:val="nil"/>
                  </w:tcBorders>
                  <w:vAlign w:val="center"/>
                </w:tcPr>
                <w:p w14:paraId="001C005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27889A49">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0" w:hRule="atLeast"/>
                <w:jc w:val="center"/>
              </w:trPr>
              <w:tc>
                <w:tcPr>
                  <w:tcW w:w="7677" w:type="dxa"/>
                  <w:gridSpan w:val="10"/>
                  <w:tcBorders>
                    <w:tl2br w:val="nil"/>
                    <w:tr2bl w:val="nil"/>
                  </w:tcBorders>
                  <w:vAlign w:val="center"/>
                </w:tcPr>
                <w:p w14:paraId="154435B8">
                  <w:pPr>
                    <w:kinsoku w:val="0"/>
                    <w:overflowPunct w:val="0"/>
                    <w:autoSpaceDE w:val="0"/>
                    <w:autoSpaceDN w:val="0"/>
                    <w:adjustRightInd w:val="0"/>
                    <w:snapToGrid w:val="0"/>
                    <w:jc w:val="left"/>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sz w:val="21"/>
                      <w:szCs w:val="21"/>
                      <w:lang w:val="en-US" w:eastAsia="zh-CN"/>
                    </w:rPr>
                    <w:t>表中坐标以厂界中心（116.534675，39.773857）为坐标原点，正东向为X轴正方向，正北向为Y轴正方向。</w:t>
                  </w:r>
                </w:p>
              </w:tc>
            </w:tr>
          </w:tbl>
          <w:p w14:paraId="35ABE134">
            <w:pPr>
              <w:adjustRightInd w:val="0"/>
              <w:spacing w:line="360" w:lineRule="auto"/>
              <w:ind w:firstLine="480" w:firstLineChars="200"/>
              <w:rPr>
                <w:rFonts w:hint="default" w:ascii="Times New Roman" w:hAnsi="Times New Roman" w:eastAsia="宋体" w:cs="Times New Roman"/>
                <w:snapToGrid w:val="0"/>
                <w:kern w:val="0"/>
                <w:sz w:val="24"/>
                <w:highlight w:val="none"/>
                <w:lang w:val="en-US" w:eastAsia="zh-CN"/>
              </w:rPr>
            </w:pPr>
            <w:r>
              <w:rPr>
                <w:rFonts w:hint="default" w:ascii="Times New Roman" w:hAnsi="Times New Roman" w:eastAsia="宋体" w:cs="Times New Roman"/>
                <w:snapToGrid w:val="0"/>
                <w:kern w:val="0"/>
                <w:sz w:val="24"/>
                <w:highlight w:val="none"/>
                <w:lang w:eastAsia="zh-CN"/>
              </w:rPr>
              <w:t>（</w:t>
            </w:r>
            <w:r>
              <w:rPr>
                <w:rFonts w:hint="default" w:ascii="Times New Roman" w:hAnsi="Times New Roman" w:eastAsia="宋体" w:cs="Times New Roman"/>
                <w:snapToGrid w:val="0"/>
                <w:kern w:val="0"/>
                <w:sz w:val="24"/>
                <w:highlight w:val="none"/>
                <w:lang w:val="en-US" w:eastAsia="zh-CN"/>
              </w:rPr>
              <w:t>2</w:t>
            </w:r>
            <w:r>
              <w:rPr>
                <w:rFonts w:hint="default" w:ascii="Times New Roman" w:hAnsi="Times New Roman" w:eastAsia="宋体" w:cs="Times New Roman"/>
                <w:snapToGrid w:val="0"/>
                <w:kern w:val="0"/>
                <w:sz w:val="24"/>
                <w:highlight w:val="none"/>
                <w:lang w:eastAsia="zh-CN"/>
              </w:rPr>
              <w:t>）</w:t>
            </w:r>
            <w:r>
              <w:rPr>
                <w:rFonts w:hint="default" w:ascii="Times New Roman" w:hAnsi="Times New Roman" w:eastAsia="宋体" w:cs="Times New Roman"/>
                <w:snapToGrid w:val="0"/>
                <w:kern w:val="0"/>
                <w:sz w:val="24"/>
                <w:highlight w:val="none"/>
                <w:lang w:val="en-US" w:eastAsia="zh-CN"/>
              </w:rPr>
              <w:t>噪声影响分析</w:t>
            </w:r>
          </w:p>
          <w:p w14:paraId="6243DB5B">
            <w:pPr>
              <w:adjustRightInd w:val="0"/>
              <w:spacing w:line="360" w:lineRule="auto"/>
              <w:ind w:firstLine="480" w:firstLineChars="200"/>
              <w:rPr>
                <w:rFonts w:hint="default" w:ascii="Times New Roman" w:hAnsi="Times New Roman" w:eastAsia="宋体" w:cs="Times New Roman"/>
                <w:snapToGrid w:val="0"/>
                <w:kern w:val="0"/>
                <w:sz w:val="24"/>
                <w:highlight w:val="none"/>
              </w:rPr>
            </w:pPr>
            <w:r>
              <w:rPr>
                <w:rFonts w:hint="default" w:ascii="Times New Roman" w:hAnsi="Times New Roman" w:eastAsia="宋体" w:cs="Times New Roman"/>
                <w:snapToGrid w:val="0"/>
                <w:kern w:val="0"/>
                <w:sz w:val="24"/>
                <w:highlight w:val="none"/>
              </w:rPr>
              <w:t>根据《环境影响评价技术导则 声环境》（HJ 2.4—2021）推荐的方法，把上述声源当作点声源处理，等效点声源位置在声源本身的中心，对项目噪声环境影响进行预测：</w:t>
            </w:r>
          </w:p>
          <w:p w14:paraId="50C116CB">
            <w:pPr>
              <w:numPr>
                <w:ilvl w:val="0"/>
                <w:numId w:val="52"/>
              </w:numPr>
              <w:adjustRightInd w:val="0"/>
              <w:spacing w:line="360" w:lineRule="auto"/>
              <w:ind w:left="0" w:leftChars="0" w:firstLine="480" w:firstLineChars="200"/>
              <w:rPr>
                <w:rFonts w:hint="default" w:ascii="Times New Roman" w:hAnsi="Times New Roman" w:eastAsia="宋体" w:cs="Times New Roman"/>
                <w:sz w:val="24"/>
                <w:highlight w:val="none"/>
                <w:lang w:val="zh-CN"/>
              </w:rPr>
            </w:pPr>
            <w:r>
              <w:rPr>
                <w:rFonts w:hint="default" w:ascii="Times New Roman" w:hAnsi="Times New Roman" w:eastAsia="宋体" w:cs="Times New Roman"/>
                <w:sz w:val="24"/>
                <w:highlight w:val="none"/>
              </w:rPr>
              <w:t>点声源几何发散在预测点（厂界处）产生的A声级的计算：</w:t>
            </w:r>
          </w:p>
          <w:p w14:paraId="00D67B2F">
            <w:pPr>
              <w:adjustRightInd w:val="0"/>
              <w:spacing w:line="360" w:lineRule="auto"/>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object>
                <v:shape id="_x0000_i1030" o:spt="75" type="#_x0000_t75" style="height:18.15pt;width:163.4pt;" o:ole="t" filled="f" coordsize="21600,21600">
                  <v:path/>
                  <v:fill on="f" focussize="0,0"/>
                  <v:stroke/>
                  <v:imagedata r:id="rId25" o:title=""/>
                  <o:lock v:ext="edit" aspectratio="t"/>
                  <w10:wrap type="none"/>
                  <w10:anchorlock/>
                </v:shape>
                <o:OLEObject Type="Embed" ProgID="Equation.3" ShapeID="_x0000_i1030" DrawAspect="Content" ObjectID="_1468075730" r:id="rId24">
                  <o:LockedField>false</o:LockedField>
                </o:OLEObject>
              </w:object>
            </w:r>
          </w:p>
          <w:p w14:paraId="43A140DC">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式中：</w:t>
            </w:r>
          </w:p>
          <w:p w14:paraId="1A695CE9">
            <w:pPr>
              <w:adjustRightInd w:val="0"/>
              <w:spacing w:line="360" w:lineRule="auto"/>
              <w:ind w:firstLine="1200" w:firstLineChars="5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L</w:t>
            </w:r>
            <w:r>
              <w:rPr>
                <w:rFonts w:hint="default" w:ascii="Times New Roman" w:hAnsi="Times New Roman" w:eastAsia="宋体" w:cs="Times New Roman"/>
                <w:sz w:val="24"/>
                <w:highlight w:val="none"/>
                <w:vertAlign w:val="subscript"/>
              </w:rPr>
              <w:t>P</w:t>
            </w:r>
            <w:r>
              <w:rPr>
                <w:rFonts w:hint="default" w:ascii="Times New Roman" w:hAnsi="Times New Roman" w:eastAsia="宋体" w:cs="Times New Roman"/>
                <w:sz w:val="24"/>
                <w:highlight w:val="none"/>
              </w:rPr>
              <w:t>(r)—距声源r处（厂界处）的A声级，dB(A)；</w:t>
            </w:r>
          </w:p>
          <w:p w14:paraId="582FE280">
            <w:pPr>
              <w:adjustRightInd w:val="0"/>
              <w:spacing w:line="360" w:lineRule="auto"/>
              <w:ind w:firstLine="1200" w:firstLineChars="500"/>
              <w:outlineLvl w:val="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L</w:t>
            </w:r>
            <w:r>
              <w:rPr>
                <w:rFonts w:hint="default" w:ascii="Times New Roman" w:hAnsi="Times New Roman" w:eastAsia="宋体" w:cs="Times New Roman"/>
                <w:sz w:val="24"/>
                <w:highlight w:val="none"/>
                <w:vertAlign w:val="subscript"/>
              </w:rPr>
              <w:t>P</w:t>
            </w:r>
            <w:r>
              <w:rPr>
                <w:rFonts w:hint="default" w:ascii="Times New Roman" w:hAnsi="Times New Roman" w:eastAsia="宋体" w:cs="Times New Roman"/>
                <w:sz w:val="24"/>
                <w:highlight w:val="none"/>
              </w:rPr>
              <w:t>(r</w:t>
            </w:r>
            <w:r>
              <w:rPr>
                <w:rFonts w:hint="default" w:ascii="Times New Roman" w:hAnsi="Times New Roman" w:eastAsia="宋体" w:cs="Times New Roman"/>
                <w:sz w:val="24"/>
                <w:highlight w:val="none"/>
                <w:vertAlign w:val="subscript"/>
              </w:rPr>
              <w:t>0</w:t>
            </w:r>
            <w:r>
              <w:rPr>
                <w:rFonts w:hint="default" w:ascii="Times New Roman" w:hAnsi="Times New Roman" w:eastAsia="宋体" w:cs="Times New Roman"/>
                <w:sz w:val="24"/>
                <w:highlight w:val="none"/>
              </w:rPr>
              <w:t>)—参考位置r</w:t>
            </w:r>
            <w:r>
              <w:rPr>
                <w:rFonts w:hint="default" w:ascii="Times New Roman" w:hAnsi="Times New Roman" w:eastAsia="宋体" w:cs="Times New Roman"/>
                <w:sz w:val="24"/>
                <w:highlight w:val="none"/>
                <w:vertAlign w:val="subscript"/>
              </w:rPr>
              <w:t>0</w:t>
            </w:r>
            <w:r>
              <w:rPr>
                <w:rFonts w:hint="default" w:ascii="Times New Roman" w:hAnsi="Times New Roman" w:eastAsia="宋体" w:cs="Times New Roman"/>
                <w:sz w:val="24"/>
                <w:highlight w:val="none"/>
              </w:rPr>
              <w:t>处（声源）的A声级，dB(A)；</w:t>
            </w:r>
          </w:p>
          <w:p w14:paraId="15728138">
            <w:pPr>
              <w:adjustRightInd w:val="0"/>
              <w:spacing w:line="360" w:lineRule="auto"/>
              <w:ind w:firstLine="1200" w:firstLineChars="5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A</w:t>
            </w:r>
            <w:r>
              <w:rPr>
                <w:rFonts w:hint="default" w:ascii="Times New Roman" w:hAnsi="Times New Roman" w:eastAsia="宋体" w:cs="Times New Roman"/>
                <w:sz w:val="24"/>
                <w:highlight w:val="none"/>
                <w:vertAlign w:val="subscript"/>
              </w:rPr>
              <w:t>bar</w:t>
            </w:r>
            <w:r>
              <w:rPr>
                <w:rFonts w:hint="default" w:ascii="Times New Roman" w:hAnsi="Times New Roman" w:eastAsia="宋体" w:cs="Times New Roman"/>
                <w:sz w:val="24"/>
                <w:highlight w:val="none"/>
              </w:rPr>
              <w:t>—声屏障引起的倍频带衰减（建筑隔声），dB；</w:t>
            </w:r>
          </w:p>
          <w:p w14:paraId="196E5292">
            <w:pPr>
              <w:numPr>
                <w:ilvl w:val="0"/>
                <w:numId w:val="52"/>
              </w:numPr>
              <w:adjustRightInd w:val="0"/>
              <w:spacing w:line="360" w:lineRule="auto"/>
              <w:ind w:left="0" w:leftChars="0"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噪声叠加公式</w:t>
            </w:r>
          </w:p>
          <w:p w14:paraId="295E8BE0">
            <w:pPr>
              <w:adjustRightInd w:val="0"/>
              <w:spacing w:line="360" w:lineRule="auto"/>
              <w:ind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对于多点源存在时，某个评价点的噪声贡献，可用下式计算：</w:t>
            </w:r>
          </w:p>
          <w:p w14:paraId="2A122995">
            <w:pPr>
              <w:adjustRightInd w:val="0"/>
              <w:spacing w:line="360" w:lineRule="auto"/>
              <w:ind w:firstLine="2520" w:firstLineChars="105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Lp=10Lg（10</w:t>
            </w:r>
            <w:r>
              <w:rPr>
                <w:rFonts w:hint="default" w:ascii="Times New Roman" w:hAnsi="Times New Roman" w:eastAsia="宋体" w:cs="Times New Roman"/>
                <w:bCs/>
                <w:sz w:val="24"/>
                <w:highlight w:val="none"/>
                <w:vertAlign w:val="superscript"/>
              </w:rPr>
              <w:t>Lp1/10</w:t>
            </w:r>
            <w:r>
              <w:rPr>
                <w:rFonts w:hint="default" w:ascii="Times New Roman" w:hAnsi="Times New Roman" w:eastAsia="宋体" w:cs="Times New Roman"/>
                <w:bCs/>
                <w:sz w:val="24"/>
                <w:highlight w:val="none"/>
              </w:rPr>
              <w:t>+10</w:t>
            </w:r>
            <w:r>
              <w:rPr>
                <w:rFonts w:hint="default" w:ascii="Times New Roman" w:hAnsi="Times New Roman" w:eastAsia="宋体" w:cs="Times New Roman"/>
                <w:bCs/>
                <w:sz w:val="24"/>
                <w:highlight w:val="none"/>
                <w:vertAlign w:val="superscript"/>
              </w:rPr>
              <w:t>Lp2/10</w:t>
            </w:r>
            <w:r>
              <w:rPr>
                <w:rFonts w:hint="default" w:ascii="Times New Roman" w:hAnsi="Times New Roman" w:eastAsia="宋体" w:cs="Times New Roman"/>
                <w:bCs/>
                <w:sz w:val="24"/>
                <w:highlight w:val="none"/>
              </w:rPr>
              <w:t>+…）</w:t>
            </w:r>
          </w:p>
          <w:p w14:paraId="2CE70F62">
            <w:pPr>
              <w:adjustRightInd w:val="0"/>
              <w:ind w:firstLine="480" w:firstLineChars="200"/>
              <w:outlineLvl w:val="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式中：L——总等效声级；</w:t>
            </w:r>
          </w:p>
          <w:p w14:paraId="47D7EE04">
            <w:pPr>
              <w:adjustRightInd w:val="0"/>
              <w:spacing w:line="360" w:lineRule="auto"/>
              <w:ind w:firstLine="1200" w:firstLineChars="5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L1，L2…，Ln——分别为n个噪声的等效声级。</w:t>
            </w:r>
          </w:p>
          <w:p w14:paraId="0618ABA6">
            <w:pPr>
              <w:numPr>
                <w:ilvl w:val="0"/>
                <w:numId w:val="52"/>
              </w:numPr>
              <w:adjustRightInd w:val="0"/>
              <w:spacing w:line="360" w:lineRule="auto"/>
              <w:ind w:left="0" w:leftChars="0" w:firstLine="480" w:firstLineChars="200"/>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室内声源可采用等效室外声源声功率级法进行计算。设靠近门口处（或窗户）室内、室外的声压级分别为 L</w:t>
            </w:r>
            <w:r>
              <w:rPr>
                <w:rFonts w:hint="default" w:ascii="Times New Roman" w:hAnsi="Times New Roman" w:eastAsia="宋体" w:cs="Times New Roman"/>
                <w:bCs/>
                <w:i/>
                <w:iCs/>
                <w:snapToGrid w:val="0"/>
                <w:kern w:val="0"/>
                <w:sz w:val="24"/>
                <w:highlight w:val="none"/>
                <w:vertAlign w:val="subscript"/>
              </w:rPr>
              <w:t>p1</w:t>
            </w:r>
            <w:r>
              <w:rPr>
                <w:rFonts w:hint="default" w:ascii="Times New Roman" w:hAnsi="Times New Roman" w:eastAsia="宋体" w:cs="Times New Roman"/>
                <w:bCs/>
                <w:snapToGrid w:val="0"/>
                <w:kern w:val="0"/>
                <w:sz w:val="24"/>
                <w:highlight w:val="none"/>
              </w:rPr>
              <w:t>和 L</w:t>
            </w:r>
            <w:r>
              <w:rPr>
                <w:rFonts w:hint="default" w:ascii="Times New Roman" w:hAnsi="Times New Roman" w:eastAsia="宋体" w:cs="Times New Roman"/>
                <w:bCs/>
                <w:i/>
                <w:iCs/>
                <w:snapToGrid w:val="0"/>
                <w:kern w:val="0"/>
                <w:sz w:val="24"/>
                <w:highlight w:val="none"/>
                <w:vertAlign w:val="subscript"/>
              </w:rPr>
              <w:t>p2</w:t>
            </w:r>
            <w:r>
              <w:rPr>
                <w:rFonts w:hint="default" w:ascii="Times New Roman" w:hAnsi="Times New Roman" w:eastAsia="宋体" w:cs="Times New Roman"/>
                <w:bCs/>
                <w:snapToGrid w:val="0"/>
                <w:kern w:val="0"/>
                <w:sz w:val="24"/>
                <w:highlight w:val="none"/>
              </w:rPr>
              <w:t>。若声源所在室内声场为近似扩散声场，则室外的声压级可按下式近似求出：</w:t>
            </w:r>
          </w:p>
          <w:p w14:paraId="35977EC8">
            <w:pPr>
              <w:adjustRightInd w:val="0"/>
              <w:spacing w:line="360" w:lineRule="auto"/>
              <w:ind w:firstLine="480" w:firstLineChars="200"/>
              <w:jc w:val="center"/>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L</w:t>
            </w:r>
            <w:r>
              <w:rPr>
                <w:rFonts w:hint="default" w:ascii="Times New Roman" w:hAnsi="Times New Roman" w:eastAsia="宋体" w:cs="Times New Roman"/>
                <w:bCs/>
                <w:i/>
                <w:iCs/>
                <w:snapToGrid w:val="0"/>
                <w:kern w:val="0"/>
                <w:sz w:val="24"/>
                <w:highlight w:val="none"/>
                <w:vertAlign w:val="subscript"/>
              </w:rPr>
              <w:t>p2</w:t>
            </w:r>
            <w:r>
              <w:rPr>
                <w:rFonts w:hint="default" w:ascii="Times New Roman" w:hAnsi="Times New Roman" w:eastAsia="宋体" w:cs="Times New Roman"/>
                <w:bCs/>
                <w:snapToGrid w:val="0"/>
                <w:kern w:val="0"/>
                <w:sz w:val="24"/>
                <w:highlight w:val="none"/>
              </w:rPr>
              <w:t>=L</w:t>
            </w:r>
            <w:r>
              <w:rPr>
                <w:rFonts w:hint="default" w:ascii="Times New Roman" w:hAnsi="Times New Roman" w:eastAsia="宋体" w:cs="Times New Roman"/>
                <w:bCs/>
                <w:i/>
                <w:iCs/>
                <w:snapToGrid w:val="0"/>
                <w:kern w:val="0"/>
                <w:sz w:val="24"/>
                <w:highlight w:val="none"/>
                <w:vertAlign w:val="subscript"/>
              </w:rPr>
              <w:t>p1</w:t>
            </w:r>
            <w:r>
              <w:rPr>
                <w:rFonts w:hint="default" w:ascii="Times New Roman" w:hAnsi="Times New Roman" w:eastAsia="宋体" w:cs="Times New Roman"/>
                <w:bCs/>
                <w:snapToGrid w:val="0"/>
                <w:kern w:val="0"/>
                <w:sz w:val="24"/>
                <w:highlight w:val="none"/>
              </w:rPr>
              <w:t>-(TL+6)</w:t>
            </w:r>
          </w:p>
          <w:p w14:paraId="0B8AE84E">
            <w:pPr>
              <w:adjustRightInd w:val="0"/>
              <w:spacing w:line="360" w:lineRule="auto"/>
              <w:ind w:firstLine="480" w:firstLineChars="200"/>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式中：TL——围护结构的隔声量，dB(A)，根据《民用建筑隔声设计规范》（GB50118-2010）表 8.2.1，办公室与普通房间之间的隔墙、楼板隔声标准最低为 45dB。本项目保守考虑，工业厂房建筑隔声按照 20dB 计。</w:t>
            </w:r>
          </w:p>
          <w:p w14:paraId="7EF9E164">
            <w:pPr>
              <w:adjustRightInd w:val="0"/>
              <w:spacing w:line="360" w:lineRule="auto"/>
              <w:ind w:firstLine="480" w:firstLineChars="200"/>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计算某一室内声源靠近围护结构处产生的倍频带声压级：</w:t>
            </w:r>
          </w:p>
          <w:p w14:paraId="54B98A65">
            <w:pPr>
              <w:adjustRightInd w:val="0"/>
              <w:spacing w:line="360" w:lineRule="auto"/>
              <w:ind w:firstLine="420" w:firstLineChars="200"/>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highlight w:val="none"/>
              </w:rPr>
              <w:drawing>
                <wp:anchor distT="0" distB="0" distL="114300" distR="114300" simplePos="0" relativeHeight="251720704" behindDoc="0" locked="0" layoutInCell="1" allowOverlap="1">
                  <wp:simplePos x="0" y="0"/>
                  <wp:positionH relativeFrom="column">
                    <wp:posOffset>1477645</wp:posOffset>
                  </wp:positionH>
                  <wp:positionV relativeFrom="paragraph">
                    <wp:posOffset>10160</wp:posOffset>
                  </wp:positionV>
                  <wp:extent cx="1887220" cy="457200"/>
                  <wp:effectExtent l="0" t="0" r="2540" b="0"/>
                  <wp:wrapTopAndBottom/>
                  <wp:docPr id="15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3"/>
                          <pic:cNvPicPr>
                            <a:picLocks noChangeAspect="1"/>
                          </pic:cNvPicPr>
                        </pic:nvPicPr>
                        <pic:blipFill>
                          <a:blip r:embed="rId26"/>
                          <a:stretch>
                            <a:fillRect/>
                          </a:stretch>
                        </pic:blipFill>
                        <pic:spPr>
                          <a:xfrm>
                            <a:off x="0" y="0"/>
                            <a:ext cx="1887220" cy="457200"/>
                          </a:xfrm>
                          <a:prstGeom prst="rect">
                            <a:avLst/>
                          </a:prstGeom>
                          <a:noFill/>
                          <a:ln>
                            <a:noFill/>
                          </a:ln>
                        </pic:spPr>
                      </pic:pic>
                    </a:graphicData>
                  </a:graphic>
                </wp:anchor>
              </w:drawing>
            </w:r>
            <w:r>
              <w:rPr>
                <w:rFonts w:hint="default" w:ascii="Times New Roman" w:hAnsi="Times New Roman" w:eastAsia="宋体" w:cs="Times New Roman"/>
                <w:bCs/>
                <w:snapToGrid w:val="0"/>
                <w:kern w:val="0"/>
                <w:sz w:val="24"/>
                <w:highlight w:val="none"/>
              </w:rPr>
              <w:t>式中：L</w:t>
            </w:r>
            <w:r>
              <w:rPr>
                <w:rFonts w:hint="default" w:ascii="Times New Roman" w:hAnsi="Times New Roman" w:eastAsia="宋体" w:cs="Times New Roman"/>
                <w:bCs/>
                <w:i/>
                <w:iCs/>
                <w:snapToGrid w:val="0"/>
                <w:kern w:val="0"/>
                <w:sz w:val="24"/>
                <w:highlight w:val="none"/>
                <w:vertAlign w:val="subscript"/>
              </w:rPr>
              <w:t>p1</w:t>
            </w:r>
            <w:r>
              <w:rPr>
                <w:rFonts w:hint="default" w:ascii="Times New Roman" w:hAnsi="Times New Roman" w:eastAsia="宋体" w:cs="Times New Roman"/>
                <w:bCs/>
                <w:snapToGrid w:val="0"/>
                <w:kern w:val="0"/>
                <w:sz w:val="24"/>
                <w:highlight w:val="none"/>
              </w:rPr>
              <w:t>——靠近开口处（或窗户）室内某倍频带的声压级或 A 声级，dB；</w:t>
            </w:r>
          </w:p>
          <w:p w14:paraId="058DCBE5">
            <w:pPr>
              <w:adjustRightInd w:val="0"/>
              <w:spacing w:line="360" w:lineRule="auto"/>
              <w:ind w:firstLine="480" w:firstLineChars="200"/>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L</w:t>
            </w:r>
            <w:r>
              <w:rPr>
                <w:rFonts w:hint="default" w:ascii="Times New Roman" w:hAnsi="Times New Roman" w:eastAsia="宋体" w:cs="Times New Roman"/>
                <w:bCs/>
                <w:i/>
                <w:iCs/>
                <w:snapToGrid w:val="0"/>
                <w:kern w:val="0"/>
                <w:sz w:val="24"/>
                <w:highlight w:val="none"/>
                <w:vertAlign w:val="subscript"/>
              </w:rPr>
              <w:t>W</w:t>
            </w:r>
            <w:r>
              <w:rPr>
                <w:rFonts w:hint="default" w:ascii="Times New Roman" w:hAnsi="Times New Roman" w:eastAsia="宋体" w:cs="Times New Roman"/>
                <w:bCs/>
                <w:snapToGrid w:val="0"/>
                <w:kern w:val="0"/>
                <w:sz w:val="24"/>
                <w:highlight w:val="none"/>
              </w:rPr>
              <w:t>——点声源声功率级（A 计权或倍频带），dB；</w:t>
            </w:r>
          </w:p>
          <w:p w14:paraId="4F53B466">
            <w:pPr>
              <w:adjustRightInd w:val="0"/>
              <w:spacing w:line="360" w:lineRule="auto"/>
              <w:ind w:firstLine="480" w:firstLineChars="200"/>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Q——指向性因数；通常对无指向性声源，当声源放在房间中心时，Q=1；</w:t>
            </w:r>
          </w:p>
          <w:p w14:paraId="765D1830">
            <w:pPr>
              <w:adjustRightInd w:val="0"/>
              <w:spacing w:line="360" w:lineRule="auto"/>
              <w:ind w:firstLine="480" w:firstLineChars="200"/>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当放在一面墙的中心时，Q=2；当放在两面墙夹角处时，Q=4；当放在三面墙夹角处时，Q=8；</w:t>
            </w:r>
          </w:p>
          <w:p w14:paraId="3EE67ECA">
            <w:pPr>
              <w:adjustRightInd w:val="0"/>
              <w:spacing w:line="360" w:lineRule="auto"/>
              <w:ind w:firstLine="480" w:firstLineChars="200"/>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R——房间常数；R=S/(1-α)，S 为房间内表面面积，m</w:t>
            </w:r>
            <w:r>
              <w:rPr>
                <w:rFonts w:hint="default" w:ascii="Times New Roman" w:hAnsi="Times New Roman" w:eastAsia="宋体" w:cs="Times New Roman"/>
                <w:bCs/>
                <w:snapToGrid w:val="0"/>
                <w:kern w:val="0"/>
                <w:sz w:val="24"/>
                <w:highlight w:val="none"/>
                <w:vertAlign w:val="superscript"/>
              </w:rPr>
              <w:t>2</w:t>
            </w:r>
            <w:r>
              <w:rPr>
                <w:rFonts w:hint="default" w:ascii="Times New Roman" w:hAnsi="Times New Roman" w:eastAsia="宋体" w:cs="Times New Roman"/>
                <w:bCs/>
                <w:snapToGrid w:val="0"/>
                <w:kern w:val="0"/>
                <w:sz w:val="24"/>
                <w:highlight w:val="none"/>
              </w:rPr>
              <w:t>；α为平均吸声系数；</w:t>
            </w:r>
          </w:p>
          <w:p w14:paraId="37658CB4">
            <w:pPr>
              <w:adjustRightInd w:val="0"/>
              <w:spacing w:line="360" w:lineRule="auto"/>
              <w:ind w:firstLine="480" w:firstLineChars="200"/>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r——声源到靠近围护结构某点处的距离，m。</w:t>
            </w:r>
          </w:p>
          <w:p w14:paraId="558AF215">
            <w:pPr>
              <w:numPr>
                <w:ilvl w:val="0"/>
                <w:numId w:val="52"/>
              </w:numPr>
              <w:adjustRightInd w:val="0"/>
              <w:spacing w:line="360" w:lineRule="auto"/>
              <w:ind w:left="0" w:leftChars="0" w:firstLine="480" w:firstLineChars="200"/>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建设项目声源在预测点产生的等效声级贡献值计算公式：</w:t>
            </w:r>
          </w:p>
          <w:p w14:paraId="7925B7D1">
            <w:pPr>
              <w:adjustRightInd w:val="0"/>
              <w:spacing w:line="360" w:lineRule="auto"/>
              <w:ind w:firstLine="420" w:firstLineChars="200"/>
              <w:jc w:val="center"/>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highlight w:val="none"/>
              </w:rPr>
              <w:drawing>
                <wp:inline distT="0" distB="0" distL="114300" distR="114300">
                  <wp:extent cx="2581275" cy="600075"/>
                  <wp:effectExtent l="0" t="0" r="9525" b="9525"/>
                  <wp:docPr id="14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2"/>
                          <pic:cNvPicPr>
                            <a:picLocks noChangeAspect="1"/>
                          </pic:cNvPicPr>
                        </pic:nvPicPr>
                        <pic:blipFill>
                          <a:blip r:embed="rId27"/>
                          <a:stretch>
                            <a:fillRect/>
                          </a:stretch>
                        </pic:blipFill>
                        <pic:spPr>
                          <a:xfrm>
                            <a:off x="0" y="0"/>
                            <a:ext cx="2581275" cy="600075"/>
                          </a:xfrm>
                          <a:prstGeom prst="rect">
                            <a:avLst/>
                          </a:prstGeom>
                          <a:noFill/>
                          <a:ln>
                            <a:noFill/>
                          </a:ln>
                        </pic:spPr>
                      </pic:pic>
                    </a:graphicData>
                  </a:graphic>
                </wp:inline>
              </w:drawing>
            </w:r>
          </w:p>
          <w:p w14:paraId="55A7E794">
            <w:pPr>
              <w:adjustRightInd w:val="0"/>
              <w:spacing w:line="360" w:lineRule="auto"/>
              <w:ind w:firstLine="480" w:firstLineChars="200"/>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式中：L</w:t>
            </w:r>
            <w:r>
              <w:rPr>
                <w:rFonts w:hint="default" w:ascii="Times New Roman" w:hAnsi="Times New Roman" w:eastAsia="宋体" w:cs="Times New Roman"/>
                <w:bCs/>
                <w:i/>
                <w:iCs/>
                <w:snapToGrid w:val="0"/>
                <w:kern w:val="0"/>
                <w:sz w:val="24"/>
                <w:highlight w:val="none"/>
                <w:vertAlign w:val="subscript"/>
              </w:rPr>
              <w:t>eqg</w:t>
            </w:r>
            <w:r>
              <w:rPr>
                <w:rFonts w:hint="default" w:ascii="Times New Roman" w:hAnsi="Times New Roman" w:eastAsia="宋体" w:cs="Times New Roman"/>
                <w:bCs/>
                <w:snapToGrid w:val="0"/>
                <w:kern w:val="0"/>
                <w:sz w:val="24"/>
                <w:highlight w:val="none"/>
              </w:rPr>
              <w:t>—建设项目声源在预测点的等效声级贡献值，dB(A)；</w:t>
            </w:r>
          </w:p>
          <w:p w14:paraId="707AD75D">
            <w:pPr>
              <w:adjustRightInd w:val="0"/>
              <w:spacing w:line="360" w:lineRule="auto"/>
              <w:ind w:firstLine="480" w:firstLineChars="200"/>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L</w:t>
            </w:r>
            <w:r>
              <w:rPr>
                <w:rFonts w:hint="default" w:ascii="Times New Roman" w:hAnsi="Times New Roman" w:eastAsia="宋体" w:cs="Times New Roman"/>
                <w:bCs/>
                <w:i/>
                <w:iCs/>
                <w:snapToGrid w:val="0"/>
                <w:kern w:val="0"/>
                <w:sz w:val="24"/>
                <w:highlight w:val="none"/>
                <w:vertAlign w:val="subscript"/>
              </w:rPr>
              <w:t>Ai</w:t>
            </w:r>
            <w:r>
              <w:rPr>
                <w:rFonts w:hint="default" w:ascii="Times New Roman" w:hAnsi="Times New Roman" w:eastAsia="宋体" w:cs="Times New Roman"/>
                <w:bCs/>
                <w:snapToGrid w:val="0"/>
                <w:kern w:val="0"/>
                <w:sz w:val="24"/>
                <w:highlight w:val="none"/>
              </w:rPr>
              <w:t>—i 声源在预测点产生的 A 声级，dB(A)；</w:t>
            </w:r>
          </w:p>
          <w:p w14:paraId="20DE033F">
            <w:pPr>
              <w:adjustRightInd w:val="0"/>
              <w:spacing w:line="360" w:lineRule="auto"/>
              <w:ind w:firstLine="480" w:firstLineChars="200"/>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T—预测计算的时间段，s；</w:t>
            </w:r>
          </w:p>
          <w:p w14:paraId="0F90EA02">
            <w:pPr>
              <w:adjustRightInd w:val="0"/>
              <w:spacing w:line="360" w:lineRule="auto"/>
              <w:ind w:firstLine="480" w:firstLineChars="200"/>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t</w:t>
            </w:r>
            <w:r>
              <w:rPr>
                <w:rFonts w:hint="default" w:ascii="Times New Roman" w:hAnsi="Times New Roman" w:eastAsia="宋体" w:cs="Times New Roman"/>
                <w:bCs/>
                <w:i/>
                <w:iCs/>
                <w:snapToGrid w:val="0"/>
                <w:kern w:val="0"/>
                <w:sz w:val="24"/>
                <w:highlight w:val="none"/>
                <w:vertAlign w:val="subscript"/>
              </w:rPr>
              <w:t>i</w:t>
            </w:r>
            <w:r>
              <w:rPr>
                <w:rFonts w:hint="default" w:ascii="Times New Roman" w:hAnsi="Times New Roman" w:eastAsia="宋体" w:cs="Times New Roman"/>
                <w:bCs/>
                <w:snapToGrid w:val="0"/>
                <w:kern w:val="0"/>
                <w:sz w:val="24"/>
                <w:highlight w:val="none"/>
              </w:rPr>
              <w:t>—i 声源在T 时段内的运行时间，s。</w:t>
            </w:r>
          </w:p>
          <w:p w14:paraId="33CD920A">
            <w:pPr>
              <w:adjustRightInd w:val="0"/>
              <w:spacing w:line="360" w:lineRule="auto"/>
              <w:ind w:firstLine="480" w:firstLineChars="200"/>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本项目噪声预测值详见下表。</w:t>
            </w:r>
          </w:p>
          <w:p w14:paraId="2A62F14F">
            <w:pPr>
              <w:numPr>
                <w:ilvl w:val="0"/>
                <w:numId w:val="48"/>
              </w:numPr>
              <w:adjustRightInd w:val="0"/>
              <w:spacing w:line="360" w:lineRule="auto"/>
              <w:ind w:left="425" w:leftChars="0" w:hanging="425"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 xml:space="preserve"> 建设项目厂界噪声预测结果一览表   单位：dB(A)</w:t>
            </w:r>
          </w:p>
          <w:tbl>
            <w:tblPr>
              <w:tblStyle w:val="17"/>
              <w:tblW w:w="7557"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76"/>
              <w:gridCol w:w="711"/>
              <w:gridCol w:w="711"/>
              <w:gridCol w:w="713"/>
              <w:gridCol w:w="880"/>
              <w:gridCol w:w="1256"/>
              <w:gridCol w:w="1257"/>
              <w:gridCol w:w="1053"/>
            </w:tblGrid>
            <w:tr w14:paraId="0577DC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6" w:hRule="exact"/>
                <w:jc w:val="center"/>
              </w:trPr>
              <w:tc>
                <w:tcPr>
                  <w:tcW w:w="976" w:type="dxa"/>
                  <w:vMerge w:val="restart"/>
                  <w:tcBorders>
                    <w:tl2br w:val="nil"/>
                    <w:tr2bl w:val="nil"/>
                  </w:tcBorders>
                  <w:vAlign w:val="center"/>
                </w:tcPr>
                <w:p w14:paraId="58965DDA">
                  <w:pPr>
                    <w:jc w:val="center"/>
                    <w:rPr>
                      <w:rFonts w:hint="default" w:ascii="Times New Roman" w:hAnsi="Times New Roman" w:eastAsia="宋体" w:cs="Times New Roman"/>
                      <w:sz w:val="21"/>
                      <w:szCs w:val="21"/>
                    </w:rPr>
                  </w:pPr>
                  <w:r>
                    <w:rPr>
                      <w:rFonts w:hint="default" w:ascii="Times New Roman" w:hAnsi="Times New Roman" w:eastAsia="宋体" w:cs="Times New Roman"/>
                      <w:b/>
                      <w:sz w:val="21"/>
                      <w:szCs w:val="21"/>
                    </w:rPr>
                    <w:t>预测方位</w:t>
                  </w:r>
                </w:p>
              </w:tc>
              <w:tc>
                <w:tcPr>
                  <w:tcW w:w="2135" w:type="dxa"/>
                  <w:gridSpan w:val="3"/>
                  <w:tcBorders>
                    <w:tl2br w:val="nil"/>
                    <w:tr2bl w:val="nil"/>
                  </w:tcBorders>
                  <w:vAlign w:val="center"/>
                </w:tcPr>
                <w:p w14:paraId="08299CCA">
                  <w:pPr>
                    <w:jc w:val="center"/>
                    <w:rPr>
                      <w:rFonts w:hint="default" w:ascii="Times New Roman" w:hAnsi="Times New Roman" w:eastAsia="宋体" w:cs="Times New Roman"/>
                      <w:sz w:val="21"/>
                      <w:szCs w:val="21"/>
                    </w:rPr>
                  </w:pPr>
                  <w:r>
                    <w:rPr>
                      <w:rFonts w:hint="default" w:ascii="Times New Roman" w:hAnsi="Times New Roman" w:eastAsia="宋体" w:cs="Times New Roman"/>
                      <w:b/>
                      <w:sz w:val="21"/>
                      <w:szCs w:val="21"/>
                      <w:lang w:val="en-US" w:eastAsia="zh-CN"/>
                    </w:rPr>
                    <w:t>最大值点</w:t>
                  </w:r>
                  <w:r>
                    <w:rPr>
                      <w:rFonts w:hint="default" w:ascii="Times New Roman" w:hAnsi="Times New Roman" w:eastAsia="宋体" w:cs="Times New Roman"/>
                      <w:b/>
                      <w:sz w:val="21"/>
                      <w:szCs w:val="21"/>
                    </w:rPr>
                    <w:t>空间相对位置/m</w:t>
                  </w:r>
                </w:p>
              </w:tc>
              <w:tc>
                <w:tcPr>
                  <w:tcW w:w="880" w:type="dxa"/>
                  <w:vMerge w:val="restart"/>
                  <w:tcBorders>
                    <w:tl2br w:val="nil"/>
                    <w:tr2bl w:val="nil"/>
                  </w:tcBorders>
                  <w:vAlign w:val="center"/>
                </w:tcPr>
                <w:p w14:paraId="37ECA0CD">
                  <w:pPr>
                    <w:jc w:val="center"/>
                    <w:rPr>
                      <w:rFonts w:hint="default" w:ascii="Times New Roman" w:hAnsi="Times New Roman" w:eastAsia="宋体" w:cs="Times New Roman"/>
                      <w:sz w:val="21"/>
                      <w:szCs w:val="21"/>
                    </w:rPr>
                  </w:pPr>
                  <w:r>
                    <w:rPr>
                      <w:rFonts w:hint="default" w:ascii="Times New Roman" w:hAnsi="Times New Roman" w:eastAsia="宋体" w:cs="Times New Roman"/>
                      <w:b/>
                      <w:sz w:val="21"/>
                      <w:szCs w:val="21"/>
                    </w:rPr>
                    <w:t>时段</w:t>
                  </w:r>
                </w:p>
              </w:tc>
              <w:tc>
                <w:tcPr>
                  <w:tcW w:w="1256" w:type="dxa"/>
                  <w:vMerge w:val="restart"/>
                  <w:tcBorders>
                    <w:tl2br w:val="nil"/>
                    <w:tr2bl w:val="nil"/>
                  </w:tcBorders>
                  <w:vAlign w:val="center"/>
                </w:tcPr>
                <w:p w14:paraId="41F7D032">
                  <w:pPr>
                    <w:jc w:val="center"/>
                    <w:rPr>
                      <w:rFonts w:hint="default" w:ascii="Times New Roman" w:hAnsi="Times New Roman" w:eastAsia="宋体" w:cs="Times New Roman"/>
                      <w:sz w:val="21"/>
                      <w:szCs w:val="21"/>
                    </w:rPr>
                  </w:pPr>
                  <w:r>
                    <w:rPr>
                      <w:rFonts w:hint="default" w:ascii="Times New Roman" w:hAnsi="Times New Roman" w:eastAsia="宋体" w:cs="Times New Roman"/>
                      <w:b/>
                      <w:sz w:val="21"/>
                      <w:szCs w:val="21"/>
                    </w:rPr>
                    <w:t>贡献值（dB(A)）</w:t>
                  </w:r>
                </w:p>
              </w:tc>
              <w:tc>
                <w:tcPr>
                  <w:tcW w:w="1257" w:type="dxa"/>
                  <w:vMerge w:val="restart"/>
                  <w:tcBorders>
                    <w:tl2br w:val="nil"/>
                    <w:tr2bl w:val="nil"/>
                  </w:tcBorders>
                  <w:vAlign w:val="center"/>
                </w:tcPr>
                <w:p w14:paraId="38C15D8D">
                  <w:pPr>
                    <w:jc w:val="center"/>
                    <w:rPr>
                      <w:rFonts w:hint="default" w:ascii="Times New Roman" w:hAnsi="Times New Roman" w:eastAsia="宋体" w:cs="Times New Roman"/>
                      <w:sz w:val="21"/>
                      <w:szCs w:val="21"/>
                    </w:rPr>
                  </w:pPr>
                  <w:r>
                    <w:rPr>
                      <w:rFonts w:hint="default" w:ascii="Times New Roman" w:hAnsi="Times New Roman" w:eastAsia="宋体" w:cs="Times New Roman"/>
                      <w:b/>
                      <w:sz w:val="21"/>
                      <w:szCs w:val="21"/>
                    </w:rPr>
                    <w:t>标准限值（dB(A)）</w:t>
                  </w:r>
                </w:p>
              </w:tc>
              <w:tc>
                <w:tcPr>
                  <w:tcW w:w="1053" w:type="dxa"/>
                  <w:vMerge w:val="restart"/>
                  <w:tcBorders>
                    <w:tl2br w:val="nil"/>
                    <w:tr2bl w:val="nil"/>
                  </w:tcBorders>
                  <w:vAlign w:val="center"/>
                </w:tcPr>
                <w:p w14:paraId="75418534">
                  <w:pPr>
                    <w:jc w:val="center"/>
                    <w:rPr>
                      <w:rFonts w:hint="default" w:ascii="Times New Roman" w:hAnsi="Times New Roman" w:eastAsia="宋体" w:cs="Times New Roman"/>
                      <w:sz w:val="21"/>
                      <w:szCs w:val="21"/>
                    </w:rPr>
                  </w:pPr>
                  <w:r>
                    <w:rPr>
                      <w:rFonts w:hint="default" w:ascii="Times New Roman" w:hAnsi="Times New Roman" w:eastAsia="宋体" w:cs="Times New Roman"/>
                      <w:b/>
                      <w:sz w:val="21"/>
                      <w:szCs w:val="21"/>
                    </w:rPr>
                    <w:t>达标情况</w:t>
                  </w:r>
                </w:p>
              </w:tc>
            </w:tr>
            <w:tr w14:paraId="183EB1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976" w:type="dxa"/>
                  <w:vMerge w:val="continue"/>
                  <w:tcBorders>
                    <w:tl2br w:val="nil"/>
                    <w:tr2bl w:val="nil"/>
                  </w:tcBorders>
                  <w:shd w:val="clear" w:color="auto" w:fill="FFFFFF"/>
                  <w:vAlign w:val="center"/>
                </w:tcPr>
                <w:p w14:paraId="3597D0DE">
                  <w:pPr>
                    <w:jc w:val="center"/>
                    <w:rPr>
                      <w:rFonts w:hint="default" w:ascii="Times New Roman" w:hAnsi="Times New Roman" w:eastAsia="宋体" w:cs="Times New Roman"/>
                      <w:sz w:val="21"/>
                      <w:szCs w:val="21"/>
                    </w:rPr>
                  </w:pPr>
                </w:p>
              </w:tc>
              <w:tc>
                <w:tcPr>
                  <w:tcW w:w="711" w:type="dxa"/>
                  <w:tcBorders>
                    <w:tl2br w:val="nil"/>
                    <w:tr2bl w:val="nil"/>
                  </w:tcBorders>
                  <w:shd w:val="clear" w:color="auto" w:fill="FFFFFF"/>
                  <w:vAlign w:val="center"/>
                </w:tcPr>
                <w:p w14:paraId="274FC1DC">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w:t>
                  </w:r>
                </w:p>
              </w:tc>
              <w:tc>
                <w:tcPr>
                  <w:tcW w:w="711" w:type="dxa"/>
                  <w:tcBorders>
                    <w:tl2br w:val="nil"/>
                    <w:tr2bl w:val="nil"/>
                  </w:tcBorders>
                  <w:shd w:val="clear" w:color="auto" w:fill="FFFFFF"/>
                  <w:vAlign w:val="center"/>
                </w:tcPr>
                <w:p w14:paraId="4DD5EC99">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Y</w:t>
                  </w:r>
                </w:p>
              </w:tc>
              <w:tc>
                <w:tcPr>
                  <w:tcW w:w="713" w:type="dxa"/>
                  <w:tcBorders>
                    <w:tl2br w:val="nil"/>
                    <w:tr2bl w:val="nil"/>
                  </w:tcBorders>
                  <w:shd w:val="clear" w:color="auto" w:fill="FFFFFF"/>
                  <w:vAlign w:val="center"/>
                </w:tcPr>
                <w:p w14:paraId="10371223">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Z</w:t>
                  </w:r>
                </w:p>
              </w:tc>
              <w:tc>
                <w:tcPr>
                  <w:tcW w:w="880" w:type="dxa"/>
                  <w:vMerge w:val="continue"/>
                  <w:tcBorders>
                    <w:tl2br w:val="nil"/>
                    <w:tr2bl w:val="nil"/>
                  </w:tcBorders>
                  <w:shd w:val="clear" w:color="auto" w:fill="FFFFFF"/>
                  <w:vAlign w:val="center"/>
                </w:tcPr>
                <w:p w14:paraId="4E987251">
                  <w:pPr>
                    <w:jc w:val="center"/>
                    <w:rPr>
                      <w:rFonts w:hint="default" w:ascii="Times New Roman" w:hAnsi="Times New Roman" w:eastAsia="宋体" w:cs="Times New Roman"/>
                      <w:sz w:val="21"/>
                      <w:szCs w:val="21"/>
                    </w:rPr>
                  </w:pPr>
                </w:p>
              </w:tc>
              <w:tc>
                <w:tcPr>
                  <w:tcW w:w="1256" w:type="dxa"/>
                  <w:vMerge w:val="continue"/>
                  <w:tcBorders>
                    <w:tl2br w:val="nil"/>
                    <w:tr2bl w:val="nil"/>
                  </w:tcBorders>
                  <w:shd w:val="clear" w:color="auto" w:fill="FFFFFF"/>
                  <w:vAlign w:val="center"/>
                </w:tcPr>
                <w:p w14:paraId="7C427617">
                  <w:pPr>
                    <w:jc w:val="center"/>
                    <w:rPr>
                      <w:rFonts w:hint="default" w:ascii="Times New Roman" w:hAnsi="Times New Roman" w:eastAsia="宋体" w:cs="Times New Roman"/>
                      <w:sz w:val="21"/>
                      <w:szCs w:val="21"/>
                    </w:rPr>
                  </w:pPr>
                </w:p>
              </w:tc>
              <w:tc>
                <w:tcPr>
                  <w:tcW w:w="1257" w:type="dxa"/>
                  <w:vMerge w:val="continue"/>
                  <w:tcBorders>
                    <w:tl2br w:val="nil"/>
                    <w:tr2bl w:val="nil"/>
                  </w:tcBorders>
                  <w:shd w:val="clear" w:color="auto" w:fill="FFFFFF"/>
                  <w:vAlign w:val="center"/>
                </w:tcPr>
                <w:p w14:paraId="3B6681BC">
                  <w:pPr>
                    <w:jc w:val="center"/>
                    <w:rPr>
                      <w:rFonts w:hint="default" w:ascii="Times New Roman" w:hAnsi="Times New Roman" w:eastAsia="宋体" w:cs="Times New Roman"/>
                      <w:sz w:val="21"/>
                      <w:szCs w:val="21"/>
                    </w:rPr>
                  </w:pPr>
                </w:p>
              </w:tc>
              <w:tc>
                <w:tcPr>
                  <w:tcW w:w="1053" w:type="dxa"/>
                  <w:vMerge w:val="continue"/>
                  <w:tcBorders>
                    <w:tl2br w:val="nil"/>
                    <w:tr2bl w:val="nil"/>
                  </w:tcBorders>
                  <w:shd w:val="clear" w:color="auto" w:fill="FFFFFF"/>
                  <w:vAlign w:val="center"/>
                </w:tcPr>
                <w:p w14:paraId="7620A03A">
                  <w:pPr>
                    <w:jc w:val="center"/>
                    <w:rPr>
                      <w:rFonts w:hint="default" w:ascii="Times New Roman" w:hAnsi="Times New Roman" w:eastAsia="宋体" w:cs="Times New Roman"/>
                      <w:sz w:val="21"/>
                      <w:szCs w:val="21"/>
                    </w:rPr>
                  </w:pPr>
                </w:p>
              </w:tc>
            </w:tr>
            <w:tr w14:paraId="2F2F690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12" w:hRule="exact"/>
                <w:jc w:val="center"/>
              </w:trPr>
              <w:tc>
                <w:tcPr>
                  <w:tcW w:w="976" w:type="dxa"/>
                  <w:vMerge w:val="restart"/>
                  <w:tcBorders>
                    <w:tl2br w:val="nil"/>
                    <w:tr2bl w:val="nil"/>
                  </w:tcBorders>
                  <w:shd w:val="clear" w:color="auto" w:fill="FFFFFF"/>
                  <w:vAlign w:val="center"/>
                </w:tcPr>
                <w:p w14:paraId="52DB26E0">
                  <w:pPr>
                    <w:jc w:val="center"/>
                    <w:rPr>
                      <w:rFonts w:hint="default" w:ascii="Times New Roman" w:hAnsi="Times New Roman" w:eastAsia="宋体" w:cs="Times New Roman"/>
                      <w:sz w:val="20"/>
                    </w:rPr>
                  </w:pPr>
                  <w:r>
                    <w:rPr>
                      <w:rFonts w:hint="default" w:ascii="Times New Roman" w:hAnsi="Times New Roman" w:eastAsia="宋体" w:cs="Times New Roman"/>
                      <w:sz w:val="20"/>
                    </w:rPr>
                    <w:t>东侧</w:t>
                  </w:r>
                </w:p>
              </w:tc>
              <w:tc>
                <w:tcPr>
                  <w:tcW w:w="711" w:type="dxa"/>
                  <w:tcBorders>
                    <w:tl2br w:val="nil"/>
                    <w:tr2bl w:val="nil"/>
                  </w:tcBorders>
                  <w:shd w:val="clear" w:color="auto" w:fill="FFFFFF"/>
                  <w:vAlign w:val="center"/>
                </w:tcPr>
                <w:p w14:paraId="469910FB">
                  <w:pPr>
                    <w:jc w:val="center"/>
                    <w:rPr>
                      <w:rFonts w:hint="default" w:ascii="Times New Roman" w:hAnsi="Times New Roman" w:eastAsia="宋体" w:cs="Times New Roman"/>
                      <w:sz w:val="20"/>
                    </w:rPr>
                  </w:pPr>
                  <w:r>
                    <w:rPr>
                      <w:rFonts w:hint="default" w:ascii="Times New Roman" w:hAnsi="Times New Roman" w:eastAsia="宋体" w:cs="Times New Roman"/>
                      <w:sz w:val="20"/>
                    </w:rPr>
                    <w:t>30.1</w:t>
                  </w:r>
                </w:p>
              </w:tc>
              <w:tc>
                <w:tcPr>
                  <w:tcW w:w="711" w:type="dxa"/>
                  <w:tcBorders>
                    <w:tl2br w:val="nil"/>
                    <w:tr2bl w:val="nil"/>
                  </w:tcBorders>
                  <w:shd w:val="clear" w:color="auto" w:fill="FFFFFF"/>
                  <w:vAlign w:val="center"/>
                </w:tcPr>
                <w:p w14:paraId="4B97F35C">
                  <w:pPr>
                    <w:jc w:val="center"/>
                    <w:rPr>
                      <w:rFonts w:hint="default" w:ascii="Times New Roman" w:hAnsi="Times New Roman" w:eastAsia="宋体" w:cs="Times New Roman"/>
                      <w:sz w:val="20"/>
                    </w:rPr>
                  </w:pPr>
                  <w:r>
                    <w:rPr>
                      <w:rFonts w:hint="default" w:ascii="Times New Roman" w:hAnsi="Times New Roman" w:eastAsia="宋体" w:cs="Times New Roman"/>
                      <w:sz w:val="20"/>
                    </w:rPr>
                    <w:t>14.2</w:t>
                  </w:r>
                </w:p>
              </w:tc>
              <w:tc>
                <w:tcPr>
                  <w:tcW w:w="713" w:type="dxa"/>
                  <w:tcBorders>
                    <w:tl2br w:val="nil"/>
                    <w:tr2bl w:val="nil"/>
                  </w:tcBorders>
                  <w:shd w:val="clear" w:color="auto" w:fill="FFFFFF"/>
                  <w:vAlign w:val="center"/>
                </w:tcPr>
                <w:p w14:paraId="4E5211DD">
                  <w:pPr>
                    <w:jc w:val="center"/>
                    <w:rPr>
                      <w:rFonts w:hint="default" w:ascii="Times New Roman" w:hAnsi="Times New Roman" w:eastAsia="宋体" w:cs="Times New Roman"/>
                      <w:sz w:val="20"/>
                    </w:rPr>
                  </w:pPr>
                  <w:r>
                    <w:rPr>
                      <w:rFonts w:hint="default" w:ascii="Times New Roman" w:hAnsi="Times New Roman" w:eastAsia="宋体" w:cs="Times New Roman"/>
                      <w:sz w:val="20"/>
                    </w:rPr>
                    <w:t>1.2</w:t>
                  </w:r>
                </w:p>
              </w:tc>
              <w:tc>
                <w:tcPr>
                  <w:tcW w:w="880" w:type="dxa"/>
                  <w:tcBorders>
                    <w:tl2br w:val="nil"/>
                    <w:tr2bl w:val="nil"/>
                  </w:tcBorders>
                  <w:shd w:val="clear" w:color="auto" w:fill="FFFFFF"/>
                  <w:vAlign w:val="center"/>
                </w:tcPr>
                <w:p w14:paraId="391595E0">
                  <w:pPr>
                    <w:jc w:val="center"/>
                    <w:rPr>
                      <w:rFonts w:hint="default" w:ascii="Times New Roman" w:hAnsi="Times New Roman" w:eastAsia="宋体" w:cs="Times New Roman"/>
                      <w:sz w:val="20"/>
                    </w:rPr>
                  </w:pPr>
                  <w:r>
                    <w:rPr>
                      <w:rFonts w:hint="default" w:ascii="Times New Roman" w:hAnsi="Times New Roman" w:eastAsia="宋体" w:cs="Times New Roman"/>
                      <w:sz w:val="20"/>
                    </w:rPr>
                    <w:t>昼间</w:t>
                  </w:r>
                </w:p>
              </w:tc>
              <w:tc>
                <w:tcPr>
                  <w:tcW w:w="1256" w:type="dxa"/>
                  <w:tcBorders>
                    <w:tl2br w:val="nil"/>
                    <w:tr2bl w:val="nil"/>
                  </w:tcBorders>
                  <w:shd w:val="clear" w:color="auto" w:fill="FFFFFF"/>
                  <w:vAlign w:val="center"/>
                </w:tcPr>
                <w:p w14:paraId="47DF414D">
                  <w:pPr>
                    <w:jc w:val="center"/>
                    <w:rPr>
                      <w:rFonts w:hint="default" w:ascii="Times New Roman" w:hAnsi="Times New Roman" w:eastAsia="宋体" w:cs="Times New Roman"/>
                      <w:sz w:val="20"/>
                    </w:rPr>
                  </w:pPr>
                  <w:r>
                    <w:rPr>
                      <w:rFonts w:hint="default" w:ascii="Times New Roman" w:hAnsi="Times New Roman" w:eastAsia="宋体" w:cs="Times New Roman"/>
                      <w:sz w:val="20"/>
                    </w:rPr>
                    <w:t>49.3</w:t>
                  </w:r>
                </w:p>
              </w:tc>
              <w:tc>
                <w:tcPr>
                  <w:tcW w:w="1257" w:type="dxa"/>
                  <w:tcBorders>
                    <w:tl2br w:val="nil"/>
                    <w:tr2bl w:val="nil"/>
                  </w:tcBorders>
                  <w:shd w:val="clear" w:color="auto" w:fill="FFFFFF"/>
                  <w:vAlign w:val="center"/>
                </w:tcPr>
                <w:p w14:paraId="5074FA69">
                  <w:pPr>
                    <w:jc w:val="center"/>
                    <w:rPr>
                      <w:rFonts w:hint="default" w:ascii="Times New Roman" w:hAnsi="Times New Roman" w:eastAsia="宋体" w:cs="Times New Roman"/>
                      <w:sz w:val="20"/>
                    </w:rPr>
                  </w:pPr>
                  <w:r>
                    <w:rPr>
                      <w:rFonts w:hint="default" w:ascii="Times New Roman" w:hAnsi="Times New Roman" w:eastAsia="宋体" w:cs="Times New Roman"/>
                      <w:sz w:val="20"/>
                    </w:rPr>
                    <w:t>65</w:t>
                  </w:r>
                </w:p>
              </w:tc>
              <w:tc>
                <w:tcPr>
                  <w:tcW w:w="1053" w:type="dxa"/>
                  <w:tcBorders>
                    <w:tl2br w:val="nil"/>
                    <w:tr2bl w:val="nil"/>
                  </w:tcBorders>
                  <w:shd w:val="clear" w:color="auto" w:fill="FFFFFF"/>
                  <w:vAlign w:val="center"/>
                </w:tcPr>
                <w:p w14:paraId="26BDCCE3">
                  <w:pPr>
                    <w:jc w:val="center"/>
                    <w:rPr>
                      <w:rFonts w:hint="default" w:ascii="Times New Roman" w:hAnsi="Times New Roman" w:eastAsia="宋体" w:cs="Times New Roman"/>
                      <w:sz w:val="20"/>
                    </w:rPr>
                  </w:pPr>
                  <w:r>
                    <w:rPr>
                      <w:rFonts w:hint="default" w:ascii="Times New Roman" w:hAnsi="Times New Roman" w:eastAsia="宋体" w:cs="Times New Roman"/>
                      <w:sz w:val="20"/>
                    </w:rPr>
                    <w:t>达标</w:t>
                  </w:r>
                </w:p>
              </w:tc>
            </w:tr>
            <w:tr w14:paraId="56A264B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12" w:hRule="exact"/>
                <w:jc w:val="center"/>
              </w:trPr>
              <w:tc>
                <w:tcPr>
                  <w:tcW w:w="976" w:type="dxa"/>
                  <w:vMerge w:val="continue"/>
                  <w:tcBorders>
                    <w:tl2br w:val="nil"/>
                    <w:tr2bl w:val="nil"/>
                  </w:tcBorders>
                  <w:shd w:val="clear" w:color="auto" w:fill="FFFFFF"/>
                  <w:vAlign w:val="center"/>
                </w:tcPr>
                <w:p w14:paraId="5235DD4B">
                  <w:pPr>
                    <w:jc w:val="center"/>
                    <w:rPr>
                      <w:rFonts w:hint="default" w:ascii="Times New Roman" w:hAnsi="Times New Roman" w:eastAsia="宋体" w:cs="Times New Roman"/>
                      <w:sz w:val="20"/>
                    </w:rPr>
                  </w:pPr>
                </w:p>
              </w:tc>
              <w:tc>
                <w:tcPr>
                  <w:tcW w:w="711" w:type="dxa"/>
                  <w:tcBorders>
                    <w:tl2br w:val="nil"/>
                    <w:tr2bl w:val="nil"/>
                  </w:tcBorders>
                  <w:shd w:val="clear" w:color="auto" w:fill="FFFFFF"/>
                  <w:vAlign w:val="center"/>
                </w:tcPr>
                <w:p w14:paraId="4EEE5AC5">
                  <w:pPr>
                    <w:jc w:val="center"/>
                    <w:rPr>
                      <w:rFonts w:hint="default" w:ascii="Times New Roman" w:hAnsi="Times New Roman" w:eastAsia="宋体" w:cs="Times New Roman"/>
                      <w:sz w:val="20"/>
                    </w:rPr>
                  </w:pPr>
                  <w:r>
                    <w:rPr>
                      <w:rFonts w:hint="default" w:ascii="Times New Roman" w:hAnsi="Times New Roman" w:eastAsia="宋体" w:cs="Times New Roman"/>
                      <w:sz w:val="20"/>
                    </w:rPr>
                    <w:t>26.8</w:t>
                  </w:r>
                </w:p>
              </w:tc>
              <w:tc>
                <w:tcPr>
                  <w:tcW w:w="711" w:type="dxa"/>
                  <w:tcBorders>
                    <w:tl2br w:val="nil"/>
                    <w:tr2bl w:val="nil"/>
                  </w:tcBorders>
                  <w:shd w:val="clear" w:color="auto" w:fill="FFFFFF"/>
                  <w:vAlign w:val="center"/>
                </w:tcPr>
                <w:p w14:paraId="4B07F277">
                  <w:pPr>
                    <w:jc w:val="center"/>
                    <w:rPr>
                      <w:rFonts w:hint="default" w:ascii="Times New Roman" w:hAnsi="Times New Roman" w:eastAsia="宋体" w:cs="Times New Roman"/>
                      <w:sz w:val="20"/>
                    </w:rPr>
                  </w:pPr>
                  <w:r>
                    <w:rPr>
                      <w:rFonts w:hint="default" w:ascii="Times New Roman" w:hAnsi="Times New Roman" w:eastAsia="宋体" w:cs="Times New Roman"/>
                      <w:sz w:val="20"/>
                    </w:rPr>
                    <w:t>19.2</w:t>
                  </w:r>
                </w:p>
              </w:tc>
              <w:tc>
                <w:tcPr>
                  <w:tcW w:w="713" w:type="dxa"/>
                  <w:tcBorders>
                    <w:tl2br w:val="nil"/>
                    <w:tr2bl w:val="nil"/>
                  </w:tcBorders>
                  <w:shd w:val="clear" w:color="auto" w:fill="FFFFFF"/>
                  <w:vAlign w:val="center"/>
                </w:tcPr>
                <w:p w14:paraId="317EFEB2">
                  <w:pPr>
                    <w:jc w:val="center"/>
                    <w:rPr>
                      <w:rFonts w:hint="default" w:ascii="Times New Roman" w:hAnsi="Times New Roman" w:eastAsia="宋体" w:cs="Times New Roman"/>
                      <w:sz w:val="20"/>
                    </w:rPr>
                  </w:pPr>
                  <w:r>
                    <w:rPr>
                      <w:rFonts w:hint="default" w:ascii="Times New Roman" w:hAnsi="Times New Roman" w:eastAsia="宋体" w:cs="Times New Roman"/>
                      <w:sz w:val="20"/>
                    </w:rPr>
                    <w:t>1.2</w:t>
                  </w:r>
                </w:p>
              </w:tc>
              <w:tc>
                <w:tcPr>
                  <w:tcW w:w="880" w:type="dxa"/>
                  <w:tcBorders>
                    <w:tl2br w:val="nil"/>
                    <w:tr2bl w:val="nil"/>
                  </w:tcBorders>
                  <w:shd w:val="clear" w:color="auto" w:fill="FFFFFF"/>
                  <w:vAlign w:val="center"/>
                </w:tcPr>
                <w:p w14:paraId="6E40A512">
                  <w:pPr>
                    <w:jc w:val="center"/>
                    <w:rPr>
                      <w:rFonts w:hint="default" w:ascii="Times New Roman" w:hAnsi="Times New Roman" w:eastAsia="宋体" w:cs="Times New Roman"/>
                      <w:sz w:val="20"/>
                    </w:rPr>
                  </w:pPr>
                  <w:r>
                    <w:rPr>
                      <w:rFonts w:hint="default" w:ascii="Times New Roman" w:hAnsi="Times New Roman" w:eastAsia="宋体" w:cs="Times New Roman"/>
                      <w:sz w:val="20"/>
                    </w:rPr>
                    <w:t>夜间</w:t>
                  </w:r>
                </w:p>
              </w:tc>
              <w:tc>
                <w:tcPr>
                  <w:tcW w:w="1256" w:type="dxa"/>
                  <w:tcBorders>
                    <w:tl2br w:val="nil"/>
                    <w:tr2bl w:val="nil"/>
                  </w:tcBorders>
                  <w:shd w:val="clear" w:color="auto" w:fill="FFFFFF"/>
                  <w:vAlign w:val="center"/>
                </w:tcPr>
                <w:p w14:paraId="26A8F407">
                  <w:pPr>
                    <w:jc w:val="center"/>
                    <w:rPr>
                      <w:rFonts w:hint="default" w:ascii="Times New Roman" w:hAnsi="Times New Roman" w:eastAsia="宋体" w:cs="Times New Roman"/>
                      <w:sz w:val="20"/>
                    </w:rPr>
                  </w:pPr>
                  <w:r>
                    <w:rPr>
                      <w:rFonts w:hint="default" w:ascii="Times New Roman" w:hAnsi="Times New Roman" w:eastAsia="宋体" w:cs="Times New Roman"/>
                      <w:sz w:val="20"/>
                    </w:rPr>
                    <w:t>43.2</w:t>
                  </w:r>
                </w:p>
              </w:tc>
              <w:tc>
                <w:tcPr>
                  <w:tcW w:w="1257" w:type="dxa"/>
                  <w:tcBorders>
                    <w:tl2br w:val="nil"/>
                    <w:tr2bl w:val="nil"/>
                  </w:tcBorders>
                  <w:shd w:val="clear" w:color="auto" w:fill="FFFFFF"/>
                  <w:vAlign w:val="center"/>
                </w:tcPr>
                <w:p w14:paraId="242642F5">
                  <w:pPr>
                    <w:jc w:val="center"/>
                    <w:rPr>
                      <w:rFonts w:hint="default" w:ascii="Times New Roman" w:hAnsi="Times New Roman" w:eastAsia="宋体" w:cs="Times New Roman"/>
                      <w:sz w:val="20"/>
                    </w:rPr>
                  </w:pPr>
                  <w:r>
                    <w:rPr>
                      <w:rFonts w:hint="default" w:ascii="Times New Roman" w:hAnsi="Times New Roman" w:eastAsia="宋体" w:cs="Times New Roman"/>
                      <w:sz w:val="20"/>
                    </w:rPr>
                    <w:t>55</w:t>
                  </w:r>
                </w:p>
              </w:tc>
              <w:tc>
                <w:tcPr>
                  <w:tcW w:w="1053" w:type="dxa"/>
                  <w:tcBorders>
                    <w:tl2br w:val="nil"/>
                    <w:tr2bl w:val="nil"/>
                  </w:tcBorders>
                  <w:shd w:val="clear" w:color="auto" w:fill="FFFFFF"/>
                  <w:vAlign w:val="center"/>
                </w:tcPr>
                <w:p w14:paraId="0BBC522B">
                  <w:pPr>
                    <w:jc w:val="center"/>
                    <w:rPr>
                      <w:rFonts w:hint="default" w:ascii="Times New Roman" w:hAnsi="Times New Roman" w:eastAsia="宋体" w:cs="Times New Roman"/>
                      <w:sz w:val="20"/>
                    </w:rPr>
                  </w:pPr>
                  <w:r>
                    <w:rPr>
                      <w:rFonts w:hint="default" w:ascii="Times New Roman" w:hAnsi="Times New Roman" w:eastAsia="宋体" w:cs="Times New Roman"/>
                      <w:sz w:val="20"/>
                    </w:rPr>
                    <w:t>达标</w:t>
                  </w:r>
                </w:p>
              </w:tc>
            </w:tr>
            <w:tr w14:paraId="1A66E5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12" w:hRule="exact"/>
                <w:jc w:val="center"/>
              </w:trPr>
              <w:tc>
                <w:tcPr>
                  <w:tcW w:w="976" w:type="dxa"/>
                  <w:vMerge w:val="restart"/>
                  <w:tcBorders>
                    <w:tl2br w:val="nil"/>
                    <w:tr2bl w:val="nil"/>
                  </w:tcBorders>
                  <w:shd w:val="clear" w:color="auto" w:fill="FFFFFF"/>
                  <w:vAlign w:val="center"/>
                </w:tcPr>
                <w:p w14:paraId="566C393A">
                  <w:pPr>
                    <w:jc w:val="center"/>
                    <w:rPr>
                      <w:rFonts w:hint="default" w:ascii="Times New Roman" w:hAnsi="Times New Roman" w:eastAsia="宋体" w:cs="Times New Roman"/>
                      <w:sz w:val="20"/>
                    </w:rPr>
                  </w:pPr>
                  <w:r>
                    <w:rPr>
                      <w:rFonts w:hint="default" w:ascii="Times New Roman" w:hAnsi="Times New Roman" w:eastAsia="宋体" w:cs="Times New Roman"/>
                      <w:sz w:val="20"/>
                    </w:rPr>
                    <w:t>南侧</w:t>
                  </w:r>
                </w:p>
              </w:tc>
              <w:tc>
                <w:tcPr>
                  <w:tcW w:w="711" w:type="dxa"/>
                  <w:tcBorders>
                    <w:tl2br w:val="nil"/>
                    <w:tr2bl w:val="nil"/>
                  </w:tcBorders>
                  <w:shd w:val="clear" w:color="auto" w:fill="FFFFFF"/>
                  <w:vAlign w:val="center"/>
                </w:tcPr>
                <w:p w14:paraId="6226624D">
                  <w:pPr>
                    <w:jc w:val="center"/>
                    <w:rPr>
                      <w:rFonts w:hint="default" w:ascii="Times New Roman" w:hAnsi="Times New Roman" w:eastAsia="宋体" w:cs="Times New Roman"/>
                      <w:sz w:val="20"/>
                    </w:rPr>
                  </w:pPr>
                  <w:r>
                    <w:rPr>
                      <w:rFonts w:hint="default" w:ascii="Times New Roman" w:hAnsi="Times New Roman" w:eastAsia="宋体" w:cs="Times New Roman"/>
                      <w:sz w:val="20"/>
                    </w:rPr>
                    <w:t>12.4</w:t>
                  </w:r>
                </w:p>
              </w:tc>
              <w:tc>
                <w:tcPr>
                  <w:tcW w:w="711" w:type="dxa"/>
                  <w:tcBorders>
                    <w:tl2br w:val="nil"/>
                    <w:tr2bl w:val="nil"/>
                  </w:tcBorders>
                  <w:shd w:val="clear" w:color="auto" w:fill="FFFFFF"/>
                  <w:vAlign w:val="center"/>
                </w:tcPr>
                <w:p w14:paraId="65E64DF8">
                  <w:pPr>
                    <w:jc w:val="center"/>
                    <w:rPr>
                      <w:rFonts w:hint="default" w:ascii="Times New Roman" w:hAnsi="Times New Roman" w:eastAsia="宋体" w:cs="Times New Roman"/>
                      <w:sz w:val="20"/>
                    </w:rPr>
                  </w:pPr>
                  <w:r>
                    <w:rPr>
                      <w:rFonts w:hint="default" w:ascii="Times New Roman" w:hAnsi="Times New Roman" w:eastAsia="宋体" w:cs="Times New Roman"/>
                      <w:sz w:val="20"/>
                    </w:rPr>
                    <w:t>-8.3</w:t>
                  </w:r>
                </w:p>
              </w:tc>
              <w:tc>
                <w:tcPr>
                  <w:tcW w:w="713" w:type="dxa"/>
                  <w:tcBorders>
                    <w:tl2br w:val="nil"/>
                    <w:tr2bl w:val="nil"/>
                  </w:tcBorders>
                  <w:shd w:val="clear" w:color="auto" w:fill="FFFFFF"/>
                  <w:vAlign w:val="center"/>
                </w:tcPr>
                <w:p w14:paraId="1DF54D53">
                  <w:pPr>
                    <w:jc w:val="center"/>
                    <w:rPr>
                      <w:rFonts w:hint="default" w:ascii="Times New Roman" w:hAnsi="Times New Roman" w:eastAsia="宋体" w:cs="Times New Roman"/>
                      <w:sz w:val="20"/>
                    </w:rPr>
                  </w:pPr>
                  <w:r>
                    <w:rPr>
                      <w:rFonts w:hint="default" w:ascii="Times New Roman" w:hAnsi="Times New Roman" w:eastAsia="宋体" w:cs="Times New Roman"/>
                      <w:sz w:val="20"/>
                    </w:rPr>
                    <w:t>1.2</w:t>
                  </w:r>
                </w:p>
              </w:tc>
              <w:tc>
                <w:tcPr>
                  <w:tcW w:w="880" w:type="dxa"/>
                  <w:tcBorders>
                    <w:tl2br w:val="nil"/>
                    <w:tr2bl w:val="nil"/>
                  </w:tcBorders>
                  <w:shd w:val="clear" w:color="auto" w:fill="FFFFFF"/>
                  <w:vAlign w:val="center"/>
                </w:tcPr>
                <w:p w14:paraId="2F412DFB">
                  <w:pPr>
                    <w:jc w:val="center"/>
                    <w:rPr>
                      <w:rFonts w:hint="default" w:ascii="Times New Roman" w:hAnsi="Times New Roman" w:eastAsia="宋体" w:cs="Times New Roman"/>
                      <w:sz w:val="20"/>
                    </w:rPr>
                  </w:pPr>
                  <w:r>
                    <w:rPr>
                      <w:rFonts w:hint="default" w:ascii="Times New Roman" w:hAnsi="Times New Roman" w:eastAsia="宋体" w:cs="Times New Roman"/>
                      <w:sz w:val="20"/>
                    </w:rPr>
                    <w:t>昼间</w:t>
                  </w:r>
                </w:p>
              </w:tc>
              <w:tc>
                <w:tcPr>
                  <w:tcW w:w="1256" w:type="dxa"/>
                  <w:tcBorders>
                    <w:tl2br w:val="nil"/>
                    <w:tr2bl w:val="nil"/>
                  </w:tcBorders>
                  <w:shd w:val="clear" w:color="auto" w:fill="FFFFFF"/>
                  <w:vAlign w:val="center"/>
                </w:tcPr>
                <w:p w14:paraId="26D901BF">
                  <w:pPr>
                    <w:jc w:val="center"/>
                    <w:rPr>
                      <w:rFonts w:hint="default" w:ascii="Times New Roman" w:hAnsi="Times New Roman" w:eastAsia="宋体" w:cs="Times New Roman"/>
                      <w:sz w:val="20"/>
                    </w:rPr>
                  </w:pPr>
                  <w:r>
                    <w:rPr>
                      <w:rFonts w:hint="default" w:ascii="Times New Roman" w:hAnsi="Times New Roman" w:eastAsia="宋体" w:cs="Times New Roman"/>
                      <w:sz w:val="20"/>
                    </w:rPr>
                    <w:t>53.3</w:t>
                  </w:r>
                </w:p>
              </w:tc>
              <w:tc>
                <w:tcPr>
                  <w:tcW w:w="1257" w:type="dxa"/>
                  <w:tcBorders>
                    <w:tl2br w:val="nil"/>
                    <w:tr2bl w:val="nil"/>
                  </w:tcBorders>
                  <w:shd w:val="clear" w:color="auto" w:fill="FFFFFF"/>
                  <w:vAlign w:val="center"/>
                </w:tcPr>
                <w:p w14:paraId="57E60C50">
                  <w:pPr>
                    <w:jc w:val="center"/>
                    <w:rPr>
                      <w:rFonts w:hint="default" w:ascii="Times New Roman" w:hAnsi="Times New Roman" w:eastAsia="宋体" w:cs="Times New Roman"/>
                      <w:sz w:val="20"/>
                    </w:rPr>
                  </w:pPr>
                  <w:r>
                    <w:rPr>
                      <w:rFonts w:hint="default" w:ascii="Times New Roman" w:hAnsi="Times New Roman" w:eastAsia="宋体" w:cs="Times New Roman"/>
                      <w:sz w:val="20"/>
                    </w:rPr>
                    <w:t>65</w:t>
                  </w:r>
                </w:p>
              </w:tc>
              <w:tc>
                <w:tcPr>
                  <w:tcW w:w="1053" w:type="dxa"/>
                  <w:tcBorders>
                    <w:tl2br w:val="nil"/>
                    <w:tr2bl w:val="nil"/>
                  </w:tcBorders>
                  <w:shd w:val="clear" w:color="auto" w:fill="FFFFFF"/>
                  <w:vAlign w:val="center"/>
                </w:tcPr>
                <w:p w14:paraId="0866604A">
                  <w:pPr>
                    <w:jc w:val="center"/>
                    <w:rPr>
                      <w:rFonts w:hint="default" w:ascii="Times New Roman" w:hAnsi="Times New Roman" w:eastAsia="宋体" w:cs="Times New Roman"/>
                      <w:sz w:val="20"/>
                    </w:rPr>
                  </w:pPr>
                  <w:r>
                    <w:rPr>
                      <w:rFonts w:hint="default" w:ascii="Times New Roman" w:hAnsi="Times New Roman" w:eastAsia="宋体" w:cs="Times New Roman"/>
                      <w:sz w:val="20"/>
                    </w:rPr>
                    <w:t>达标</w:t>
                  </w:r>
                </w:p>
              </w:tc>
            </w:tr>
            <w:tr w14:paraId="4C9CC55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12" w:hRule="exact"/>
                <w:jc w:val="center"/>
              </w:trPr>
              <w:tc>
                <w:tcPr>
                  <w:tcW w:w="976" w:type="dxa"/>
                  <w:vMerge w:val="continue"/>
                  <w:tcBorders>
                    <w:tl2br w:val="nil"/>
                    <w:tr2bl w:val="nil"/>
                  </w:tcBorders>
                  <w:shd w:val="clear" w:color="auto" w:fill="FFFFFF"/>
                  <w:vAlign w:val="center"/>
                </w:tcPr>
                <w:p w14:paraId="061FCCC7">
                  <w:pPr>
                    <w:jc w:val="center"/>
                    <w:rPr>
                      <w:rFonts w:hint="default" w:ascii="Times New Roman" w:hAnsi="Times New Roman" w:eastAsia="宋体" w:cs="Times New Roman"/>
                      <w:sz w:val="20"/>
                    </w:rPr>
                  </w:pPr>
                </w:p>
              </w:tc>
              <w:tc>
                <w:tcPr>
                  <w:tcW w:w="711" w:type="dxa"/>
                  <w:tcBorders>
                    <w:tl2br w:val="nil"/>
                    <w:tr2bl w:val="nil"/>
                  </w:tcBorders>
                  <w:shd w:val="clear" w:color="auto" w:fill="FFFFFF"/>
                  <w:vAlign w:val="center"/>
                </w:tcPr>
                <w:p w14:paraId="0A693DA3">
                  <w:pPr>
                    <w:jc w:val="center"/>
                    <w:rPr>
                      <w:rFonts w:hint="default" w:ascii="Times New Roman" w:hAnsi="Times New Roman" w:eastAsia="宋体" w:cs="Times New Roman"/>
                      <w:sz w:val="20"/>
                    </w:rPr>
                  </w:pPr>
                  <w:r>
                    <w:rPr>
                      <w:rFonts w:hint="default" w:ascii="Times New Roman" w:hAnsi="Times New Roman" w:eastAsia="宋体" w:cs="Times New Roman"/>
                      <w:sz w:val="20"/>
                    </w:rPr>
                    <w:t>25.1</w:t>
                  </w:r>
                </w:p>
              </w:tc>
              <w:tc>
                <w:tcPr>
                  <w:tcW w:w="711" w:type="dxa"/>
                  <w:tcBorders>
                    <w:tl2br w:val="nil"/>
                    <w:tr2bl w:val="nil"/>
                  </w:tcBorders>
                  <w:shd w:val="clear" w:color="auto" w:fill="FFFFFF"/>
                  <w:vAlign w:val="center"/>
                </w:tcPr>
                <w:p w14:paraId="0DC220CA">
                  <w:pPr>
                    <w:jc w:val="center"/>
                    <w:rPr>
                      <w:rFonts w:hint="default" w:ascii="Times New Roman" w:hAnsi="Times New Roman" w:eastAsia="宋体" w:cs="Times New Roman"/>
                      <w:sz w:val="20"/>
                    </w:rPr>
                  </w:pPr>
                  <w:r>
                    <w:rPr>
                      <w:rFonts w:hint="default" w:ascii="Times New Roman" w:hAnsi="Times New Roman" w:eastAsia="宋体" w:cs="Times New Roman"/>
                      <w:sz w:val="20"/>
                    </w:rPr>
                    <w:t>-0.3</w:t>
                  </w:r>
                </w:p>
              </w:tc>
              <w:tc>
                <w:tcPr>
                  <w:tcW w:w="713" w:type="dxa"/>
                  <w:tcBorders>
                    <w:tl2br w:val="nil"/>
                    <w:tr2bl w:val="nil"/>
                  </w:tcBorders>
                  <w:shd w:val="clear" w:color="auto" w:fill="FFFFFF"/>
                  <w:vAlign w:val="center"/>
                </w:tcPr>
                <w:p w14:paraId="6FF8F37C">
                  <w:pPr>
                    <w:jc w:val="center"/>
                    <w:rPr>
                      <w:rFonts w:hint="default" w:ascii="Times New Roman" w:hAnsi="Times New Roman" w:eastAsia="宋体" w:cs="Times New Roman"/>
                      <w:sz w:val="20"/>
                    </w:rPr>
                  </w:pPr>
                  <w:r>
                    <w:rPr>
                      <w:rFonts w:hint="default" w:ascii="Times New Roman" w:hAnsi="Times New Roman" w:eastAsia="宋体" w:cs="Times New Roman"/>
                      <w:sz w:val="20"/>
                    </w:rPr>
                    <w:t>1.2</w:t>
                  </w:r>
                </w:p>
              </w:tc>
              <w:tc>
                <w:tcPr>
                  <w:tcW w:w="880" w:type="dxa"/>
                  <w:tcBorders>
                    <w:tl2br w:val="nil"/>
                    <w:tr2bl w:val="nil"/>
                  </w:tcBorders>
                  <w:shd w:val="clear" w:color="auto" w:fill="FFFFFF"/>
                  <w:vAlign w:val="center"/>
                </w:tcPr>
                <w:p w14:paraId="11BEA3B0">
                  <w:pPr>
                    <w:jc w:val="center"/>
                    <w:rPr>
                      <w:rFonts w:hint="default" w:ascii="Times New Roman" w:hAnsi="Times New Roman" w:eastAsia="宋体" w:cs="Times New Roman"/>
                      <w:sz w:val="20"/>
                    </w:rPr>
                  </w:pPr>
                  <w:r>
                    <w:rPr>
                      <w:rFonts w:hint="default" w:ascii="Times New Roman" w:hAnsi="Times New Roman" w:eastAsia="宋体" w:cs="Times New Roman"/>
                      <w:sz w:val="20"/>
                    </w:rPr>
                    <w:t>夜间</w:t>
                  </w:r>
                </w:p>
              </w:tc>
              <w:tc>
                <w:tcPr>
                  <w:tcW w:w="1256" w:type="dxa"/>
                  <w:tcBorders>
                    <w:tl2br w:val="nil"/>
                    <w:tr2bl w:val="nil"/>
                  </w:tcBorders>
                  <w:shd w:val="clear" w:color="auto" w:fill="FFFFFF"/>
                  <w:vAlign w:val="center"/>
                </w:tcPr>
                <w:p w14:paraId="0F822F8E">
                  <w:pPr>
                    <w:jc w:val="center"/>
                    <w:rPr>
                      <w:rFonts w:hint="default" w:ascii="Times New Roman" w:hAnsi="Times New Roman" w:eastAsia="宋体" w:cs="Times New Roman"/>
                      <w:sz w:val="20"/>
                    </w:rPr>
                  </w:pPr>
                  <w:r>
                    <w:rPr>
                      <w:rFonts w:hint="default" w:ascii="Times New Roman" w:hAnsi="Times New Roman" w:eastAsia="宋体" w:cs="Times New Roman"/>
                      <w:sz w:val="20"/>
                    </w:rPr>
                    <w:t>42</w:t>
                  </w:r>
                </w:p>
              </w:tc>
              <w:tc>
                <w:tcPr>
                  <w:tcW w:w="1257" w:type="dxa"/>
                  <w:tcBorders>
                    <w:tl2br w:val="nil"/>
                    <w:tr2bl w:val="nil"/>
                  </w:tcBorders>
                  <w:shd w:val="clear" w:color="auto" w:fill="FFFFFF"/>
                  <w:vAlign w:val="center"/>
                </w:tcPr>
                <w:p w14:paraId="2FB1E7CE">
                  <w:pPr>
                    <w:jc w:val="center"/>
                    <w:rPr>
                      <w:rFonts w:hint="default" w:ascii="Times New Roman" w:hAnsi="Times New Roman" w:eastAsia="宋体" w:cs="Times New Roman"/>
                      <w:sz w:val="20"/>
                    </w:rPr>
                  </w:pPr>
                  <w:r>
                    <w:rPr>
                      <w:rFonts w:hint="default" w:ascii="Times New Roman" w:hAnsi="Times New Roman" w:eastAsia="宋体" w:cs="Times New Roman"/>
                      <w:sz w:val="20"/>
                    </w:rPr>
                    <w:t>55</w:t>
                  </w:r>
                </w:p>
              </w:tc>
              <w:tc>
                <w:tcPr>
                  <w:tcW w:w="1053" w:type="dxa"/>
                  <w:tcBorders>
                    <w:tl2br w:val="nil"/>
                    <w:tr2bl w:val="nil"/>
                  </w:tcBorders>
                  <w:shd w:val="clear" w:color="auto" w:fill="FFFFFF"/>
                  <w:vAlign w:val="center"/>
                </w:tcPr>
                <w:p w14:paraId="36CD8270">
                  <w:pPr>
                    <w:jc w:val="center"/>
                    <w:rPr>
                      <w:rFonts w:hint="default" w:ascii="Times New Roman" w:hAnsi="Times New Roman" w:eastAsia="宋体" w:cs="Times New Roman"/>
                      <w:sz w:val="20"/>
                    </w:rPr>
                  </w:pPr>
                  <w:r>
                    <w:rPr>
                      <w:rFonts w:hint="default" w:ascii="Times New Roman" w:hAnsi="Times New Roman" w:eastAsia="宋体" w:cs="Times New Roman"/>
                      <w:sz w:val="20"/>
                    </w:rPr>
                    <w:t>达标</w:t>
                  </w:r>
                </w:p>
              </w:tc>
            </w:tr>
            <w:tr w14:paraId="5A2ADA7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12" w:hRule="exact"/>
                <w:jc w:val="center"/>
              </w:trPr>
              <w:tc>
                <w:tcPr>
                  <w:tcW w:w="976" w:type="dxa"/>
                  <w:vMerge w:val="restart"/>
                  <w:tcBorders>
                    <w:tl2br w:val="nil"/>
                    <w:tr2bl w:val="nil"/>
                  </w:tcBorders>
                  <w:shd w:val="clear" w:color="auto" w:fill="FFFFFF"/>
                  <w:vAlign w:val="center"/>
                </w:tcPr>
                <w:p w14:paraId="3E0C820F">
                  <w:pPr>
                    <w:jc w:val="center"/>
                    <w:rPr>
                      <w:rFonts w:hint="default" w:ascii="Times New Roman" w:hAnsi="Times New Roman" w:eastAsia="宋体" w:cs="Times New Roman"/>
                      <w:sz w:val="20"/>
                    </w:rPr>
                  </w:pPr>
                  <w:r>
                    <w:rPr>
                      <w:rFonts w:hint="default" w:ascii="Times New Roman" w:hAnsi="Times New Roman" w:eastAsia="宋体" w:cs="Times New Roman"/>
                      <w:sz w:val="20"/>
                    </w:rPr>
                    <w:t>西侧</w:t>
                  </w:r>
                </w:p>
              </w:tc>
              <w:tc>
                <w:tcPr>
                  <w:tcW w:w="711" w:type="dxa"/>
                  <w:tcBorders>
                    <w:tl2br w:val="nil"/>
                    <w:tr2bl w:val="nil"/>
                  </w:tcBorders>
                  <w:shd w:val="clear" w:color="auto" w:fill="FFFFFF"/>
                  <w:vAlign w:val="center"/>
                </w:tcPr>
                <w:p w14:paraId="6A9EDEED">
                  <w:pPr>
                    <w:jc w:val="center"/>
                    <w:rPr>
                      <w:rFonts w:hint="default" w:ascii="Times New Roman" w:hAnsi="Times New Roman" w:eastAsia="宋体" w:cs="Times New Roman"/>
                      <w:sz w:val="20"/>
                    </w:rPr>
                  </w:pPr>
                  <w:r>
                    <w:rPr>
                      <w:rFonts w:hint="default" w:ascii="Times New Roman" w:hAnsi="Times New Roman" w:eastAsia="宋体" w:cs="Times New Roman"/>
                      <w:sz w:val="20"/>
                    </w:rPr>
                    <w:t>-28.7</w:t>
                  </w:r>
                </w:p>
              </w:tc>
              <w:tc>
                <w:tcPr>
                  <w:tcW w:w="711" w:type="dxa"/>
                  <w:tcBorders>
                    <w:tl2br w:val="nil"/>
                    <w:tr2bl w:val="nil"/>
                  </w:tcBorders>
                  <w:shd w:val="clear" w:color="auto" w:fill="FFFFFF"/>
                  <w:vAlign w:val="center"/>
                </w:tcPr>
                <w:p w14:paraId="2FE6D65A">
                  <w:pPr>
                    <w:jc w:val="center"/>
                    <w:rPr>
                      <w:rFonts w:hint="default" w:ascii="Times New Roman" w:hAnsi="Times New Roman" w:eastAsia="宋体" w:cs="Times New Roman"/>
                      <w:sz w:val="20"/>
                    </w:rPr>
                  </w:pPr>
                  <w:r>
                    <w:rPr>
                      <w:rFonts w:hint="default" w:ascii="Times New Roman" w:hAnsi="Times New Roman" w:eastAsia="宋体" w:cs="Times New Roman"/>
                      <w:sz w:val="20"/>
                    </w:rPr>
                    <w:t>-16.4</w:t>
                  </w:r>
                </w:p>
              </w:tc>
              <w:tc>
                <w:tcPr>
                  <w:tcW w:w="713" w:type="dxa"/>
                  <w:tcBorders>
                    <w:tl2br w:val="nil"/>
                    <w:tr2bl w:val="nil"/>
                  </w:tcBorders>
                  <w:shd w:val="clear" w:color="auto" w:fill="FFFFFF"/>
                  <w:vAlign w:val="center"/>
                </w:tcPr>
                <w:p w14:paraId="03D5C2A5">
                  <w:pPr>
                    <w:jc w:val="center"/>
                    <w:rPr>
                      <w:rFonts w:hint="default" w:ascii="Times New Roman" w:hAnsi="Times New Roman" w:eastAsia="宋体" w:cs="Times New Roman"/>
                      <w:sz w:val="20"/>
                    </w:rPr>
                  </w:pPr>
                  <w:r>
                    <w:rPr>
                      <w:rFonts w:hint="default" w:ascii="Times New Roman" w:hAnsi="Times New Roman" w:eastAsia="宋体" w:cs="Times New Roman"/>
                      <w:sz w:val="20"/>
                    </w:rPr>
                    <w:t>1.2</w:t>
                  </w:r>
                </w:p>
              </w:tc>
              <w:tc>
                <w:tcPr>
                  <w:tcW w:w="880" w:type="dxa"/>
                  <w:tcBorders>
                    <w:tl2br w:val="nil"/>
                    <w:tr2bl w:val="nil"/>
                  </w:tcBorders>
                  <w:shd w:val="clear" w:color="auto" w:fill="FFFFFF"/>
                  <w:vAlign w:val="center"/>
                </w:tcPr>
                <w:p w14:paraId="55EF5318">
                  <w:pPr>
                    <w:jc w:val="center"/>
                    <w:rPr>
                      <w:rFonts w:hint="default" w:ascii="Times New Roman" w:hAnsi="Times New Roman" w:eastAsia="宋体" w:cs="Times New Roman"/>
                      <w:sz w:val="20"/>
                    </w:rPr>
                  </w:pPr>
                  <w:r>
                    <w:rPr>
                      <w:rFonts w:hint="default" w:ascii="Times New Roman" w:hAnsi="Times New Roman" w:eastAsia="宋体" w:cs="Times New Roman"/>
                      <w:sz w:val="20"/>
                    </w:rPr>
                    <w:t>昼间</w:t>
                  </w:r>
                </w:p>
              </w:tc>
              <w:tc>
                <w:tcPr>
                  <w:tcW w:w="1256" w:type="dxa"/>
                  <w:tcBorders>
                    <w:tl2br w:val="nil"/>
                    <w:tr2bl w:val="nil"/>
                  </w:tcBorders>
                  <w:shd w:val="clear" w:color="auto" w:fill="FFFFFF"/>
                  <w:vAlign w:val="center"/>
                </w:tcPr>
                <w:p w14:paraId="17EE58F7">
                  <w:pPr>
                    <w:jc w:val="center"/>
                    <w:rPr>
                      <w:rFonts w:hint="default" w:ascii="Times New Roman" w:hAnsi="Times New Roman" w:eastAsia="宋体" w:cs="Times New Roman"/>
                      <w:sz w:val="20"/>
                    </w:rPr>
                  </w:pPr>
                  <w:r>
                    <w:rPr>
                      <w:rFonts w:hint="default" w:ascii="Times New Roman" w:hAnsi="Times New Roman" w:eastAsia="宋体" w:cs="Times New Roman"/>
                      <w:sz w:val="20"/>
                    </w:rPr>
                    <w:t>47.3</w:t>
                  </w:r>
                </w:p>
              </w:tc>
              <w:tc>
                <w:tcPr>
                  <w:tcW w:w="1257" w:type="dxa"/>
                  <w:tcBorders>
                    <w:tl2br w:val="nil"/>
                    <w:tr2bl w:val="nil"/>
                  </w:tcBorders>
                  <w:shd w:val="clear" w:color="auto" w:fill="FFFFFF"/>
                  <w:vAlign w:val="center"/>
                </w:tcPr>
                <w:p w14:paraId="1C77CCB4">
                  <w:pPr>
                    <w:jc w:val="center"/>
                    <w:rPr>
                      <w:rFonts w:hint="default" w:ascii="Times New Roman" w:hAnsi="Times New Roman" w:eastAsia="宋体" w:cs="Times New Roman"/>
                      <w:sz w:val="20"/>
                    </w:rPr>
                  </w:pPr>
                  <w:r>
                    <w:rPr>
                      <w:rFonts w:hint="default" w:ascii="Times New Roman" w:hAnsi="Times New Roman" w:eastAsia="宋体" w:cs="Times New Roman"/>
                      <w:sz w:val="20"/>
                    </w:rPr>
                    <w:t>65</w:t>
                  </w:r>
                </w:p>
              </w:tc>
              <w:tc>
                <w:tcPr>
                  <w:tcW w:w="1053" w:type="dxa"/>
                  <w:tcBorders>
                    <w:tl2br w:val="nil"/>
                    <w:tr2bl w:val="nil"/>
                  </w:tcBorders>
                  <w:shd w:val="clear" w:color="auto" w:fill="FFFFFF"/>
                  <w:vAlign w:val="center"/>
                </w:tcPr>
                <w:p w14:paraId="13C260E9">
                  <w:pPr>
                    <w:jc w:val="center"/>
                    <w:rPr>
                      <w:rFonts w:hint="default" w:ascii="Times New Roman" w:hAnsi="Times New Roman" w:eastAsia="宋体" w:cs="Times New Roman"/>
                      <w:sz w:val="20"/>
                    </w:rPr>
                  </w:pPr>
                  <w:r>
                    <w:rPr>
                      <w:rFonts w:hint="default" w:ascii="Times New Roman" w:hAnsi="Times New Roman" w:eastAsia="宋体" w:cs="Times New Roman"/>
                      <w:sz w:val="20"/>
                    </w:rPr>
                    <w:t>达标</w:t>
                  </w:r>
                </w:p>
              </w:tc>
            </w:tr>
            <w:tr w14:paraId="306C2C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12" w:hRule="exact"/>
                <w:jc w:val="center"/>
              </w:trPr>
              <w:tc>
                <w:tcPr>
                  <w:tcW w:w="976" w:type="dxa"/>
                  <w:vMerge w:val="continue"/>
                  <w:tcBorders>
                    <w:tl2br w:val="nil"/>
                    <w:tr2bl w:val="nil"/>
                  </w:tcBorders>
                  <w:shd w:val="clear" w:color="auto" w:fill="FFFFFF"/>
                  <w:vAlign w:val="center"/>
                </w:tcPr>
                <w:p w14:paraId="03EE77ED">
                  <w:pPr>
                    <w:jc w:val="center"/>
                    <w:rPr>
                      <w:rFonts w:hint="default" w:ascii="Times New Roman" w:hAnsi="Times New Roman" w:eastAsia="宋体" w:cs="Times New Roman"/>
                      <w:sz w:val="20"/>
                    </w:rPr>
                  </w:pPr>
                </w:p>
              </w:tc>
              <w:tc>
                <w:tcPr>
                  <w:tcW w:w="711" w:type="dxa"/>
                  <w:tcBorders>
                    <w:tl2br w:val="nil"/>
                    <w:tr2bl w:val="nil"/>
                  </w:tcBorders>
                  <w:shd w:val="clear" w:color="auto" w:fill="FFFFFF"/>
                  <w:vAlign w:val="center"/>
                </w:tcPr>
                <w:p w14:paraId="5463C28C">
                  <w:pPr>
                    <w:jc w:val="center"/>
                    <w:rPr>
                      <w:rFonts w:hint="default" w:ascii="Times New Roman" w:hAnsi="Times New Roman" w:eastAsia="宋体" w:cs="Times New Roman"/>
                      <w:sz w:val="20"/>
                    </w:rPr>
                  </w:pPr>
                  <w:r>
                    <w:rPr>
                      <w:rFonts w:hint="default" w:ascii="Times New Roman" w:hAnsi="Times New Roman" w:eastAsia="宋体" w:cs="Times New Roman"/>
                      <w:sz w:val="20"/>
                    </w:rPr>
                    <w:t>-34.5</w:t>
                  </w:r>
                </w:p>
              </w:tc>
              <w:tc>
                <w:tcPr>
                  <w:tcW w:w="711" w:type="dxa"/>
                  <w:tcBorders>
                    <w:tl2br w:val="nil"/>
                    <w:tr2bl w:val="nil"/>
                  </w:tcBorders>
                  <w:shd w:val="clear" w:color="auto" w:fill="FFFFFF"/>
                  <w:vAlign w:val="center"/>
                </w:tcPr>
                <w:p w14:paraId="580147B9">
                  <w:pPr>
                    <w:jc w:val="center"/>
                    <w:rPr>
                      <w:rFonts w:hint="default" w:ascii="Times New Roman" w:hAnsi="Times New Roman" w:eastAsia="宋体" w:cs="Times New Roman"/>
                      <w:sz w:val="20"/>
                    </w:rPr>
                  </w:pPr>
                  <w:r>
                    <w:rPr>
                      <w:rFonts w:hint="default" w:ascii="Times New Roman" w:hAnsi="Times New Roman" w:eastAsia="宋体" w:cs="Times New Roman"/>
                      <w:sz w:val="20"/>
                    </w:rPr>
                    <w:t>-5.9</w:t>
                  </w:r>
                </w:p>
              </w:tc>
              <w:tc>
                <w:tcPr>
                  <w:tcW w:w="713" w:type="dxa"/>
                  <w:tcBorders>
                    <w:tl2br w:val="nil"/>
                    <w:tr2bl w:val="nil"/>
                  </w:tcBorders>
                  <w:shd w:val="clear" w:color="auto" w:fill="FFFFFF"/>
                  <w:vAlign w:val="center"/>
                </w:tcPr>
                <w:p w14:paraId="49744E78">
                  <w:pPr>
                    <w:jc w:val="center"/>
                    <w:rPr>
                      <w:rFonts w:hint="default" w:ascii="Times New Roman" w:hAnsi="Times New Roman" w:eastAsia="宋体" w:cs="Times New Roman"/>
                      <w:sz w:val="20"/>
                    </w:rPr>
                  </w:pPr>
                  <w:r>
                    <w:rPr>
                      <w:rFonts w:hint="default" w:ascii="Times New Roman" w:hAnsi="Times New Roman" w:eastAsia="宋体" w:cs="Times New Roman"/>
                      <w:sz w:val="20"/>
                    </w:rPr>
                    <w:t>1.2</w:t>
                  </w:r>
                </w:p>
              </w:tc>
              <w:tc>
                <w:tcPr>
                  <w:tcW w:w="880" w:type="dxa"/>
                  <w:tcBorders>
                    <w:tl2br w:val="nil"/>
                    <w:tr2bl w:val="nil"/>
                  </w:tcBorders>
                  <w:shd w:val="clear" w:color="auto" w:fill="FFFFFF"/>
                  <w:vAlign w:val="center"/>
                </w:tcPr>
                <w:p w14:paraId="355E6A34">
                  <w:pPr>
                    <w:jc w:val="center"/>
                    <w:rPr>
                      <w:rFonts w:hint="default" w:ascii="Times New Roman" w:hAnsi="Times New Roman" w:eastAsia="宋体" w:cs="Times New Roman"/>
                      <w:sz w:val="20"/>
                    </w:rPr>
                  </w:pPr>
                  <w:r>
                    <w:rPr>
                      <w:rFonts w:hint="default" w:ascii="Times New Roman" w:hAnsi="Times New Roman" w:eastAsia="宋体" w:cs="Times New Roman"/>
                      <w:sz w:val="20"/>
                    </w:rPr>
                    <w:t>夜间</w:t>
                  </w:r>
                </w:p>
              </w:tc>
              <w:tc>
                <w:tcPr>
                  <w:tcW w:w="1256" w:type="dxa"/>
                  <w:tcBorders>
                    <w:tl2br w:val="nil"/>
                    <w:tr2bl w:val="nil"/>
                  </w:tcBorders>
                  <w:shd w:val="clear" w:color="auto" w:fill="FFFFFF"/>
                  <w:vAlign w:val="center"/>
                </w:tcPr>
                <w:p w14:paraId="1D22785A">
                  <w:pPr>
                    <w:jc w:val="center"/>
                    <w:rPr>
                      <w:rFonts w:hint="default" w:ascii="Times New Roman" w:hAnsi="Times New Roman" w:eastAsia="宋体" w:cs="Times New Roman"/>
                      <w:sz w:val="20"/>
                    </w:rPr>
                  </w:pPr>
                  <w:r>
                    <w:rPr>
                      <w:rFonts w:hint="default" w:ascii="Times New Roman" w:hAnsi="Times New Roman" w:eastAsia="宋体" w:cs="Times New Roman"/>
                      <w:sz w:val="20"/>
                    </w:rPr>
                    <w:t>36.6</w:t>
                  </w:r>
                </w:p>
              </w:tc>
              <w:tc>
                <w:tcPr>
                  <w:tcW w:w="1257" w:type="dxa"/>
                  <w:tcBorders>
                    <w:tl2br w:val="nil"/>
                    <w:tr2bl w:val="nil"/>
                  </w:tcBorders>
                  <w:shd w:val="clear" w:color="auto" w:fill="FFFFFF"/>
                  <w:vAlign w:val="center"/>
                </w:tcPr>
                <w:p w14:paraId="5A581D45">
                  <w:pPr>
                    <w:jc w:val="center"/>
                    <w:rPr>
                      <w:rFonts w:hint="default" w:ascii="Times New Roman" w:hAnsi="Times New Roman" w:eastAsia="宋体" w:cs="Times New Roman"/>
                      <w:sz w:val="20"/>
                    </w:rPr>
                  </w:pPr>
                  <w:r>
                    <w:rPr>
                      <w:rFonts w:hint="default" w:ascii="Times New Roman" w:hAnsi="Times New Roman" w:eastAsia="宋体" w:cs="Times New Roman"/>
                      <w:sz w:val="20"/>
                    </w:rPr>
                    <w:t>55</w:t>
                  </w:r>
                </w:p>
              </w:tc>
              <w:tc>
                <w:tcPr>
                  <w:tcW w:w="1053" w:type="dxa"/>
                  <w:tcBorders>
                    <w:tl2br w:val="nil"/>
                    <w:tr2bl w:val="nil"/>
                  </w:tcBorders>
                  <w:shd w:val="clear" w:color="auto" w:fill="FFFFFF"/>
                  <w:vAlign w:val="center"/>
                </w:tcPr>
                <w:p w14:paraId="4AF78E6A">
                  <w:pPr>
                    <w:jc w:val="center"/>
                    <w:rPr>
                      <w:rFonts w:hint="default" w:ascii="Times New Roman" w:hAnsi="Times New Roman" w:eastAsia="宋体" w:cs="Times New Roman"/>
                      <w:sz w:val="20"/>
                    </w:rPr>
                  </w:pPr>
                  <w:r>
                    <w:rPr>
                      <w:rFonts w:hint="default" w:ascii="Times New Roman" w:hAnsi="Times New Roman" w:eastAsia="宋体" w:cs="Times New Roman"/>
                      <w:sz w:val="20"/>
                    </w:rPr>
                    <w:t>达标</w:t>
                  </w:r>
                </w:p>
              </w:tc>
            </w:tr>
            <w:tr w14:paraId="51133D2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12" w:hRule="exact"/>
                <w:jc w:val="center"/>
              </w:trPr>
              <w:tc>
                <w:tcPr>
                  <w:tcW w:w="976" w:type="dxa"/>
                  <w:vMerge w:val="restart"/>
                  <w:tcBorders>
                    <w:tl2br w:val="nil"/>
                    <w:tr2bl w:val="nil"/>
                  </w:tcBorders>
                  <w:shd w:val="clear" w:color="auto" w:fill="FFFFFF"/>
                  <w:vAlign w:val="center"/>
                </w:tcPr>
                <w:p w14:paraId="05E944A7">
                  <w:pPr>
                    <w:jc w:val="center"/>
                    <w:rPr>
                      <w:rFonts w:hint="default" w:ascii="Times New Roman" w:hAnsi="Times New Roman" w:eastAsia="宋体" w:cs="Times New Roman"/>
                      <w:sz w:val="20"/>
                    </w:rPr>
                  </w:pPr>
                  <w:r>
                    <w:rPr>
                      <w:rFonts w:hint="default" w:ascii="Times New Roman" w:hAnsi="Times New Roman" w:eastAsia="宋体" w:cs="Times New Roman"/>
                      <w:sz w:val="20"/>
                    </w:rPr>
                    <w:t>北侧</w:t>
                  </w:r>
                </w:p>
              </w:tc>
              <w:tc>
                <w:tcPr>
                  <w:tcW w:w="711" w:type="dxa"/>
                  <w:tcBorders>
                    <w:tl2br w:val="nil"/>
                    <w:tr2bl w:val="nil"/>
                  </w:tcBorders>
                  <w:shd w:val="clear" w:color="auto" w:fill="FFFFFF"/>
                  <w:vAlign w:val="center"/>
                </w:tcPr>
                <w:p w14:paraId="69C49BC4">
                  <w:pPr>
                    <w:jc w:val="center"/>
                    <w:rPr>
                      <w:rFonts w:hint="default" w:ascii="Times New Roman" w:hAnsi="Times New Roman" w:eastAsia="宋体" w:cs="Times New Roman"/>
                      <w:sz w:val="20"/>
                    </w:rPr>
                  </w:pPr>
                  <w:r>
                    <w:rPr>
                      <w:rFonts w:hint="default" w:ascii="Times New Roman" w:hAnsi="Times New Roman" w:eastAsia="宋体" w:cs="Times New Roman"/>
                      <w:sz w:val="20"/>
                    </w:rPr>
                    <w:t>-16.9</w:t>
                  </w:r>
                </w:p>
              </w:tc>
              <w:tc>
                <w:tcPr>
                  <w:tcW w:w="711" w:type="dxa"/>
                  <w:tcBorders>
                    <w:tl2br w:val="nil"/>
                    <w:tr2bl w:val="nil"/>
                  </w:tcBorders>
                  <w:shd w:val="clear" w:color="auto" w:fill="FFFFFF"/>
                  <w:vAlign w:val="center"/>
                </w:tcPr>
                <w:p w14:paraId="0A985715">
                  <w:pPr>
                    <w:jc w:val="center"/>
                    <w:rPr>
                      <w:rFonts w:hint="default" w:ascii="Times New Roman" w:hAnsi="Times New Roman" w:eastAsia="宋体" w:cs="Times New Roman"/>
                      <w:sz w:val="20"/>
                    </w:rPr>
                  </w:pPr>
                  <w:r>
                    <w:rPr>
                      <w:rFonts w:hint="default" w:ascii="Times New Roman" w:hAnsi="Times New Roman" w:eastAsia="宋体" w:cs="Times New Roman"/>
                      <w:sz w:val="20"/>
                    </w:rPr>
                    <w:t>5.5</w:t>
                  </w:r>
                </w:p>
              </w:tc>
              <w:tc>
                <w:tcPr>
                  <w:tcW w:w="713" w:type="dxa"/>
                  <w:tcBorders>
                    <w:tl2br w:val="nil"/>
                    <w:tr2bl w:val="nil"/>
                  </w:tcBorders>
                  <w:shd w:val="clear" w:color="auto" w:fill="FFFFFF"/>
                  <w:vAlign w:val="center"/>
                </w:tcPr>
                <w:p w14:paraId="48BEB0F1">
                  <w:pPr>
                    <w:jc w:val="center"/>
                    <w:rPr>
                      <w:rFonts w:hint="default" w:ascii="Times New Roman" w:hAnsi="Times New Roman" w:eastAsia="宋体" w:cs="Times New Roman"/>
                      <w:sz w:val="20"/>
                    </w:rPr>
                  </w:pPr>
                  <w:r>
                    <w:rPr>
                      <w:rFonts w:hint="default" w:ascii="Times New Roman" w:hAnsi="Times New Roman" w:eastAsia="宋体" w:cs="Times New Roman"/>
                      <w:sz w:val="20"/>
                    </w:rPr>
                    <w:t>1.2</w:t>
                  </w:r>
                </w:p>
              </w:tc>
              <w:tc>
                <w:tcPr>
                  <w:tcW w:w="880" w:type="dxa"/>
                  <w:tcBorders>
                    <w:tl2br w:val="nil"/>
                    <w:tr2bl w:val="nil"/>
                  </w:tcBorders>
                  <w:shd w:val="clear" w:color="auto" w:fill="FFFFFF"/>
                  <w:vAlign w:val="center"/>
                </w:tcPr>
                <w:p w14:paraId="11F9FF13">
                  <w:pPr>
                    <w:jc w:val="center"/>
                    <w:rPr>
                      <w:rFonts w:hint="default" w:ascii="Times New Roman" w:hAnsi="Times New Roman" w:eastAsia="宋体" w:cs="Times New Roman"/>
                      <w:sz w:val="20"/>
                    </w:rPr>
                  </w:pPr>
                  <w:r>
                    <w:rPr>
                      <w:rFonts w:hint="default" w:ascii="Times New Roman" w:hAnsi="Times New Roman" w:eastAsia="宋体" w:cs="Times New Roman"/>
                      <w:sz w:val="20"/>
                    </w:rPr>
                    <w:t>昼间</w:t>
                  </w:r>
                </w:p>
              </w:tc>
              <w:tc>
                <w:tcPr>
                  <w:tcW w:w="1256" w:type="dxa"/>
                  <w:tcBorders>
                    <w:tl2br w:val="nil"/>
                    <w:tr2bl w:val="nil"/>
                  </w:tcBorders>
                  <w:shd w:val="clear" w:color="auto" w:fill="FFFFFF"/>
                  <w:vAlign w:val="center"/>
                </w:tcPr>
                <w:p w14:paraId="0DF04CF1">
                  <w:pPr>
                    <w:jc w:val="center"/>
                    <w:rPr>
                      <w:rFonts w:hint="default" w:ascii="Times New Roman" w:hAnsi="Times New Roman" w:eastAsia="宋体" w:cs="Times New Roman"/>
                      <w:sz w:val="20"/>
                    </w:rPr>
                  </w:pPr>
                  <w:r>
                    <w:rPr>
                      <w:rFonts w:hint="default" w:ascii="Times New Roman" w:hAnsi="Times New Roman" w:eastAsia="宋体" w:cs="Times New Roman"/>
                      <w:sz w:val="20"/>
                    </w:rPr>
                    <w:t>52.9</w:t>
                  </w:r>
                </w:p>
              </w:tc>
              <w:tc>
                <w:tcPr>
                  <w:tcW w:w="1257" w:type="dxa"/>
                  <w:tcBorders>
                    <w:tl2br w:val="nil"/>
                    <w:tr2bl w:val="nil"/>
                  </w:tcBorders>
                  <w:shd w:val="clear" w:color="auto" w:fill="FFFFFF"/>
                  <w:vAlign w:val="center"/>
                </w:tcPr>
                <w:p w14:paraId="6719E674">
                  <w:pPr>
                    <w:jc w:val="center"/>
                    <w:rPr>
                      <w:rFonts w:hint="default" w:ascii="Times New Roman" w:hAnsi="Times New Roman" w:eastAsia="宋体" w:cs="Times New Roman"/>
                      <w:sz w:val="20"/>
                    </w:rPr>
                  </w:pPr>
                  <w:r>
                    <w:rPr>
                      <w:rFonts w:hint="default" w:ascii="Times New Roman" w:hAnsi="Times New Roman" w:eastAsia="宋体" w:cs="Times New Roman"/>
                      <w:sz w:val="20"/>
                    </w:rPr>
                    <w:t>65</w:t>
                  </w:r>
                </w:p>
              </w:tc>
              <w:tc>
                <w:tcPr>
                  <w:tcW w:w="1053" w:type="dxa"/>
                  <w:tcBorders>
                    <w:tl2br w:val="nil"/>
                    <w:tr2bl w:val="nil"/>
                  </w:tcBorders>
                  <w:shd w:val="clear" w:color="auto" w:fill="FFFFFF"/>
                  <w:vAlign w:val="center"/>
                </w:tcPr>
                <w:p w14:paraId="2F135477">
                  <w:pPr>
                    <w:jc w:val="center"/>
                    <w:rPr>
                      <w:rFonts w:hint="default" w:ascii="Times New Roman" w:hAnsi="Times New Roman" w:eastAsia="宋体" w:cs="Times New Roman"/>
                      <w:sz w:val="20"/>
                    </w:rPr>
                  </w:pPr>
                  <w:r>
                    <w:rPr>
                      <w:rFonts w:hint="default" w:ascii="Times New Roman" w:hAnsi="Times New Roman" w:eastAsia="宋体" w:cs="Times New Roman"/>
                      <w:sz w:val="20"/>
                    </w:rPr>
                    <w:t>达标</w:t>
                  </w:r>
                </w:p>
              </w:tc>
            </w:tr>
            <w:tr w14:paraId="0580E3D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32" w:hRule="exact"/>
                <w:jc w:val="center"/>
              </w:trPr>
              <w:tc>
                <w:tcPr>
                  <w:tcW w:w="976" w:type="dxa"/>
                  <w:vMerge w:val="continue"/>
                  <w:tcBorders>
                    <w:tl2br w:val="nil"/>
                    <w:tr2bl w:val="nil"/>
                  </w:tcBorders>
                  <w:shd w:val="clear" w:color="auto" w:fill="FFFFFF"/>
                  <w:vAlign w:val="center"/>
                </w:tcPr>
                <w:p w14:paraId="1011B25F">
                  <w:pPr>
                    <w:jc w:val="center"/>
                    <w:rPr>
                      <w:rFonts w:hint="default" w:ascii="Times New Roman" w:hAnsi="Times New Roman" w:eastAsia="宋体" w:cs="Times New Roman"/>
                      <w:sz w:val="20"/>
                    </w:rPr>
                  </w:pPr>
                </w:p>
              </w:tc>
              <w:tc>
                <w:tcPr>
                  <w:tcW w:w="711" w:type="dxa"/>
                  <w:tcBorders>
                    <w:tl2br w:val="nil"/>
                    <w:tr2bl w:val="nil"/>
                  </w:tcBorders>
                  <w:shd w:val="clear" w:color="auto" w:fill="FFFFFF"/>
                  <w:vAlign w:val="center"/>
                </w:tcPr>
                <w:p w14:paraId="2D345C32">
                  <w:pPr>
                    <w:jc w:val="center"/>
                    <w:rPr>
                      <w:rFonts w:hint="default" w:ascii="Times New Roman" w:hAnsi="Times New Roman" w:eastAsia="宋体" w:cs="Times New Roman"/>
                      <w:sz w:val="20"/>
                    </w:rPr>
                  </w:pPr>
                  <w:r>
                    <w:rPr>
                      <w:rFonts w:hint="default" w:ascii="Times New Roman" w:hAnsi="Times New Roman" w:eastAsia="宋体" w:cs="Times New Roman"/>
                      <w:sz w:val="20"/>
                    </w:rPr>
                    <w:t>8.4</w:t>
                  </w:r>
                </w:p>
              </w:tc>
              <w:tc>
                <w:tcPr>
                  <w:tcW w:w="711" w:type="dxa"/>
                  <w:tcBorders>
                    <w:tl2br w:val="nil"/>
                    <w:tr2bl w:val="nil"/>
                  </w:tcBorders>
                  <w:shd w:val="clear" w:color="auto" w:fill="FFFFFF"/>
                  <w:vAlign w:val="center"/>
                </w:tcPr>
                <w:p w14:paraId="28BDFBF6">
                  <w:pPr>
                    <w:jc w:val="center"/>
                    <w:rPr>
                      <w:rFonts w:hint="default" w:ascii="Times New Roman" w:hAnsi="Times New Roman" w:eastAsia="宋体" w:cs="Times New Roman"/>
                      <w:sz w:val="20"/>
                    </w:rPr>
                  </w:pPr>
                  <w:r>
                    <w:rPr>
                      <w:rFonts w:hint="default" w:ascii="Times New Roman" w:hAnsi="Times New Roman" w:eastAsia="宋体" w:cs="Times New Roman"/>
                      <w:sz w:val="20"/>
                    </w:rPr>
                    <w:t>21.7</w:t>
                  </w:r>
                </w:p>
              </w:tc>
              <w:tc>
                <w:tcPr>
                  <w:tcW w:w="713" w:type="dxa"/>
                  <w:tcBorders>
                    <w:tl2br w:val="nil"/>
                    <w:tr2bl w:val="nil"/>
                  </w:tcBorders>
                  <w:shd w:val="clear" w:color="auto" w:fill="FFFFFF"/>
                  <w:vAlign w:val="center"/>
                </w:tcPr>
                <w:p w14:paraId="55107127">
                  <w:pPr>
                    <w:jc w:val="center"/>
                    <w:rPr>
                      <w:rFonts w:hint="default" w:ascii="Times New Roman" w:hAnsi="Times New Roman" w:eastAsia="宋体" w:cs="Times New Roman"/>
                      <w:sz w:val="20"/>
                    </w:rPr>
                  </w:pPr>
                  <w:r>
                    <w:rPr>
                      <w:rFonts w:hint="default" w:ascii="Times New Roman" w:hAnsi="Times New Roman" w:eastAsia="宋体" w:cs="Times New Roman"/>
                      <w:sz w:val="20"/>
                    </w:rPr>
                    <w:t>1.2</w:t>
                  </w:r>
                </w:p>
              </w:tc>
              <w:tc>
                <w:tcPr>
                  <w:tcW w:w="880" w:type="dxa"/>
                  <w:tcBorders>
                    <w:tl2br w:val="nil"/>
                    <w:tr2bl w:val="nil"/>
                  </w:tcBorders>
                  <w:shd w:val="clear" w:color="auto" w:fill="FFFFFF"/>
                  <w:vAlign w:val="center"/>
                </w:tcPr>
                <w:p w14:paraId="76B5B0D7">
                  <w:pPr>
                    <w:jc w:val="center"/>
                    <w:rPr>
                      <w:rFonts w:hint="default" w:ascii="Times New Roman" w:hAnsi="Times New Roman" w:eastAsia="宋体" w:cs="Times New Roman"/>
                      <w:sz w:val="20"/>
                    </w:rPr>
                  </w:pPr>
                  <w:r>
                    <w:rPr>
                      <w:rFonts w:hint="default" w:ascii="Times New Roman" w:hAnsi="Times New Roman" w:eastAsia="宋体" w:cs="Times New Roman"/>
                      <w:sz w:val="20"/>
                    </w:rPr>
                    <w:t>夜间</w:t>
                  </w:r>
                </w:p>
              </w:tc>
              <w:tc>
                <w:tcPr>
                  <w:tcW w:w="1256" w:type="dxa"/>
                  <w:tcBorders>
                    <w:tl2br w:val="nil"/>
                    <w:tr2bl w:val="nil"/>
                  </w:tcBorders>
                  <w:shd w:val="clear" w:color="auto" w:fill="FFFFFF"/>
                  <w:vAlign w:val="center"/>
                </w:tcPr>
                <w:p w14:paraId="1AE33FBF">
                  <w:pPr>
                    <w:jc w:val="center"/>
                    <w:rPr>
                      <w:rFonts w:hint="default" w:ascii="Times New Roman" w:hAnsi="Times New Roman" w:eastAsia="宋体" w:cs="Times New Roman"/>
                      <w:sz w:val="20"/>
                    </w:rPr>
                  </w:pPr>
                  <w:r>
                    <w:rPr>
                      <w:rFonts w:hint="default" w:ascii="Times New Roman" w:hAnsi="Times New Roman" w:eastAsia="宋体" w:cs="Times New Roman"/>
                      <w:sz w:val="20"/>
                    </w:rPr>
                    <w:t>46.6</w:t>
                  </w:r>
                </w:p>
              </w:tc>
              <w:tc>
                <w:tcPr>
                  <w:tcW w:w="1257" w:type="dxa"/>
                  <w:tcBorders>
                    <w:tl2br w:val="nil"/>
                    <w:tr2bl w:val="nil"/>
                  </w:tcBorders>
                  <w:shd w:val="clear" w:color="auto" w:fill="FFFFFF"/>
                  <w:vAlign w:val="center"/>
                </w:tcPr>
                <w:p w14:paraId="1B3364B1">
                  <w:pPr>
                    <w:jc w:val="center"/>
                    <w:rPr>
                      <w:rFonts w:hint="default" w:ascii="Times New Roman" w:hAnsi="Times New Roman" w:eastAsia="宋体" w:cs="Times New Roman"/>
                      <w:sz w:val="20"/>
                    </w:rPr>
                  </w:pPr>
                  <w:r>
                    <w:rPr>
                      <w:rFonts w:hint="default" w:ascii="Times New Roman" w:hAnsi="Times New Roman" w:eastAsia="宋体" w:cs="Times New Roman"/>
                      <w:sz w:val="20"/>
                    </w:rPr>
                    <w:t>55</w:t>
                  </w:r>
                </w:p>
              </w:tc>
              <w:tc>
                <w:tcPr>
                  <w:tcW w:w="1053" w:type="dxa"/>
                  <w:tcBorders>
                    <w:tl2br w:val="nil"/>
                    <w:tr2bl w:val="nil"/>
                  </w:tcBorders>
                  <w:shd w:val="clear" w:color="auto" w:fill="FFFFFF"/>
                  <w:vAlign w:val="center"/>
                </w:tcPr>
                <w:p w14:paraId="13F931F0">
                  <w:pPr>
                    <w:jc w:val="center"/>
                    <w:rPr>
                      <w:rFonts w:hint="default" w:ascii="Times New Roman" w:hAnsi="Times New Roman" w:eastAsia="宋体" w:cs="Times New Roman"/>
                      <w:sz w:val="20"/>
                    </w:rPr>
                  </w:pPr>
                  <w:r>
                    <w:rPr>
                      <w:rFonts w:hint="default" w:ascii="Times New Roman" w:hAnsi="Times New Roman" w:eastAsia="宋体" w:cs="Times New Roman"/>
                      <w:sz w:val="20"/>
                    </w:rPr>
                    <w:t>达标</w:t>
                  </w:r>
                </w:p>
              </w:tc>
            </w:tr>
            <w:tr w14:paraId="0B2DBBC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62" w:hRule="exact"/>
                <w:jc w:val="center"/>
              </w:trPr>
              <w:tc>
                <w:tcPr>
                  <w:tcW w:w="7557" w:type="dxa"/>
                  <w:gridSpan w:val="8"/>
                  <w:tcBorders>
                    <w:tl2br w:val="nil"/>
                    <w:tr2bl w:val="nil"/>
                  </w:tcBorders>
                  <w:shd w:val="clear" w:color="auto" w:fill="FFFFFF"/>
                  <w:vAlign w:val="center"/>
                </w:tcPr>
                <w:p w14:paraId="6DC70EF0">
                  <w:pPr>
                    <w:rPr>
                      <w:rFonts w:hint="default" w:ascii="Times New Roman" w:hAnsi="Times New Roman" w:eastAsia="宋体" w:cs="Times New Roman"/>
                      <w:lang w:val="en-US"/>
                    </w:rPr>
                  </w:pPr>
                  <w:r>
                    <w:rPr>
                      <w:rFonts w:hint="default" w:ascii="Times New Roman" w:hAnsi="Times New Roman" w:eastAsia="宋体" w:cs="Times New Roman"/>
                      <w:b w:val="0"/>
                      <w:bCs/>
                      <w:sz w:val="21"/>
                      <w:szCs w:val="21"/>
                      <w:lang w:val="en-US" w:eastAsia="zh-CN"/>
                    </w:rPr>
                    <w:t>表中坐标以厂界中心（</w:t>
                  </w:r>
                  <w:bookmarkStart w:id="3" w:name="PO_8"/>
                  <w:r>
                    <w:rPr>
                      <w:rFonts w:hint="default" w:ascii="Times New Roman" w:hAnsi="Times New Roman" w:eastAsia="宋体" w:cs="Times New Roman"/>
                      <w:b w:val="0"/>
                      <w:bCs/>
                      <w:sz w:val="21"/>
                      <w:szCs w:val="21"/>
                      <w:lang w:val="en-US" w:eastAsia="zh-CN"/>
                    </w:rPr>
                    <w:t>116.534675，39.773857</w:t>
                  </w:r>
                  <w:bookmarkEnd w:id="3"/>
                  <w:r>
                    <w:rPr>
                      <w:rFonts w:hint="default" w:ascii="Times New Roman" w:hAnsi="Times New Roman" w:eastAsia="宋体" w:cs="Times New Roman"/>
                      <w:b w:val="0"/>
                      <w:bCs/>
                      <w:sz w:val="21"/>
                      <w:szCs w:val="21"/>
                      <w:lang w:val="en-US" w:eastAsia="zh-CN"/>
                    </w:rPr>
                    <w:t>）为坐标原点，正东向为X轴正方向，正北向为Y轴正方向。</w:t>
                  </w:r>
                </w:p>
                <w:p w14:paraId="664A9028">
                  <w:pPr>
                    <w:jc w:val="center"/>
                    <w:rPr>
                      <w:rFonts w:hint="default" w:ascii="Times New Roman" w:hAnsi="Times New Roman" w:eastAsia="宋体" w:cs="Times New Roman"/>
                      <w:sz w:val="20"/>
                    </w:rPr>
                  </w:pPr>
                </w:p>
              </w:tc>
            </w:tr>
          </w:tbl>
          <w:p w14:paraId="132F0E28">
            <w:pPr>
              <w:adjustRightInd w:val="0"/>
              <w:spacing w:before="120" w:beforeLines="50"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szCs w:val="32"/>
                <w:highlight w:val="none"/>
              </w:rPr>
              <w:t>由上分析可以看出，本项目噪声源经隔声、设备基础减振等措施后，厂界噪声</w:t>
            </w:r>
            <w:r>
              <w:rPr>
                <w:rFonts w:hint="default" w:ascii="Times New Roman" w:hAnsi="Times New Roman" w:eastAsia="宋体" w:cs="Times New Roman"/>
                <w:color w:val="auto"/>
                <w:sz w:val="24"/>
                <w:szCs w:val="32"/>
                <w:highlight w:val="none"/>
                <w:lang w:val="en-US" w:eastAsia="zh-CN"/>
              </w:rPr>
              <w:t>分别</w:t>
            </w:r>
            <w:r>
              <w:rPr>
                <w:rFonts w:hint="default" w:ascii="Times New Roman" w:hAnsi="Times New Roman" w:eastAsia="宋体" w:cs="Times New Roman"/>
                <w:color w:val="auto"/>
                <w:sz w:val="24"/>
                <w:szCs w:val="32"/>
                <w:highlight w:val="none"/>
              </w:rPr>
              <w:t>符合《工业企业厂界环境噪声排放标准》（GB12348－2008）中3类标准的限值的要求</w:t>
            </w:r>
            <w:r>
              <w:rPr>
                <w:rFonts w:hint="default" w:ascii="Times New Roman" w:hAnsi="Times New Roman" w:eastAsia="宋体" w:cs="Times New Roman"/>
                <w:color w:val="auto"/>
                <w:sz w:val="24"/>
                <w:highlight w:val="none"/>
              </w:rPr>
              <w:t>。</w:t>
            </w:r>
          </w:p>
          <w:p w14:paraId="67BDD1D4">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3</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噪声监测计划</w:t>
            </w:r>
          </w:p>
          <w:p w14:paraId="36989B06">
            <w:pPr>
              <w:adjustRightInd w:val="0"/>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本项目噪声监测计划详见下表。</w:t>
            </w:r>
          </w:p>
          <w:p w14:paraId="6EFE4AE9">
            <w:pPr>
              <w:numPr>
                <w:ilvl w:val="0"/>
                <w:numId w:val="48"/>
              </w:numPr>
              <w:adjustRightInd w:val="0"/>
              <w:spacing w:line="360" w:lineRule="auto"/>
              <w:ind w:left="425" w:leftChars="0" w:hanging="425" w:firstLineChars="0"/>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项目噪声监测计划</w:t>
            </w:r>
          </w:p>
          <w:tbl>
            <w:tblPr>
              <w:tblStyle w:val="17"/>
              <w:tblW w:w="5003" w:type="pct"/>
              <w:tblInd w:w="5"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134"/>
              <w:gridCol w:w="2585"/>
              <w:gridCol w:w="1428"/>
              <w:gridCol w:w="1537"/>
            </w:tblGrid>
            <w:tr w14:paraId="5166141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586" w:type="pct"/>
                  <w:tcBorders>
                    <w:tl2br w:val="nil"/>
                    <w:tr2bl w:val="nil"/>
                  </w:tcBorders>
                  <w:vAlign w:val="center"/>
                </w:tcPr>
                <w:p w14:paraId="727F2BB9">
                  <w:pPr>
                    <w:adjustRightIn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时段</w:t>
                  </w:r>
                </w:p>
              </w:tc>
              <w:tc>
                <w:tcPr>
                  <w:tcW w:w="748" w:type="pct"/>
                  <w:tcBorders>
                    <w:tl2br w:val="nil"/>
                    <w:tr2bl w:val="nil"/>
                  </w:tcBorders>
                  <w:vAlign w:val="center"/>
                </w:tcPr>
                <w:p w14:paraId="357627AF">
                  <w:pPr>
                    <w:adjustRightIn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监测内容</w:t>
                  </w:r>
                </w:p>
              </w:tc>
              <w:tc>
                <w:tcPr>
                  <w:tcW w:w="1706" w:type="pct"/>
                  <w:tcBorders>
                    <w:tl2br w:val="nil"/>
                    <w:tr2bl w:val="nil"/>
                  </w:tcBorders>
                  <w:vAlign w:val="center"/>
                </w:tcPr>
                <w:p w14:paraId="5711824D">
                  <w:pPr>
                    <w:adjustRightIn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监测指标</w:t>
                  </w:r>
                </w:p>
              </w:tc>
              <w:tc>
                <w:tcPr>
                  <w:tcW w:w="943" w:type="pct"/>
                  <w:tcBorders>
                    <w:tl2br w:val="nil"/>
                    <w:tr2bl w:val="nil"/>
                  </w:tcBorders>
                  <w:vAlign w:val="center"/>
                </w:tcPr>
                <w:p w14:paraId="3FC3B824">
                  <w:pPr>
                    <w:adjustRightIn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监测点位</w:t>
                  </w:r>
                </w:p>
              </w:tc>
              <w:tc>
                <w:tcPr>
                  <w:tcW w:w="1015" w:type="pct"/>
                  <w:tcBorders>
                    <w:tl2br w:val="nil"/>
                    <w:tr2bl w:val="nil"/>
                  </w:tcBorders>
                  <w:vAlign w:val="center"/>
                </w:tcPr>
                <w:p w14:paraId="593FA6D4">
                  <w:pPr>
                    <w:adjustRightIn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监测频次</w:t>
                  </w:r>
                </w:p>
              </w:tc>
            </w:tr>
            <w:tr w14:paraId="5839239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586" w:type="pct"/>
                  <w:tcBorders>
                    <w:tl2br w:val="nil"/>
                    <w:tr2bl w:val="nil"/>
                  </w:tcBorders>
                  <w:vAlign w:val="center"/>
                </w:tcPr>
                <w:p w14:paraId="2320A077">
                  <w:pPr>
                    <w:widowControl/>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运营期</w:t>
                  </w:r>
                </w:p>
              </w:tc>
              <w:tc>
                <w:tcPr>
                  <w:tcW w:w="748" w:type="pct"/>
                  <w:tcBorders>
                    <w:tl2br w:val="nil"/>
                    <w:tr2bl w:val="nil"/>
                  </w:tcBorders>
                  <w:vAlign w:val="center"/>
                </w:tcPr>
                <w:p w14:paraId="4AB7D5F9">
                  <w:pPr>
                    <w:adjustRightIn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噪声</w:t>
                  </w:r>
                </w:p>
              </w:tc>
              <w:tc>
                <w:tcPr>
                  <w:tcW w:w="1706" w:type="pct"/>
                  <w:tcBorders>
                    <w:tl2br w:val="nil"/>
                    <w:tr2bl w:val="nil"/>
                  </w:tcBorders>
                  <w:vAlign w:val="center"/>
                </w:tcPr>
                <w:p w14:paraId="07D5E5CE">
                  <w:pPr>
                    <w:adjustRightIn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等效连续A声级</w:t>
                  </w:r>
                </w:p>
              </w:tc>
              <w:tc>
                <w:tcPr>
                  <w:tcW w:w="943" w:type="pct"/>
                  <w:tcBorders>
                    <w:tl2br w:val="nil"/>
                    <w:tr2bl w:val="nil"/>
                  </w:tcBorders>
                  <w:vAlign w:val="center"/>
                </w:tcPr>
                <w:p w14:paraId="23E8717B">
                  <w:pPr>
                    <w:adjustRightIn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厂界外1m处</w:t>
                  </w:r>
                </w:p>
              </w:tc>
              <w:tc>
                <w:tcPr>
                  <w:tcW w:w="1015" w:type="pct"/>
                  <w:tcBorders>
                    <w:tl2br w:val="nil"/>
                    <w:tr2bl w:val="nil"/>
                  </w:tcBorders>
                  <w:vAlign w:val="center"/>
                </w:tcPr>
                <w:p w14:paraId="3EA4E497">
                  <w:pPr>
                    <w:adjustRightIn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每季度1次</w:t>
                  </w:r>
                </w:p>
              </w:tc>
            </w:tr>
          </w:tbl>
          <w:p w14:paraId="1599F3EE">
            <w:pPr>
              <w:adjustRightInd w:val="0"/>
              <w:snapToGrid w:val="0"/>
              <w:rPr>
                <w:rFonts w:hint="default" w:ascii="Times New Roman" w:hAnsi="Times New Roman" w:eastAsia="宋体" w:cs="Times New Roman"/>
                <w:bCs/>
                <w:spacing w:val="-10"/>
                <w:szCs w:val="21"/>
                <w:highlight w:val="none"/>
              </w:rPr>
            </w:pPr>
            <w:r>
              <w:rPr>
                <w:rFonts w:hint="default" w:ascii="Times New Roman" w:hAnsi="Times New Roman" w:eastAsia="宋体" w:cs="Times New Roman"/>
                <w:bCs/>
                <w:spacing w:val="-10"/>
                <w:szCs w:val="21"/>
                <w:highlight w:val="none"/>
              </w:rPr>
              <w:t>（注：</w:t>
            </w:r>
            <w:r>
              <w:rPr>
                <w:rFonts w:hint="default" w:ascii="Times New Roman" w:hAnsi="Times New Roman" w:eastAsia="宋体" w:cs="Times New Roman"/>
                <w:bCs/>
                <w:szCs w:val="21"/>
                <w:highlight w:val="none"/>
              </w:rPr>
              <w:t>噪声监测计划参照《</w:t>
            </w:r>
            <w:r>
              <w:rPr>
                <w:rFonts w:hint="default" w:ascii="Times New Roman" w:hAnsi="Times New Roman" w:eastAsia="宋体" w:cs="Times New Roman"/>
                <w:bCs/>
                <w:szCs w:val="21"/>
                <w:highlight w:val="none"/>
                <w:lang w:val="ru-RU"/>
              </w:rPr>
              <w:t>排污单位自行监测技术指南 总则</w:t>
            </w:r>
            <w:r>
              <w:rPr>
                <w:rFonts w:hint="default" w:ascii="Times New Roman" w:hAnsi="Times New Roman" w:eastAsia="宋体" w:cs="Times New Roman"/>
                <w:bCs/>
                <w:szCs w:val="21"/>
                <w:highlight w:val="none"/>
              </w:rPr>
              <w:t>》（HJ819-2017）</w:t>
            </w:r>
            <w:r>
              <w:rPr>
                <w:rFonts w:hint="default" w:ascii="Times New Roman" w:hAnsi="Times New Roman" w:eastAsia="宋体" w:cs="Times New Roman"/>
                <w:bCs/>
                <w:spacing w:val="-10"/>
                <w:szCs w:val="21"/>
                <w:highlight w:val="none"/>
              </w:rPr>
              <w:t>）</w:t>
            </w:r>
          </w:p>
          <w:p w14:paraId="1D0BF2E6">
            <w:pPr>
              <w:adjustRightInd w:val="0"/>
              <w:snapToGrid w:val="0"/>
              <w:rPr>
                <w:rFonts w:hint="default" w:ascii="Times New Roman" w:hAnsi="Times New Roman" w:eastAsia="宋体" w:cs="Times New Roman"/>
                <w:bCs/>
                <w:spacing w:val="-10"/>
                <w:szCs w:val="21"/>
                <w:highlight w:val="none"/>
              </w:rPr>
            </w:pPr>
          </w:p>
          <w:p w14:paraId="57BB748F">
            <w:pPr>
              <w:numPr>
                <w:ilvl w:val="0"/>
                <w:numId w:val="46"/>
              </w:numPr>
              <w:adjustRightInd w:val="0"/>
              <w:snapToGrid w:val="0"/>
              <w:spacing w:line="360" w:lineRule="auto"/>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固体废物</w:t>
            </w:r>
            <w:r>
              <w:rPr>
                <w:rFonts w:hint="default" w:ascii="Times New Roman" w:hAnsi="Times New Roman" w:eastAsia="宋体" w:cs="Times New Roman"/>
                <w:b/>
                <w:sz w:val="24"/>
                <w:highlight w:val="none"/>
                <w:lang w:val="en-US" w:eastAsia="zh-CN"/>
              </w:rPr>
              <w:t>环境</w:t>
            </w:r>
            <w:r>
              <w:rPr>
                <w:rFonts w:hint="default" w:ascii="Times New Roman" w:hAnsi="Times New Roman" w:eastAsia="宋体" w:cs="Times New Roman"/>
                <w:b/>
                <w:sz w:val="24"/>
                <w:highlight w:val="none"/>
              </w:rPr>
              <w:t>影响分析</w:t>
            </w:r>
          </w:p>
          <w:p w14:paraId="00470828">
            <w:pPr>
              <w:spacing w:line="360" w:lineRule="auto"/>
              <w:ind w:firstLine="480" w:firstLineChars="200"/>
              <w:rPr>
                <w:rFonts w:hint="default" w:ascii="Times New Roman" w:hAnsi="Times New Roman" w:eastAsia="宋体" w:cs="Times New Roman"/>
                <w:b w:val="0"/>
                <w:bCs w:val="0"/>
                <w:sz w:val="24"/>
                <w:highlight w:val="none"/>
              </w:rPr>
            </w:pPr>
            <w:r>
              <w:rPr>
                <w:rFonts w:hint="default" w:ascii="Times New Roman" w:hAnsi="Times New Roman" w:eastAsia="宋体" w:cs="Times New Roman"/>
                <w:b w:val="0"/>
                <w:bCs w:val="0"/>
                <w:sz w:val="24"/>
                <w:highlight w:val="none"/>
                <w:lang w:val="en-US" w:eastAsia="zh-CN"/>
              </w:rPr>
              <w:t xml:space="preserve">（1）固体废物源强 </w:t>
            </w:r>
          </w:p>
          <w:p w14:paraId="01B9FDAF">
            <w:pPr>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本项目固体废物包括生活垃圾、一般固体废物及危险废物。</w:t>
            </w:r>
          </w:p>
          <w:p w14:paraId="3012E3B7">
            <w:pPr>
              <w:numPr>
                <w:ilvl w:val="0"/>
                <w:numId w:val="53"/>
              </w:numPr>
              <w:adjustRightInd w:val="0"/>
              <w:snapToGrid w:val="0"/>
              <w:spacing w:line="360" w:lineRule="auto"/>
              <w:ind w:left="0" w:leftChars="0" w:firstLine="480" w:firstLineChars="200"/>
              <w:rPr>
                <w:rFonts w:hint="default" w:ascii="Times New Roman" w:hAnsi="Times New Roman" w:eastAsia="宋体" w:cs="Times New Roman"/>
                <w:b w:val="0"/>
                <w:bCs/>
                <w:sz w:val="24"/>
                <w:highlight w:val="none"/>
              </w:rPr>
            </w:pPr>
            <w:r>
              <w:rPr>
                <w:rFonts w:hint="default" w:ascii="Times New Roman" w:hAnsi="Times New Roman" w:eastAsia="宋体" w:cs="Times New Roman"/>
                <w:b w:val="0"/>
                <w:bCs/>
                <w:sz w:val="24"/>
                <w:highlight w:val="none"/>
              </w:rPr>
              <w:t>生活垃圾</w:t>
            </w:r>
          </w:p>
          <w:p w14:paraId="60E2BC00">
            <w:pPr>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拟建项目劳动定</w:t>
            </w:r>
            <w:r>
              <w:rPr>
                <w:rFonts w:hint="default" w:ascii="Times New Roman" w:hAnsi="Times New Roman" w:eastAsia="宋体" w:cs="Times New Roman"/>
                <w:color w:val="auto"/>
                <w:sz w:val="24"/>
                <w:highlight w:val="none"/>
              </w:rPr>
              <w:t>员</w:t>
            </w:r>
            <w:r>
              <w:rPr>
                <w:rFonts w:hint="default" w:ascii="Times New Roman" w:hAnsi="Times New Roman" w:eastAsia="宋体" w:cs="Times New Roman"/>
                <w:color w:val="auto"/>
                <w:sz w:val="24"/>
                <w:highlight w:val="none"/>
                <w:lang w:val="en-US" w:eastAsia="zh-CN"/>
              </w:rPr>
              <w:t>40</w:t>
            </w:r>
            <w:r>
              <w:rPr>
                <w:rFonts w:hint="default" w:ascii="Times New Roman" w:hAnsi="Times New Roman" w:eastAsia="宋体" w:cs="Times New Roman"/>
                <w:color w:val="auto"/>
                <w:sz w:val="24"/>
                <w:highlight w:val="none"/>
              </w:rPr>
              <w:t>人，生活垃圾产生量按0.5kg/人•d计，拟建项目年工作250d/a，则生活垃圾产生量为5t/a。</w:t>
            </w:r>
            <w:r>
              <w:rPr>
                <w:rFonts w:hint="default" w:ascii="Times New Roman" w:hAnsi="Times New Roman" w:eastAsia="宋体" w:cs="Times New Roman"/>
                <w:sz w:val="24"/>
                <w:highlight w:val="none"/>
              </w:rPr>
              <w:t>生活垃圾分类收集后，由当地环卫部门定期清运。</w:t>
            </w:r>
          </w:p>
          <w:p w14:paraId="482A1616">
            <w:pPr>
              <w:numPr>
                <w:ilvl w:val="0"/>
                <w:numId w:val="53"/>
              </w:numPr>
              <w:adjustRightInd w:val="0"/>
              <w:snapToGrid w:val="0"/>
              <w:spacing w:line="360" w:lineRule="auto"/>
              <w:ind w:left="0" w:leftChars="0" w:firstLine="480" w:firstLineChars="200"/>
              <w:rPr>
                <w:rFonts w:hint="default" w:ascii="Times New Roman" w:hAnsi="Times New Roman" w:eastAsia="宋体" w:cs="Times New Roman"/>
                <w:b w:val="0"/>
                <w:bCs/>
                <w:sz w:val="24"/>
                <w:highlight w:val="none"/>
                <w:lang w:eastAsia="zh-CN"/>
              </w:rPr>
            </w:pPr>
            <w:r>
              <w:rPr>
                <w:rFonts w:hint="default" w:ascii="Times New Roman" w:hAnsi="Times New Roman" w:eastAsia="宋体" w:cs="Times New Roman"/>
                <w:b w:val="0"/>
                <w:bCs/>
                <w:sz w:val="24"/>
                <w:highlight w:val="none"/>
                <w:lang w:eastAsia="zh-CN"/>
              </w:rPr>
              <w:t>一般工业固体废物</w:t>
            </w:r>
          </w:p>
          <w:p w14:paraId="7BAA84AE">
            <w:pPr>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本项目一般固体废物包括未沾染化学试剂的废包装物、废金属材料及金属边角料、废护盒、废铜线、废铁芯、纯水制备废滤芯、废空气滤芯。</w:t>
            </w:r>
          </w:p>
          <w:p w14:paraId="476CC022">
            <w:pPr>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未沾染化学试剂的废包装物预计产生量约0.2t/a，废金属材料及金属边角料0.8t/a，废护盒、废铜线、废铁芯0.05t/a，由专门固体废物处置单位进行回收。</w:t>
            </w:r>
          </w:p>
          <w:p w14:paraId="0A580B0A">
            <w:pPr>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纯水设备废滤芯产生量约 0.02t/a，废空气滤芯产生量约0.01t/a，由厂家回收。</w:t>
            </w:r>
          </w:p>
          <w:p w14:paraId="7607CA8F">
            <w:pPr>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空气干燥使用分子筛，分子筛填充量0.8吨，根据建设单位提供资料，每10年更换一次，废分子筛产生量0.8吨/10a，由厂家回收。</w:t>
            </w:r>
          </w:p>
          <w:p w14:paraId="2045A875">
            <w:pPr>
              <w:numPr>
                <w:ilvl w:val="0"/>
                <w:numId w:val="53"/>
              </w:numPr>
              <w:adjustRightInd w:val="0"/>
              <w:snapToGrid w:val="0"/>
              <w:spacing w:line="360" w:lineRule="auto"/>
              <w:ind w:left="0" w:leftChars="0" w:firstLine="480" w:firstLineChars="200"/>
              <w:rPr>
                <w:rFonts w:hint="default" w:ascii="Times New Roman" w:hAnsi="Times New Roman" w:eastAsia="宋体" w:cs="Times New Roman"/>
                <w:b w:val="0"/>
                <w:bCs/>
                <w:sz w:val="24"/>
                <w:highlight w:val="none"/>
                <w:lang w:eastAsia="zh-CN"/>
              </w:rPr>
            </w:pPr>
            <w:r>
              <w:rPr>
                <w:rFonts w:hint="default" w:ascii="Times New Roman" w:hAnsi="Times New Roman" w:eastAsia="宋体" w:cs="Times New Roman"/>
                <w:b w:val="0"/>
                <w:bCs/>
                <w:sz w:val="24"/>
                <w:highlight w:val="none"/>
                <w:lang w:eastAsia="zh-CN"/>
              </w:rPr>
              <w:t>危险废物</w:t>
            </w:r>
          </w:p>
          <w:p w14:paraId="0BD0A2C7">
            <w:pPr>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项目产生的危险废物主要为实验过程中产生的电池材料实验的废反应液、</w:t>
            </w:r>
            <w:r>
              <w:rPr>
                <w:rFonts w:hint="eastAsia" w:cs="Times New Roman"/>
                <w:sz w:val="24"/>
                <w:highlight w:val="none"/>
                <w:lang w:val="en-US" w:eastAsia="zh-CN"/>
              </w:rPr>
              <w:t>含氟废液、</w:t>
            </w:r>
            <w:r>
              <w:rPr>
                <w:rFonts w:hint="default" w:ascii="Times New Roman" w:hAnsi="Times New Roman" w:eastAsia="宋体" w:cs="Times New Roman"/>
                <w:sz w:val="24"/>
                <w:highlight w:val="none"/>
                <w:lang w:val="en-US" w:eastAsia="zh-CN"/>
              </w:rPr>
              <w:t>物性分析废液、</w:t>
            </w:r>
            <w:r>
              <w:rPr>
                <w:rFonts w:hint="eastAsia" w:cs="Times New Roman"/>
                <w:sz w:val="24"/>
                <w:highlight w:val="none"/>
                <w:lang w:val="en-US" w:eastAsia="zh-CN"/>
              </w:rPr>
              <w:t>电池材料实验设备</w:t>
            </w:r>
            <w:r>
              <w:rPr>
                <w:rFonts w:hint="default" w:ascii="Times New Roman" w:hAnsi="Times New Roman" w:eastAsia="宋体" w:cs="Times New Roman"/>
                <w:sz w:val="24"/>
                <w:highlight w:val="none"/>
                <w:lang w:val="en-US" w:eastAsia="zh-CN"/>
              </w:rPr>
              <w:t>清洗废液、</w:t>
            </w:r>
            <w:r>
              <w:rPr>
                <w:rFonts w:hint="eastAsia" w:cs="Times New Roman"/>
                <w:sz w:val="24"/>
                <w:highlight w:val="none"/>
                <w:lang w:val="en-US" w:eastAsia="zh-CN"/>
              </w:rPr>
              <w:t>其他</w:t>
            </w:r>
            <w:r>
              <w:rPr>
                <w:rFonts w:hint="default" w:ascii="Times New Roman" w:hAnsi="Times New Roman" w:eastAsia="宋体" w:cs="Times New Roman"/>
                <w:sz w:val="24"/>
                <w:highlight w:val="none"/>
                <w:lang w:val="en-US" w:eastAsia="zh-CN"/>
              </w:rPr>
              <w:t>设备清洗废液、废切削液、废电池、废包装材料、废一次性耗材（一次性吸头、一次性乳胶手套、一次性塑料注射器、一次性进样管）、废树脂、废活性炭、</w:t>
            </w:r>
            <w:r>
              <w:rPr>
                <w:rFonts w:hint="eastAsia" w:cs="Times New Roman"/>
                <w:sz w:val="24"/>
                <w:highlight w:val="none"/>
                <w:lang w:val="en-US" w:eastAsia="zh-CN"/>
              </w:rPr>
              <w:t>废吸附剂、</w:t>
            </w:r>
            <w:r>
              <w:rPr>
                <w:rFonts w:hint="default" w:ascii="Times New Roman" w:hAnsi="Times New Roman" w:eastAsia="宋体" w:cs="Times New Roman"/>
                <w:sz w:val="24"/>
                <w:highlight w:val="none"/>
                <w:lang w:val="en-US" w:eastAsia="zh-CN"/>
              </w:rPr>
              <w:t>喷淋塔废液。</w:t>
            </w:r>
          </w:p>
          <w:p w14:paraId="5260457F">
            <w:pPr>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电池材料实验的废反应液1</w:t>
            </w:r>
            <w:r>
              <w:rPr>
                <w:rFonts w:hint="eastAsia" w:cs="Times New Roman"/>
                <w:sz w:val="24"/>
                <w:highlight w:val="none"/>
                <w:lang w:val="en-US" w:eastAsia="zh-CN"/>
              </w:rPr>
              <w:t>2</w:t>
            </w:r>
            <w:r>
              <w:rPr>
                <w:rFonts w:hint="default" w:ascii="Times New Roman" w:hAnsi="Times New Roman" w:eastAsia="宋体" w:cs="Times New Roman"/>
                <w:sz w:val="24"/>
                <w:highlight w:val="none"/>
                <w:lang w:val="en-US" w:eastAsia="zh-CN"/>
              </w:rPr>
              <w:t>.</w:t>
            </w:r>
            <w:r>
              <w:rPr>
                <w:rFonts w:hint="eastAsia" w:ascii="Times New Roman" w:hAnsi="Times New Roman" w:eastAsia="宋体" w:cs="Times New Roman"/>
                <w:sz w:val="24"/>
                <w:highlight w:val="none"/>
                <w:lang w:val="en-US" w:eastAsia="zh-CN"/>
              </w:rPr>
              <w:t>54</w:t>
            </w:r>
            <w:r>
              <w:rPr>
                <w:rFonts w:hint="default" w:ascii="Times New Roman" w:hAnsi="Times New Roman" w:eastAsia="宋体" w:cs="Times New Roman"/>
                <w:sz w:val="24"/>
                <w:highlight w:val="none"/>
                <w:lang w:val="en-US" w:eastAsia="zh-CN"/>
              </w:rPr>
              <w:t xml:space="preserve"> t/a、</w:t>
            </w:r>
            <w:r>
              <w:rPr>
                <w:rFonts w:hint="eastAsia" w:cs="Times New Roman"/>
                <w:sz w:val="24"/>
                <w:highlight w:val="none"/>
                <w:lang w:val="en-US" w:eastAsia="zh-CN"/>
              </w:rPr>
              <w:t>含氟废液2</w:t>
            </w:r>
            <w:r>
              <w:rPr>
                <w:rFonts w:hint="default" w:ascii="Times New Roman" w:hAnsi="Times New Roman" w:eastAsia="宋体" w:cs="Times New Roman"/>
                <w:sz w:val="24"/>
                <w:highlight w:val="none"/>
                <w:lang w:val="en-US" w:eastAsia="zh-CN"/>
              </w:rPr>
              <w:t>t/a</w:t>
            </w:r>
            <w:r>
              <w:rPr>
                <w:rFonts w:hint="eastAsia" w:cs="Times New Roman"/>
                <w:sz w:val="24"/>
                <w:highlight w:val="none"/>
                <w:lang w:val="en-US" w:eastAsia="zh-CN"/>
              </w:rPr>
              <w:t>、</w:t>
            </w:r>
            <w:r>
              <w:rPr>
                <w:rFonts w:hint="default" w:ascii="Times New Roman" w:hAnsi="Times New Roman" w:eastAsia="宋体" w:cs="Times New Roman"/>
                <w:sz w:val="24"/>
                <w:highlight w:val="none"/>
                <w:lang w:val="en-US" w:eastAsia="zh-CN"/>
              </w:rPr>
              <w:t>物性分析废液0.9 t/a、</w:t>
            </w:r>
            <w:r>
              <w:rPr>
                <w:rFonts w:hint="eastAsia" w:ascii="Times New Roman" w:hAnsi="Times New Roman" w:eastAsia="宋体" w:cs="Times New Roman"/>
                <w:sz w:val="24"/>
                <w:highlight w:val="none"/>
                <w:lang w:val="en-US" w:eastAsia="zh-CN"/>
              </w:rPr>
              <w:t>电池材料设备</w:t>
            </w:r>
            <w:r>
              <w:rPr>
                <w:rFonts w:hint="default" w:ascii="Times New Roman" w:hAnsi="Times New Roman" w:eastAsia="宋体" w:cs="Times New Roman"/>
                <w:sz w:val="24"/>
                <w:highlight w:val="none"/>
                <w:lang w:val="en-US" w:eastAsia="zh-CN"/>
              </w:rPr>
              <w:t>清洗废液2.7 t/a；</w:t>
            </w:r>
          </w:p>
          <w:p w14:paraId="24D866AB">
            <w:pPr>
              <w:spacing w:line="360" w:lineRule="auto"/>
              <w:ind w:firstLine="480" w:firstLineChars="200"/>
              <w:rPr>
                <w:rFonts w:hint="default" w:ascii="Times New Roman" w:hAnsi="Times New Roman" w:eastAsia="宋体" w:cs="Times New Roman"/>
                <w:sz w:val="24"/>
                <w:highlight w:val="none"/>
                <w:lang w:val="en-US" w:eastAsia="zh-CN"/>
              </w:rPr>
            </w:pPr>
            <w:r>
              <w:rPr>
                <w:rFonts w:hint="eastAsia" w:ascii="Times New Roman" w:hAnsi="Times New Roman" w:eastAsia="宋体" w:cs="Times New Roman"/>
                <w:sz w:val="24"/>
                <w:highlight w:val="none"/>
                <w:lang w:val="en-US" w:eastAsia="zh-CN"/>
              </w:rPr>
              <w:t>其他</w:t>
            </w:r>
            <w:r>
              <w:rPr>
                <w:rFonts w:hint="default" w:ascii="Times New Roman" w:hAnsi="Times New Roman" w:eastAsia="宋体" w:cs="Times New Roman"/>
                <w:sz w:val="24"/>
                <w:highlight w:val="none"/>
                <w:lang w:val="en-US" w:eastAsia="zh-CN"/>
              </w:rPr>
              <w:t>设备清洗废液：本项清洗废液仅包括金属材料实验、纳米晶体材料实验的设备第一、二次清洗废液1.</w:t>
            </w:r>
            <w:r>
              <w:rPr>
                <w:rFonts w:hint="eastAsia" w:ascii="Times New Roman" w:hAnsi="Times New Roman" w:eastAsia="宋体" w:cs="Times New Roman"/>
                <w:sz w:val="24"/>
                <w:highlight w:val="none"/>
                <w:lang w:val="en-US" w:eastAsia="zh-CN"/>
              </w:rPr>
              <w:t>3</w:t>
            </w:r>
            <w:r>
              <w:rPr>
                <w:rFonts w:hint="default" w:ascii="Times New Roman" w:hAnsi="Times New Roman" w:eastAsia="宋体" w:cs="Times New Roman"/>
                <w:sz w:val="24"/>
                <w:highlight w:val="none"/>
                <w:lang w:val="en-US" w:eastAsia="zh-CN"/>
              </w:rPr>
              <w:t xml:space="preserve"> t/a。</w:t>
            </w:r>
          </w:p>
          <w:p w14:paraId="79582F7B">
            <w:pPr>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 xml:space="preserve">废电池：根据建设单位提供的资料，本项目废电池的产生量约为 0.01t/a。 </w:t>
            </w:r>
          </w:p>
          <w:p w14:paraId="738C9FB7">
            <w:pPr>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 xml:space="preserve">废包装材料：根据建设单位提供的资料，本项目废包装材料的产生量约为 0.1t/a。 </w:t>
            </w:r>
          </w:p>
          <w:p w14:paraId="43411CA6">
            <w:pPr>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 xml:space="preserve">废切削液：切削液根据损耗定期添加，每2-3个月更换一次，根据建设单位提供的资料，产生量约0.03t/a。 </w:t>
            </w:r>
          </w:p>
          <w:p w14:paraId="0DCB39AD">
            <w:pPr>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 xml:space="preserve">废一次性耗材（一次性吸头、一次性乳胶手套、一次性塑料注射器、一次性进样管、一次性离心管等），根据建设单位提供的资料，本项目废一次性耗材产生量约为 0.01t/a。 </w:t>
            </w:r>
          </w:p>
          <w:p w14:paraId="69FF083C">
            <w:pPr>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废树脂：纳米晶体材料实验结束将树脂与护盒、铜线、铁芯分离，废树脂作危险废物收集处理，废护盒、铜线、铁芯作一般固废处理，废树脂产生量0.03t/a，金属材料实验过程镶样产生废树脂0.002t/a，合计产生废树脂0.032t/a。</w:t>
            </w:r>
          </w:p>
          <w:p w14:paraId="3FB46298">
            <w:pPr>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喷淋塔废液：每季度更换一次，3t/a。</w:t>
            </w:r>
          </w:p>
          <w:p w14:paraId="6F8FF7EE">
            <w:pPr>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废活性炭：参照《活性炭纤维在挥发性有机废气处理中应用》（杨芬，刘品华，2003年）的实验结果表明，每公斤活性炭可吸附0.22-0.25kg 的有机废气，本次环评取每公斤活性炭吸附量为 0.25kg/kg，项目非甲烷总烃的去除量为 0.6539 kg/a，经计算共需活性炭 2.6156 kg/a。本项目</w:t>
            </w:r>
            <w:r>
              <w:rPr>
                <w:rFonts w:hint="eastAsia" w:cs="Times New Roman"/>
                <w:sz w:val="24"/>
                <w:highlight w:val="none"/>
                <w:lang w:val="en-US" w:eastAsia="zh-CN"/>
              </w:rPr>
              <w:t>六套干式过滤器共装填活性炭</w:t>
            </w:r>
            <w:r>
              <w:rPr>
                <w:rFonts w:hint="default" w:ascii="Times New Roman" w:hAnsi="Times New Roman" w:eastAsia="宋体" w:cs="Times New Roman"/>
                <w:sz w:val="24"/>
                <w:highlight w:val="none"/>
                <w:lang w:val="en-US" w:eastAsia="zh-CN"/>
              </w:rPr>
              <w:t>约</w:t>
            </w:r>
            <w:r>
              <w:rPr>
                <w:rFonts w:hint="eastAsia" w:cs="Times New Roman"/>
                <w:sz w:val="24"/>
                <w:highlight w:val="none"/>
                <w:lang w:val="en-US" w:eastAsia="zh-CN"/>
              </w:rPr>
              <w:t>60</w:t>
            </w:r>
            <w:r>
              <w:rPr>
                <w:rFonts w:hint="default" w:ascii="Times New Roman" w:hAnsi="Times New Roman" w:eastAsia="宋体" w:cs="Times New Roman"/>
                <w:sz w:val="24"/>
                <w:highlight w:val="none"/>
                <w:lang w:val="en-US" w:eastAsia="zh-CN"/>
              </w:rPr>
              <w:t>kg，每半年更换1次，年产生废活性炭约</w:t>
            </w:r>
            <w:r>
              <w:rPr>
                <w:rFonts w:hint="eastAsia" w:cs="Times New Roman"/>
                <w:sz w:val="24"/>
                <w:highlight w:val="none"/>
                <w:lang w:val="en-US" w:eastAsia="zh-CN"/>
              </w:rPr>
              <w:t>12</w:t>
            </w:r>
            <w:r>
              <w:rPr>
                <w:rFonts w:hint="default" w:ascii="Times New Roman" w:hAnsi="Times New Roman" w:eastAsia="宋体" w:cs="Times New Roman"/>
                <w:sz w:val="24"/>
                <w:highlight w:val="none"/>
                <w:lang w:val="en-US" w:eastAsia="zh-CN"/>
              </w:rPr>
              <w:t>2.6kg/a（</w:t>
            </w:r>
            <w:r>
              <w:rPr>
                <w:rFonts w:hint="eastAsia" w:cs="Times New Roman"/>
                <w:sz w:val="24"/>
                <w:highlight w:val="none"/>
                <w:lang w:val="en-US" w:eastAsia="zh-CN"/>
              </w:rPr>
              <w:t>0.1226</w:t>
            </w:r>
            <w:r>
              <w:rPr>
                <w:rFonts w:hint="default" w:ascii="Times New Roman" w:hAnsi="Times New Roman" w:eastAsia="宋体" w:cs="Times New Roman"/>
                <w:sz w:val="24"/>
                <w:highlight w:val="none"/>
                <w:lang w:val="en-US" w:eastAsia="zh-CN"/>
              </w:rPr>
              <w:t>t/a）</w:t>
            </w:r>
          </w:p>
          <w:p w14:paraId="4B5FBF81">
            <w:pPr>
              <w:spacing w:line="360" w:lineRule="auto"/>
              <w:ind w:firstLine="480" w:firstLineChars="200"/>
              <w:rPr>
                <w:rFonts w:hint="eastAsia" w:ascii="Times New Roman" w:hAnsi="Times New Roman" w:eastAsia="宋体" w:cs="Times New Roman"/>
                <w:sz w:val="24"/>
                <w:highlight w:val="none"/>
                <w:lang w:val="en-US" w:eastAsia="zh-CN"/>
              </w:rPr>
            </w:pPr>
            <w:r>
              <w:rPr>
                <w:rFonts w:hint="eastAsia" w:cs="Times New Roman"/>
                <w:sz w:val="24"/>
                <w:highlight w:val="none"/>
                <w:lang w:val="en-US" w:eastAsia="zh-CN"/>
              </w:rPr>
              <w:t>废吸附剂：</w:t>
            </w:r>
            <w:r>
              <w:rPr>
                <w:rFonts w:hint="default" w:ascii="Times New Roman" w:hAnsi="Times New Roman" w:eastAsia="宋体" w:cs="Times New Roman"/>
                <w:sz w:val="24"/>
                <w:highlight w:val="none"/>
                <w:lang w:val="en-US" w:eastAsia="zh-CN"/>
              </w:rPr>
              <w:t>本项目</w:t>
            </w:r>
            <w:r>
              <w:rPr>
                <w:rFonts w:hint="eastAsia" w:cs="Times New Roman"/>
                <w:sz w:val="24"/>
                <w:highlight w:val="none"/>
                <w:lang w:val="en-US" w:eastAsia="zh-CN"/>
              </w:rPr>
              <w:t>六套干式过滤器共装填吸附剂</w:t>
            </w:r>
            <w:r>
              <w:rPr>
                <w:rFonts w:hint="default" w:ascii="Times New Roman" w:hAnsi="Times New Roman" w:eastAsia="宋体" w:cs="Times New Roman"/>
                <w:sz w:val="24"/>
                <w:highlight w:val="none"/>
                <w:lang w:val="en-US" w:eastAsia="zh-CN"/>
              </w:rPr>
              <w:t>约</w:t>
            </w:r>
            <w:r>
              <w:rPr>
                <w:rFonts w:hint="eastAsia" w:cs="Times New Roman"/>
                <w:sz w:val="24"/>
                <w:highlight w:val="none"/>
                <w:lang w:val="en-US" w:eastAsia="zh-CN"/>
              </w:rPr>
              <w:t>120</w:t>
            </w:r>
            <w:r>
              <w:rPr>
                <w:rFonts w:hint="default" w:ascii="Times New Roman" w:hAnsi="Times New Roman" w:eastAsia="宋体" w:cs="Times New Roman"/>
                <w:sz w:val="24"/>
                <w:highlight w:val="none"/>
                <w:lang w:val="en-US" w:eastAsia="zh-CN"/>
              </w:rPr>
              <w:t>kg，每半年更换1次，年产生废</w:t>
            </w:r>
            <w:r>
              <w:rPr>
                <w:rFonts w:hint="eastAsia" w:ascii="Times New Roman" w:hAnsi="Times New Roman" w:eastAsia="宋体" w:cs="Times New Roman"/>
                <w:sz w:val="24"/>
                <w:highlight w:val="none"/>
                <w:lang w:val="en-US" w:eastAsia="zh-CN"/>
              </w:rPr>
              <w:t>吸附剂</w:t>
            </w:r>
            <w:r>
              <w:rPr>
                <w:rFonts w:hint="default" w:ascii="Times New Roman" w:hAnsi="Times New Roman" w:eastAsia="宋体" w:cs="Times New Roman"/>
                <w:sz w:val="24"/>
                <w:highlight w:val="none"/>
                <w:lang w:val="en-US" w:eastAsia="zh-CN"/>
              </w:rPr>
              <w:t>约</w:t>
            </w:r>
            <w:r>
              <w:rPr>
                <w:rFonts w:hint="eastAsia" w:cs="Times New Roman"/>
                <w:sz w:val="24"/>
                <w:highlight w:val="none"/>
                <w:lang w:val="en-US" w:eastAsia="zh-CN"/>
              </w:rPr>
              <w:t>240</w:t>
            </w:r>
            <w:r>
              <w:rPr>
                <w:rFonts w:hint="default" w:ascii="Times New Roman" w:hAnsi="Times New Roman" w:eastAsia="宋体" w:cs="Times New Roman"/>
                <w:sz w:val="24"/>
                <w:highlight w:val="none"/>
                <w:lang w:val="en-US" w:eastAsia="zh-CN"/>
              </w:rPr>
              <w:t>kg/a（</w:t>
            </w:r>
            <w:r>
              <w:rPr>
                <w:rFonts w:hint="eastAsia" w:cs="Times New Roman"/>
                <w:sz w:val="24"/>
                <w:highlight w:val="none"/>
                <w:lang w:val="en-US" w:eastAsia="zh-CN"/>
              </w:rPr>
              <w:t>0.24</w:t>
            </w:r>
            <w:r>
              <w:rPr>
                <w:rFonts w:hint="default" w:ascii="Times New Roman" w:hAnsi="Times New Roman" w:eastAsia="宋体" w:cs="Times New Roman"/>
                <w:sz w:val="24"/>
                <w:highlight w:val="none"/>
                <w:lang w:val="en-US" w:eastAsia="zh-CN"/>
              </w:rPr>
              <w:t>t/a）</w:t>
            </w:r>
            <w:r>
              <w:rPr>
                <w:rFonts w:hint="eastAsia" w:ascii="Times New Roman" w:hAnsi="Times New Roman" w:eastAsia="宋体" w:cs="Times New Roman"/>
                <w:sz w:val="24"/>
                <w:highlight w:val="none"/>
                <w:lang w:val="en-US" w:eastAsia="zh-CN"/>
              </w:rPr>
              <w:t>，酸式、碱式吸附剂各一半。</w:t>
            </w:r>
          </w:p>
          <w:p w14:paraId="6F3C089F">
            <w:pPr>
              <w:spacing w:line="360" w:lineRule="auto"/>
              <w:ind w:firstLine="480" w:firstLineChars="200"/>
              <w:rPr>
                <w:rFonts w:hint="default" w:ascii="Times New Roman" w:hAnsi="Times New Roman" w:eastAsia="宋体" w:cs="Times New Roman"/>
                <w:sz w:val="24"/>
                <w:highlight w:val="none"/>
                <w:lang w:val="en-US" w:eastAsia="zh-CN"/>
              </w:rPr>
            </w:pPr>
            <w:r>
              <w:rPr>
                <w:rFonts w:hint="eastAsia" w:ascii="Times New Roman" w:hAnsi="Times New Roman" w:eastAsia="宋体" w:cs="Times New Roman"/>
                <w:sz w:val="24"/>
                <w:highlight w:val="none"/>
                <w:lang w:val="en-US" w:eastAsia="zh-CN"/>
              </w:rPr>
              <w:t>废布袋：本项目一套袋式除尘器处理实验过程产生的颗粒物，产生量月0.05</w:t>
            </w:r>
            <w:r>
              <w:rPr>
                <w:rFonts w:hint="default" w:ascii="Times New Roman" w:hAnsi="Times New Roman" w:eastAsia="宋体" w:cs="Times New Roman"/>
                <w:sz w:val="24"/>
                <w:highlight w:val="none"/>
                <w:lang w:val="en-US" w:eastAsia="zh-CN"/>
              </w:rPr>
              <w:t>t/a</w:t>
            </w:r>
            <w:r>
              <w:rPr>
                <w:rFonts w:hint="eastAsia" w:ascii="Times New Roman" w:hAnsi="Times New Roman" w:eastAsia="宋体" w:cs="Times New Roman"/>
                <w:sz w:val="24"/>
                <w:highlight w:val="none"/>
                <w:lang w:val="en-US" w:eastAsia="zh-CN"/>
              </w:rPr>
              <w:t>。</w:t>
            </w:r>
          </w:p>
          <w:p w14:paraId="0E593A83">
            <w:pPr>
              <w:adjustRightInd w:val="0"/>
              <w:snapToGrid w:val="0"/>
              <w:spacing w:line="360" w:lineRule="auto"/>
              <w:ind w:firstLine="480" w:firstLineChars="200"/>
              <w:rPr>
                <w:rFonts w:hint="default" w:ascii="Times New Roman" w:hAnsi="Times New Roman" w:eastAsia="宋体" w:cs="Times New Roman"/>
                <w:sz w:val="24"/>
                <w:highlight w:val="none"/>
                <w:lang w:eastAsia="zh-CN"/>
              </w:rPr>
            </w:pPr>
            <w:r>
              <w:rPr>
                <w:rFonts w:hint="default" w:ascii="Times New Roman" w:hAnsi="Times New Roman" w:eastAsia="宋体" w:cs="Times New Roman"/>
                <w:sz w:val="24"/>
                <w:highlight w:val="none"/>
              </w:rPr>
              <w:t>综上，本项目产生的</w:t>
            </w:r>
            <w:r>
              <w:rPr>
                <w:rFonts w:hint="default" w:ascii="Times New Roman" w:hAnsi="Times New Roman" w:eastAsia="宋体" w:cs="Times New Roman"/>
                <w:sz w:val="24"/>
                <w:highlight w:val="none"/>
                <w:lang w:val="en-US" w:eastAsia="zh-CN"/>
              </w:rPr>
              <w:t>固体</w:t>
            </w:r>
            <w:r>
              <w:rPr>
                <w:rFonts w:hint="default" w:ascii="Times New Roman" w:hAnsi="Times New Roman" w:eastAsia="宋体" w:cs="Times New Roman"/>
                <w:sz w:val="24"/>
                <w:highlight w:val="none"/>
              </w:rPr>
              <w:t>废物见下表</w:t>
            </w:r>
            <w:r>
              <w:rPr>
                <w:rFonts w:hint="default" w:ascii="Times New Roman" w:hAnsi="Times New Roman" w:eastAsia="宋体" w:cs="Times New Roman"/>
                <w:sz w:val="24"/>
                <w:highlight w:val="none"/>
                <w:lang w:eastAsia="zh-CN"/>
              </w:rPr>
              <w:t>。</w:t>
            </w:r>
          </w:p>
          <w:p w14:paraId="22B600AF">
            <w:pPr>
              <w:numPr>
                <w:ilvl w:val="0"/>
                <w:numId w:val="48"/>
              </w:numPr>
              <w:adjustRightInd w:val="0"/>
              <w:spacing w:line="360" w:lineRule="auto"/>
              <w:ind w:left="425" w:leftChars="0" w:hanging="425" w:firstLineChars="0"/>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项目</w:t>
            </w:r>
            <w:r>
              <w:rPr>
                <w:rFonts w:hint="default" w:ascii="Times New Roman" w:hAnsi="Times New Roman" w:eastAsia="宋体" w:cs="Times New Roman"/>
                <w:b/>
                <w:sz w:val="24"/>
                <w:highlight w:val="none"/>
                <w:lang w:val="en-US" w:eastAsia="zh-CN"/>
              </w:rPr>
              <w:t>固体</w:t>
            </w:r>
            <w:r>
              <w:rPr>
                <w:rFonts w:hint="default" w:ascii="Times New Roman" w:hAnsi="Times New Roman" w:eastAsia="宋体" w:cs="Times New Roman"/>
                <w:b/>
                <w:sz w:val="24"/>
                <w:highlight w:val="none"/>
              </w:rPr>
              <w:t>产生情况一览表</w:t>
            </w:r>
          </w:p>
          <w:tbl>
            <w:tblPr>
              <w:tblStyle w:val="17"/>
              <w:tblW w:w="5109"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57"/>
              <w:gridCol w:w="759"/>
              <w:gridCol w:w="867"/>
              <w:gridCol w:w="734"/>
              <w:gridCol w:w="992"/>
              <w:gridCol w:w="476"/>
              <w:gridCol w:w="760"/>
              <w:gridCol w:w="771"/>
              <w:gridCol w:w="643"/>
              <w:gridCol w:w="1175"/>
            </w:tblGrid>
            <w:tr w14:paraId="7991915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20" w:hRule="atLeast"/>
                <w:jc w:val="center"/>
              </w:trPr>
              <w:tc>
                <w:tcPr>
                  <w:tcW w:w="360" w:type="pct"/>
                  <w:tcBorders>
                    <w:tl2br w:val="nil"/>
                    <w:tr2bl w:val="nil"/>
                  </w:tcBorders>
                  <w:vAlign w:val="center"/>
                </w:tcPr>
                <w:p w14:paraId="535EC5CD">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序号</w:t>
                  </w:r>
                </w:p>
              </w:tc>
              <w:tc>
                <w:tcPr>
                  <w:tcW w:w="490" w:type="pct"/>
                  <w:tcBorders>
                    <w:tl2br w:val="nil"/>
                    <w:tr2bl w:val="nil"/>
                  </w:tcBorders>
                  <w:vAlign w:val="center"/>
                </w:tcPr>
                <w:p w14:paraId="709C38E9">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产生工序</w:t>
                  </w:r>
                </w:p>
              </w:tc>
              <w:tc>
                <w:tcPr>
                  <w:tcW w:w="560" w:type="pct"/>
                  <w:tcBorders>
                    <w:tl2br w:val="nil"/>
                    <w:tr2bl w:val="nil"/>
                  </w:tcBorders>
                  <w:vAlign w:val="center"/>
                </w:tcPr>
                <w:p w14:paraId="29C9C4FA">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名称</w:t>
                  </w:r>
                </w:p>
              </w:tc>
              <w:tc>
                <w:tcPr>
                  <w:tcW w:w="474" w:type="pct"/>
                  <w:tcBorders>
                    <w:tl2br w:val="nil"/>
                    <w:tr2bl w:val="nil"/>
                  </w:tcBorders>
                  <w:vAlign w:val="center"/>
                </w:tcPr>
                <w:p w14:paraId="0CA5341D">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危险废物类别</w:t>
                  </w:r>
                </w:p>
              </w:tc>
              <w:tc>
                <w:tcPr>
                  <w:tcW w:w="641" w:type="pct"/>
                  <w:tcBorders>
                    <w:tl2br w:val="nil"/>
                    <w:tr2bl w:val="nil"/>
                  </w:tcBorders>
                  <w:vAlign w:val="center"/>
                </w:tcPr>
                <w:p w14:paraId="640231EB">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lang w:val="en-US" w:eastAsia="zh-CN"/>
                    </w:rPr>
                    <w:t>固体</w:t>
                  </w:r>
                  <w:r>
                    <w:rPr>
                      <w:rFonts w:hint="default" w:ascii="Times New Roman" w:hAnsi="Times New Roman" w:eastAsia="宋体" w:cs="Times New Roman"/>
                      <w:b/>
                      <w:szCs w:val="21"/>
                      <w:highlight w:val="none"/>
                    </w:rPr>
                    <w:t>废物</w:t>
                  </w:r>
                </w:p>
                <w:p w14:paraId="2F9357DB">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代码</w:t>
                  </w:r>
                </w:p>
              </w:tc>
              <w:tc>
                <w:tcPr>
                  <w:tcW w:w="307" w:type="pct"/>
                  <w:tcBorders>
                    <w:tl2br w:val="nil"/>
                    <w:tr2bl w:val="nil"/>
                  </w:tcBorders>
                  <w:vAlign w:val="center"/>
                </w:tcPr>
                <w:p w14:paraId="48DFF4C9">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形态</w:t>
                  </w:r>
                </w:p>
              </w:tc>
              <w:tc>
                <w:tcPr>
                  <w:tcW w:w="491" w:type="pct"/>
                  <w:tcBorders>
                    <w:tl2br w:val="nil"/>
                    <w:tr2bl w:val="nil"/>
                  </w:tcBorders>
                  <w:vAlign w:val="center"/>
                </w:tcPr>
                <w:p w14:paraId="4F27DB7C">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危险</w:t>
                  </w:r>
                </w:p>
                <w:p w14:paraId="624FD84C">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特性</w:t>
                  </w:r>
                </w:p>
              </w:tc>
              <w:tc>
                <w:tcPr>
                  <w:tcW w:w="498" w:type="pct"/>
                  <w:tcBorders>
                    <w:tl2br w:val="nil"/>
                    <w:tr2bl w:val="nil"/>
                  </w:tcBorders>
                  <w:vAlign w:val="center"/>
                </w:tcPr>
                <w:p w14:paraId="5523F599">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产生量</w:t>
                  </w:r>
                </w:p>
                <w:p w14:paraId="4619F67E">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（吨/年）</w:t>
                  </w:r>
                </w:p>
              </w:tc>
              <w:tc>
                <w:tcPr>
                  <w:tcW w:w="415" w:type="pct"/>
                  <w:tcBorders>
                    <w:tl2br w:val="nil"/>
                    <w:tr2bl w:val="nil"/>
                  </w:tcBorders>
                  <w:vAlign w:val="center"/>
                </w:tcPr>
                <w:p w14:paraId="3D60FF9A">
                  <w:pPr>
                    <w:jc w:val="center"/>
                    <w:rPr>
                      <w:rFonts w:hint="default" w:ascii="Times New Roman" w:hAnsi="Times New Roman" w:eastAsia="宋体" w:cs="Times New Roman"/>
                      <w:b/>
                      <w:szCs w:val="21"/>
                      <w:highlight w:val="none"/>
                      <w:lang w:val="en-US" w:eastAsia="zh-CN"/>
                    </w:rPr>
                  </w:pPr>
                  <w:r>
                    <w:rPr>
                      <w:rFonts w:hint="default" w:ascii="Times New Roman" w:hAnsi="Times New Roman" w:eastAsia="宋体" w:cs="Times New Roman"/>
                      <w:b/>
                      <w:szCs w:val="21"/>
                      <w:highlight w:val="none"/>
                      <w:lang w:val="en-US" w:eastAsia="zh-CN"/>
                    </w:rPr>
                    <w:t>产废</w:t>
                  </w:r>
                </w:p>
                <w:p w14:paraId="7680B3AF">
                  <w:pPr>
                    <w:jc w:val="center"/>
                    <w:rPr>
                      <w:rFonts w:hint="default" w:ascii="Times New Roman" w:hAnsi="Times New Roman" w:eastAsia="宋体" w:cs="Times New Roman"/>
                      <w:b/>
                      <w:szCs w:val="21"/>
                      <w:highlight w:val="none"/>
                      <w:lang w:val="en-US" w:eastAsia="zh-CN"/>
                    </w:rPr>
                  </w:pPr>
                  <w:r>
                    <w:rPr>
                      <w:rFonts w:hint="default" w:ascii="Times New Roman" w:hAnsi="Times New Roman" w:eastAsia="宋体" w:cs="Times New Roman"/>
                      <w:b/>
                      <w:szCs w:val="21"/>
                      <w:highlight w:val="none"/>
                      <w:lang w:val="en-US" w:eastAsia="zh-CN"/>
                    </w:rPr>
                    <w:t>周期</w:t>
                  </w:r>
                </w:p>
              </w:tc>
              <w:tc>
                <w:tcPr>
                  <w:tcW w:w="759" w:type="pct"/>
                  <w:tcBorders>
                    <w:tl2br w:val="nil"/>
                    <w:tr2bl w:val="nil"/>
                  </w:tcBorders>
                  <w:vAlign w:val="center"/>
                </w:tcPr>
                <w:p w14:paraId="556CFF07">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污染防治</w:t>
                  </w:r>
                </w:p>
                <w:p w14:paraId="60D0AF88">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措施</w:t>
                  </w:r>
                </w:p>
              </w:tc>
            </w:tr>
            <w:tr w14:paraId="46A14FB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4" w:hRule="atLeast"/>
                <w:jc w:val="center"/>
              </w:trPr>
              <w:tc>
                <w:tcPr>
                  <w:tcW w:w="4240" w:type="pct"/>
                  <w:gridSpan w:val="9"/>
                  <w:tcBorders>
                    <w:tl2br w:val="nil"/>
                    <w:tr2bl w:val="nil"/>
                  </w:tcBorders>
                  <w:vAlign w:val="center"/>
                </w:tcPr>
                <w:p w14:paraId="3F2A514F">
                  <w:pPr>
                    <w:jc w:val="center"/>
                    <w:rPr>
                      <w:rFonts w:hint="default" w:ascii="Times New Roman" w:hAnsi="Times New Roman" w:eastAsia="宋体" w:cs="Times New Roman"/>
                      <w:b/>
                      <w:szCs w:val="21"/>
                      <w:highlight w:val="none"/>
                      <w:lang w:val="en-US" w:eastAsia="zh-CN"/>
                    </w:rPr>
                  </w:pPr>
                  <w:r>
                    <w:rPr>
                      <w:rFonts w:hint="default" w:ascii="Times New Roman" w:hAnsi="Times New Roman" w:eastAsia="宋体" w:cs="Times New Roman"/>
                      <w:b w:val="0"/>
                      <w:bCs/>
                      <w:szCs w:val="21"/>
                      <w:highlight w:val="none"/>
                      <w:lang w:val="en-US" w:eastAsia="zh-CN"/>
                    </w:rPr>
                    <w:t>危险废物</w:t>
                  </w:r>
                </w:p>
              </w:tc>
              <w:tc>
                <w:tcPr>
                  <w:tcW w:w="759" w:type="pct"/>
                  <w:tcBorders>
                    <w:tl2br w:val="nil"/>
                    <w:tr2bl w:val="nil"/>
                  </w:tcBorders>
                  <w:vAlign w:val="center"/>
                </w:tcPr>
                <w:p w14:paraId="2606CDE3">
                  <w:pPr>
                    <w:jc w:val="center"/>
                    <w:rPr>
                      <w:rFonts w:hint="default" w:ascii="Times New Roman" w:hAnsi="Times New Roman" w:eastAsia="宋体" w:cs="Times New Roman"/>
                      <w:b w:val="0"/>
                      <w:bCs/>
                      <w:szCs w:val="21"/>
                      <w:highlight w:val="none"/>
                      <w:lang w:val="en-US" w:eastAsia="zh-CN"/>
                    </w:rPr>
                  </w:pPr>
                </w:p>
              </w:tc>
            </w:tr>
            <w:tr w14:paraId="40B4E05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3" w:hRule="atLeast"/>
                <w:jc w:val="center"/>
              </w:trPr>
              <w:tc>
                <w:tcPr>
                  <w:tcW w:w="360" w:type="pct"/>
                  <w:tcBorders>
                    <w:tl2br w:val="nil"/>
                    <w:tr2bl w:val="nil"/>
                  </w:tcBorders>
                  <w:vAlign w:val="center"/>
                </w:tcPr>
                <w:p w14:paraId="553DDCA2">
                  <w:pPr>
                    <w:numPr>
                      <w:ilvl w:val="0"/>
                      <w:numId w:val="54"/>
                    </w:numPr>
                    <w:ind w:left="210"/>
                    <w:jc w:val="center"/>
                    <w:rPr>
                      <w:rFonts w:hint="default" w:ascii="Times New Roman" w:hAnsi="Times New Roman" w:eastAsia="宋体" w:cs="Times New Roman"/>
                      <w:sz w:val="21"/>
                      <w:szCs w:val="21"/>
                      <w:highlight w:val="none"/>
                    </w:rPr>
                  </w:pPr>
                </w:p>
              </w:tc>
              <w:tc>
                <w:tcPr>
                  <w:tcW w:w="490" w:type="pct"/>
                  <w:vMerge w:val="restart"/>
                  <w:tcBorders>
                    <w:tl2br w:val="nil"/>
                    <w:tr2bl w:val="nil"/>
                  </w:tcBorders>
                  <w:vAlign w:val="center"/>
                </w:tcPr>
                <w:p w14:paraId="08774F37">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电池材料实验</w:t>
                  </w:r>
                </w:p>
              </w:tc>
              <w:tc>
                <w:tcPr>
                  <w:tcW w:w="560" w:type="pct"/>
                  <w:tcBorders>
                    <w:tl2br w:val="nil"/>
                    <w:tr2bl w:val="nil"/>
                  </w:tcBorders>
                  <w:vAlign w:val="center"/>
                </w:tcPr>
                <w:p w14:paraId="72A3FFBA">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废反应液</w:t>
                  </w:r>
                </w:p>
              </w:tc>
              <w:tc>
                <w:tcPr>
                  <w:tcW w:w="474" w:type="pct"/>
                  <w:tcBorders>
                    <w:tl2br w:val="nil"/>
                    <w:tr2bl w:val="nil"/>
                  </w:tcBorders>
                  <w:vAlign w:val="center"/>
                </w:tcPr>
                <w:p w14:paraId="0C98AB62">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HW49</w:t>
                  </w:r>
                </w:p>
              </w:tc>
              <w:tc>
                <w:tcPr>
                  <w:tcW w:w="641" w:type="pct"/>
                  <w:tcBorders>
                    <w:tl2br w:val="nil"/>
                    <w:tr2bl w:val="nil"/>
                  </w:tcBorders>
                  <w:vAlign w:val="center"/>
                </w:tcPr>
                <w:p w14:paraId="329B9D94">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900-047-49</w:t>
                  </w:r>
                </w:p>
              </w:tc>
              <w:tc>
                <w:tcPr>
                  <w:tcW w:w="307" w:type="pct"/>
                  <w:tcBorders>
                    <w:tl2br w:val="nil"/>
                    <w:tr2bl w:val="nil"/>
                  </w:tcBorders>
                  <w:vAlign w:val="center"/>
                </w:tcPr>
                <w:p w14:paraId="27872E96">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液态</w:t>
                  </w:r>
                </w:p>
              </w:tc>
              <w:tc>
                <w:tcPr>
                  <w:tcW w:w="491" w:type="pct"/>
                  <w:tcBorders>
                    <w:tl2br w:val="nil"/>
                    <w:tr2bl w:val="nil"/>
                  </w:tcBorders>
                  <w:vAlign w:val="center"/>
                </w:tcPr>
                <w:p w14:paraId="1231E8B4">
                  <w:pPr>
                    <w:keepNext w:val="0"/>
                    <w:keepLines w:val="0"/>
                    <w:widowControl/>
                    <w:suppressLineNumbers w:val="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color w:val="000000"/>
                      <w:kern w:val="0"/>
                      <w:sz w:val="21"/>
                      <w:szCs w:val="21"/>
                      <w:lang w:val="en-US" w:eastAsia="zh-CN" w:bidi="ar"/>
                    </w:rPr>
                    <w:t>T/C/I/R</w:t>
                  </w:r>
                </w:p>
              </w:tc>
              <w:tc>
                <w:tcPr>
                  <w:tcW w:w="498" w:type="pct"/>
                  <w:tcBorders>
                    <w:tl2br w:val="nil"/>
                    <w:tr2bl w:val="nil"/>
                  </w:tcBorders>
                  <w:vAlign w:val="center"/>
                </w:tcPr>
                <w:p w14:paraId="74D96488">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.54</w:t>
                  </w:r>
                </w:p>
              </w:tc>
              <w:tc>
                <w:tcPr>
                  <w:tcW w:w="415" w:type="pct"/>
                  <w:tcBorders>
                    <w:tl2br w:val="nil"/>
                    <w:tr2bl w:val="nil"/>
                  </w:tcBorders>
                  <w:vAlign w:val="center"/>
                </w:tcPr>
                <w:p w14:paraId="687AB691">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每天</w:t>
                  </w:r>
                </w:p>
              </w:tc>
              <w:tc>
                <w:tcPr>
                  <w:tcW w:w="759" w:type="pct"/>
                  <w:vMerge w:val="restart"/>
                  <w:tcBorders>
                    <w:tl2br w:val="nil"/>
                    <w:tr2bl w:val="nil"/>
                  </w:tcBorders>
                  <w:vAlign w:val="center"/>
                </w:tcPr>
                <w:p w14:paraId="5BABEA8F">
                  <w:pPr>
                    <w:widowControl/>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统一收集后暂存于危险废物暂存间，定期交北京</w:t>
                  </w:r>
                  <w:r>
                    <w:rPr>
                      <w:rFonts w:hint="default" w:ascii="Times New Roman" w:hAnsi="Times New Roman" w:eastAsia="宋体" w:cs="Times New Roman"/>
                      <w:sz w:val="21"/>
                      <w:szCs w:val="21"/>
                      <w:highlight w:val="none"/>
                      <w:lang w:val="en-US" w:eastAsia="zh-CN"/>
                    </w:rPr>
                    <w:t>金隅红树林环保技术</w:t>
                  </w:r>
                  <w:r>
                    <w:rPr>
                      <w:rFonts w:hint="default" w:ascii="Times New Roman" w:hAnsi="Times New Roman" w:eastAsia="宋体" w:cs="Times New Roman"/>
                      <w:sz w:val="21"/>
                      <w:szCs w:val="21"/>
                      <w:highlight w:val="none"/>
                    </w:rPr>
                    <w:t>有限</w:t>
                  </w:r>
                  <w:r>
                    <w:rPr>
                      <w:rFonts w:hint="default" w:ascii="Times New Roman" w:hAnsi="Times New Roman" w:eastAsia="宋体" w:cs="Times New Roman"/>
                      <w:sz w:val="21"/>
                      <w:szCs w:val="21"/>
                      <w:highlight w:val="none"/>
                      <w:lang w:val="en-US" w:eastAsia="zh-CN"/>
                    </w:rPr>
                    <w:t>责任</w:t>
                  </w:r>
                  <w:r>
                    <w:rPr>
                      <w:rFonts w:hint="default" w:ascii="Times New Roman" w:hAnsi="Times New Roman" w:eastAsia="宋体" w:cs="Times New Roman"/>
                      <w:sz w:val="21"/>
                      <w:szCs w:val="21"/>
                      <w:highlight w:val="none"/>
                    </w:rPr>
                    <w:t>公司处置。</w:t>
                  </w:r>
                </w:p>
              </w:tc>
            </w:tr>
            <w:tr w14:paraId="667FC5C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3" w:hRule="atLeast"/>
                <w:jc w:val="center"/>
              </w:trPr>
              <w:tc>
                <w:tcPr>
                  <w:tcW w:w="360" w:type="pct"/>
                  <w:tcBorders>
                    <w:tl2br w:val="nil"/>
                    <w:tr2bl w:val="nil"/>
                  </w:tcBorders>
                  <w:vAlign w:val="center"/>
                </w:tcPr>
                <w:p w14:paraId="3C5438E2">
                  <w:pPr>
                    <w:numPr>
                      <w:ilvl w:val="0"/>
                      <w:numId w:val="54"/>
                    </w:numPr>
                    <w:ind w:left="210"/>
                    <w:jc w:val="center"/>
                    <w:rPr>
                      <w:rFonts w:hint="default" w:ascii="Times New Roman" w:hAnsi="Times New Roman" w:eastAsia="宋体" w:cs="Times New Roman"/>
                      <w:sz w:val="21"/>
                      <w:szCs w:val="21"/>
                      <w:highlight w:val="none"/>
                    </w:rPr>
                  </w:pPr>
                </w:p>
              </w:tc>
              <w:tc>
                <w:tcPr>
                  <w:tcW w:w="490" w:type="pct"/>
                  <w:vMerge w:val="continue"/>
                  <w:tcBorders>
                    <w:tl2br w:val="nil"/>
                    <w:tr2bl w:val="nil"/>
                  </w:tcBorders>
                  <w:vAlign w:val="center"/>
                </w:tcPr>
                <w:p w14:paraId="683E042D">
                  <w:pPr>
                    <w:jc w:val="center"/>
                    <w:rPr>
                      <w:rFonts w:hint="default" w:ascii="Times New Roman" w:hAnsi="Times New Roman" w:eastAsia="宋体" w:cs="Times New Roman"/>
                      <w:sz w:val="21"/>
                      <w:szCs w:val="21"/>
                      <w:highlight w:val="none"/>
                      <w:lang w:val="en-US" w:eastAsia="zh-CN"/>
                    </w:rPr>
                  </w:pPr>
                </w:p>
              </w:tc>
              <w:tc>
                <w:tcPr>
                  <w:tcW w:w="560" w:type="pct"/>
                  <w:tcBorders>
                    <w:tl2br w:val="nil"/>
                    <w:tr2bl w:val="nil"/>
                  </w:tcBorders>
                  <w:vAlign w:val="center"/>
                </w:tcPr>
                <w:p w14:paraId="06FB5A54">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含氟废液</w:t>
                  </w:r>
                </w:p>
              </w:tc>
              <w:tc>
                <w:tcPr>
                  <w:tcW w:w="474" w:type="pct"/>
                  <w:tcBorders>
                    <w:tl2br w:val="nil"/>
                    <w:tr2bl w:val="nil"/>
                  </w:tcBorders>
                  <w:vAlign w:val="center"/>
                </w:tcPr>
                <w:p w14:paraId="7678C84E">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HW49</w:t>
                  </w:r>
                </w:p>
              </w:tc>
              <w:tc>
                <w:tcPr>
                  <w:tcW w:w="641" w:type="pct"/>
                  <w:tcBorders>
                    <w:tl2br w:val="nil"/>
                    <w:tr2bl w:val="nil"/>
                  </w:tcBorders>
                  <w:vAlign w:val="center"/>
                </w:tcPr>
                <w:p w14:paraId="26400FF1">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900-047-49</w:t>
                  </w:r>
                </w:p>
              </w:tc>
              <w:tc>
                <w:tcPr>
                  <w:tcW w:w="307" w:type="pct"/>
                  <w:tcBorders>
                    <w:tl2br w:val="nil"/>
                    <w:tr2bl w:val="nil"/>
                  </w:tcBorders>
                  <w:vAlign w:val="center"/>
                </w:tcPr>
                <w:p w14:paraId="2B9A394B">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液态</w:t>
                  </w:r>
                </w:p>
              </w:tc>
              <w:tc>
                <w:tcPr>
                  <w:tcW w:w="491" w:type="pct"/>
                  <w:tcBorders>
                    <w:tl2br w:val="nil"/>
                    <w:tr2bl w:val="nil"/>
                  </w:tcBorders>
                  <w:vAlign w:val="center"/>
                </w:tcPr>
                <w:p w14:paraId="7257F35A">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T/C/I/R</w:t>
                  </w:r>
                </w:p>
              </w:tc>
              <w:tc>
                <w:tcPr>
                  <w:tcW w:w="498" w:type="pct"/>
                  <w:tcBorders>
                    <w:tl2br w:val="nil"/>
                    <w:tr2bl w:val="nil"/>
                  </w:tcBorders>
                  <w:vAlign w:val="center"/>
                </w:tcPr>
                <w:p w14:paraId="76C83ED6">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2</w:t>
                  </w:r>
                </w:p>
              </w:tc>
              <w:tc>
                <w:tcPr>
                  <w:tcW w:w="415" w:type="pct"/>
                  <w:tcBorders>
                    <w:tl2br w:val="nil"/>
                    <w:tr2bl w:val="nil"/>
                  </w:tcBorders>
                  <w:vAlign w:val="center"/>
                </w:tcPr>
                <w:p w14:paraId="01203FE7">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每天</w:t>
                  </w:r>
                </w:p>
              </w:tc>
              <w:tc>
                <w:tcPr>
                  <w:tcW w:w="759" w:type="pct"/>
                  <w:vMerge w:val="continue"/>
                  <w:tcBorders>
                    <w:tl2br w:val="nil"/>
                    <w:tr2bl w:val="nil"/>
                  </w:tcBorders>
                  <w:vAlign w:val="center"/>
                </w:tcPr>
                <w:p w14:paraId="5A100323">
                  <w:pPr>
                    <w:widowControl/>
                    <w:jc w:val="center"/>
                    <w:rPr>
                      <w:rFonts w:hint="default" w:ascii="Times New Roman" w:hAnsi="Times New Roman" w:eastAsia="宋体" w:cs="Times New Roman"/>
                      <w:sz w:val="21"/>
                      <w:szCs w:val="21"/>
                      <w:highlight w:val="none"/>
                    </w:rPr>
                  </w:pPr>
                </w:p>
              </w:tc>
            </w:tr>
            <w:tr w14:paraId="60E99D6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3" w:hRule="atLeast"/>
                <w:jc w:val="center"/>
              </w:trPr>
              <w:tc>
                <w:tcPr>
                  <w:tcW w:w="360" w:type="pct"/>
                  <w:tcBorders>
                    <w:tl2br w:val="nil"/>
                    <w:tr2bl w:val="nil"/>
                  </w:tcBorders>
                  <w:vAlign w:val="center"/>
                </w:tcPr>
                <w:p w14:paraId="117953F4">
                  <w:pPr>
                    <w:numPr>
                      <w:ilvl w:val="0"/>
                      <w:numId w:val="54"/>
                    </w:numPr>
                    <w:ind w:left="210"/>
                    <w:jc w:val="center"/>
                    <w:rPr>
                      <w:rFonts w:hint="default" w:ascii="Times New Roman" w:hAnsi="Times New Roman" w:eastAsia="宋体" w:cs="Times New Roman"/>
                      <w:sz w:val="21"/>
                      <w:szCs w:val="21"/>
                      <w:highlight w:val="none"/>
                    </w:rPr>
                  </w:pPr>
                </w:p>
              </w:tc>
              <w:tc>
                <w:tcPr>
                  <w:tcW w:w="490" w:type="pct"/>
                  <w:tcBorders>
                    <w:tl2br w:val="nil"/>
                    <w:tr2bl w:val="nil"/>
                  </w:tcBorders>
                  <w:vAlign w:val="center"/>
                </w:tcPr>
                <w:p w14:paraId="773196FF">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检测分析</w:t>
                  </w:r>
                </w:p>
              </w:tc>
              <w:tc>
                <w:tcPr>
                  <w:tcW w:w="560" w:type="pct"/>
                  <w:tcBorders>
                    <w:tl2br w:val="nil"/>
                    <w:tr2bl w:val="nil"/>
                  </w:tcBorders>
                  <w:vAlign w:val="center"/>
                </w:tcPr>
                <w:p w14:paraId="44E1504B">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物性分析废液</w:t>
                  </w:r>
                </w:p>
              </w:tc>
              <w:tc>
                <w:tcPr>
                  <w:tcW w:w="474" w:type="pct"/>
                  <w:tcBorders>
                    <w:tl2br w:val="nil"/>
                    <w:tr2bl w:val="nil"/>
                  </w:tcBorders>
                  <w:vAlign w:val="center"/>
                </w:tcPr>
                <w:p w14:paraId="3EB5865A">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HW49</w:t>
                  </w:r>
                </w:p>
              </w:tc>
              <w:tc>
                <w:tcPr>
                  <w:tcW w:w="641" w:type="pct"/>
                  <w:tcBorders>
                    <w:tl2br w:val="nil"/>
                    <w:tr2bl w:val="nil"/>
                  </w:tcBorders>
                  <w:vAlign w:val="center"/>
                </w:tcPr>
                <w:p w14:paraId="4C3FC48E">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900-047-49</w:t>
                  </w:r>
                </w:p>
              </w:tc>
              <w:tc>
                <w:tcPr>
                  <w:tcW w:w="307" w:type="pct"/>
                  <w:tcBorders>
                    <w:tl2br w:val="nil"/>
                    <w:tr2bl w:val="nil"/>
                  </w:tcBorders>
                  <w:vAlign w:val="center"/>
                </w:tcPr>
                <w:p w14:paraId="4EDF78A5">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液态</w:t>
                  </w:r>
                </w:p>
              </w:tc>
              <w:tc>
                <w:tcPr>
                  <w:tcW w:w="491" w:type="pct"/>
                  <w:tcBorders>
                    <w:tl2br w:val="nil"/>
                    <w:tr2bl w:val="nil"/>
                  </w:tcBorders>
                  <w:vAlign w:val="center"/>
                </w:tcPr>
                <w:p w14:paraId="7BCE86E2">
                  <w:pPr>
                    <w:keepNext w:val="0"/>
                    <w:keepLines w:val="0"/>
                    <w:widowControl/>
                    <w:suppressLineNumbers w:val="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color w:val="000000"/>
                      <w:kern w:val="0"/>
                      <w:sz w:val="21"/>
                      <w:szCs w:val="21"/>
                      <w:lang w:val="en-US" w:eastAsia="zh-CN" w:bidi="ar"/>
                    </w:rPr>
                    <w:t>T/C/I/R</w:t>
                  </w:r>
                </w:p>
              </w:tc>
              <w:tc>
                <w:tcPr>
                  <w:tcW w:w="498" w:type="pct"/>
                  <w:tcBorders>
                    <w:tl2br w:val="nil"/>
                    <w:tr2bl w:val="nil"/>
                  </w:tcBorders>
                  <w:vAlign w:val="center"/>
                </w:tcPr>
                <w:p w14:paraId="335570EC">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0.9</w:t>
                  </w:r>
                </w:p>
              </w:tc>
              <w:tc>
                <w:tcPr>
                  <w:tcW w:w="415" w:type="pct"/>
                  <w:tcBorders>
                    <w:tl2br w:val="nil"/>
                    <w:tr2bl w:val="nil"/>
                  </w:tcBorders>
                  <w:vAlign w:val="center"/>
                </w:tcPr>
                <w:p w14:paraId="1E45FC35">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每天</w:t>
                  </w:r>
                </w:p>
              </w:tc>
              <w:tc>
                <w:tcPr>
                  <w:tcW w:w="759" w:type="pct"/>
                  <w:vMerge w:val="continue"/>
                  <w:tcBorders>
                    <w:tl2br w:val="nil"/>
                    <w:tr2bl w:val="nil"/>
                  </w:tcBorders>
                  <w:vAlign w:val="center"/>
                </w:tcPr>
                <w:p w14:paraId="650A1FA8">
                  <w:pPr>
                    <w:widowControl/>
                    <w:jc w:val="center"/>
                    <w:rPr>
                      <w:rFonts w:hint="default" w:ascii="Times New Roman" w:hAnsi="Times New Roman" w:eastAsia="宋体" w:cs="Times New Roman"/>
                      <w:sz w:val="21"/>
                      <w:szCs w:val="21"/>
                      <w:highlight w:val="none"/>
                    </w:rPr>
                  </w:pPr>
                </w:p>
              </w:tc>
            </w:tr>
            <w:tr w14:paraId="2B0FCCB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35" w:hRule="atLeast"/>
                <w:jc w:val="center"/>
              </w:trPr>
              <w:tc>
                <w:tcPr>
                  <w:tcW w:w="360" w:type="pct"/>
                  <w:tcBorders>
                    <w:tl2br w:val="nil"/>
                    <w:tr2bl w:val="nil"/>
                  </w:tcBorders>
                  <w:vAlign w:val="center"/>
                </w:tcPr>
                <w:p w14:paraId="156A8965">
                  <w:pPr>
                    <w:numPr>
                      <w:ilvl w:val="0"/>
                      <w:numId w:val="54"/>
                    </w:numPr>
                    <w:ind w:left="210"/>
                    <w:jc w:val="center"/>
                    <w:rPr>
                      <w:rFonts w:hint="default" w:ascii="Times New Roman" w:hAnsi="Times New Roman" w:eastAsia="宋体" w:cs="Times New Roman"/>
                      <w:sz w:val="21"/>
                      <w:szCs w:val="21"/>
                      <w:highlight w:val="none"/>
                    </w:rPr>
                  </w:pPr>
                </w:p>
              </w:tc>
              <w:tc>
                <w:tcPr>
                  <w:tcW w:w="490" w:type="pct"/>
                  <w:tcBorders>
                    <w:tl2br w:val="nil"/>
                    <w:tr2bl w:val="nil"/>
                  </w:tcBorders>
                  <w:vAlign w:val="center"/>
                </w:tcPr>
                <w:p w14:paraId="74A09D56">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电池材料实验</w:t>
                  </w:r>
                </w:p>
              </w:tc>
              <w:tc>
                <w:tcPr>
                  <w:tcW w:w="560" w:type="pct"/>
                  <w:tcBorders>
                    <w:tl2br w:val="nil"/>
                    <w:tr2bl w:val="nil"/>
                  </w:tcBorders>
                  <w:vAlign w:val="center"/>
                </w:tcPr>
                <w:p w14:paraId="6CE0E84F">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电池材料设备清洗废液</w:t>
                  </w:r>
                </w:p>
              </w:tc>
              <w:tc>
                <w:tcPr>
                  <w:tcW w:w="474" w:type="pct"/>
                  <w:tcBorders>
                    <w:tl2br w:val="nil"/>
                    <w:tr2bl w:val="nil"/>
                  </w:tcBorders>
                  <w:vAlign w:val="center"/>
                </w:tcPr>
                <w:p w14:paraId="0115BFC8">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HW49</w:t>
                  </w:r>
                </w:p>
              </w:tc>
              <w:tc>
                <w:tcPr>
                  <w:tcW w:w="641" w:type="pct"/>
                  <w:tcBorders>
                    <w:tl2br w:val="nil"/>
                    <w:tr2bl w:val="nil"/>
                  </w:tcBorders>
                  <w:vAlign w:val="center"/>
                </w:tcPr>
                <w:p w14:paraId="6D575AF7">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900-047-49</w:t>
                  </w:r>
                </w:p>
              </w:tc>
              <w:tc>
                <w:tcPr>
                  <w:tcW w:w="307" w:type="pct"/>
                  <w:tcBorders>
                    <w:tl2br w:val="nil"/>
                    <w:tr2bl w:val="nil"/>
                  </w:tcBorders>
                  <w:vAlign w:val="center"/>
                </w:tcPr>
                <w:p w14:paraId="530FC757">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液态</w:t>
                  </w:r>
                </w:p>
              </w:tc>
              <w:tc>
                <w:tcPr>
                  <w:tcW w:w="491" w:type="pct"/>
                  <w:tcBorders>
                    <w:tl2br w:val="nil"/>
                    <w:tr2bl w:val="nil"/>
                  </w:tcBorders>
                  <w:vAlign w:val="center"/>
                </w:tcPr>
                <w:p w14:paraId="1485689B">
                  <w:pPr>
                    <w:keepNext w:val="0"/>
                    <w:keepLines w:val="0"/>
                    <w:widowControl/>
                    <w:suppressLineNumbers w:val="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color w:val="000000"/>
                      <w:kern w:val="0"/>
                      <w:sz w:val="21"/>
                      <w:szCs w:val="21"/>
                      <w:lang w:val="en-US" w:eastAsia="zh-CN" w:bidi="ar"/>
                    </w:rPr>
                    <w:t>T/C/I/R</w:t>
                  </w:r>
                </w:p>
              </w:tc>
              <w:tc>
                <w:tcPr>
                  <w:tcW w:w="498" w:type="pct"/>
                  <w:tcBorders>
                    <w:tl2br w:val="nil"/>
                    <w:tr2bl w:val="nil"/>
                  </w:tcBorders>
                  <w:vAlign w:val="center"/>
                </w:tcPr>
                <w:p w14:paraId="4F72E946">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2.7</w:t>
                  </w:r>
                </w:p>
              </w:tc>
              <w:tc>
                <w:tcPr>
                  <w:tcW w:w="415" w:type="pct"/>
                  <w:tcBorders>
                    <w:tl2br w:val="nil"/>
                    <w:tr2bl w:val="nil"/>
                  </w:tcBorders>
                  <w:vAlign w:val="center"/>
                </w:tcPr>
                <w:p w14:paraId="3A916AAE">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每天</w:t>
                  </w:r>
                </w:p>
              </w:tc>
              <w:tc>
                <w:tcPr>
                  <w:tcW w:w="759" w:type="pct"/>
                  <w:vMerge w:val="continue"/>
                  <w:tcBorders>
                    <w:tl2br w:val="nil"/>
                    <w:tr2bl w:val="nil"/>
                  </w:tcBorders>
                  <w:vAlign w:val="center"/>
                </w:tcPr>
                <w:p w14:paraId="6896E446">
                  <w:pPr>
                    <w:widowControl/>
                    <w:jc w:val="center"/>
                    <w:rPr>
                      <w:rFonts w:hint="default" w:ascii="Times New Roman" w:hAnsi="Times New Roman" w:eastAsia="宋体" w:cs="Times New Roman"/>
                      <w:sz w:val="21"/>
                      <w:szCs w:val="21"/>
                      <w:highlight w:val="none"/>
                    </w:rPr>
                  </w:pPr>
                </w:p>
              </w:tc>
            </w:tr>
            <w:tr w14:paraId="5D8249D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3" w:hRule="atLeast"/>
                <w:jc w:val="center"/>
              </w:trPr>
              <w:tc>
                <w:tcPr>
                  <w:tcW w:w="360" w:type="pct"/>
                  <w:tcBorders>
                    <w:tl2br w:val="nil"/>
                    <w:tr2bl w:val="nil"/>
                  </w:tcBorders>
                  <w:vAlign w:val="center"/>
                </w:tcPr>
                <w:p w14:paraId="13BBFCD1">
                  <w:pPr>
                    <w:numPr>
                      <w:ilvl w:val="0"/>
                      <w:numId w:val="54"/>
                    </w:numPr>
                    <w:ind w:left="210"/>
                    <w:jc w:val="center"/>
                    <w:rPr>
                      <w:rFonts w:hint="default" w:ascii="Times New Roman" w:hAnsi="Times New Roman" w:eastAsia="宋体" w:cs="Times New Roman"/>
                      <w:sz w:val="21"/>
                      <w:szCs w:val="21"/>
                      <w:highlight w:val="none"/>
                    </w:rPr>
                  </w:pPr>
                </w:p>
              </w:tc>
              <w:tc>
                <w:tcPr>
                  <w:tcW w:w="490" w:type="pct"/>
                  <w:tcBorders>
                    <w:tl2br w:val="nil"/>
                    <w:tr2bl w:val="nil"/>
                  </w:tcBorders>
                  <w:vAlign w:val="center"/>
                </w:tcPr>
                <w:p w14:paraId="60B75235">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电池材料实验</w:t>
                  </w:r>
                </w:p>
              </w:tc>
              <w:tc>
                <w:tcPr>
                  <w:tcW w:w="560" w:type="pct"/>
                  <w:tcBorders>
                    <w:tl2br w:val="nil"/>
                    <w:tr2bl w:val="nil"/>
                  </w:tcBorders>
                  <w:vAlign w:val="center"/>
                </w:tcPr>
                <w:p w14:paraId="5874AA0B">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废电池</w:t>
                  </w:r>
                </w:p>
              </w:tc>
              <w:tc>
                <w:tcPr>
                  <w:tcW w:w="474" w:type="pct"/>
                  <w:tcBorders>
                    <w:tl2br w:val="nil"/>
                    <w:tr2bl w:val="nil"/>
                  </w:tcBorders>
                  <w:vAlign w:val="center"/>
                </w:tcPr>
                <w:p w14:paraId="0B2BCF19">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HW49</w:t>
                  </w:r>
                </w:p>
              </w:tc>
              <w:tc>
                <w:tcPr>
                  <w:tcW w:w="641" w:type="pct"/>
                  <w:tcBorders>
                    <w:tl2br w:val="nil"/>
                    <w:tr2bl w:val="nil"/>
                  </w:tcBorders>
                  <w:vAlign w:val="center"/>
                </w:tcPr>
                <w:p w14:paraId="1A8C5BCE">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900-044-49</w:t>
                  </w:r>
                </w:p>
              </w:tc>
              <w:tc>
                <w:tcPr>
                  <w:tcW w:w="307" w:type="pct"/>
                  <w:tcBorders>
                    <w:tl2br w:val="nil"/>
                    <w:tr2bl w:val="nil"/>
                  </w:tcBorders>
                  <w:shd w:val="clear" w:color="auto" w:fill="auto"/>
                  <w:vAlign w:val="center"/>
                </w:tcPr>
                <w:p w14:paraId="654A4D27">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固态</w:t>
                  </w:r>
                </w:p>
              </w:tc>
              <w:tc>
                <w:tcPr>
                  <w:tcW w:w="491" w:type="pct"/>
                  <w:tcBorders>
                    <w:tl2br w:val="nil"/>
                    <w:tr2bl w:val="nil"/>
                  </w:tcBorders>
                  <w:vAlign w:val="center"/>
                </w:tcPr>
                <w:p w14:paraId="7F91D9BF">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T</w:t>
                  </w:r>
                </w:p>
              </w:tc>
              <w:tc>
                <w:tcPr>
                  <w:tcW w:w="498" w:type="pct"/>
                  <w:tcBorders>
                    <w:tl2br w:val="nil"/>
                    <w:tr2bl w:val="nil"/>
                  </w:tcBorders>
                  <w:vAlign w:val="center"/>
                </w:tcPr>
                <w:p w14:paraId="7DAD4F2D">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0.01</w:t>
                  </w:r>
                </w:p>
              </w:tc>
              <w:tc>
                <w:tcPr>
                  <w:tcW w:w="415" w:type="pct"/>
                  <w:tcBorders>
                    <w:tl2br w:val="nil"/>
                    <w:tr2bl w:val="nil"/>
                  </w:tcBorders>
                  <w:vAlign w:val="center"/>
                </w:tcPr>
                <w:p w14:paraId="61BA719E">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每天</w:t>
                  </w:r>
                </w:p>
              </w:tc>
              <w:tc>
                <w:tcPr>
                  <w:tcW w:w="759" w:type="pct"/>
                  <w:vMerge w:val="continue"/>
                  <w:tcBorders>
                    <w:tl2br w:val="nil"/>
                    <w:tr2bl w:val="nil"/>
                  </w:tcBorders>
                  <w:vAlign w:val="center"/>
                </w:tcPr>
                <w:p w14:paraId="1E383CE8">
                  <w:pPr>
                    <w:widowControl/>
                    <w:jc w:val="center"/>
                    <w:rPr>
                      <w:rFonts w:hint="default" w:ascii="Times New Roman" w:hAnsi="Times New Roman" w:eastAsia="宋体" w:cs="Times New Roman"/>
                      <w:sz w:val="21"/>
                      <w:szCs w:val="21"/>
                      <w:highlight w:val="none"/>
                    </w:rPr>
                  </w:pPr>
                </w:p>
              </w:tc>
            </w:tr>
            <w:tr w14:paraId="1304BA7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63" w:hRule="atLeast"/>
                <w:jc w:val="center"/>
              </w:trPr>
              <w:tc>
                <w:tcPr>
                  <w:tcW w:w="360" w:type="pct"/>
                  <w:tcBorders>
                    <w:tl2br w:val="nil"/>
                    <w:tr2bl w:val="nil"/>
                  </w:tcBorders>
                  <w:vAlign w:val="center"/>
                </w:tcPr>
                <w:p w14:paraId="2CE104C7">
                  <w:pPr>
                    <w:numPr>
                      <w:ilvl w:val="0"/>
                      <w:numId w:val="54"/>
                    </w:numPr>
                    <w:ind w:left="210"/>
                    <w:jc w:val="center"/>
                    <w:rPr>
                      <w:rFonts w:hint="default" w:ascii="Times New Roman" w:hAnsi="Times New Roman" w:eastAsia="宋体" w:cs="Times New Roman"/>
                      <w:sz w:val="21"/>
                      <w:szCs w:val="21"/>
                      <w:highlight w:val="none"/>
                    </w:rPr>
                  </w:pPr>
                </w:p>
              </w:tc>
              <w:tc>
                <w:tcPr>
                  <w:tcW w:w="490" w:type="pct"/>
                  <w:tcBorders>
                    <w:tl2br w:val="nil"/>
                    <w:tr2bl w:val="nil"/>
                  </w:tcBorders>
                  <w:vAlign w:val="center"/>
                </w:tcPr>
                <w:p w14:paraId="72CA467F">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金属材料实验、纳米晶体材料实验</w:t>
                  </w:r>
                </w:p>
              </w:tc>
              <w:tc>
                <w:tcPr>
                  <w:tcW w:w="560" w:type="pct"/>
                  <w:tcBorders>
                    <w:tl2br w:val="nil"/>
                    <w:tr2bl w:val="nil"/>
                  </w:tcBorders>
                  <w:vAlign w:val="center"/>
                </w:tcPr>
                <w:p w14:paraId="11A1E989">
                  <w:pPr>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其他</w:t>
                  </w:r>
                  <w:r>
                    <w:rPr>
                      <w:rFonts w:hint="default" w:ascii="Times New Roman" w:hAnsi="Times New Roman" w:eastAsia="宋体" w:cs="Times New Roman"/>
                      <w:sz w:val="21"/>
                      <w:szCs w:val="21"/>
                      <w:highlight w:val="none"/>
                      <w:lang w:val="en-US" w:eastAsia="zh-CN"/>
                    </w:rPr>
                    <w:t>设备清洗废液</w:t>
                  </w:r>
                </w:p>
              </w:tc>
              <w:tc>
                <w:tcPr>
                  <w:tcW w:w="474" w:type="pct"/>
                  <w:tcBorders>
                    <w:tl2br w:val="nil"/>
                    <w:tr2bl w:val="nil"/>
                  </w:tcBorders>
                  <w:vAlign w:val="center"/>
                </w:tcPr>
                <w:p w14:paraId="1A8A74EF">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HW49</w:t>
                  </w:r>
                </w:p>
              </w:tc>
              <w:tc>
                <w:tcPr>
                  <w:tcW w:w="641" w:type="pct"/>
                  <w:tcBorders>
                    <w:tl2br w:val="nil"/>
                    <w:tr2bl w:val="nil"/>
                  </w:tcBorders>
                  <w:vAlign w:val="center"/>
                </w:tcPr>
                <w:p w14:paraId="5DE5A0C1">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900-047-49</w:t>
                  </w:r>
                </w:p>
              </w:tc>
              <w:tc>
                <w:tcPr>
                  <w:tcW w:w="307" w:type="pct"/>
                  <w:tcBorders>
                    <w:tl2br w:val="nil"/>
                    <w:tr2bl w:val="nil"/>
                  </w:tcBorders>
                  <w:shd w:val="clear" w:color="auto" w:fill="auto"/>
                  <w:vAlign w:val="center"/>
                </w:tcPr>
                <w:p w14:paraId="42EC17C5">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液态</w:t>
                  </w:r>
                </w:p>
              </w:tc>
              <w:tc>
                <w:tcPr>
                  <w:tcW w:w="491" w:type="pct"/>
                  <w:tcBorders>
                    <w:tl2br w:val="nil"/>
                    <w:tr2bl w:val="nil"/>
                  </w:tcBorders>
                  <w:vAlign w:val="center"/>
                </w:tcPr>
                <w:p w14:paraId="26790EB0">
                  <w:pPr>
                    <w:keepNext w:val="0"/>
                    <w:keepLines w:val="0"/>
                    <w:widowControl/>
                    <w:suppressLineNumbers w:val="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color w:val="000000"/>
                      <w:kern w:val="0"/>
                      <w:sz w:val="21"/>
                      <w:szCs w:val="21"/>
                      <w:lang w:val="en-US" w:eastAsia="zh-CN" w:bidi="ar"/>
                    </w:rPr>
                    <w:t>T/C/I/R</w:t>
                  </w:r>
                </w:p>
              </w:tc>
              <w:tc>
                <w:tcPr>
                  <w:tcW w:w="498" w:type="pct"/>
                  <w:tcBorders>
                    <w:tl2br w:val="nil"/>
                    <w:tr2bl w:val="nil"/>
                  </w:tcBorders>
                  <w:vAlign w:val="center"/>
                </w:tcPr>
                <w:p w14:paraId="221C280C">
                  <w:pPr>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1.3</w:t>
                  </w:r>
                </w:p>
              </w:tc>
              <w:tc>
                <w:tcPr>
                  <w:tcW w:w="415" w:type="pct"/>
                  <w:tcBorders>
                    <w:tl2br w:val="nil"/>
                    <w:tr2bl w:val="nil"/>
                  </w:tcBorders>
                  <w:vAlign w:val="center"/>
                </w:tcPr>
                <w:p w14:paraId="708E4455">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每天</w:t>
                  </w:r>
                </w:p>
              </w:tc>
              <w:tc>
                <w:tcPr>
                  <w:tcW w:w="759" w:type="pct"/>
                  <w:vMerge w:val="continue"/>
                  <w:tcBorders>
                    <w:tl2br w:val="nil"/>
                    <w:tr2bl w:val="nil"/>
                  </w:tcBorders>
                  <w:vAlign w:val="center"/>
                </w:tcPr>
                <w:p w14:paraId="31AEB7EF">
                  <w:pPr>
                    <w:widowControl/>
                    <w:jc w:val="center"/>
                    <w:rPr>
                      <w:rFonts w:hint="default" w:ascii="Times New Roman" w:hAnsi="Times New Roman" w:eastAsia="宋体" w:cs="Times New Roman"/>
                      <w:sz w:val="21"/>
                      <w:szCs w:val="21"/>
                      <w:highlight w:val="none"/>
                    </w:rPr>
                  </w:pPr>
                </w:p>
              </w:tc>
            </w:tr>
            <w:tr w14:paraId="1596E49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3" w:hRule="atLeast"/>
                <w:jc w:val="center"/>
              </w:trPr>
              <w:tc>
                <w:tcPr>
                  <w:tcW w:w="360" w:type="pct"/>
                  <w:tcBorders>
                    <w:tl2br w:val="nil"/>
                    <w:tr2bl w:val="nil"/>
                  </w:tcBorders>
                  <w:vAlign w:val="center"/>
                </w:tcPr>
                <w:p w14:paraId="369F82F0">
                  <w:pPr>
                    <w:numPr>
                      <w:ilvl w:val="0"/>
                      <w:numId w:val="54"/>
                    </w:numPr>
                    <w:ind w:left="210"/>
                    <w:jc w:val="center"/>
                    <w:rPr>
                      <w:rFonts w:hint="default" w:ascii="Times New Roman" w:hAnsi="Times New Roman" w:eastAsia="宋体" w:cs="Times New Roman"/>
                      <w:sz w:val="21"/>
                      <w:szCs w:val="21"/>
                      <w:highlight w:val="none"/>
                    </w:rPr>
                  </w:pPr>
                </w:p>
              </w:tc>
              <w:tc>
                <w:tcPr>
                  <w:tcW w:w="490" w:type="pct"/>
                  <w:tcBorders>
                    <w:tl2br w:val="nil"/>
                    <w:tr2bl w:val="nil"/>
                  </w:tcBorders>
                  <w:vAlign w:val="center"/>
                </w:tcPr>
                <w:p w14:paraId="6032CCBB">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全实验过程</w:t>
                  </w:r>
                </w:p>
              </w:tc>
              <w:tc>
                <w:tcPr>
                  <w:tcW w:w="560" w:type="pct"/>
                  <w:tcBorders>
                    <w:tl2br w:val="nil"/>
                    <w:tr2bl w:val="nil"/>
                  </w:tcBorders>
                  <w:vAlign w:val="center"/>
                </w:tcPr>
                <w:p w14:paraId="49438BB8">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废包装材料</w:t>
                  </w:r>
                </w:p>
              </w:tc>
              <w:tc>
                <w:tcPr>
                  <w:tcW w:w="474" w:type="pct"/>
                  <w:tcBorders>
                    <w:tl2br w:val="nil"/>
                    <w:tr2bl w:val="nil"/>
                  </w:tcBorders>
                  <w:vAlign w:val="center"/>
                </w:tcPr>
                <w:p w14:paraId="32ED74D1">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HW49</w:t>
                  </w:r>
                </w:p>
              </w:tc>
              <w:tc>
                <w:tcPr>
                  <w:tcW w:w="641" w:type="pct"/>
                  <w:tcBorders>
                    <w:tl2br w:val="nil"/>
                    <w:tr2bl w:val="nil"/>
                  </w:tcBorders>
                  <w:vAlign w:val="center"/>
                </w:tcPr>
                <w:p w14:paraId="71179101">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900-041-49</w:t>
                  </w:r>
                </w:p>
              </w:tc>
              <w:tc>
                <w:tcPr>
                  <w:tcW w:w="307" w:type="pct"/>
                  <w:tcBorders>
                    <w:tl2br w:val="nil"/>
                    <w:tr2bl w:val="nil"/>
                  </w:tcBorders>
                  <w:shd w:val="clear" w:color="auto" w:fill="auto"/>
                  <w:vAlign w:val="center"/>
                </w:tcPr>
                <w:p w14:paraId="0D01997F">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固态</w:t>
                  </w:r>
                </w:p>
              </w:tc>
              <w:tc>
                <w:tcPr>
                  <w:tcW w:w="491" w:type="pct"/>
                  <w:tcBorders>
                    <w:tl2br w:val="nil"/>
                    <w:tr2bl w:val="nil"/>
                  </w:tcBorders>
                  <w:vAlign w:val="center"/>
                </w:tcPr>
                <w:p w14:paraId="263FB233">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T/In</w:t>
                  </w:r>
                </w:p>
              </w:tc>
              <w:tc>
                <w:tcPr>
                  <w:tcW w:w="498" w:type="pct"/>
                  <w:tcBorders>
                    <w:tl2br w:val="nil"/>
                    <w:tr2bl w:val="nil"/>
                  </w:tcBorders>
                  <w:vAlign w:val="center"/>
                </w:tcPr>
                <w:p w14:paraId="0906326E">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0.1</w:t>
                  </w:r>
                </w:p>
              </w:tc>
              <w:tc>
                <w:tcPr>
                  <w:tcW w:w="415" w:type="pct"/>
                  <w:tcBorders>
                    <w:tl2br w:val="nil"/>
                    <w:tr2bl w:val="nil"/>
                  </w:tcBorders>
                  <w:vAlign w:val="center"/>
                </w:tcPr>
                <w:p w14:paraId="28402713">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每天</w:t>
                  </w:r>
                </w:p>
              </w:tc>
              <w:tc>
                <w:tcPr>
                  <w:tcW w:w="759" w:type="pct"/>
                  <w:vMerge w:val="continue"/>
                  <w:tcBorders>
                    <w:tl2br w:val="nil"/>
                    <w:tr2bl w:val="nil"/>
                  </w:tcBorders>
                  <w:vAlign w:val="center"/>
                </w:tcPr>
                <w:p w14:paraId="6E299EA4">
                  <w:pPr>
                    <w:widowControl/>
                    <w:jc w:val="center"/>
                    <w:rPr>
                      <w:rFonts w:hint="default" w:ascii="Times New Roman" w:hAnsi="Times New Roman" w:eastAsia="宋体" w:cs="Times New Roman"/>
                      <w:sz w:val="21"/>
                      <w:szCs w:val="21"/>
                      <w:highlight w:val="none"/>
                    </w:rPr>
                  </w:pPr>
                </w:p>
              </w:tc>
            </w:tr>
            <w:tr w14:paraId="7C9A6A9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22" w:hRule="atLeast"/>
                <w:jc w:val="center"/>
              </w:trPr>
              <w:tc>
                <w:tcPr>
                  <w:tcW w:w="360" w:type="pct"/>
                  <w:tcBorders>
                    <w:tl2br w:val="nil"/>
                    <w:tr2bl w:val="nil"/>
                  </w:tcBorders>
                  <w:vAlign w:val="center"/>
                </w:tcPr>
                <w:p w14:paraId="6576F4DD">
                  <w:pPr>
                    <w:numPr>
                      <w:ilvl w:val="0"/>
                      <w:numId w:val="54"/>
                    </w:numPr>
                    <w:ind w:left="210"/>
                    <w:jc w:val="center"/>
                    <w:rPr>
                      <w:rFonts w:hint="default" w:ascii="Times New Roman" w:hAnsi="Times New Roman" w:eastAsia="宋体" w:cs="Times New Roman"/>
                      <w:sz w:val="21"/>
                      <w:szCs w:val="21"/>
                      <w:highlight w:val="none"/>
                    </w:rPr>
                  </w:pPr>
                </w:p>
              </w:tc>
              <w:tc>
                <w:tcPr>
                  <w:tcW w:w="490" w:type="pct"/>
                  <w:tcBorders>
                    <w:tl2br w:val="nil"/>
                    <w:tr2bl w:val="nil"/>
                  </w:tcBorders>
                  <w:vAlign w:val="center"/>
                </w:tcPr>
                <w:p w14:paraId="48DCB296">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金属材料实验</w:t>
                  </w:r>
                </w:p>
              </w:tc>
              <w:tc>
                <w:tcPr>
                  <w:tcW w:w="560" w:type="pct"/>
                  <w:tcBorders>
                    <w:tl2br w:val="nil"/>
                    <w:tr2bl w:val="nil"/>
                  </w:tcBorders>
                  <w:vAlign w:val="center"/>
                </w:tcPr>
                <w:p w14:paraId="60633164">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废切削液</w:t>
                  </w:r>
                </w:p>
              </w:tc>
              <w:tc>
                <w:tcPr>
                  <w:tcW w:w="474" w:type="pct"/>
                  <w:tcBorders>
                    <w:tl2br w:val="nil"/>
                    <w:tr2bl w:val="nil"/>
                  </w:tcBorders>
                  <w:vAlign w:val="center"/>
                </w:tcPr>
                <w:p w14:paraId="23898389">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HW09</w:t>
                  </w:r>
                </w:p>
              </w:tc>
              <w:tc>
                <w:tcPr>
                  <w:tcW w:w="641" w:type="pct"/>
                  <w:tcBorders>
                    <w:tl2br w:val="nil"/>
                    <w:tr2bl w:val="nil"/>
                  </w:tcBorders>
                  <w:vAlign w:val="center"/>
                </w:tcPr>
                <w:p w14:paraId="2E21243B">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900-006-09</w:t>
                  </w:r>
                </w:p>
              </w:tc>
              <w:tc>
                <w:tcPr>
                  <w:tcW w:w="307" w:type="pct"/>
                  <w:tcBorders>
                    <w:tl2br w:val="nil"/>
                    <w:tr2bl w:val="nil"/>
                  </w:tcBorders>
                  <w:shd w:val="clear" w:color="auto" w:fill="auto"/>
                  <w:vAlign w:val="center"/>
                </w:tcPr>
                <w:p w14:paraId="4706343E">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液态</w:t>
                  </w:r>
                </w:p>
              </w:tc>
              <w:tc>
                <w:tcPr>
                  <w:tcW w:w="491" w:type="pct"/>
                  <w:tcBorders>
                    <w:tl2br w:val="nil"/>
                    <w:tr2bl w:val="nil"/>
                  </w:tcBorders>
                  <w:vAlign w:val="center"/>
                </w:tcPr>
                <w:p w14:paraId="7777D4C0">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T</w:t>
                  </w:r>
                </w:p>
              </w:tc>
              <w:tc>
                <w:tcPr>
                  <w:tcW w:w="498" w:type="pct"/>
                  <w:tcBorders>
                    <w:tl2br w:val="nil"/>
                    <w:tr2bl w:val="nil"/>
                  </w:tcBorders>
                  <w:vAlign w:val="center"/>
                </w:tcPr>
                <w:p w14:paraId="5C2A4760">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0.03</w:t>
                  </w:r>
                </w:p>
              </w:tc>
              <w:tc>
                <w:tcPr>
                  <w:tcW w:w="415" w:type="pct"/>
                  <w:tcBorders>
                    <w:tl2br w:val="nil"/>
                    <w:tr2bl w:val="nil"/>
                  </w:tcBorders>
                  <w:vAlign w:val="center"/>
                </w:tcPr>
                <w:p w14:paraId="0422423F">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每天</w:t>
                  </w:r>
                </w:p>
              </w:tc>
              <w:tc>
                <w:tcPr>
                  <w:tcW w:w="759" w:type="pct"/>
                  <w:vMerge w:val="continue"/>
                  <w:tcBorders>
                    <w:tl2br w:val="nil"/>
                    <w:tr2bl w:val="nil"/>
                  </w:tcBorders>
                  <w:vAlign w:val="center"/>
                </w:tcPr>
                <w:p w14:paraId="561C23BC">
                  <w:pPr>
                    <w:widowControl/>
                    <w:jc w:val="center"/>
                    <w:rPr>
                      <w:rFonts w:hint="default" w:ascii="Times New Roman" w:hAnsi="Times New Roman" w:eastAsia="宋体" w:cs="Times New Roman"/>
                      <w:sz w:val="21"/>
                      <w:szCs w:val="21"/>
                      <w:highlight w:val="none"/>
                    </w:rPr>
                  </w:pPr>
                </w:p>
              </w:tc>
            </w:tr>
            <w:tr w14:paraId="1833511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3" w:hRule="atLeast"/>
                <w:jc w:val="center"/>
              </w:trPr>
              <w:tc>
                <w:tcPr>
                  <w:tcW w:w="360" w:type="pct"/>
                  <w:tcBorders>
                    <w:tl2br w:val="nil"/>
                    <w:tr2bl w:val="nil"/>
                  </w:tcBorders>
                  <w:vAlign w:val="center"/>
                </w:tcPr>
                <w:p w14:paraId="6531C880">
                  <w:pPr>
                    <w:numPr>
                      <w:ilvl w:val="0"/>
                      <w:numId w:val="54"/>
                    </w:numPr>
                    <w:ind w:left="210"/>
                    <w:jc w:val="center"/>
                    <w:rPr>
                      <w:rFonts w:hint="default" w:ascii="Times New Roman" w:hAnsi="Times New Roman" w:eastAsia="宋体" w:cs="Times New Roman"/>
                      <w:sz w:val="21"/>
                      <w:szCs w:val="21"/>
                      <w:highlight w:val="none"/>
                    </w:rPr>
                  </w:pPr>
                </w:p>
              </w:tc>
              <w:tc>
                <w:tcPr>
                  <w:tcW w:w="490" w:type="pct"/>
                  <w:tcBorders>
                    <w:tl2br w:val="nil"/>
                    <w:tr2bl w:val="nil"/>
                  </w:tcBorders>
                  <w:vAlign w:val="center"/>
                </w:tcPr>
                <w:p w14:paraId="0018CA88">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全实验过程</w:t>
                  </w:r>
                </w:p>
              </w:tc>
              <w:tc>
                <w:tcPr>
                  <w:tcW w:w="560" w:type="pct"/>
                  <w:tcBorders>
                    <w:tl2br w:val="nil"/>
                    <w:tr2bl w:val="nil"/>
                  </w:tcBorders>
                  <w:vAlign w:val="center"/>
                </w:tcPr>
                <w:p w14:paraId="335BA958">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废一次性耗材</w:t>
                  </w:r>
                </w:p>
              </w:tc>
              <w:tc>
                <w:tcPr>
                  <w:tcW w:w="474" w:type="pct"/>
                  <w:tcBorders>
                    <w:tl2br w:val="nil"/>
                    <w:tr2bl w:val="nil"/>
                  </w:tcBorders>
                  <w:vAlign w:val="center"/>
                </w:tcPr>
                <w:p w14:paraId="4A56929A">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HW49</w:t>
                  </w:r>
                </w:p>
              </w:tc>
              <w:tc>
                <w:tcPr>
                  <w:tcW w:w="641" w:type="pct"/>
                  <w:tcBorders>
                    <w:tl2br w:val="nil"/>
                    <w:tr2bl w:val="nil"/>
                  </w:tcBorders>
                  <w:vAlign w:val="center"/>
                </w:tcPr>
                <w:p w14:paraId="5FBA1F69">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900-047-49</w:t>
                  </w:r>
                </w:p>
              </w:tc>
              <w:tc>
                <w:tcPr>
                  <w:tcW w:w="307" w:type="pct"/>
                  <w:tcBorders>
                    <w:tl2br w:val="nil"/>
                    <w:tr2bl w:val="nil"/>
                  </w:tcBorders>
                  <w:shd w:val="clear" w:color="auto" w:fill="auto"/>
                  <w:vAlign w:val="center"/>
                </w:tcPr>
                <w:p w14:paraId="3C44235B">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固态</w:t>
                  </w:r>
                </w:p>
              </w:tc>
              <w:tc>
                <w:tcPr>
                  <w:tcW w:w="491" w:type="pct"/>
                  <w:tcBorders>
                    <w:tl2br w:val="nil"/>
                    <w:tr2bl w:val="nil"/>
                  </w:tcBorders>
                  <w:vAlign w:val="center"/>
                </w:tcPr>
                <w:p w14:paraId="41DC0498">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T/C/I/R</w:t>
                  </w:r>
                </w:p>
              </w:tc>
              <w:tc>
                <w:tcPr>
                  <w:tcW w:w="498" w:type="pct"/>
                  <w:tcBorders>
                    <w:tl2br w:val="nil"/>
                    <w:tr2bl w:val="nil"/>
                  </w:tcBorders>
                  <w:vAlign w:val="center"/>
                </w:tcPr>
                <w:p w14:paraId="4FD2BF5D">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0.01</w:t>
                  </w:r>
                </w:p>
              </w:tc>
              <w:tc>
                <w:tcPr>
                  <w:tcW w:w="415" w:type="pct"/>
                  <w:tcBorders>
                    <w:tl2br w:val="nil"/>
                    <w:tr2bl w:val="nil"/>
                  </w:tcBorders>
                  <w:vAlign w:val="center"/>
                </w:tcPr>
                <w:p w14:paraId="549A8A23">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每天</w:t>
                  </w:r>
                </w:p>
              </w:tc>
              <w:tc>
                <w:tcPr>
                  <w:tcW w:w="759" w:type="pct"/>
                  <w:vMerge w:val="continue"/>
                  <w:tcBorders>
                    <w:tl2br w:val="nil"/>
                    <w:tr2bl w:val="nil"/>
                  </w:tcBorders>
                  <w:vAlign w:val="center"/>
                </w:tcPr>
                <w:p w14:paraId="602E01F1">
                  <w:pPr>
                    <w:widowControl/>
                    <w:jc w:val="center"/>
                    <w:rPr>
                      <w:rFonts w:hint="default" w:ascii="Times New Roman" w:hAnsi="Times New Roman" w:eastAsia="宋体" w:cs="Times New Roman"/>
                      <w:sz w:val="21"/>
                      <w:szCs w:val="21"/>
                      <w:highlight w:val="none"/>
                    </w:rPr>
                  </w:pPr>
                </w:p>
              </w:tc>
            </w:tr>
            <w:tr w14:paraId="60CE0D4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360" w:type="pct"/>
                  <w:tcBorders>
                    <w:tl2br w:val="nil"/>
                    <w:tr2bl w:val="nil"/>
                  </w:tcBorders>
                  <w:vAlign w:val="center"/>
                </w:tcPr>
                <w:p w14:paraId="07A32CC3">
                  <w:pPr>
                    <w:numPr>
                      <w:ilvl w:val="0"/>
                      <w:numId w:val="54"/>
                    </w:numPr>
                    <w:ind w:left="210"/>
                    <w:jc w:val="center"/>
                    <w:rPr>
                      <w:rFonts w:hint="default" w:ascii="Times New Roman" w:hAnsi="Times New Roman" w:eastAsia="宋体" w:cs="Times New Roman"/>
                      <w:sz w:val="21"/>
                      <w:szCs w:val="21"/>
                      <w:highlight w:val="none"/>
                    </w:rPr>
                  </w:pPr>
                </w:p>
              </w:tc>
              <w:tc>
                <w:tcPr>
                  <w:tcW w:w="490" w:type="pct"/>
                  <w:tcBorders>
                    <w:tl2br w:val="nil"/>
                    <w:tr2bl w:val="nil"/>
                  </w:tcBorders>
                  <w:vAlign w:val="center"/>
                </w:tcPr>
                <w:p w14:paraId="0600E296">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纳米晶体材料、金属材料实验</w:t>
                  </w:r>
                </w:p>
              </w:tc>
              <w:tc>
                <w:tcPr>
                  <w:tcW w:w="560" w:type="pct"/>
                  <w:tcBorders>
                    <w:tl2br w:val="nil"/>
                    <w:tr2bl w:val="nil"/>
                  </w:tcBorders>
                  <w:vAlign w:val="center"/>
                </w:tcPr>
                <w:p w14:paraId="24DC96BD">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废树脂</w:t>
                  </w:r>
                </w:p>
              </w:tc>
              <w:tc>
                <w:tcPr>
                  <w:tcW w:w="474" w:type="pct"/>
                  <w:tcBorders>
                    <w:tl2br w:val="nil"/>
                    <w:tr2bl w:val="nil"/>
                  </w:tcBorders>
                  <w:shd w:val="clear" w:color="auto" w:fill="auto"/>
                  <w:vAlign w:val="center"/>
                </w:tcPr>
                <w:p w14:paraId="21E109EF">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HW49</w:t>
                  </w:r>
                </w:p>
              </w:tc>
              <w:tc>
                <w:tcPr>
                  <w:tcW w:w="641" w:type="pct"/>
                  <w:tcBorders>
                    <w:tl2br w:val="nil"/>
                    <w:tr2bl w:val="nil"/>
                  </w:tcBorders>
                  <w:shd w:val="clear" w:color="auto" w:fill="auto"/>
                  <w:vAlign w:val="center"/>
                </w:tcPr>
                <w:p w14:paraId="491B7361">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900-047-49</w:t>
                  </w:r>
                </w:p>
              </w:tc>
              <w:tc>
                <w:tcPr>
                  <w:tcW w:w="307" w:type="pct"/>
                  <w:tcBorders>
                    <w:tl2br w:val="nil"/>
                    <w:tr2bl w:val="nil"/>
                  </w:tcBorders>
                  <w:shd w:val="clear" w:color="auto" w:fill="auto"/>
                  <w:vAlign w:val="center"/>
                </w:tcPr>
                <w:p w14:paraId="2DF3E567">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固态</w:t>
                  </w:r>
                </w:p>
              </w:tc>
              <w:tc>
                <w:tcPr>
                  <w:tcW w:w="491" w:type="pct"/>
                  <w:tcBorders>
                    <w:tl2br w:val="nil"/>
                    <w:tr2bl w:val="nil"/>
                  </w:tcBorders>
                  <w:shd w:val="clear" w:color="auto" w:fill="auto"/>
                  <w:vAlign w:val="center"/>
                </w:tcPr>
                <w:p w14:paraId="2C730E87">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T/C/I/R</w:t>
                  </w:r>
                </w:p>
              </w:tc>
              <w:tc>
                <w:tcPr>
                  <w:tcW w:w="498" w:type="pct"/>
                  <w:tcBorders>
                    <w:tl2br w:val="nil"/>
                    <w:tr2bl w:val="nil"/>
                  </w:tcBorders>
                  <w:shd w:val="clear" w:color="auto" w:fill="auto"/>
                  <w:vAlign w:val="center"/>
                </w:tcPr>
                <w:p w14:paraId="66D8426C">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0.032</w:t>
                  </w:r>
                </w:p>
              </w:tc>
              <w:tc>
                <w:tcPr>
                  <w:tcW w:w="415" w:type="pct"/>
                  <w:tcBorders>
                    <w:tl2br w:val="nil"/>
                    <w:tr2bl w:val="nil"/>
                  </w:tcBorders>
                  <w:vAlign w:val="center"/>
                </w:tcPr>
                <w:p w14:paraId="409CC3BC">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每天</w:t>
                  </w:r>
                </w:p>
              </w:tc>
              <w:tc>
                <w:tcPr>
                  <w:tcW w:w="759" w:type="pct"/>
                  <w:vMerge w:val="continue"/>
                  <w:tcBorders>
                    <w:tl2br w:val="nil"/>
                    <w:tr2bl w:val="nil"/>
                  </w:tcBorders>
                  <w:vAlign w:val="center"/>
                </w:tcPr>
                <w:p w14:paraId="656ADE40">
                  <w:pPr>
                    <w:widowControl/>
                    <w:jc w:val="center"/>
                    <w:rPr>
                      <w:rFonts w:hint="default" w:ascii="Times New Roman" w:hAnsi="Times New Roman" w:eastAsia="宋体" w:cs="Times New Roman"/>
                      <w:sz w:val="21"/>
                      <w:szCs w:val="21"/>
                      <w:highlight w:val="none"/>
                    </w:rPr>
                  </w:pPr>
                </w:p>
              </w:tc>
            </w:tr>
            <w:tr w14:paraId="4690899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83" w:hRule="atLeast"/>
                <w:jc w:val="center"/>
              </w:trPr>
              <w:tc>
                <w:tcPr>
                  <w:tcW w:w="360" w:type="pct"/>
                  <w:tcBorders>
                    <w:tl2br w:val="nil"/>
                    <w:tr2bl w:val="nil"/>
                  </w:tcBorders>
                  <w:vAlign w:val="center"/>
                </w:tcPr>
                <w:p w14:paraId="1B2AE07E">
                  <w:pPr>
                    <w:numPr>
                      <w:ilvl w:val="0"/>
                      <w:numId w:val="54"/>
                    </w:numPr>
                    <w:ind w:left="210"/>
                    <w:jc w:val="center"/>
                    <w:rPr>
                      <w:rFonts w:hint="default" w:ascii="Times New Roman" w:hAnsi="Times New Roman" w:eastAsia="宋体" w:cs="Times New Roman"/>
                      <w:sz w:val="21"/>
                      <w:szCs w:val="21"/>
                      <w:highlight w:val="none"/>
                    </w:rPr>
                  </w:pPr>
                </w:p>
              </w:tc>
              <w:tc>
                <w:tcPr>
                  <w:tcW w:w="490" w:type="pct"/>
                  <w:vMerge w:val="restart"/>
                  <w:tcBorders>
                    <w:tl2br w:val="nil"/>
                    <w:tr2bl w:val="nil"/>
                  </w:tcBorders>
                  <w:vAlign w:val="center"/>
                </w:tcPr>
                <w:p w14:paraId="209A1677">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废气处理过程</w:t>
                  </w:r>
                </w:p>
                <w:p w14:paraId="022C9E4A">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废气处理过程</w:t>
                  </w:r>
                </w:p>
              </w:tc>
              <w:tc>
                <w:tcPr>
                  <w:tcW w:w="560" w:type="pct"/>
                  <w:tcBorders>
                    <w:tl2br w:val="nil"/>
                    <w:tr2bl w:val="nil"/>
                  </w:tcBorders>
                  <w:vAlign w:val="center"/>
                </w:tcPr>
                <w:p w14:paraId="48B03F22">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喷淋塔废液</w:t>
                  </w:r>
                </w:p>
              </w:tc>
              <w:tc>
                <w:tcPr>
                  <w:tcW w:w="474" w:type="pct"/>
                  <w:tcBorders>
                    <w:tl2br w:val="nil"/>
                    <w:tr2bl w:val="nil"/>
                  </w:tcBorders>
                  <w:vAlign w:val="center"/>
                </w:tcPr>
                <w:p w14:paraId="69301CAB">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HW49</w:t>
                  </w:r>
                </w:p>
              </w:tc>
              <w:tc>
                <w:tcPr>
                  <w:tcW w:w="641" w:type="pct"/>
                  <w:tcBorders>
                    <w:tl2br w:val="nil"/>
                    <w:tr2bl w:val="nil"/>
                  </w:tcBorders>
                  <w:vAlign w:val="center"/>
                </w:tcPr>
                <w:p w14:paraId="04B0022D">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900-047-49</w:t>
                  </w:r>
                </w:p>
              </w:tc>
              <w:tc>
                <w:tcPr>
                  <w:tcW w:w="307" w:type="pct"/>
                  <w:tcBorders>
                    <w:tl2br w:val="nil"/>
                    <w:tr2bl w:val="nil"/>
                  </w:tcBorders>
                  <w:vAlign w:val="center"/>
                </w:tcPr>
                <w:p w14:paraId="6912DA43">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液态</w:t>
                  </w:r>
                </w:p>
              </w:tc>
              <w:tc>
                <w:tcPr>
                  <w:tcW w:w="491" w:type="pct"/>
                  <w:tcBorders>
                    <w:tl2br w:val="nil"/>
                    <w:tr2bl w:val="nil"/>
                  </w:tcBorders>
                  <w:vAlign w:val="center"/>
                </w:tcPr>
                <w:p w14:paraId="54676473">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T/C/I/R</w:t>
                  </w:r>
                </w:p>
              </w:tc>
              <w:tc>
                <w:tcPr>
                  <w:tcW w:w="498" w:type="pct"/>
                  <w:tcBorders>
                    <w:tl2br w:val="nil"/>
                    <w:tr2bl w:val="nil"/>
                  </w:tcBorders>
                  <w:vAlign w:val="center"/>
                </w:tcPr>
                <w:p w14:paraId="571215ED">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w:t>
                  </w:r>
                </w:p>
              </w:tc>
              <w:tc>
                <w:tcPr>
                  <w:tcW w:w="415" w:type="pct"/>
                  <w:tcBorders>
                    <w:tl2br w:val="nil"/>
                    <w:tr2bl w:val="nil"/>
                  </w:tcBorders>
                  <w:vAlign w:val="center"/>
                </w:tcPr>
                <w:p w14:paraId="2A3AB121">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每季度</w:t>
                  </w:r>
                </w:p>
              </w:tc>
              <w:tc>
                <w:tcPr>
                  <w:tcW w:w="759" w:type="pct"/>
                  <w:vMerge w:val="continue"/>
                  <w:tcBorders>
                    <w:tl2br w:val="nil"/>
                    <w:tr2bl w:val="nil"/>
                  </w:tcBorders>
                  <w:vAlign w:val="center"/>
                </w:tcPr>
                <w:p w14:paraId="6E413B49">
                  <w:pPr>
                    <w:widowControl/>
                    <w:jc w:val="center"/>
                    <w:rPr>
                      <w:rFonts w:hint="default" w:ascii="Times New Roman" w:hAnsi="Times New Roman" w:eastAsia="宋体" w:cs="Times New Roman"/>
                      <w:sz w:val="21"/>
                      <w:szCs w:val="21"/>
                      <w:highlight w:val="none"/>
                    </w:rPr>
                  </w:pPr>
                </w:p>
              </w:tc>
            </w:tr>
            <w:tr w14:paraId="713F9C0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360" w:type="pct"/>
                  <w:tcBorders>
                    <w:tl2br w:val="nil"/>
                    <w:tr2bl w:val="nil"/>
                  </w:tcBorders>
                  <w:vAlign w:val="center"/>
                </w:tcPr>
                <w:p w14:paraId="5FDFA89E">
                  <w:pPr>
                    <w:numPr>
                      <w:ilvl w:val="0"/>
                      <w:numId w:val="54"/>
                    </w:numPr>
                    <w:ind w:left="210"/>
                    <w:jc w:val="center"/>
                    <w:rPr>
                      <w:rFonts w:hint="default" w:ascii="Times New Roman" w:hAnsi="Times New Roman" w:eastAsia="宋体" w:cs="Times New Roman"/>
                      <w:sz w:val="21"/>
                      <w:szCs w:val="21"/>
                      <w:highlight w:val="none"/>
                    </w:rPr>
                  </w:pPr>
                </w:p>
              </w:tc>
              <w:tc>
                <w:tcPr>
                  <w:tcW w:w="490" w:type="pct"/>
                  <w:vMerge w:val="continue"/>
                  <w:tcBorders>
                    <w:tl2br w:val="nil"/>
                    <w:tr2bl w:val="nil"/>
                  </w:tcBorders>
                  <w:vAlign w:val="center"/>
                </w:tcPr>
                <w:p w14:paraId="23327292">
                  <w:pPr>
                    <w:jc w:val="center"/>
                    <w:rPr>
                      <w:rFonts w:hint="default" w:ascii="Times New Roman" w:hAnsi="Times New Roman" w:eastAsia="宋体" w:cs="Times New Roman"/>
                      <w:sz w:val="21"/>
                      <w:szCs w:val="21"/>
                      <w:highlight w:val="none"/>
                    </w:rPr>
                  </w:pPr>
                </w:p>
              </w:tc>
              <w:tc>
                <w:tcPr>
                  <w:tcW w:w="560" w:type="pct"/>
                  <w:tcBorders>
                    <w:tl2br w:val="nil"/>
                    <w:tr2bl w:val="nil"/>
                  </w:tcBorders>
                  <w:vAlign w:val="center"/>
                </w:tcPr>
                <w:p w14:paraId="1B83F45A">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废活性炭</w:t>
                  </w:r>
                </w:p>
              </w:tc>
              <w:tc>
                <w:tcPr>
                  <w:tcW w:w="474" w:type="pct"/>
                  <w:tcBorders>
                    <w:tl2br w:val="nil"/>
                    <w:tr2bl w:val="nil"/>
                  </w:tcBorders>
                  <w:shd w:val="clear" w:color="auto" w:fill="auto"/>
                  <w:vAlign w:val="center"/>
                </w:tcPr>
                <w:p w14:paraId="7AAFF080">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HW49</w:t>
                  </w:r>
                </w:p>
              </w:tc>
              <w:tc>
                <w:tcPr>
                  <w:tcW w:w="641" w:type="pct"/>
                  <w:tcBorders>
                    <w:tl2br w:val="nil"/>
                    <w:tr2bl w:val="nil"/>
                  </w:tcBorders>
                  <w:shd w:val="clear" w:color="auto" w:fill="auto"/>
                  <w:vAlign w:val="center"/>
                </w:tcPr>
                <w:p w14:paraId="07FFCBEE">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900-039-49</w:t>
                  </w:r>
                </w:p>
              </w:tc>
              <w:tc>
                <w:tcPr>
                  <w:tcW w:w="307" w:type="pct"/>
                  <w:tcBorders>
                    <w:tl2br w:val="nil"/>
                    <w:tr2bl w:val="nil"/>
                  </w:tcBorders>
                  <w:shd w:val="clear" w:color="auto" w:fill="auto"/>
                  <w:vAlign w:val="center"/>
                </w:tcPr>
                <w:p w14:paraId="515A100A">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固态</w:t>
                  </w:r>
                </w:p>
              </w:tc>
              <w:tc>
                <w:tcPr>
                  <w:tcW w:w="491" w:type="pct"/>
                  <w:tcBorders>
                    <w:tl2br w:val="nil"/>
                    <w:tr2bl w:val="nil"/>
                  </w:tcBorders>
                  <w:shd w:val="clear" w:color="auto" w:fill="auto"/>
                  <w:vAlign w:val="center"/>
                </w:tcPr>
                <w:p w14:paraId="0B2F201B">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T</w:t>
                  </w:r>
                </w:p>
              </w:tc>
              <w:tc>
                <w:tcPr>
                  <w:tcW w:w="498" w:type="pct"/>
                  <w:tcBorders>
                    <w:tl2br w:val="nil"/>
                    <w:tr2bl w:val="nil"/>
                  </w:tcBorders>
                  <w:vAlign w:val="center"/>
                </w:tcPr>
                <w:p w14:paraId="155A05A9">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0.0326</w:t>
                  </w:r>
                </w:p>
              </w:tc>
              <w:tc>
                <w:tcPr>
                  <w:tcW w:w="415" w:type="pct"/>
                  <w:tcBorders>
                    <w:tl2br w:val="nil"/>
                    <w:tr2bl w:val="nil"/>
                  </w:tcBorders>
                  <w:vAlign w:val="center"/>
                </w:tcPr>
                <w:p w14:paraId="17580478">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每半年</w:t>
                  </w:r>
                </w:p>
              </w:tc>
              <w:tc>
                <w:tcPr>
                  <w:tcW w:w="759" w:type="pct"/>
                  <w:vMerge w:val="continue"/>
                  <w:tcBorders>
                    <w:tl2br w:val="nil"/>
                    <w:tr2bl w:val="nil"/>
                  </w:tcBorders>
                  <w:vAlign w:val="center"/>
                </w:tcPr>
                <w:p w14:paraId="09045869">
                  <w:pPr>
                    <w:widowControl/>
                    <w:jc w:val="center"/>
                    <w:rPr>
                      <w:rFonts w:hint="default" w:ascii="Times New Roman" w:hAnsi="Times New Roman" w:eastAsia="宋体" w:cs="Times New Roman"/>
                      <w:sz w:val="21"/>
                      <w:szCs w:val="21"/>
                      <w:highlight w:val="none"/>
                    </w:rPr>
                  </w:pPr>
                </w:p>
              </w:tc>
            </w:tr>
            <w:tr w14:paraId="7D747E3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360" w:type="pct"/>
                  <w:tcBorders>
                    <w:tl2br w:val="nil"/>
                    <w:tr2bl w:val="nil"/>
                  </w:tcBorders>
                  <w:vAlign w:val="center"/>
                </w:tcPr>
                <w:p w14:paraId="7AEB7D44">
                  <w:pPr>
                    <w:numPr>
                      <w:ilvl w:val="0"/>
                      <w:numId w:val="54"/>
                    </w:numPr>
                    <w:ind w:left="210"/>
                    <w:jc w:val="center"/>
                    <w:rPr>
                      <w:rFonts w:hint="default" w:ascii="Times New Roman" w:hAnsi="Times New Roman" w:eastAsia="宋体" w:cs="Times New Roman"/>
                      <w:sz w:val="21"/>
                      <w:szCs w:val="21"/>
                      <w:highlight w:val="none"/>
                    </w:rPr>
                  </w:pPr>
                </w:p>
              </w:tc>
              <w:tc>
                <w:tcPr>
                  <w:tcW w:w="490" w:type="pct"/>
                  <w:vMerge w:val="continue"/>
                  <w:tcBorders>
                    <w:tl2br w:val="nil"/>
                    <w:tr2bl w:val="nil"/>
                  </w:tcBorders>
                  <w:vAlign w:val="center"/>
                </w:tcPr>
                <w:p w14:paraId="2863D22D">
                  <w:pPr>
                    <w:jc w:val="center"/>
                    <w:rPr>
                      <w:rFonts w:hint="default" w:ascii="Times New Roman" w:hAnsi="Times New Roman" w:eastAsia="宋体" w:cs="Times New Roman"/>
                      <w:sz w:val="21"/>
                      <w:szCs w:val="21"/>
                      <w:highlight w:val="none"/>
                    </w:rPr>
                  </w:pPr>
                </w:p>
              </w:tc>
              <w:tc>
                <w:tcPr>
                  <w:tcW w:w="560" w:type="pct"/>
                  <w:tcBorders>
                    <w:tl2br w:val="nil"/>
                    <w:tr2bl w:val="nil"/>
                  </w:tcBorders>
                  <w:vAlign w:val="center"/>
                </w:tcPr>
                <w:p w14:paraId="0607F887">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废吸附剂</w:t>
                  </w:r>
                </w:p>
              </w:tc>
              <w:tc>
                <w:tcPr>
                  <w:tcW w:w="474" w:type="pct"/>
                  <w:tcBorders>
                    <w:tl2br w:val="nil"/>
                    <w:tr2bl w:val="nil"/>
                  </w:tcBorders>
                  <w:shd w:val="clear" w:color="auto" w:fill="auto"/>
                  <w:vAlign w:val="center"/>
                </w:tcPr>
                <w:p w14:paraId="6B4E39EE">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HW49</w:t>
                  </w:r>
                </w:p>
              </w:tc>
              <w:tc>
                <w:tcPr>
                  <w:tcW w:w="641" w:type="pct"/>
                  <w:tcBorders>
                    <w:tl2br w:val="nil"/>
                    <w:tr2bl w:val="nil"/>
                  </w:tcBorders>
                  <w:shd w:val="clear" w:color="auto" w:fill="auto"/>
                  <w:vAlign w:val="center"/>
                </w:tcPr>
                <w:p w14:paraId="79A75E9A">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900-039-49</w:t>
                  </w:r>
                </w:p>
              </w:tc>
              <w:tc>
                <w:tcPr>
                  <w:tcW w:w="307" w:type="pct"/>
                  <w:tcBorders>
                    <w:tl2br w:val="nil"/>
                    <w:tr2bl w:val="nil"/>
                  </w:tcBorders>
                  <w:shd w:val="clear" w:color="auto" w:fill="auto"/>
                  <w:vAlign w:val="center"/>
                </w:tcPr>
                <w:p w14:paraId="764F8A00">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固态</w:t>
                  </w:r>
                </w:p>
              </w:tc>
              <w:tc>
                <w:tcPr>
                  <w:tcW w:w="491" w:type="pct"/>
                  <w:tcBorders>
                    <w:tl2br w:val="nil"/>
                    <w:tr2bl w:val="nil"/>
                  </w:tcBorders>
                  <w:shd w:val="clear" w:color="auto" w:fill="auto"/>
                  <w:vAlign w:val="center"/>
                </w:tcPr>
                <w:p w14:paraId="49258AA9">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T</w:t>
                  </w:r>
                </w:p>
              </w:tc>
              <w:tc>
                <w:tcPr>
                  <w:tcW w:w="498" w:type="pct"/>
                  <w:tcBorders>
                    <w:tl2br w:val="nil"/>
                    <w:tr2bl w:val="nil"/>
                  </w:tcBorders>
                  <w:vAlign w:val="center"/>
                </w:tcPr>
                <w:p w14:paraId="5BEF78CF">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0.3626</w:t>
                  </w:r>
                </w:p>
              </w:tc>
              <w:tc>
                <w:tcPr>
                  <w:tcW w:w="415" w:type="pct"/>
                  <w:tcBorders>
                    <w:tl2br w:val="nil"/>
                    <w:tr2bl w:val="nil"/>
                  </w:tcBorders>
                  <w:vAlign w:val="center"/>
                </w:tcPr>
                <w:p w14:paraId="323F61CD">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每半年</w:t>
                  </w:r>
                </w:p>
              </w:tc>
              <w:tc>
                <w:tcPr>
                  <w:tcW w:w="759" w:type="pct"/>
                  <w:vMerge w:val="continue"/>
                  <w:tcBorders>
                    <w:tl2br w:val="nil"/>
                    <w:tr2bl w:val="nil"/>
                  </w:tcBorders>
                  <w:vAlign w:val="center"/>
                </w:tcPr>
                <w:p w14:paraId="388E7824">
                  <w:pPr>
                    <w:widowControl/>
                    <w:jc w:val="center"/>
                    <w:rPr>
                      <w:rFonts w:hint="default" w:ascii="Times New Roman" w:hAnsi="Times New Roman" w:eastAsia="宋体" w:cs="Times New Roman"/>
                      <w:sz w:val="21"/>
                      <w:szCs w:val="21"/>
                      <w:highlight w:val="none"/>
                    </w:rPr>
                  </w:pPr>
                </w:p>
              </w:tc>
            </w:tr>
            <w:tr w14:paraId="7D2E236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360" w:type="pct"/>
                  <w:tcBorders>
                    <w:tl2br w:val="nil"/>
                    <w:tr2bl w:val="nil"/>
                  </w:tcBorders>
                  <w:vAlign w:val="center"/>
                </w:tcPr>
                <w:p w14:paraId="0CC3C8ED">
                  <w:pPr>
                    <w:numPr>
                      <w:ilvl w:val="0"/>
                      <w:numId w:val="54"/>
                    </w:numPr>
                    <w:ind w:left="210"/>
                    <w:jc w:val="center"/>
                    <w:rPr>
                      <w:rFonts w:hint="default" w:ascii="Times New Roman" w:hAnsi="Times New Roman" w:eastAsia="宋体" w:cs="Times New Roman"/>
                      <w:sz w:val="21"/>
                      <w:szCs w:val="21"/>
                      <w:highlight w:val="none"/>
                    </w:rPr>
                  </w:pPr>
                </w:p>
              </w:tc>
              <w:tc>
                <w:tcPr>
                  <w:tcW w:w="490" w:type="pct"/>
                  <w:vMerge w:val="continue"/>
                  <w:tcBorders>
                    <w:tl2br w:val="nil"/>
                    <w:tr2bl w:val="nil"/>
                  </w:tcBorders>
                  <w:vAlign w:val="center"/>
                </w:tcPr>
                <w:p w14:paraId="66239985">
                  <w:pPr>
                    <w:jc w:val="center"/>
                    <w:rPr>
                      <w:rFonts w:hint="default" w:ascii="Times New Roman" w:hAnsi="Times New Roman" w:eastAsia="宋体" w:cs="Times New Roman"/>
                      <w:sz w:val="21"/>
                      <w:szCs w:val="21"/>
                      <w:highlight w:val="none"/>
                    </w:rPr>
                  </w:pPr>
                </w:p>
              </w:tc>
              <w:tc>
                <w:tcPr>
                  <w:tcW w:w="560" w:type="pct"/>
                  <w:tcBorders>
                    <w:tl2br w:val="nil"/>
                    <w:tr2bl w:val="nil"/>
                  </w:tcBorders>
                  <w:vAlign w:val="center"/>
                </w:tcPr>
                <w:p w14:paraId="229F7318">
                  <w:pPr>
                    <w:jc w:val="center"/>
                    <w:rPr>
                      <w:rFonts w:hint="default" w:cs="Times New Roman"/>
                      <w:sz w:val="21"/>
                      <w:szCs w:val="21"/>
                      <w:highlight w:val="none"/>
                      <w:lang w:val="en-US" w:eastAsia="zh-CN"/>
                    </w:rPr>
                  </w:pPr>
                  <w:r>
                    <w:rPr>
                      <w:rFonts w:hint="eastAsia" w:cs="Times New Roman"/>
                      <w:sz w:val="21"/>
                      <w:szCs w:val="21"/>
                      <w:highlight w:val="none"/>
                      <w:lang w:val="en-US" w:eastAsia="zh-CN"/>
                    </w:rPr>
                    <w:t>废布袋</w:t>
                  </w:r>
                </w:p>
              </w:tc>
              <w:tc>
                <w:tcPr>
                  <w:tcW w:w="474" w:type="pct"/>
                  <w:tcBorders>
                    <w:tl2br w:val="nil"/>
                    <w:tr2bl w:val="nil"/>
                  </w:tcBorders>
                  <w:shd w:val="clear" w:color="auto" w:fill="auto"/>
                  <w:vAlign w:val="center"/>
                </w:tcPr>
                <w:p w14:paraId="1B0439A4">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HW49</w:t>
                  </w:r>
                </w:p>
              </w:tc>
              <w:tc>
                <w:tcPr>
                  <w:tcW w:w="641" w:type="pct"/>
                  <w:tcBorders>
                    <w:tl2br w:val="nil"/>
                    <w:tr2bl w:val="nil"/>
                  </w:tcBorders>
                  <w:shd w:val="clear" w:color="auto" w:fill="auto"/>
                  <w:vAlign w:val="center"/>
                </w:tcPr>
                <w:p w14:paraId="0B836169">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900-039-49</w:t>
                  </w:r>
                </w:p>
              </w:tc>
              <w:tc>
                <w:tcPr>
                  <w:tcW w:w="307" w:type="pct"/>
                  <w:tcBorders>
                    <w:tl2br w:val="nil"/>
                    <w:tr2bl w:val="nil"/>
                  </w:tcBorders>
                  <w:shd w:val="clear" w:color="auto" w:fill="auto"/>
                  <w:vAlign w:val="center"/>
                </w:tcPr>
                <w:p w14:paraId="6A5CB434">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固态</w:t>
                  </w:r>
                </w:p>
              </w:tc>
              <w:tc>
                <w:tcPr>
                  <w:tcW w:w="491" w:type="pct"/>
                  <w:tcBorders>
                    <w:tl2br w:val="nil"/>
                    <w:tr2bl w:val="nil"/>
                  </w:tcBorders>
                  <w:shd w:val="clear" w:color="auto" w:fill="auto"/>
                  <w:vAlign w:val="center"/>
                </w:tcPr>
                <w:p w14:paraId="4B773D6B">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T</w:t>
                  </w:r>
                </w:p>
              </w:tc>
              <w:tc>
                <w:tcPr>
                  <w:tcW w:w="498" w:type="pct"/>
                  <w:tcBorders>
                    <w:tl2br w:val="nil"/>
                    <w:tr2bl w:val="nil"/>
                  </w:tcBorders>
                  <w:vAlign w:val="center"/>
                </w:tcPr>
                <w:p w14:paraId="7F209E91">
                  <w:pPr>
                    <w:jc w:val="center"/>
                    <w:rPr>
                      <w:rFonts w:hint="default" w:cs="Times New Roman"/>
                      <w:sz w:val="21"/>
                      <w:szCs w:val="21"/>
                      <w:highlight w:val="none"/>
                      <w:lang w:val="en-US" w:eastAsia="zh-CN"/>
                    </w:rPr>
                  </w:pPr>
                  <w:r>
                    <w:rPr>
                      <w:rFonts w:hint="eastAsia" w:cs="Times New Roman"/>
                      <w:sz w:val="21"/>
                      <w:szCs w:val="21"/>
                      <w:highlight w:val="none"/>
                      <w:lang w:val="en-US" w:eastAsia="zh-CN"/>
                    </w:rPr>
                    <w:t>0.05</w:t>
                  </w:r>
                </w:p>
              </w:tc>
              <w:tc>
                <w:tcPr>
                  <w:tcW w:w="415" w:type="pct"/>
                  <w:tcBorders>
                    <w:tl2br w:val="nil"/>
                    <w:tr2bl w:val="nil"/>
                  </w:tcBorders>
                  <w:vAlign w:val="center"/>
                </w:tcPr>
                <w:p w14:paraId="7EE9BEC3">
                  <w:pPr>
                    <w:jc w:val="center"/>
                    <w:rPr>
                      <w:rFonts w:hint="default" w:cs="Times New Roman"/>
                      <w:sz w:val="21"/>
                      <w:szCs w:val="21"/>
                      <w:highlight w:val="none"/>
                      <w:lang w:val="en-US" w:eastAsia="zh-CN"/>
                    </w:rPr>
                  </w:pPr>
                  <w:r>
                    <w:rPr>
                      <w:rFonts w:hint="eastAsia" w:cs="Times New Roman"/>
                      <w:sz w:val="21"/>
                      <w:szCs w:val="21"/>
                      <w:highlight w:val="none"/>
                      <w:lang w:val="en-US" w:eastAsia="zh-CN"/>
                    </w:rPr>
                    <w:t>每年</w:t>
                  </w:r>
                </w:p>
              </w:tc>
              <w:tc>
                <w:tcPr>
                  <w:tcW w:w="759" w:type="pct"/>
                  <w:vMerge w:val="continue"/>
                  <w:tcBorders>
                    <w:tl2br w:val="nil"/>
                    <w:tr2bl w:val="nil"/>
                  </w:tcBorders>
                  <w:vAlign w:val="center"/>
                </w:tcPr>
                <w:p w14:paraId="578401AB">
                  <w:pPr>
                    <w:widowControl/>
                    <w:jc w:val="center"/>
                    <w:rPr>
                      <w:rFonts w:hint="default" w:ascii="Times New Roman" w:hAnsi="Times New Roman" w:eastAsia="宋体" w:cs="Times New Roman"/>
                      <w:sz w:val="21"/>
                      <w:szCs w:val="21"/>
                      <w:highlight w:val="none"/>
                    </w:rPr>
                  </w:pPr>
                </w:p>
              </w:tc>
            </w:tr>
            <w:tr w14:paraId="2BE2618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3" w:hRule="atLeast"/>
                <w:jc w:val="center"/>
              </w:trPr>
              <w:tc>
                <w:tcPr>
                  <w:tcW w:w="3326" w:type="pct"/>
                  <w:gridSpan w:val="7"/>
                  <w:tcBorders>
                    <w:tl2br w:val="nil"/>
                    <w:tr2bl w:val="nil"/>
                  </w:tcBorders>
                  <w:vAlign w:val="center"/>
                </w:tcPr>
                <w:p w14:paraId="21876AD6">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小计</w:t>
                  </w:r>
                </w:p>
              </w:tc>
              <w:tc>
                <w:tcPr>
                  <w:tcW w:w="498" w:type="pct"/>
                  <w:tcBorders>
                    <w:tl2br w:val="nil"/>
                    <w:tr2bl w:val="nil"/>
                  </w:tcBorders>
                  <w:vAlign w:val="center"/>
                </w:tcPr>
                <w:p w14:paraId="0A71A15B">
                  <w:pPr>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3.0672</w:t>
                  </w:r>
                </w:p>
              </w:tc>
              <w:tc>
                <w:tcPr>
                  <w:tcW w:w="415" w:type="pct"/>
                  <w:tcBorders>
                    <w:tl2br w:val="nil"/>
                    <w:tr2bl w:val="nil"/>
                  </w:tcBorders>
                  <w:vAlign w:val="center"/>
                </w:tcPr>
                <w:p w14:paraId="5E4289D7">
                  <w:pPr>
                    <w:jc w:val="center"/>
                    <w:rPr>
                      <w:rFonts w:hint="default" w:ascii="Times New Roman" w:hAnsi="Times New Roman" w:eastAsia="宋体" w:cs="Times New Roman"/>
                      <w:sz w:val="21"/>
                      <w:szCs w:val="21"/>
                      <w:highlight w:val="none"/>
                      <w:lang w:val="en-US" w:eastAsia="zh-CN"/>
                    </w:rPr>
                  </w:pPr>
                </w:p>
              </w:tc>
              <w:tc>
                <w:tcPr>
                  <w:tcW w:w="759" w:type="pct"/>
                  <w:tcBorders>
                    <w:tl2br w:val="nil"/>
                    <w:tr2bl w:val="nil"/>
                  </w:tcBorders>
                  <w:vAlign w:val="center"/>
                </w:tcPr>
                <w:p w14:paraId="38D44C58">
                  <w:pPr>
                    <w:widowControl/>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6DE360C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3" w:hRule="atLeast"/>
                <w:jc w:val="center"/>
              </w:trPr>
              <w:tc>
                <w:tcPr>
                  <w:tcW w:w="4240" w:type="pct"/>
                  <w:gridSpan w:val="9"/>
                  <w:tcBorders>
                    <w:tl2br w:val="nil"/>
                    <w:tr2bl w:val="nil"/>
                  </w:tcBorders>
                  <w:vAlign w:val="center"/>
                </w:tcPr>
                <w:p w14:paraId="6740126B">
                  <w:pPr>
                    <w:widowControl/>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一般工业固体废物</w:t>
                  </w:r>
                </w:p>
              </w:tc>
              <w:tc>
                <w:tcPr>
                  <w:tcW w:w="759" w:type="pct"/>
                  <w:tcBorders>
                    <w:tl2br w:val="nil"/>
                    <w:tr2bl w:val="nil"/>
                  </w:tcBorders>
                  <w:vAlign w:val="center"/>
                </w:tcPr>
                <w:p w14:paraId="00DBBB58">
                  <w:pPr>
                    <w:widowControl/>
                    <w:jc w:val="center"/>
                    <w:rPr>
                      <w:rFonts w:hint="default" w:ascii="Times New Roman" w:hAnsi="Times New Roman" w:eastAsia="宋体" w:cs="Times New Roman"/>
                      <w:sz w:val="21"/>
                      <w:szCs w:val="21"/>
                      <w:highlight w:val="none"/>
                      <w:lang w:val="en-US" w:eastAsia="zh-CN"/>
                    </w:rPr>
                  </w:pPr>
                </w:p>
              </w:tc>
            </w:tr>
            <w:tr w14:paraId="11B05DA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35" w:hRule="atLeast"/>
                <w:jc w:val="center"/>
              </w:trPr>
              <w:tc>
                <w:tcPr>
                  <w:tcW w:w="360" w:type="pct"/>
                  <w:tcBorders>
                    <w:tl2br w:val="nil"/>
                    <w:tr2bl w:val="nil"/>
                  </w:tcBorders>
                  <w:vAlign w:val="center"/>
                </w:tcPr>
                <w:p w14:paraId="1B8BC9F5">
                  <w:pPr>
                    <w:numPr>
                      <w:ilvl w:val="0"/>
                      <w:numId w:val="54"/>
                    </w:numPr>
                    <w:ind w:left="210"/>
                    <w:jc w:val="center"/>
                    <w:rPr>
                      <w:rFonts w:hint="default" w:ascii="Times New Roman" w:hAnsi="Times New Roman" w:eastAsia="宋体" w:cs="Times New Roman"/>
                      <w:sz w:val="21"/>
                      <w:szCs w:val="21"/>
                      <w:highlight w:val="none"/>
                      <w:lang w:val="en-US" w:eastAsia="zh-CN"/>
                    </w:rPr>
                  </w:pPr>
                </w:p>
              </w:tc>
              <w:tc>
                <w:tcPr>
                  <w:tcW w:w="490" w:type="pct"/>
                  <w:tcBorders>
                    <w:tl2br w:val="nil"/>
                    <w:tr2bl w:val="nil"/>
                  </w:tcBorders>
                  <w:vAlign w:val="center"/>
                </w:tcPr>
                <w:p w14:paraId="31AC2ECC">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全过程</w:t>
                  </w:r>
                </w:p>
              </w:tc>
              <w:tc>
                <w:tcPr>
                  <w:tcW w:w="560" w:type="pct"/>
                  <w:tcBorders>
                    <w:tl2br w:val="nil"/>
                    <w:tr2bl w:val="nil"/>
                  </w:tcBorders>
                  <w:shd w:val="clear" w:color="auto" w:fill="auto"/>
                  <w:vAlign w:val="center"/>
                </w:tcPr>
                <w:p w14:paraId="1F5795FB">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未沾染化学试剂的废包装物</w:t>
                  </w:r>
                </w:p>
              </w:tc>
              <w:tc>
                <w:tcPr>
                  <w:tcW w:w="474" w:type="pct"/>
                  <w:tcBorders>
                    <w:tl2br w:val="nil"/>
                    <w:tr2bl w:val="nil"/>
                  </w:tcBorders>
                  <w:shd w:val="clear" w:color="auto" w:fill="auto"/>
                  <w:vAlign w:val="center"/>
                </w:tcPr>
                <w:p w14:paraId="251868BA">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c>
                <w:tcPr>
                  <w:tcW w:w="641" w:type="pct"/>
                  <w:tcBorders>
                    <w:tl2br w:val="nil"/>
                    <w:tr2bl w:val="nil"/>
                  </w:tcBorders>
                  <w:shd w:val="clear" w:color="auto" w:fill="auto"/>
                  <w:vAlign w:val="center"/>
                </w:tcPr>
                <w:p w14:paraId="7B9CD312">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900-999-99</w:t>
                  </w:r>
                </w:p>
              </w:tc>
              <w:tc>
                <w:tcPr>
                  <w:tcW w:w="307" w:type="pct"/>
                  <w:tcBorders>
                    <w:tl2br w:val="nil"/>
                    <w:tr2bl w:val="nil"/>
                  </w:tcBorders>
                  <w:shd w:val="clear" w:color="auto" w:fill="auto"/>
                  <w:vAlign w:val="center"/>
                </w:tcPr>
                <w:p w14:paraId="0E967ED6">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固态</w:t>
                  </w:r>
                </w:p>
              </w:tc>
              <w:tc>
                <w:tcPr>
                  <w:tcW w:w="491" w:type="pct"/>
                  <w:tcBorders>
                    <w:tl2br w:val="nil"/>
                    <w:tr2bl w:val="nil"/>
                  </w:tcBorders>
                  <w:shd w:val="clear" w:color="auto" w:fill="auto"/>
                  <w:vAlign w:val="center"/>
                </w:tcPr>
                <w:p w14:paraId="256E5827">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c>
                <w:tcPr>
                  <w:tcW w:w="498" w:type="pct"/>
                  <w:tcBorders>
                    <w:tl2br w:val="nil"/>
                    <w:tr2bl w:val="nil"/>
                  </w:tcBorders>
                  <w:vAlign w:val="center"/>
                </w:tcPr>
                <w:p w14:paraId="1B6AD6D8">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0.2</w:t>
                  </w:r>
                </w:p>
              </w:tc>
              <w:tc>
                <w:tcPr>
                  <w:tcW w:w="415" w:type="pct"/>
                  <w:tcBorders>
                    <w:tl2br w:val="nil"/>
                    <w:tr2bl w:val="nil"/>
                  </w:tcBorders>
                  <w:vAlign w:val="center"/>
                </w:tcPr>
                <w:p w14:paraId="5B34EACF">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每天</w:t>
                  </w:r>
                </w:p>
              </w:tc>
              <w:tc>
                <w:tcPr>
                  <w:tcW w:w="759" w:type="pct"/>
                  <w:vMerge w:val="restart"/>
                  <w:tcBorders>
                    <w:tl2br w:val="nil"/>
                    <w:tr2bl w:val="nil"/>
                  </w:tcBorders>
                  <w:vAlign w:val="center"/>
                </w:tcPr>
                <w:p w14:paraId="0E67DD4F">
                  <w:pPr>
                    <w:widowControl/>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物资回收部门回收</w:t>
                  </w:r>
                </w:p>
              </w:tc>
            </w:tr>
            <w:tr w14:paraId="09D36FC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35" w:hRule="atLeast"/>
                <w:jc w:val="center"/>
              </w:trPr>
              <w:tc>
                <w:tcPr>
                  <w:tcW w:w="360" w:type="pct"/>
                  <w:tcBorders>
                    <w:tl2br w:val="nil"/>
                    <w:tr2bl w:val="nil"/>
                  </w:tcBorders>
                  <w:vAlign w:val="center"/>
                </w:tcPr>
                <w:p w14:paraId="1B12B648">
                  <w:pPr>
                    <w:numPr>
                      <w:ilvl w:val="0"/>
                      <w:numId w:val="54"/>
                    </w:numPr>
                    <w:ind w:left="210"/>
                    <w:jc w:val="center"/>
                    <w:rPr>
                      <w:rFonts w:hint="default" w:ascii="Times New Roman" w:hAnsi="Times New Roman" w:eastAsia="宋体" w:cs="Times New Roman"/>
                      <w:sz w:val="21"/>
                      <w:szCs w:val="21"/>
                      <w:highlight w:val="none"/>
                      <w:lang w:val="en-US" w:eastAsia="zh-CN"/>
                    </w:rPr>
                  </w:pPr>
                </w:p>
              </w:tc>
              <w:tc>
                <w:tcPr>
                  <w:tcW w:w="490" w:type="pct"/>
                  <w:tcBorders>
                    <w:tl2br w:val="nil"/>
                    <w:tr2bl w:val="nil"/>
                  </w:tcBorders>
                  <w:vAlign w:val="center"/>
                </w:tcPr>
                <w:p w14:paraId="54F3496A">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金属材料实验</w:t>
                  </w:r>
                </w:p>
              </w:tc>
              <w:tc>
                <w:tcPr>
                  <w:tcW w:w="560" w:type="pct"/>
                  <w:tcBorders>
                    <w:tl2br w:val="nil"/>
                    <w:tr2bl w:val="nil"/>
                  </w:tcBorders>
                  <w:shd w:val="clear" w:color="auto" w:fill="auto"/>
                  <w:vAlign w:val="center"/>
                </w:tcPr>
                <w:p w14:paraId="5D1D22F7">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废金属材料及金属边角料</w:t>
                  </w:r>
                </w:p>
              </w:tc>
              <w:tc>
                <w:tcPr>
                  <w:tcW w:w="474" w:type="pct"/>
                  <w:tcBorders>
                    <w:tl2br w:val="nil"/>
                    <w:tr2bl w:val="nil"/>
                  </w:tcBorders>
                  <w:shd w:val="clear" w:color="auto" w:fill="auto"/>
                  <w:vAlign w:val="center"/>
                </w:tcPr>
                <w:p w14:paraId="16403956">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c>
                <w:tcPr>
                  <w:tcW w:w="641" w:type="pct"/>
                  <w:tcBorders>
                    <w:tl2br w:val="nil"/>
                    <w:tr2bl w:val="nil"/>
                  </w:tcBorders>
                  <w:shd w:val="clear" w:color="auto" w:fill="auto"/>
                  <w:vAlign w:val="center"/>
                </w:tcPr>
                <w:p w14:paraId="368887EE">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900-999-99</w:t>
                  </w:r>
                </w:p>
              </w:tc>
              <w:tc>
                <w:tcPr>
                  <w:tcW w:w="307" w:type="pct"/>
                  <w:tcBorders>
                    <w:tl2br w:val="nil"/>
                    <w:tr2bl w:val="nil"/>
                  </w:tcBorders>
                  <w:shd w:val="clear" w:color="auto" w:fill="auto"/>
                  <w:vAlign w:val="center"/>
                </w:tcPr>
                <w:p w14:paraId="3D97444F">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固态</w:t>
                  </w:r>
                </w:p>
              </w:tc>
              <w:tc>
                <w:tcPr>
                  <w:tcW w:w="491" w:type="pct"/>
                  <w:tcBorders>
                    <w:tl2br w:val="nil"/>
                    <w:tr2bl w:val="nil"/>
                  </w:tcBorders>
                  <w:shd w:val="clear" w:color="auto" w:fill="auto"/>
                  <w:vAlign w:val="center"/>
                </w:tcPr>
                <w:p w14:paraId="4135291C">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c>
                <w:tcPr>
                  <w:tcW w:w="498" w:type="pct"/>
                  <w:tcBorders>
                    <w:tl2br w:val="nil"/>
                    <w:tr2bl w:val="nil"/>
                  </w:tcBorders>
                  <w:vAlign w:val="center"/>
                </w:tcPr>
                <w:p w14:paraId="536A43DB">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0.8</w:t>
                  </w:r>
                </w:p>
              </w:tc>
              <w:tc>
                <w:tcPr>
                  <w:tcW w:w="415" w:type="pct"/>
                  <w:tcBorders>
                    <w:tl2br w:val="nil"/>
                    <w:tr2bl w:val="nil"/>
                  </w:tcBorders>
                  <w:vAlign w:val="center"/>
                </w:tcPr>
                <w:p w14:paraId="173ACA69">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每天</w:t>
                  </w:r>
                </w:p>
              </w:tc>
              <w:tc>
                <w:tcPr>
                  <w:tcW w:w="759" w:type="pct"/>
                  <w:vMerge w:val="continue"/>
                  <w:tcBorders>
                    <w:tl2br w:val="nil"/>
                    <w:tr2bl w:val="nil"/>
                  </w:tcBorders>
                  <w:vAlign w:val="center"/>
                </w:tcPr>
                <w:p w14:paraId="274425C0">
                  <w:pPr>
                    <w:widowControl/>
                    <w:jc w:val="center"/>
                    <w:rPr>
                      <w:rFonts w:hint="default" w:ascii="Times New Roman" w:hAnsi="Times New Roman" w:eastAsia="宋体" w:cs="Times New Roman"/>
                      <w:sz w:val="21"/>
                      <w:szCs w:val="21"/>
                      <w:highlight w:val="none"/>
                    </w:rPr>
                  </w:pPr>
                </w:p>
              </w:tc>
            </w:tr>
            <w:tr w14:paraId="69CA223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35" w:hRule="atLeast"/>
                <w:jc w:val="center"/>
              </w:trPr>
              <w:tc>
                <w:tcPr>
                  <w:tcW w:w="360" w:type="pct"/>
                  <w:tcBorders>
                    <w:tl2br w:val="nil"/>
                    <w:tr2bl w:val="nil"/>
                  </w:tcBorders>
                  <w:vAlign w:val="center"/>
                </w:tcPr>
                <w:p w14:paraId="606432DC">
                  <w:pPr>
                    <w:numPr>
                      <w:ilvl w:val="0"/>
                      <w:numId w:val="54"/>
                    </w:numPr>
                    <w:ind w:left="210"/>
                    <w:jc w:val="center"/>
                    <w:rPr>
                      <w:rFonts w:hint="default" w:ascii="Times New Roman" w:hAnsi="Times New Roman" w:eastAsia="宋体" w:cs="Times New Roman"/>
                      <w:sz w:val="21"/>
                      <w:szCs w:val="21"/>
                      <w:highlight w:val="none"/>
                      <w:lang w:val="en-US" w:eastAsia="zh-CN"/>
                    </w:rPr>
                  </w:pPr>
                </w:p>
              </w:tc>
              <w:tc>
                <w:tcPr>
                  <w:tcW w:w="490" w:type="pct"/>
                  <w:tcBorders>
                    <w:tl2br w:val="nil"/>
                    <w:tr2bl w:val="nil"/>
                  </w:tcBorders>
                  <w:vAlign w:val="center"/>
                </w:tcPr>
                <w:p w14:paraId="26B6C559">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纳米晶体材料实验</w:t>
                  </w:r>
                </w:p>
              </w:tc>
              <w:tc>
                <w:tcPr>
                  <w:tcW w:w="560" w:type="pct"/>
                  <w:tcBorders>
                    <w:tl2br w:val="nil"/>
                    <w:tr2bl w:val="nil"/>
                  </w:tcBorders>
                  <w:shd w:val="clear" w:color="auto" w:fill="auto"/>
                  <w:vAlign w:val="center"/>
                </w:tcPr>
                <w:p w14:paraId="18844BD4">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废护盒、废铜线、废铁芯</w:t>
                  </w:r>
                </w:p>
              </w:tc>
              <w:tc>
                <w:tcPr>
                  <w:tcW w:w="474" w:type="pct"/>
                  <w:tcBorders>
                    <w:tl2br w:val="nil"/>
                    <w:tr2bl w:val="nil"/>
                  </w:tcBorders>
                  <w:shd w:val="clear" w:color="auto" w:fill="auto"/>
                  <w:vAlign w:val="center"/>
                </w:tcPr>
                <w:p w14:paraId="43B3BE95">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c>
                <w:tcPr>
                  <w:tcW w:w="641" w:type="pct"/>
                  <w:tcBorders>
                    <w:tl2br w:val="nil"/>
                    <w:tr2bl w:val="nil"/>
                  </w:tcBorders>
                  <w:shd w:val="clear" w:color="auto" w:fill="auto"/>
                  <w:vAlign w:val="center"/>
                </w:tcPr>
                <w:p w14:paraId="5767F631">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900-999-99</w:t>
                  </w:r>
                </w:p>
              </w:tc>
              <w:tc>
                <w:tcPr>
                  <w:tcW w:w="307" w:type="pct"/>
                  <w:tcBorders>
                    <w:tl2br w:val="nil"/>
                    <w:tr2bl w:val="nil"/>
                  </w:tcBorders>
                  <w:shd w:val="clear" w:color="auto" w:fill="auto"/>
                  <w:vAlign w:val="center"/>
                </w:tcPr>
                <w:p w14:paraId="4D86E598">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固态</w:t>
                  </w:r>
                </w:p>
              </w:tc>
              <w:tc>
                <w:tcPr>
                  <w:tcW w:w="491" w:type="pct"/>
                  <w:tcBorders>
                    <w:tl2br w:val="nil"/>
                    <w:tr2bl w:val="nil"/>
                  </w:tcBorders>
                  <w:shd w:val="clear" w:color="auto" w:fill="auto"/>
                  <w:vAlign w:val="center"/>
                </w:tcPr>
                <w:p w14:paraId="74B17C54">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c>
                <w:tcPr>
                  <w:tcW w:w="498" w:type="pct"/>
                  <w:tcBorders>
                    <w:tl2br w:val="nil"/>
                    <w:tr2bl w:val="nil"/>
                  </w:tcBorders>
                  <w:vAlign w:val="center"/>
                </w:tcPr>
                <w:p w14:paraId="746820E1">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0.05</w:t>
                  </w:r>
                </w:p>
              </w:tc>
              <w:tc>
                <w:tcPr>
                  <w:tcW w:w="415" w:type="pct"/>
                  <w:tcBorders>
                    <w:tl2br w:val="nil"/>
                    <w:tr2bl w:val="nil"/>
                  </w:tcBorders>
                  <w:vAlign w:val="center"/>
                </w:tcPr>
                <w:p w14:paraId="07B00EFB">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每天</w:t>
                  </w:r>
                </w:p>
              </w:tc>
              <w:tc>
                <w:tcPr>
                  <w:tcW w:w="759" w:type="pct"/>
                  <w:vMerge w:val="continue"/>
                  <w:tcBorders>
                    <w:tl2br w:val="nil"/>
                    <w:tr2bl w:val="nil"/>
                  </w:tcBorders>
                  <w:vAlign w:val="center"/>
                </w:tcPr>
                <w:p w14:paraId="7E79B361">
                  <w:pPr>
                    <w:widowControl/>
                    <w:jc w:val="center"/>
                    <w:rPr>
                      <w:rFonts w:hint="default" w:ascii="Times New Roman" w:hAnsi="Times New Roman" w:eastAsia="宋体" w:cs="Times New Roman"/>
                      <w:sz w:val="21"/>
                      <w:szCs w:val="21"/>
                      <w:highlight w:val="none"/>
                    </w:rPr>
                  </w:pPr>
                </w:p>
              </w:tc>
            </w:tr>
            <w:tr w14:paraId="4A7300F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3" w:hRule="atLeast"/>
                <w:jc w:val="center"/>
              </w:trPr>
              <w:tc>
                <w:tcPr>
                  <w:tcW w:w="360" w:type="pct"/>
                  <w:tcBorders>
                    <w:tl2br w:val="nil"/>
                    <w:tr2bl w:val="nil"/>
                  </w:tcBorders>
                  <w:vAlign w:val="center"/>
                </w:tcPr>
                <w:p w14:paraId="67BEDC73">
                  <w:pPr>
                    <w:numPr>
                      <w:ilvl w:val="0"/>
                      <w:numId w:val="54"/>
                    </w:numPr>
                    <w:ind w:left="210"/>
                    <w:jc w:val="center"/>
                    <w:rPr>
                      <w:rFonts w:hint="default" w:ascii="Times New Roman" w:hAnsi="Times New Roman" w:eastAsia="宋体" w:cs="Times New Roman"/>
                      <w:sz w:val="21"/>
                      <w:szCs w:val="21"/>
                      <w:highlight w:val="none"/>
                      <w:lang w:val="en-US" w:eastAsia="zh-CN"/>
                    </w:rPr>
                  </w:pPr>
                </w:p>
              </w:tc>
              <w:tc>
                <w:tcPr>
                  <w:tcW w:w="490" w:type="pct"/>
                  <w:tcBorders>
                    <w:tl2br w:val="nil"/>
                    <w:tr2bl w:val="nil"/>
                  </w:tcBorders>
                  <w:shd w:val="clear" w:color="auto" w:fill="auto"/>
                  <w:vAlign w:val="center"/>
                </w:tcPr>
                <w:p w14:paraId="48251D1B">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纯水制备</w:t>
                  </w:r>
                </w:p>
              </w:tc>
              <w:tc>
                <w:tcPr>
                  <w:tcW w:w="560" w:type="pct"/>
                  <w:tcBorders>
                    <w:tl2br w:val="nil"/>
                    <w:tr2bl w:val="nil"/>
                  </w:tcBorders>
                  <w:shd w:val="clear" w:color="auto" w:fill="auto"/>
                  <w:vAlign w:val="center"/>
                </w:tcPr>
                <w:p w14:paraId="740CDC07">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纯水制备废滤芯</w:t>
                  </w:r>
                </w:p>
              </w:tc>
              <w:tc>
                <w:tcPr>
                  <w:tcW w:w="474" w:type="pct"/>
                  <w:tcBorders>
                    <w:tl2br w:val="nil"/>
                    <w:tr2bl w:val="nil"/>
                  </w:tcBorders>
                  <w:shd w:val="clear" w:color="auto" w:fill="auto"/>
                  <w:vAlign w:val="center"/>
                </w:tcPr>
                <w:p w14:paraId="091B85FC">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c>
                <w:tcPr>
                  <w:tcW w:w="641" w:type="pct"/>
                  <w:tcBorders>
                    <w:tl2br w:val="nil"/>
                    <w:tr2bl w:val="nil"/>
                  </w:tcBorders>
                  <w:shd w:val="clear" w:color="auto" w:fill="auto"/>
                  <w:vAlign w:val="center"/>
                </w:tcPr>
                <w:p w14:paraId="711CD072">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900-999-99</w:t>
                  </w:r>
                </w:p>
              </w:tc>
              <w:tc>
                <w:tcPr>
                  <w:tcW w:w="307" w:type="pct"/>
                  <w:tcBorders>
                    <w:tl2br w:val="nil"/>
                    <w:tr2bl w:val="nil"/>
                  </w:tcBorders>
                  <w:shd w:val="clear" w:color="auto" w:fill="auto"/>
                  <w:vAlign w:val="center"/>
                </w:tcPr>
                <w:p w14:paraId="170FE9C8">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固态</w:t>
                  </w:r>
                </w:p>
              </w:tc>
              <w:tc>
                <w:tcPr>
                  <w:tcW w:w="491" w:type="pct"/>
                  <w:tcBorders>
                    <w:tl2br w:val="nil"/>
                    <w:tr2bl w:val="nil"/>
                  </w:tcBorders>
                  <w:shd w:val="clear" w:color="auto" w:fill="auto"/>
                  <w:vAlign w:val="center"/>
                </w:tcPr>
                <w:p w14:paraId="1E29951F">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c>
                <w:tcPr>
                  <w:tcW w:w="498" w:type="pct"/>
                  <w:tcBorders>
                    <w:tl2br w:val="nil"/>
                    <w:tr2bl w:val="nil"/>
                  </w:tcBorders>
                  <w:shd w:val="clear" w:color="auto" w:fill="auto"/>
                  <w:vAlign w:val="center"/>
                </w:tcPr>
                <w:p w14:paraId="3C746824">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0.02</w:t>
                  </w:r>
                </w:p>
              </w:tc>
              <w:tc>
                <w:tcPr>
                  <w:tcW w:w="415" w:type="pct"/>
                  <w:tcBorders>
                    <w:tl2br w:val="nil"/>
                    <w:tr2bl w:val="nil"/>
                  </w:tcBorders>
                  <w:vAlign w:val="center"/>
                </w:tcPr>
                <w:p w14:paraId="66C1DFE4">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更换时</w:t>
                  </w:r>
                </w:p>
              </w:tc>
              <w:tc>
                <w:tcPr>
                  <w:tcW w:w="759" w:type="pct"/>
                  <w:vMerge w:val="restart"/>
                  <w:tcBorders>
                    <w:tl2br w:val="nil"/>
                    <w:tr2bl w:val="nil"/>
                  </w:tcBorders>
                  <w:vAlign w:val="center"/>
                </w:tcPr>
                <w:p w14:paraId="734E8E8F">
                  <w:pPr>
                    <w:widowControl/>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厂家</w:t>
                  </w:r>
                </w:p>
                <w:p w14:paraId="0A16E46D">
                  <w:pPr>
                    <w:widowControl/>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回收</w:t>
                  </w:r>
                </w:p>
              </w:tc>
            </w:tr>
            <w:tr w14:paraId="4FBACBA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3" w:hRule="atLeast"/>
                <w:jc w:val="center"/>
              </w:trPr>
              <w:tc>
                <w:tcPr>
                  <w:tcW w:w="360" w:type="pct"/>
                  <w:tcBorders>
                    <w:tl2br w:val="nil"/>
                    <w:tr2bl w:val="nil"/>
                  </w:tcBorders>
                  <w:vAlign w:val="center"/>
                </w:tcPr>
                <w:p w14:paraId="23A59525">
                  <w:pPr>
                    <w:numPr>
                      <w:ilvl w:val="0"/>
                      <w:numId w:val="54"/>
                    </w:numPr>
                    <w:ind w:left="210"/>
                    <w:jc w:val="center"/>
                    <w:rPr>
                      <w:rFonts w:hint="default" w:ascii="Times New Roman" w:hAnsi="Times New Roman" w:eastAsia="宋体" w:cs="Times New Roman"/>
                      <w:sz w:val="21"/>
                      <w:szCs w:val="21"/>
                      <w:highlight w:val="none"/>
                      <w:lang w:val="en-US" w:eastAsia="zh-CN"/>
                    </w:rPr>
                  </w:pPr>
                </w:p>
              </w:tc>
              <w:tc>
                <w:tcPr>
                  <w:tcW w:w="490" w:type="pct"/>
                  <w:tcBorders>
                    <w:tl2br w:val="nil"/>
                    <w:tr2bl w:val="nil"/>
                  </w:tcBorders>
                  <w:shd w:val="clear" w:color="auto" w:fill="auto"/>
                  <w:vAlign w:val="center"/>
                </w:tcPr>
                <w:p w14:paraId="06A24F94">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新风系统</w:t>
                  </w:r>
                </w:p>
              </w:tc>
              <w:tc>
                <w:tcPr>
                  <w:tcW w:w="560" w:type="pct"/>
                  <w:tcBorders>
                    <w:tl2br w:val="nil"/>
                    <w:tr2bl w:val="nil"/>
                  </w:tcBorders>
                  <w:shd w:val="clear" w:color="auto" w:fill="auto"/>
                  <w:vAlign w:val="center"/>
                </w:tcPr>
                <w:p w14:paraId="45FCD7D0">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废空气滤芯</w:t>
                  </w:r>
                </w:p>
              </w:tc>
              <w:tc>
                <w:tcPr>
                  <w:tcW w:w="474" w:type="pct"/>
                  <w:tcBorders>
                    <w:tl2br w:val="nil"/>
                    <w:tr2bl w:val="nil"/>
                  </w:tcBorders>
                  <w:shd w:val="clear" w:color="auto" w:fill="auto"/>
                  <w:vAlign w:val="center"/>
                </w:tcPr>
                <w:p w14:paraId="2135DB10">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c>
                <w:tcPr>
                  <w:tcW w:w="641" w:type="pct"/>
                  <w:tcBorders>
                    <w:tl2br w:val="nil"/>
                    <w:tr2bl w:val="nil"/>
                  </w:tcBorders>
                  <w:shd w:val="clear" w:color="auto" w:fill="auto"/>
                  <w:vAlign w:val="center"/>
                </w:tcPr>
                <w:p w14:paraId="1B0E6B3F">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900-999-99</w:t>
                  </w:r>
                </w:p>
              </w:tc>
              <w:tc>
                <w:tcPr>
                  <w:tcW w:w="307" w:type="pct"/>
                  <w:tcBorders>
                    <w:tl2br w:val="nil"/>
                    <w:tr2bl w:val="nil"/>
                  </w:tcBorders>
                  <w:shd w:val="clear" w:color="auto" w:fill="auto"/>
                  <w:vAlign w:val="center"/>
                </w:tcPr>
                <w:p w14:paraId="797A2C91">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固态</w:t>
                  </w:r>
                </w:p>
              </w:tc>
              <w:tc>
                <w:tcPr>
                  <w:tcW w:w="491" w:type="pct"/>
                  <w:tcBorders>
                    <w:tl2br w:val="nil"/>
                    <w:tr2bl w:val="nil"/>
                  </w:tcBorders>
                  <w:shd w:val="clear" w:color="auto" w:fill="auto"/>
                  <w:vAlign w:val="center"/>
                </w:tcPr>
                <w:p w14:paraId="7D6E078C">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c>
                <w:tcPr>
                  <w:tcW w:w="498" w:type="pct"/>
                  <w:tcBorders>
                    <w:tl2br w:val="nil"/>
                    <w:tr2bl w:val="nil"/>
                  </w:tcBorders>
                  <w:shd w:val="clear" w:color="auto" w:fill="auto"/>
                  <w:vAlign w:val="center"/>
                </w:tcPr>
                <w:p w14:paraId="3BA21EC0">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0.01</w:t>
                  </w:r>
                </w:p>
              </w:tc>
              <w:tc>
                <w:tcPr>
                  <w:tcW w:w="415" w:type="pct"/>
                  <w:tcBorders>
                    <w:tl2br w:val="nil"/>
                    <w:tr2bl w:val="nil"/>
                  </w:tcBorders>
                  <w:vAlign w:val="center"/>
                </w:tcPr>
                <w:p w14:paraId="53F35E5C">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更换时</w:t>
                  </w:r>
                </w:p>
              </w:tc>
              <w:tc>
                <w:tcPr>
                  <w:tcW w:w="759" w:type="pct"/>
                  <w:vMerge w:val="continue"/>
                  <w:tcBorders>
                    <w:tl2br w:val="nil"/>
                    <w:tr2bl w:val="nil"/>
                  </w:tcBorders>
                  <w:vAlign w:val="center"/>
                </w:tcPr>
                <w:p w14:paraId="21EF79CF">
                  <w:pPr>
                    <w:widowControl/>
                    <w:jc w:val="center"/>
                    <w:rPr>
                      <w:rFonts w:hint="default" w:ascii="Times New Roman" w:hAnsi="Times New Roman" w:eastAsia="宋体" w:cs="Times New Roman"/>
                      <w:sz w:val="21"/>
                      <w:szCs w:val="21"/>
                      <w:highlight w:val="none"/>
                    </w:rPr>
                  </w:pPr>
                </w:p>
              </w:tc>
            </w:tr>
            <w:tr w14:paraId="4BFAE1C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360" w:type="pct"/>
                  <w:tcBorders>
                    <w:tl2br w:val="nil"/>
                    <w:tr2bl w:val="nil"/>
                  </w:tcBorders>
                  <w:vAlign w:val="center"/>
                </w:tcPr>
                <w:p w14:paraId="0AD65B4F">
                  <w:pPr>
                    <w:numPr>
                      <w:ilvl w:val="0"/>
                      <w:numId w:val="54"/>
                    </w:numPr>
                    <w:ind w:left="210"/>
                    <w:jc w:val="center"/>
                    <w:rPr>
                      <w:rFonts w:hint="default" w:ascii="Times New Roman" w:hAnsi="Times New Roman" w:eastAsia="宋体" w:cs="Times New Roman"/>
                      <w:sz w:val="21"/>
                      <w:szCs w:val="21"/>
                      <w:highlight w:val="none"/>
                      <w:lang w:val="en-US" w:eastAsia="zh-CN"/>
                    </w:rPr>
                  </w:pPr>
                </w:p>
              </w:tc>
              <w:tc>
                <w:tcPr>
                  <w:tcW w:w="490" w:type="pct"/>
                  <w:tcBorders>
                    <w:tl2br w:val="nil"/>
                    <w:tr2bl w:val="nil"/>
                  </w:tcBorders>
                  <w:shd w:val="clear" w:color="auto" w:fill="auto"/>
                  <w:vAlign w:val="center"/>
                </w:tcPr>
                <w:p w14:paraId="7606E674">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空气干燥</w:t>
                  </w:r>
                </w:p>
              </w:tc>
              <w:tc>
                <w:tcPr>
                  <w:tcW w:w="560" w:type="pct"/>
                  <w:tcBorders>
                    <w:tl2br w:val="nil"/>
                    <w:tr2bl w:val="nil"/>
                  </w:tcBorders>
                  <w:shd w:val="clear" w:color="auto" w:fill="auto"/>
                  <w:vAlign w:val="center"/>
                </w:tcPr>
                <w:p w14:paraId="4968F1B0">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废分子筛</w:t>
                  </w:r>
                </w:p>
              </w:tc>
              <w:tc>
                <w:tcPr>
                  <w:tcW w:w="474" w:type="pct"/>
                  <w:tcBorders>
                    <w:tl2br w:val="nil"/>
                    <w:tr2bl w:val="nil"/>
                  </w:tcBorders>
                  <w:shd w:val="clear" w:color="auto" w:fill="auto"/>
                  <w:vAlign w:val="center"/>
                </w:tcPr>
                <w:p w14:paraId="61CF0613">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c>
                <w:tcPr>
                  <w:tcW w:w="641" w:type="pct"/>
                  <w:tcBorders>
                    <w:tl2br w:val="nil"/>
                    <w:tr2bl w:val="nil"/>
                  </w:tcBorders>
                  <w:shd w:val="clear" w:color="auto" w:fill="auto"/>
                  <w:vAlign w:val="center"/>
                </w:tcPr>
                <w:p w14:paraId="3090EC96">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900-999-99</w:t>
                  </w:r>
                </w:p>
              </w:tc>
              <w:tc>
                <w:tcPr>
                  <w:tcW w:w="307" w:type="pct"/>
                  <w:tcBorders>
                    <w:tl2br w:val="nil"/>
                    <w:tr2bl w:val="nil"/>
                  </w:tcBorders>
                  <w:shd w:val="clear" w:color="auto" w:fill="auto"/>
                  <w:vAlign w:val="center"/>
                </w:tcPr>
                <w:p w14:paraId="698BFF9C">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固态</w:t>
                  </w:r>
                </w:p>
              </w:tc>
              <w:tc>
                <w:tcPr>
                  <w:tcW w:w="491" w:type="pct"/>
                  <w:tcBorders>
                    <w:tl2br w:val="nil"/>
                    <w:tr2bl w:val="nil"/>
                  </w:tcBorders>
                  <w:shd w:val="clear" w:color="auto" w:fill="auto"/>
                  <w:vAlign w:val="center"/>
                </w:tcPr>
                <w:p w14:paraId="44B61367">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c>
                <w:tcPr>
                  <w:tcW w:w="498" w:type="pct"/>
                  <w:tcBorders>
                    <w:tl2br w:val="nil"/>
                    <w:tr2bl w:val="nil"/>
                  </w:tcBorders>
                  <w:shd w:val="clear" w:color="auto" w:fill="auto"/>
                  <w:vAlign w:val="center"/>
                </w:tcPr>
                <w:p w14:paraId="73008092">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0.8</w:t>
                  </w:r>
                </w:p>
              </w:tc>
              <w:tc>
                <w:tcPr>
                  <w:tcW w:w="415" w:type="pct"/>
                  <w:tcBorders>
                    <w:tl2br w:val="nil"/>
                    <w:tr2bl w:val="nil"/>
                  </w:tcBorders>
                  <w:vAlign w:val="center"/>
                </w:tcPr>
                <w:p w14:paraId="3B20A97C">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每10年</w:t>
                  </w:r>
                </w:p>
              </w:tc>
              <w:tc>
                <w:tcPr>
                  <w:tcW w:w="759" w:type="pct"/>
                  <w:vMerge w:val="continue"/>
                  <w:tcBorders>
                    <w:tl2br w:val="nil"/>
                    <w:tr2bl w:val="nil"/>
                  </w:tcBorders>
                  <w:vAlign w:val="center"/>
                </w:tcPr>
                <w:p w14:paraId="5074457D">
                  <w:pPr>
                    <w:widowControl/>
                    <w:jc w:val="center"/>
                    <w:rPr>
                      <w:rFonts w:hint="default" w:ascii="Times New Roman" w:hAnsi="Times New Roman" w:eastAsia="宋体" w:cs="Times New Roman"/>
                      <w:sz w:val="21"/>
                      <w:szCs w:val="21"/>
                      <w:highlight w:val="none"/>
                    </w:rPr>
                  </w:pPr>
                </w:p>
              </w:tc>
            </w:tr>
            <w:tr w14:paraId="2754BB5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360" w:type="pct"/>
                  <w:tcBorders>
                    <w:tl2br w:val="nil"/>
                    <w:tr2bl w:val="nil"/>
                  </w:tcBorders>
                  <w:vAlign w:val="center"/>
                </w:tcPr>
                <w:p w14:paraId="1801E36F">
                  <w:pPr>
                    <w:numPr>
                      <w:ilvl w:val="0"/>
                      <w:numId w:val="54"/>
                    </w:numPr>
                    <w:ind w:left="210"/>
                    <w:jc w:val="center"/>
                    <w:rPr>
                      <w:rFonts w:hint="default" w:ascii="Times New Roman" w:hAnsi="Times New Roman" w:eastAsia="宋体" w:cs="Times New Roman"/>
                      <w:sz w:val="21"/>
                      <w:szCs w:val="21"/>
                      <w:highlight w:val="none"/>
                      <w:lang w:val="en-US" w:eastAsia="zh-CN"/>
                    </w:rPr>
                  </w:pPr>
                </w:p>
              </w:tc>
              <w:tc>
                <w:tcPr>
                  <w:tcW w:w="490" w:type="pct"/>
                  <w:tcBorders>
                    <w:tl2br w:val="nil"/>
                    <w:tr2bl w:val="nil"/>
                  </w:tcBorders>
                  <w:shd w:val="clear" w:color="auto" w:fill="auto"/>
                  <w:vAlign w:val="center"/>
                </w:tcPr>
                <w:p w14:paraId="1CC7D5F5">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员工生活</w:t>
                  </w:r>
                </w:p>
              </w:tc>
              <w:tc>
                <w:tcPr>
                  <w:tcW w:w="560" w:type="pct"/>
                  <w:tcBorders>
                    <w:tl2br w:val="nil"/>
                    <w:tr2bl w:val="nil"/>
                  </w:tcBorders>
                  <w:shd w:val="clear" w:color="auto" w:fill="auto"/>
                  <w:vAlign w:val="center"/>
                </w:tcPr>
                <w:p w14:paraId="2D2FB788">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生活垃圾</w:t>
                  </w:r>
                </w:p>
              </w:tc>
              <w:tc>
                <w:tcPr>
                  <w:tcW w:w="474" w:type="pct"/>
                  <w:tcBorders>
                    <w:tl2br w:val="nil"/>
                    <w:tr2bl w:val="nil"/>
                  </w:tcBorders>
                  <w:shd w:val="clear" w:color="auto" w:fill="auto"/>
                  <w:vAlign w:val="center"/>
                </w:tcPr>
                <w:p w14:paraId="571C3FEC">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c>
                <w:tcPr>
                  <w:tcW w:w="641" w:type="pct"/>
                  <w:tcBorders>
                    <w:tl2br w:val="nil"/>
                    <w:tr2bl w:val="nil"/>
                  </w:tcBorders>
                  <w:shd w:val="clear" w:color="auto" w:fill="auto"/>
                  <w:vAlign w:val="center"/>
                </w:tcPr>
                <w:p w14:paraId="5E165D34">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900-999-99</w:t>
                  </w:r>
                </w:p>
              </w:tc>
              <w:tc>
                <w:tcPr>
                  <w:tcW w:w="307" w:type="pct"/>
                  <w:tcBorders>
                    <w:tl2br w:val="nil"/>
                    <w:tr2bl w:val="nil"/>
                  </w:tcBorders>
                  <w:shd w:val="clear" w:color="auto" w:fill="auto"/>
                  <w:vAlign w:val="center"/>
                </w:tcPr>
                <w:p w14:paraId="3B9C28A8">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固态</w:t>
                  </w:r>
                </w:p>
              </w:tc>
              <w:tc>
                <w:tcPr>
                  <w:tcW w:w="491" w:type="pct"/>
                  <w:tcBorders>
                    <w:tl2br w:val="nil"/>
                    <w:tr2bl w:val="nil"/>
                  </w:tcBorders>
                  <w:shd w:val="clear" w:color="auto" w:fill="auto"/>
                  <w:vAlign w:val="center"/>
                </w:tcPr>
                <w:p w14:paraId="6C22D1BE">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c>
                <w:tcPr>
                  <w:tcW w:w="498" w:type="pct"/>
                  <w:tcBorders>
                    <w:tl2br w:val="nil"/>
                    <w:tr2bl w:val="nil"/>
                  </w:tcBorders>
                  <w:shd w:val="clear" w:color="auto" w:fill="auto"/>
                  <w:vAlign w:val="center"/>
                </w:tcPr>
                <w:p w14:paraId="004ACFBC">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w:t>
                  </w:r>
                </w:p>
              </w:tc>
              <w:tc>
                <w:tcPr>
                  <w:tcW w:w="415" w:type="pct"/>
                  <w:tcBorders>
                    <w:tl2br w:val="nil"/>
                    <w:tr2bl w:val="nil"/>
                  </w:tcBorders>
                  <w:vAlign w:val="center"/>
                </w:tcPr>
                <w:p w14:paraId="34AC6F14">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每天</w:t>
                  </w:r>
                </w:p>
              </w:tc>
              <w:tc>
                <w:tcPr>
                  <w:tcW w:w="759" w:type="pct"/>
                  <w:tcBorders>
                    <w:tl2br w:val="nil"/>
                    <w:tr2bl w:val="nil"/>
                  </w:tcBorders>
                  <w:vAlign w:val="center"/>
                </w:tcPr>
                <w:p w14:paraId="15C19274">
                  <w:pPr>
                    <w:widowControl/>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环卫清运</w:t>
                  </w:r>
                </w:p>
              </w:tc>
            </w:tr>
            <w:tr w14:paraId="6BEE5FA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1" w:hRule="atLeast"/>
                <w:jc w:val="center"/>
              </w:trPr>
              <w:tc>
                <w:tcPr>
                  <w:tcW w:w="3326" w:type="pct"/>
                  <w:gridSpan w:val="7"/>
                  <w:tcBorders>
                    <w:tl2br w:val="nil"/>
                    <w:tr2bl w:val="nil"/>
                  </w:tcBorders>
                  <w:vAlign w:val="center"/>
                </w:tcPr>
                <w:p w14:paraId="71602127">
                  <w:pPr>
                    <w:ind w:firstLine="2940" w:firstLineChars="1400"/>
                    <w:jc w:val="both"/>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小计</w:t>
                  </w:r>
                </w:p>
              </w:tc>
              <w:tc>
                <w:tcPr>
                  <w:tcW w:w="498" w:type="pct"/>
                  <w:tcBorders>
                    <w:tl2br w:val="nil"/>
                    <w:tr2bl w:val="nil"/>
                  </w:tcBorders>
                  <w:vAlign w:val="center"/>
                </w:tcPr>
                <w:p w14:paraId="0409E23D">
                  <w:pPr>
                    <w:widowControl/>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6</w:t>
                  </w:r>
                  <w:r>
                    <w:rPr>
                      <w:rFonts w:hint="default" w:ascii="Times New Roman" w:hAnsi="Times New Roman" w:eastAsia="宋体" w:cs="Times New Roman"/>
                      <w:sz w:val="21"/>
                      <w:szCs w:val="21"/>
                      <w:highlight w:val="none"/>
                      <w:lang w:val="en-US" w:eastAsia="zh-CN"/>
                    </w:rPr>
                    <w:t>.88</w:t>
                  </w:r>
                </w:p>
              </w:tc>
              <w:tc>
                <w:tcPr>
                  <w:tcW w:w="415" w:type="pct"/>
                  <w:tcBorders>
                    <w:tl2br w:val="nil"/>
                    <w:tr2bl w:val="nil"/>
                  </w:tcBorders>
                  <w:vAlign w:val="center"/>
                </w:tcPr>
                <w:p w14:paraId="77174C07">
                  <w:pPr>
                    <w:widowControl/>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c>
                <w:tcPr>
                  <w:tcW w:w="759" w:type="pct"/>
                  <w:tcBorders>
                    <w:tl2br w:val="nil"/>
                    <w:tr2bl w:val="nil"/>
                  </w:tcBorders>
                  <w:vAlign w:val="center"/>
                </w:tcPr>
                <w:p w14:paraId="580CDB6C">
                  <w:pPr>
                    <w:widowControl/>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w:t>
                  </w:r>
                </w:p>
              </w:tc>
            </w:tr>
          </w:tbl>
          <w:p w14:paraId="5F027FBC">
            <w:pPr>
              <w:adjustRightInd w:val="0"/>
              <w:spacing w:line="360" w:lineRule="auto"/>
              <w:ind w:firstLine="480" w:firstLineChars="200"/>
              <w:rPr>
                <w:rFonts w:hint="default" w:ascii="Times New Roman" w:hAnsi="Times New Roman" w:eastAsia="宋体" w:cs="Times New Roman"/>
                <w:sz w:val="24"/>
                <w:highlight w:val="none"/>
                <w:vertAlign w:val="baseline"/>
                <w:lang w:val="en-US" w:eastAsia="zh-CN"/>
              </w:rPr>
            </w:pPr>
            <w:r>
              <w:rPr>
                <w:rFonts w:hint="default" w:ascii="Times New Roman" w:hAnsi="Times New Roman" w:eastAsia="宋体" w:cs="Times New Roman"/>
                <w:sz w:val="24"/>
                <w:highlight w:val="none"/>
                <w:lang w:val="en-US" w:eastAsia="zh-CN"/>
              </w:rPr>
              <w:t>本下项目在二层东北角建设一间10.96</w:t>
            </w:r>
            <w:r>
              <w:rPr>
                <w:rFonts w:hint="default" w:ascii="Times New Roman" w:hAnsi="Times New Roman" w:eastAsia="宋体" w:cs="Times New Roman"/>
                <w:sz w:val="24"/>
                <w:highlight w:val="none"/>
              </w:rPr>
              <w:t>m</w:t>
            </w:r>
            <w:r>
              <w:rPr>
                <w:rFonts w:hint="default" w:ascii="Times New Roman" w:hAnsi="Times New Roman" w:eastAsia="宋体" w:cs="Times New Roman"/>
                <w:sz w:val="24"/>
                <w:highlight w:val="none"/>
                <w:vertAlign w:val="superscript"/>
              </w:rPr>
              <w:t>2</w:t>
            </w:r>
            <w:r>
              <w:rPr>
                <w:rFonts w:hint="default" w:ascii="Times New Roman" w:hAnsi="Times New Roman" w:eastAsia="宋体" w:cs="Times New Roman"/>
                <w:sz w:val="24"/>
                <w:highlight w:val="none"/>
                <w:lang w:val="en-US" w:eastAsia="zh-CN"/>
              </w:rPr>
              <w:t>的</w:t>
            </w:r>
            <w:r>
              <w:rPr>
                <w:rFonts w:hint="default" w:ascii="Times New Roman" w:hAnsi="Times New Roman" w:eastAsia="宋体" w:cs="Times New Roman"/>
                <w:sz w:val="24"/>
                <w:highlight w:val="none"/>
                <w:vertAlign w:val="baseline"/>
                <w:lang w:val="en-US" w:eastAsia="zh-CN"/>
              </w:rPr>
              <w:t>一般固废暂存间，废分子筛0.8吨，产废周期10年，</w:t>
            </w:r>
            <w:r>
              <w:rPr>
                <w:rFonts w:hint="eastAsia" w:ascii="Times New Roman" w:hAnsi="Times New Roman" w:eastAsia="宋体" w:cs="Times New Roman"/>
                <w:sz w:val="24"/>
                <w:highlight w:val="none"/>
                <w:vertAlign w:val="baseline"/>
                <w:lang w:val="en-US" w:eastAsia="zh-CN"/>
              </w:rPr>
              <w:t>生活垃圾分类收集至园区垃圾箱，</w:t>
            </w:r>
            <w:r>
              <w:rPr>
                <w:rFonts w:hint="default" w:ascii="Times New Roman" w:hAnsi="Times New Roman" w:eastAsia="宋体" w:cs="Times New Roman"/>
                <w:sz w:val="24"/>
                <w:highlight w:val="none"/>
                <w:vertAlign w:val="baseline"/>
                <w:lang w:val="en-US" w:eastAsia="zh-CN"/>
              </w:rPr>
              <w:t>其他一般固废产生量1.08t/a，一般固废间能满足本项目的贮存要求。</w:t>
            </w:r>
          </w:p>
          <w:p w14:paraId="314384B7">
            <w:pPr>
              <w:adjustRightIn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本项目在一层北侧偏东及前驱体制备间，分别</w:t>
            </w:r>
            <w:r>
              <w:rPr>
                <w:rFonts w:hint="default" w:ascii="Times New Roman" w:hAnsi="Times New Roman" w:eastAsia="宋体" w:cs="Times New Roman"/>
                <w:sz w:val="24"/>
                <w:highlight w:val="none"/>
              </w:rPr>
              <w:t>按照《危险废物贮存污染控制标准》（GB18597-2023）要求</w:t>
            </w:r>
            <w:r>
              <w:rPr>
                <w:rFonts w:hint="default" w:ascii="Times New Roman" w:hAnsi="Times New Roman" w:eastAsia="宋体" w:cs="Times New Roman"/>
                <w:sz w:val="24"/>
                <w:highlight w:val="none"/>
                <w:lang w:val="en-US" w:eastAsia="zh-CN"/>
              </w:rPr>
              <w:t>建设危险废物暂存间2个（TS001、TS002），危险废物暂存间情况见下表。</w:t>
            </w:r>
          </w:p>
          <w:p w14:paraId="446E9471">
            <w:pPr>
              <w:numPr>
                <w:ilvl w:val="0"/>
                <w:numId w:val="48"/>
              </w:numPr>
              <w:adjustRightInd w:val="0"/>
              <w:spacing w:line="360" w:lineRule="auto"/>
              <w:ind w:left="425" w:leftChars="0" w:hanging="425" w:firstLineChars="0"/>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项目</w:t>
            </w:r>
            <w:r>
              <w:rPr>
                <w:rFonts w:hint="default" w:ascii="Times New Roman" w:hAnsi="Times New Roman" w:eastAsia="宋体" w:cs="Times New Roman"/>
                <w:b/>
                <w:sz w:val="24"/>
                <w:highlight w:val="none"/>
                <w:lang w:val="en-US" w:eastAsia="zh-CN"/>
              </w:rPr>
              <w:t>危险废物暂存间</w:t>
            </w:r>
            <w:r>
              <w:rPr>
                <w:rFonts w:hint="default" w:ascii="Times New Roman" w:hAnsi="Times New Roman" w:eastAsia="宋体" w:cs="Times New Roman"/>
                <w:b/>
                <w:sz w:val="24"/>
                <w:highlight w:val="none"/>
              </w:rPr>
              <w:t>情况一览表</w:t>
            </w:r>
          </w:p>
          <w:tbl>
            <w:tblPr>
              <w:tblStyle w:val="18"/>
              <w:tblW w:w="7448"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42"/>
              <w:gridCol w:w="999"/>
              <w:gridCol w:w="1347"/>
              <w:gridCol w:w="1413"/>
              <w:gridCol w:w="840"/>
              <w:gridCol w:w="734"/>
              <w:gridCol w:w="747"/>
              <w:gridCol w:w="826"/>
            </w:tblGrid>
            <w:tr w14:paraId="2F2E564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2" w:type="dxa"/>
                  <w:tcBorders>
                    <w:tl2br w:val="nil"/>
                    <w:tr2bl w:val="nil"/>
                  </w:tcBorders>
                  <w:vAlign w:val="center"/>
                </w:tcPr>
                <w:p w14:paraId="5D839C6B">
                  <w:pPr>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序号</w:t>
                  </w:r>
                </w:p>
              </w:tc>
              <w:tc>
                <w:tcPr>
                  <w:tcW w:w="999" w:type="dxa"/>
                  <w:tcBorders>
                    <w:tl2br w:val="nil"/>
                    <w:tr2bl w:val="nil"/>
                  </w:tcBorders>
                  <w:vAlign w:val="center"/>
                </w:tcPr>
                <w:p w14:paraId="476538BF">
                  <w:pPr>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设施</w:t>
                  </w:r>
                </w:p>
                <w:p w14:paraId="1F36F7D7">
                  <w:pPr>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编号</w:t>
                  </w:r>
                </w:p>
              </w:tc>
              <w:tc>
                <w:tcPr>
                  <w:tcW w:w="1347" w:type="dxa"/>
                  <w:tcBorders>
                    <w:tl2br w:val="nil"/>
                    <w:tr2bl w:val="nil"/>
                  </w:tcBorders>
                  <w:vAlign w:val="center"/>
                </w:tcPr>
                <w:p w14:paraId="3E7ED30A">
                  <w:pPr>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危险废物名称</w:t>
                  </w:r>
                </w:p>
              </w:tc>
              <w:tc>
                <w:tcPr>
                  <w:tcW w:w="1413" w:type="dxa"/>
                  <w:tcBorders>
                    <w:tl2br w:val="nil"/>
                    <w:tr2bl w:val="nil"/>
                  </w:tcBorders>
                  <w:vAlign w:val="center"/>
                </w:tcPr>
                <w:p w14:paraId="2C123496">
                  <w:pPr>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危险废物代码</w:t>
                  </w:r>
                </w:p>
              </w:tc>
              <w:tc>
                <w:tcPr>
                  <w:tcW w:w="840" w:type="dxa"/>
                  <w:tcBorders>
                    <w:tl2br w:val="nil"/>
                    <w:tr2bl w:val="nil"/>
                  </w:tcBorders>
                  <w:vAlign w:val="center"/>
                </w:tcPr>
                <w:p w14:paraId="27993DBB">
                  <w:pPr>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贮存方式</w:t>
                  </w:r>
                </w:p>
              </w:tc>
              <w:tc>
                <w:tcPr>
                  <w:tcW w:w="734" w:type="dxa"/>
                  <w:tcBorders>
                    <w:tl2br w:val="nil"/>
                    <w:tr2bl w:val="nil"/>
                  </w:tcBorders>
                  <w:vAlign w:val="center"/>
                </w:tcPr>
                <w:p w14:paraId="079598C1">
                  <w:pPr>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面积</w:t>
                  </w:r>
                </w:p>
                <w:p w14:paraId="1DE59271">
                  <w:pPr>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m</w:t>
                  </w:r>
                  <w:r>
                    <w:rPr>
                      <w:rFonts w:hint="default" w:ascii="Times New Roman" w:hAnsi="Times New Roman" w:eastAsia="宋体" w:cs="Times New Roman"/>
                      <w:b/>
                      <w:bCs/>
                      <w:sz w:val="21"/>
                      <w:szCs w:val="21"/>
                      <w:highlight w:val="none"/>
                      <w:vertAlign w:val="superscript"/>
                      <w:lang w:val="en-US" w:eastAsia="zh-CN"/>
                    </w:rPr>
                    <w:t>2</w:t>
                  </w:r>
                </w:p>
              </w:tc>
              <w:tc>
                <w:tcPr>
                  <w:tcW w:w="747" w:type="dxa"/>
                  <w:tcBorders>
                    <w:tl2br w:val="nil"/>
                    <w:tr2bl w:val="nil"/>
                  </w:tcBorders>
                  <w:vAlign w:val="center"/>
                </w:tcPr>
                <w:p w14:paraId="3CA36F29">
                  <w:pPr>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贮存能力</w:t>
                  </w:r>
                </w:p>
              </w:tc>
              <w:tc>
                <w:tcPr>
                  <w:tcW w:w="826" w:type="dxa"/>
                  <w:tcBorders>
                    <w:tl2br w:val="nil"/>
                    <w:tr2bl w:val="nil"/>
                  </w:tcBorders>
                  <w:vAlign w:val="center"/>
                </w:tcPr>
                <w:p w14:paraId="43BCAC61">
                  <w:pPr>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贮存周期</w:t>
                  </w:r>
                </w:p>
              </w:tc>
            </w:tr>
            <w:tr w14:paraId="6D87B8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2" w:type="dxa"/>
                  <w:tcBorders>
                    <w:tl2br w:val="nil"/>
                    <w:tr2bl w:val="nil"/>
                  </w:tcBorders>
                  <w:vAlign w:val="center"/>
                </w:tcPr>
                <w:p w14:paraId="6C594E38">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c>
                <w:tcPr>
                  <w:tcW w:w="999" w:type="dxa"/>
                  <w:vMerge w:val="restart"/>
                  <w:tcBorders>
                    <w:tl2br w:val="nil"/>
                    <w:tr2bl w:val="nil"/>
                  </w:tcBorders>
                  <w:vAlign w:val="center"/>
                </w:tcPr>
                <w:p w14:paraId="562D1979">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TS001</w:t>
                  </w:r>
                </w:p>
              </w:tc>
              <w:tc>
                <w:tcPr>
                  <w:tcW w:w="1347" w:type="dxa"/>
                  <w:tcBorders>
                    <w:tl2br w:val="nil"/>
                    <w:tr2bl w:val="nil"/>
                  </w:tcBorders>
                  <w:shd w:val="clear" w:color="auto" w:fill="auto"/>
                  <w:vAlign w:val="center"/>
                </w:tcPr>
                <w:p w14:paraId="53E1D0A1">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废电池</w:t>
                  </w:r>
                </w:p>
              </w:tc>
              <w:tc>
                <w:tcPr>
                  <w:tcW w:w="1413" w:type="dxa"/>
                  <w:tcBorders>
                    <w:tl2br w:val="nil"/>
                    <w:tr2bl w:val="nil"/>
                  </w:tcBorders>
                  <w:shd w:val="clear" w:color="auto" w:fill="auto"/>
                  <w:vAlign w:val="center"/>
                </w:tcPr>
                <w:p w14:paraId="763C811D">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900-044-49</w:t>
                  </w:r>
                </w:p>
              </w:tc>
              <w:tc>
                <w:tcPr>
                  <w:tcW w:w="840" w:type="dxa"/>
                  <w:tcBorders>
                    <w:tl2br w:val="nil"/>
                    <w:tr2bl w:val="nil"/>
                  </w:tcBorders>
                  <w:vAlign w:val="center"/>
                </w:tcPr>
                <w:p w14:paraId="5C641B4C">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袋装</w:t>
                  </w:r>
                </w:p>
              </w:tc>
              <w:tc>
                <w:tcPr>
                  <w:tcW w:w="734" w:type="dxa"/>
                  <w:vMerge w:val="restart"/>
                  <w:tcBorders>
                    <w:tl2br w:val="nil"/>
                    <w:tr2bl w:val="nil"/>
                  </w:tcBorders>
                  <w:vAlign w:val="center"/>
                </w:tcPr>
                <w:p w14:paraId="11BAB6E1">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2.7</w:t>
                  </w:r>
                </w:p>
              </w:tc>
              <w:tc>
                <w:tcPr>
                  <w:tcW w:w="747" w:type="dxa"/>
                  <w:vMerge w:val="restart"/>
                  <w:tcBorders>
                    <w:tl2br w:val="nil"/>
                    <w:tr2bl w:val="nil"/>
                  </w:tcBorders>
                  <w:vAlign w:val="center"/>
                </w:tcPr>
                <w:p w14:paraId="40281055">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2吨</w:t>
                  </w:r>
                </w:p>
              </w:tc>
              <w:tc>
                <w:tcPr>
                  <w:tcW w:w="826" w:type="dxa"/>
                  <w:tcBorders>
                    <w:tl2br w:val="nil"/>
                    <w:tr2bl w:val="nil"/>
                  </w:tcBorders>
                  <w:vAlign w:val="center"/>
                </w:tcPr>
                <w:p w14:paraId="793EFE51">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3个月</w:t>
                  </w:r>
                </w:p>
              </w:tc>
            </w:tr>
            <w:tr w14:paraId="5987D90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2" w:type="dxa"/>
                  <w:tcBorders>
                    <w:tl2br w:val="nil"/>
                    <w:tr2bl w:val="nil"/>
                  </w:tcBorders>
                  <w:vAlign w:val="center"/>
                </w:tcPr>
                <w:p w14:paraId="32B32C73">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p>
              </w:tc>
              <w:tc>
                <w:tcPr>
                  <w:tcW w:w="999" w:type="dxa"/>
                  <w:vMerge w:val="continue"/>
                  <w:tcBorders>
                    <w:tl2br w:val="nil"/>
                    <w:tr2bl w:val="nil"/>
                  </w:tcBorders>
                  <w:vAlign w:val="center"/>
                </w:tcPr>
                <w:p w14:paraId="39F39F23">
                  <w:pPr>
                    <w:jc w:val="center"/>
                    <w:rPr>
                      <w:rFonts w:hint="default" w:ascii="Times New Roman" w:hAnsi="Times New Roman" w:eastAsia="宋体" w:cs="Times New Roman"/>
                      <w:sz w:val="21"/>
                      <w:szCs w:val="21"/>
                      <w:highlight w:val="none"/>
                      <w:lang w:val="en-US" w:eastAsia="zh-CN"/>
                    </w:rPr>
                  </w:pPr>
                </w:p>
              </w:tc>
              <w:tc>
                <w:tcPr>
                  <w:tcW w:w="1347" w:type="dxa"/>
                  <w:tcBorders>
                    <w:tl2br w:val="nil"/>
                    <w:tr2bl w:val="nil"/>
                  </w:tcBorders>
                  <w:shd w:val="clear" w:color="auto" w:fill="auto"/>
                  <w:vAlign w:val="center"/>
                </w:tcPr>
                <w:p w14:paraId="4E116741">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设备清洗废液</w:t>
                  </w:r>
                </w:p>
              </w:tc>
              <w:tc>
                <w:tcPr>
                  <w:tcW w:w="1413" w:type="dxa"/>
                  <w:tcBorders>
                    <w:tl2br w:val="nil"/>
                    <w:tr2bl w:val="nil"/>
                  </w:tcBorders>
                  <w:shd w:val="clear" w:color="auto" w:fill="auto"/>
                  <w:vAlign w:val="center"/>
                </w:tcPr>
                <w:p w14:paraId="022F884C">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900-047-49</w:t>
                  </w:r>
                </w:p>
              </w:tc>
              <w:tc>
                <w:tcPr>
                  <w:tcW w:w="840" w:type="dxa"/>
                  <w:tcBorders>
                    <w:tl2br w:val="nil"/>
                    <w:tr2bl w:val="nil"/>
                  </w:tcBorders>
                  <w:vAlign w:val="center"/>
                </w:tcPr>
                <w:p w14:paraId="50FC90DE">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桶装</w:t>
                  </w:r>
                </w:p>
              </w:tc>
              <w:tc>
                <w:tcPr>
                  <w:tcW w:w="734" w:type="dxa"/>
                  <w:vMerge w:val="continue"/>
                  <w:tcBorders>
                    <w:tl2br w:val="nil"/>
                    <w:tr2bl w:val="nil"/>
                  </w:tcBorders>
                  <w:vAlign w:val="center"/>
                </w:tcPr>
                <w:p w14:paraId="094D43AE">
                  <w:pPr>
                    <w:jc w:val="center"/>
                    <w:rPr>
                      <w:rFonts w:hint="default" w:ascii="Times New Roman" w:hAnsi="Times New Roman" w:eastAsia="宋体" w:cs="Times New Roman"/>
                      <w:sz w:val="21"/>
                      <w:szCs w:val="21"/>
                      <w:highlight w:val="none"/>
                      <w:lang w:val="en-US" w:eastAsia="zh-CN"/>
                    </w:rPr>
                  </w:pPr>
                </w:p>
              </w:tc>
              <w:tc>
                <w:tcPr>
                  <w:tcW w:w="747" w:type="dxa"/>
                  <w:vMerge w:val="continue"/>
                  <w:tcBorders>
                    <w:tl2br w:val="nil"/>
                    <w:tr2bl w:val="nil"/>
                  </w:tcBorders>
                  <w:vAlign w:val="center"/>
                </w:tcPr>
                <w:p w14:paraId="6EDF7A86">
                  <w:pPr>
                    <w:jc w:val="center"/>
                    <w:rPr>
                      <w:rFonts w:hint="default" w:ascii="Times New Roman" w:hAnsi="Times New Roman" w:eastAsia="宋体" w:cs="Times New Roman"/>
                      <w:sz w:val="21"/>
                      <w:szCs w:val="21"/>
                      <w:highlight w:val="none"/>
                      <w:lang w:val="en-US" w:eastAsia="zh-CN"/>
                    </w:rPr>
                  </w:pPr>
                </w:p>
              </w:tc>
              <w:tc>
                <w:tcPr>
                  <w:tcW w:w="826" w:type="dxa"/>
                  <w:tcBorders>
                    <w:tl2br w:val="nil"/>
                    <w:tr2bl w:val="nil"/>
                  </w:tcBorders>
                  <w:vAlign w:val="center"/>
                </w:tcPr>
                <w:p w14:paraId="0FA44BBB">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3个月</w:t>
                  </w:r>
                </w:p>
              </w:tc>
            </w:tr>
            <w:tr w14:paraId="4D8D753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2" w:type="dxa"/>
                  <w:tcBorders>
                    <w:tl2br w:val="nil"/>
                    <w:tr2bl w:val="nil"/>
                  </w:tcBorders>
                  <w:vAlign w:val="center"/>
                </w:tcPr>
                <w:p w14:paraId="307677A2">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w:t>
                  </w:r>
                </w:p>
              </w:tc>
              <w:tc>
                <w:tcPr>
                  <w:tcW w:w="999" w:type="dxa"/>
                  <w:vMerge w:val="continue"/>
                  <w:tcBorders>
                    <w:tl2br w:val="nil"/>
                    <w:tr2bl w:val="nil"/>
                  </w:tcBorders>
                  <w:vAlign w:val="center"/>
                </w:tcPr>
                <w:p w14:paraId="69F6531D">
                  <w:pPr>
                    <w:jc w:val="center"/>
                    <w:rPr>
                      <w:rFonts w:hint="default" w:ascii="Times New Roman" w:hAnsi="Times New Roman" w:eastAsia="宋体" w:cs="Times New Roman"/>
                      <w:sz w:val="21"/>
                      <w:szCs w:val="21"/>
                      <w:highlight w:val="none"/>
                      <w:lang w:val="en-US" w:eastAsia="zh-CN"/>
                    </w:rPr>
                  </w:pPr>
                </w:p>
              </w:tc>
              <w:tc>
                <w:tcPr>
                  <w:tcW w:w="1347" w:type="dxa"/>
                  <w:tcBorders>
                    <w:tl2br w:val="nil"/>
                    <w:tr2bl w:val="nil"/>
                  </w:tcBorders>
                  <w:shd w:val="clear" w:color="auto" w:fill="auto"/>
                  <w:vAlign w:val="center"/>
                </w:tcPr>
                <w:p w14:paraId="660F2E5C">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废包装材料</w:t>
                  </w:r>
                </w:p>
              </w:tc>
              <w:tc>
                <w:tcPr>
                  <w:tcW w:w="1413" w:type="dxa"/>
                  <w:tcBorders>
                    <w:tl2br w:val="nil"/>
                    <w:tr2bl w:val="nil"/>
                  </w:tcBorders>
                  <w:shd w:val="clear" w:color="auto" w:fill="auto"/>
                  <w:vAlign w:val="center"/>
                </w:tcPr>
                <w:p w14:paraId="753D3AEE">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900-041-49</w:t>
                  </w:r>
                </w:p>
              </w:tc>
              <w:tc>
                <w:tcPr>
                  <w:tcW w:w="840" w:type="dxa"/>
                  <w:tcBorders>
                    <w:tl2br w:val="nil"/>
                    <w:tr2bl w:val="nil"/>
                  </w:tcBorders>
                  <w:vAlign w:val="center"/>
                </w:tcPr>
                <w:p w14:paraId="0AA00EC0">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袋装</w:t>
                  </w:r>
                </w:p>
              </w:tc>
              <w:tc>
                <w:tcPr>
                  <w:tcW w:w="734" w:type="dxa"/>
                  <w:vMerge w:val="continue"/>
                  <w:tcBorders>
                    <w:tl2br w:val="nil"/>
                    <w:tr2bl w:val="nil"/>
                  </w:tcBorders>
                  <w:vAlign w:val="center"/>
                </w:tcPr>
                <w:p w14:paraId="5A4F0A56">
                  <w:pPr>
                    <w:jc w:val="center"/>
                    <w:rPr>
                      <w:rFonts w:hint="default" w:ascii="Times New Roman" w:hAnsi="Times New Roman" w:eastAsia="宋体" w:cs="Times New Roman"/>
                      <w:sz w:val="21"/>
                      <w:szCs w:val="21"/>
                      <w:highlight w:val="none"/>
                      <w:lang w:val="en-US" w:eastAsia="zh-CN"/>
                    </w:rPr>
                  </w:pPr>
                </w:p>
              </w:tc>
              <w:tc>
                <w:tcPr>
                  <w:tcW w:w="747" w:type="dxa"/>
                  <w:vMerge w:val="continue"/>
                  <w:tcBorders>
                    <w:tl2br w:val="nil"/>
                    <w:tr2bl w:val="nil"/>
                  </w:tcBorders>
                  <w:vAlign w:val="center"/>
                </w:tcPr>
                <w:p w14:paraId="00D14378">
                  <w:pPr>
                    <w:jc w:val="center"/>
                    <w:rPr>
                      <w:rFonts w:hint="default" w:ascii="Times New Roman" w:hAnsi="Times New Roman" w:eastAsia="宋体" w:cs="Times New Roman"/>
                      <w:sz w:val="21"/>
                      <w:szCs w:val="21"/>
                      <w:highlight w:val="none"/>
                      <w:lang w:val="en-US" w:eastAsia="zh-CN"/>
                    </w:rPr>
                  </w:pPr>
                </w:p>
              </w:tc>
              <w:tc>
                <w:tcPr>
                  <w:tcW w:w="826" w:type="dxa"/>
                  <w:tcBorders>
                    <w:tl2br w:val="nil"/>
                    <w:tr2bl w:val="nil"/>
                  </w:tcBorders>
                  <w:vAlign w:val="center"/>
                </w:tcPr>
                <w:p w14:paraId="53BBD3B0">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3个月</w:t>
                  </w:r>
                </w:p>
              </w:tc>
            </w:tr>
            <w:tr w14:paraId="4628FF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2" w:type="dxa"/>
                  <w:tcBorders>
                    <w:tl2br w:val="nil"/>
                    <w:tr2bl w:val="nil"/>
                  </w:tcBorders>
                  <w:vAlign w:val="center"/>
                </w:tcPr>
                <w:p w14:paraId="0478F994">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4</w:t>
                  </w:r>
                </w:p>
              </w:tc>
              <w:tc>
                <w:tcPr>
                  <w:tcW w:w="999" w:type="dxa"/>
                  <w:vMerge w:val="continue"/>
                  <w:tcBorders>
                    <w:tl2br w:val="nil"/>
                    <w:tr2bl w:val="nil"/>
                  </w:tcBorders>
                  <w:vAlign w:val="center"/>
                </w:tcPr>
                <w:p w14:paraId="0732223D">
                  <w:pPr>
                    <w:jc w:val="center"/>
                    <w:rPr>
                      <w:rFonts w:hint="default" w:ascii="Times New Roman" w:hAnsi="Times New Roman" w:eastAsia="宋体" w:cs="Times New Roman"/>
                      <w:sz w:val="21"/>
                      <w:szCs w:val="21"/>
                      <w:highlight w:val="none"/>
                      <w:lang w:val="en-US" w:eastAsia="zh-CN"/>
                    </w:rPr>
                  </w:pPr>
                </w:p>
              </w:tc>
              <w:tc>
                <w:tcPr>
                  <w:tcW w:w="1347" w:type="dxa"/>
                  <w:tcBorders>
                    <w:tl2br w:val="nil"/>
                    <w:tr2bl w:val="nil"/>
                  </w:tcBorders>
                  <w:shd w:val="clear" w:color="auto" w:fill="auto"/>
                  <w:vAlign w:val="center"/>
                </w:tcPr>
                <w:p w14:paraId="27336996">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废切削液</w:t>
                  </w:r>
                </w:p>
              </w:tc>
              <w:tc>
                <w:tcPr>
                  <w:tcW w:w="1413" w:type="dxa"/>
                  <w:tcBorders>
                    <w:tl2br w:val="nil"/>
                    <w:tr2bl w:val="nil"/>
                  </w:tcBorders>
                  <w:shd w:val="clear" w:color="auto" w:fill="auto"/>
                  <w:vAlign w:val="center"/>
                </w:tcPr>
                <w:p w14:paraId="15AC82CE">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900-006-09</w:t>
                  </w:r>
                </w:p>
              </w:tc>
              <w:tc>
                <w:tcPr>
                  <w:tcW w:w="840" w:type="dxa"/>
                  <w:tcBorders>
                    <w:tl2br w:val="nil"/>
                    <w:tr2bl w:val="nil"/>
                  </w:tcBorders>
                  <w:vAlign w:val="center"/>
                </w:tcPr>
                <w:p w14:paraId="5C922703">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桶装</w:t>
                  </w:r>
                </w:p>
              </w:tc>
              <w:tc>
                <w:tcPr>
                  <w:tcW w:w="734" w:type="dxa"/>
                  <w:vMerge w:val="continue"/>
                  <w:tcBorders>
                    <w:tl2br w:val="nil"/>
                    <w:tr2bl w:val="nil"/>
                  </w:tcBorders>
                  <w:vAlign w:val="center"/>
                </w:tcPr>
                <w:p w14:paraId="67EF424D">
                  <w:pPr>
                    <w:jc w:val="center"/>
                    <w:rPr>
                      <w:rFonts w:hint="default" w:ascii="Times New Roman" w:hAnsi="Times New Roman" w:eastAsia="宋体" w:cs="Times New Roman"/>
                      <w:sz w:val="21"/>
                      <w:szCs w:val="21"/>
                      <w:highlight w:val="none"/>
                      <w:lang w:val="en-US" w:eastAsia="zh-CN"/>
                    </w:rPr>
                  </w:pPr>
                </w:p>
              </w:tc>
              <w:tc>
                <w:tcPr>
                  <w:tcW w:w="747" w:type="dxa"/>
                  <w:vMerge w:val="continue"/>
                  <w:tcBorders>
                    <w:tl2br w:val="nil"/>
                    <w:tr2bl w:val="nil"/>
                  </w:tcBorders>
                  <w:vAlign w:val="center"/>
                </w:tcPr>
                <w:p w14:paraId="41C63DC9">
                  <w:pPr>
                    <w:jc w:val="center"/>
                    <w:rPr>
                      <w:rFonts w:hint="default" w:ascii="Times New Roman" w:hAnsi="Times New Roman" w:eastAsia="宋体" w:cs="Times New Roman"/>
                      <w:sz w:val="21"/>
                      <w:szCs w:val="21"/>
                      <w:highlight w:val="none"/>
                      <w:lang w:val="en-US" w:eastAsia="zh-CN"/>
                    </w:rPr>
                  </w:pPr>
                </w:p>
              </w:tc>
              <w:tc>
                <w:tcPr>
                  <w:tcW w:w="826" w:type="dxa"/>
                  <w:tcBorders>
                    <w:tl2br w:val="nil"/>
                    <w:tr2bl w:val="nil"/>
                  </w:tcBorders>
                  <w:vAlign w:val="center"/>
                </w:tcPr>
                <w:p w14:paraId="2D5AB1F7">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3个月</w:t>
                  </w:r>
                </w:p>
              </w:tc>
            </w:tr>
            <w:tr w14:paraId="26D0C45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2" w:type="dxa"/>
                  <w:tcBorders>
                    <w:tl2br w:val="nil"/>
                    <w:tr2bl w:val="nil"/>
                  </w:tcBorders>
                  <w:vAlign w:val="center"/>
                </w:tcPr>
                <w:p w14:paraId="63ACB830">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w:t>
                  </w:r>
                </w:p>
              </w:tc>
              <w:tc>
                <w:tcPr>
                  <w:tcW w:w="999" w:type="dxa"/>
                  <w:vMerge w:val="continue"/>
                  <w:tcBorders>
                    <w:tl2br w:val="nil"/>
                    <w:tr2bl w:val="nil"/>
                  </w:tcBorders>
                  <w:vAlign w:val="center"/>
                </w:tcPr>
                <w:p w14:paraId="338DC0BC">
                  <w:pPr>
                    <w:jc w:val="center"/>
                    <w:rPr>
                      <w:rFonts w:hint="default" w:ascii="Times New Roman" w:hAnsi="Times New Roman" w:eastAsia="宋体" w:cs="Times New Roman"/>
                      <w:sz w:val="21"/>
                      <w:szCs w:val="21"/>
                      <w:highlight w:val="none"/>
                      <w:lang w:val="en-US" w:eastAsia="zh-CN"/>
                    </w:rPr>
                  </w:pPr>
                </w:p>
              </w:tc>
              <w:tc>
                <w:tcPr>
                  <w:tcW w:w="1347" w:type="dxa"/>
                  <w:tcBorders>
                    <w:tl2br w:val="nil"/>
                    <w:tr2bl w:val="nil"/>
                  </w:tcBorders>
                  <w:shd w:val="clear" w:color="auto" w:fill="auto"/>
                  <w:vAlign w:val="center"/>
                </w:tcPr>
                <w:p w14:paraId="2FDDBC53">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废一次性耗材</w:t>
                  </w:r>
                </w:p>
              </w:tc>
              <w:tc>
                <w:tcPr>
                  <w:tcW w:w="1413" w:type="dxa"/>
                  <w:tcBorders>
                    <w:tl2br w:val="nil"/>
                    <w:tr2bl w:val="nil"/>
                  </w:tcBorders>
                  <w:shd w:val="clear" w:color="auto" w:fill="auto"/>
                  <w:vAlign w:val="center"/>
                </w:tcPr>
                <w:p w14:paraId="0F8144EE">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900-047-49</w:t>
                  </w:r>
                </w:p>
              </w:tc>
              <w:tc>
                <w:tcPr>
                  <w:tcW w:w="840" w:type="dxa"/>
                  <w:tcBorders>
                    <w:tl2br w:val="nil"/>
                    <w:tr2bl w:val="nil"/>
                  </w:tcBorders>
                  <w:vAlign w:val="center"/>
                </w:tcPr>
                <w:p w14:paraId="4496C890">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袋装</w:t>
                  </w:r>
                </w:p>
              </w:tc>
              <w:tc>
                <w:tcPr>
                  <w:tcW w:w="734" w:type="dxa"/>
                  <w:vMerge w:val="continue"/>
                  <w:tcBorders>
                    <w:tl2br w:val="nil"/>
                    <w:tr2bl w:val="nil"/>
                  </w:tcBorders>
                  <w:vAlign w:val="center"/>
                </w:tcPr>
                <w:p w14:paraId="26267CA9">
                  <w:pPr>
                    <w:jc w:val="center"/>
                    <w:rPr>
                      <w:rFonts w:hint="default" w:ascii="Times New Roman" w:hAnsi="Times New Roman" w:eastAsia="宋体" w:cs="Times New Roman"/>
                      <w:sz w:val="21"/>
                      <w:szCs w:val="21"/>
                      <w:highlight w:val="none"/>
                      <w:lang w:val="en-US" w:eastAsia="zh-CN"/>
                    </w:rPr>
                  </w:pPr>
                </w:p>
              </w:tc>
              <w:tc>
                <w:tcPr>
                  <w:tcW w:w="747" w:type="dxa"/>
                  <w:vMerge w:val="continue"/>
                  <w:tcBorders>
                    <w:tl2br w:val="nil"/>
                    <w:tr2bl w:val="nil"/>
                  </w:tcBorders>
                  <w:vAlign w:val="center"/>
                </w:tcPr>
                <w:p w14:paraId="2D5A0E64">
                  <w:pPr>
                    <w:jc w:val="center"/>
                    <w:rPr>
                      <w:rFonts w:hint="default" w:ascii="Times New Roman" w:hAnsi="Times New Roman" w:eastAsia="宋体" w:cs="Times New Roman"/>
                      <w:sz w:val="21"/>
                      <w:szCs w:val="21"/>
                      <w:highlight w:val="none"/>
                      <w:lang w:val="en-US" w:eastAsia="zh-CN"/>
                    </w:rPr>
                  </w:pPr>
                </w:p>
              </w:tc>
              <w:tc>
                <w:tcPr>
                  <w:tcW w:w="826" w:type="dxa"/>
                  <w:tcBorders>
                    <w:tl2br w:val="nil"/>
                    <w:tr2bl w:val="nil"/>
                  </w:tcBorders>
                  <w:vAlign w:val="center"/>
                </w:tcPr>
                <w:p w14:paraId="7BCBB342">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3个月</w:t>
                  </w:r>
                </w:p>
              </w:tc>
            </w:tr>
            <w:tr w14:paraId="4E8750C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2" w:type="dxa"/>
                  <w:tcBorders>
                    <w:tl2br w:val="nil"/>
                    <w:tr2bl w:val="nil"/>
                  </w:tcBorders>
                  <w:vAlign w:val="center"/>
                </w:tcPr>
                <w:p w14:paraId="67BEEDDF">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6</w:t>
                  </w:r>
                </w:p>
              </w:tc>
              <w:tc>
                <w:tcPr>
                  <w:tcW w:w="999" w:type="dxa"/>
                  <w:vMerge w:val="continue"/>
                  <w:tcBorders>
                    <w:tl2br w:val="nil"/>
                    <w:tr2bl w:val="nil"/>
                  </w:tcBorders>
                  <w:vAlign w:val="center"/>
                </w:tcPr>
                <w:p w14:paraId="0F741E67">
                  <w:pPr>
                    <w:jc w:val="center"/>
                    <w:rPr>
                      <w:rFonts w:hint="default" w:ascii="Times New Roman" w:hAnsi="Times New Roman" w:eastAsia="宋体" w:cs="Times New Roman"/>
                      <w:sz w:val="21"/>
                      <w:szCs w:val="21"/>
                      <w:highlight w:val="none"/>
                      <w:lang w:val="en-US" w:eastAsia="zh-CN"/>
                    </w:rPr>
                  </w:pPr>
                </w:p>
              </w:tc>
              <w:tc>
                <w:tcPr>
                  <w:tcW w:w="1347" w:type="dxa"/>
                  <w:tcBorders>
                    <w:tl2br w:val="nil"/>
                    <w:tr2bl w:val="nil"/>
                  </w:tcBorders>
                  <w:shd w:val="clear" w:color="auto" w:fill="auto"/>
                  <w:vAlign w:val="center"/>
                </w:tcPr>
                <w:p w14:paraId="1EFC2787">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废树脂</w:t>
                  </w:r>
                </w:p>
              </w:tc>
              <w:tc>
                <w:tcPr>
                  <w:tcW w:w="1413" w:type="dxa"/>
                  <w:tcBorders>
                    <w:tl2br w:val="nil"/>
                    <w:tr2bl w:val="nil"/>
                  </w:tcBorders>
                  <w:shd w:val="clear" w:color="auto" w:fill="auto"/>
                  <w:vAlign w:val="center"/>
                </w:tcPr>
                <w:p w14:paraId="2E93DD62">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900-047-49</w:t>
                  </w:r>
                </w:p>
              </w:tc>
              <w:tc>
                <w:tcPr>
                  <w:tcW w:w="840" w:type="dxa"/>
                  <w:tcBorders>
                    <w:tl2br w:val="nil"/>
                    <w:tr2bl w:val="nil"/>
                  </w:tcBorders>
                  <w:vAlign w:val="center"/>
                </w:tcPr>
                <w:p w14:paraId="7F480639">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桶装</w:t>
                  </w:r>
                </w:p>
              </w:tc>
              <w:tc>
                <w:tcPr>
                  <w:tcW w:w="734" w:type="dxa"/>
                  <w:vMerge w:val="continue"/>
                  <w:tcBorders>
                    <w:tl2br w:val="nil"/>
                    <w:tr2bl w:val="nil"/>
                  </w:tcBorders>
                  <w:vAlign w:val="center"/>
                </w:tcPr>
                <w:p w14:paraId="51AF32AB">
                  <w:pPr>
                    <w:jc w:val="center"/>
                    <w:rPr>
                      <w:rFonts w:hint="default" w:ascii="Times New Roman" w:hAnsi="Times New Roman" w:eastAsia="宋体" w:cs="Times New Roman"/>
                      <w:sz w:val="21"/>
                      <w:szCs w:val="21"/>
                      <w:highlight w:val="none"/>
                      <w:lang w:val="en-US" w:eastAsia="zh-CN"/>
                    </w:rPr>
                  </w:pPr>
                </w:p>
              </w:tc>
              <w:tc>
                <w:tcPr>
                  <w:tcW w:w="747" w:type="dxa"/>
                  <w:vMerge w:val="continue"/>
                  <w:tcBorders>
                    <w:tl2br w:val="nil"/>
                    <w:tr2bl w:val="nil"/>
                  </w:tcBorders>
                  <w:vAlign w:val="center"/>
                </w:tcPr>
                <w:p w14:paraId="5CB858AE">
                  <w:pPr>
                    <w:jc w:val="center"/>
                    <w:rPr>
                      <w:rFonts w:hint="default" w:ascii="Times New Roman" w:hAnsi="Times New Roman" w:eastAsia="宋体" w:cs="Times New Roman"/>
                      <w:sz w:val="21"/>
                      <w:szCs w:val="21"/>
                      <w:highlight w:val="none"/>
                      <w:lang w:val="en-US" w:eastAsia="zh-CN"/>
                    </w:rPr>
                  </w:pPr>
                </w:p>
              </w:tc>
              <w:tc>
                <w:tcPr>
                  <w:tcW w:w="826" w:type="dxa"/>
                  <w:tcBorders>
                    <w:tl2br w:val="nil"/>
                    <w:tr2bl w:val="nil"/>
                  </w:tcBorders>
                  <w:vAlign w:val="center"/>
                </w:tcPr>
                <w:p w14:paraId="68E6CAB0">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3个月</w:t>
                  </w:r>
                </w:p>
              </w:tc>
            </w:tr>
            <w:tr w14:paraId="6212EA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2" w:type="dxa"/>
                  <w:tcBorders>
                    <w:tl2br w:val="nil"/>
                    <w:tr2bl w:val="nil"/>
                  </w:tcBorders>
                  <w:vAlign w:val="center"/>
                </w:tcPr>
                <w:p w14:paraId="7CA6D8A9">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7</w:t>
                  </w:r>
                </w:p>
              </w:tc>
              <w:tc>
                <w:tcPr>
                  <w:tcW w:w="999" w:type="dxa"/>
                  <w:vMerge w:val="continue"/>
                  <w:tcBorders>
                    <w:tl2br w:val="nil"/>
                    <w:tr2bl w:val="nil"/>
                  </w:tcBorders>
                  <w:vAlign w:val="center"/>
                </w:tcPr>
                <w:p w14:paraId="7F4CD73E">
                  <w:pPr>
                    <w:jc w:val="center"/>
                    <w:rPr>
                      <w:rFonts w:hint="default" w:ascii="Times New Roman" w:hAnsi="Times New Roman" w:eastAsia="宋体" w:cs="Times New Roman"/>
                      <w:sz w:val="21"/>
                      <w:szCs w:val="21"/>
                      <w:highlight w:val="none"/>
                      <w:lang w:val="en-US" w:eastAsia="zh-CN"/>
                    </w:rPr>
                  </w:pPr>
                </w:p>
              </w:tc>
              <w:tc>
                <w:tcPr>
                  <w:tcW w:w="1347" w:type="dxa"/>
                  <w:tcBorders>
                    <w:tl2br w:val="nil"/>
                    <w:tr2bl w:val="nil"/>
                  </w:tcBorders>
                  <w:shd w:val="clear" w:color="auto" w:fill="auto"/>
                  <w:vAlign w:val="center"/>
                </w:tcPr>
                <w:p w14:paraId="50B8F3FE">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喷淋塔废液</w:t>
                  </w:r>
                </w:p>
              </w:tc>
              <w:tc>
                <w:tcPr>
                  <w:tcW w:w="1413" w:type="dxa"/>
                  <w:tcBorders>
                    <w:tl2br w:val="nil"/>
                    <w:tr2bl w:val="nil"/>
                  </w:tcBorders>
                  <w:shd w:val="clear" w:color="auto" w:fill="auto"/>
                  <w:vAlign w:val="center"/>
                </w:tcPr>
                <w:p w14:paraId="07B3F97D">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900-047-49</w:t>
                  </w:r>
                </w:p>
              </w:tc>
              <w:tc>
                <w:tcPr>
                  <w:tcW w:w="840" w:type="dxa"/>
                  <w:tcBorders>
                    <w:tl2br w:val="nil"/>
                    <w:tr2bl w:val="nil"/>
                  </w:tcBorders>
                  <w:vAlign w:val="center"/>
                </w:tcPr>
                <w:p w14:paraId="3E858D28">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桶装</w:t>
                  </w:r>
                </w:p>
              </w:tc>
              <w:tc>
                <w:tcPr>
                  <w:tcW w:w="734" w:type="dxa"/>
                  <w:vMerge w:val="continue"/>
                  <w:tcBorders>
                    <w:tl2br w:val="nil"/>
                    <w:tr2bl w:val="nil"/>
                  </w:tcBorders>
                  <w:vAlign w:val="center"/>
                </w:tcPr>
                <w:p w14:paraId="1559CA38">
                  <w:pPr>
                    <w:jc w:val="center"/>
                    <w:rPr>
                      <w:rFonts w:hint="default" w:ascii="Times New Roman" w:hAnsi="Times New Roman" w:eastAsia="宋体" w:cs="Times New Roman"/>
                      <w:sz w:val="21"/>
                      <w:szCs w:val="21"/>
                      <w:highlight w:val="none"/>
                      <w:lang w:val="en-US" w:eastAsia="zh-CN"/>
                    </w:rPr>
                  </w:pPr>
                </w:p>
              </w:tc>
              <w:tc>
                <w:tcPr>
                  <w:tcW w:w="747" w:type="dxa"/>
                  <w:vMerge w:val="continue"/>
                  <w:tcBorders>
                    <w:tl2br w:val="nil"/>
                    <w:tr2bl w:val="nil"/>
                  </w:tcBorders>
                  <w:vAlign w:val="center"/>
                </w:tcPr>
                <w:p w14:paraId="7562F94B">
                  <w:pPr>
                    <w:jc w:val="center"/>
                    <w:rPr>
                      <w:rFonts w:hint="default" w:ascii="Times New Roman" w:hAnsi="Times New Roman" w:eastAsia="宋体" w:cs="Times New Roman"/>
                      <w:sz w:val="21"/>
                      <w:szCs w:val="21"/>
                      <w:highlight w:val="none"/>
                      <w:lang w:val="en-US" w:eastAsia="zh-CN"/>
                    </w:rPr>
                  </w:pPr>
                </w:p>
              </w:tc>
              <w:tc>
                <w:tcPr>
                  <w:tcW w:w="826" w:type="dxa"/>
                  <w:tcBorders>
                    <w:tl2br w:val="nil"/>
                    <w:tr2bl w:val="nil"/>
                  </w:tcBorders>
                  <w:vAlign w:val="center"/>
                </w:tcPr>
                <w:p w14:paraId="3BFAFDD7">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3个月</w:t>
                  </w:r>
                </w:p>
              </w:tc>
            </w:tr>
            <w:tr w14:paraId="40B395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2" w:type="dxa"/>
                  <w:tcBorders>
                    <w:tl2br w:val="nil"/>
                    <w:tr2bl w:val="nil"/>
                  </w:tcBorders>
                  <w:shd w:val="clear" w:color="auto" w:fill="auto"/>
                  <w:vAlign w:val="center"/>
                </w:tcPr>
                <w:p w14:paraId="6D8E5509">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8</w:t>
                  </w:r>
                </w:p>
              </w:tc>
              <w:tc>
                <w:tcPr>
                  <w:tcW w:w="999" w:type="dxa"/>
                  <w:vMerge w:val="continue"/>
                  <w:tcBorders>
                    <w:tl2br w:val="nil"/>
                    <w:tr2bl w:val="nil"/>
                  </w:tcBorders>
                  <w:vAlign w:val="center"/>
                </w:tcPr>
                <w:p w14:paraId="2C968939">
                  <w:pPr>
                    <w:jc w:val="center"/>
                    <w:rPr>
                      <w:rFonts w:hint="default" w:ascii="Times New Roman" w:hAnsi="Times New Roman" w:eastAsia="宋体" w:cs="Times New Roman"/>
                      <w:sz w:val="21"/>
                      <w:szCs w:val="21"/>
                      <w:highlight w:val="none"/>
                      <w:lang w:val="en-US" w:eastAsia="zh-CN"/>
                    </w:rPr>
                  </w:pPr>
                </w:p>
              </w:tc>
              <w:tc>
                <w:tcPr>
                  <w:tcW w:w="1347" w:type="dxa"/>
                  <w:tcBorders>
                    <w:tl2br w:val="nil"/>
                    <w:tr2bl w:val="nil"/>
                  </w:tcBorders>
                  <w:shd w:val="clear" w:color="auto" w:fill="auto"/>
                  <w:vAlign w:val="center"/>
                </w:tcPr>
                <w:p w14:paraId="1CCC2A8F">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废活性炭</w:t>
                  </w:r>
                </w:p>
              </w:tc>
              <w:tc>
                <w:tcPr>
                  <w:tcW w:w="1413" w:type="dxa"/>
                  <w:tcBorders>
                    <w:tl2br w:val="nil"/>
                    <w:tr2bl w:val="nil"/>
                  </w:tcBorders>
                  <w:shd w:val="clear" w:color="auto" w:fill="auto"/>
                  <w:vAlign w:val="center"/>
                </w:tcPr>
                <w:p w14:paraId="03633993">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900-039-49</w:t>
                  </w:r>
                </w:p>
              </w:tc>
              <w:tc>
                <w:tcPr>
                  <w:tcW w:w="840" w:type="dxa"/>
                  <w:tcBorders>
                    <w:tl2br w:val="nil"/>
                    <w:tr2bl w:val="nil"/>
                  </w:tcBorders>
                  <w:shd w:val="clear" w:color="auto" w:fill="auto"/>
                  <w:vAlign w:val="center"/>
                </w:tcPr>
                <w:p w14:paraId="380FDA05">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袋装</w:t>
                  </w:r>
                </w:p>
              </w:tc>
              <w:tc>
                <w:tcPr>
                  <w:tcW w:w="734" w:type="dxa"/>
                  <w:vMerge w:val="continue"/>
                  <w:tcBorders>
                    <w:tl2br w:val="nil"/>
                    <w:tr2bl w:val="nil"/>
                  </w:tcBorders>
                  <w:shd w:val="clear" w:color="auto" w:fill="auto"/>
                  <w:vAlign w:val="center"/>
                </w:tcPr>
                <w:p w14:paraId="1F569F14">
                  <w:pPr>
                    <w:jc w:val="center"/>
                    <w:rPr>
                      <w:rFonts w:hint="default" w:ascii="Times New Roman" w:hAnsi="Times New Roman" w:eastAsia="宋体" w:cs="Times New Roman"/>
                      <w:kern w:val="2"/>
                      <w:sz w:val="21"/>
                      <w:szCs w:val="21"/>
                      <w:highlight w:val="none"/>
                      <w:lang w:val="en-US" w:eastAsia="zh-CN" w:bidi="ar-SA"/>
                    </w:rPr>
                  </w:pPr>
                </w:p>
              </w:tc>
              <w:tc>
                <w:tcPr>
                  <w:tcW w:w="747" w:type="dxa"/>
                  <w:vMerge w:val="continue"/>
                  <w:tcBorders>
                    <w:tl2br w:val="nil"/>
                    <w:tr2bl w:val="nil"/>
                  </w:tcBorders>
                  <w:shd w:val="clear" w:color="auto" w:fill="auto"/>
                  <w:vAlign w:val="center"/>
                </w:tcPr>
                <w:p w14:paraId="29F1BE90">
                  <w:pPr>
                    <w:jc w:val="center"/>
                    <w:rPr>
                      <w:rFonts w:hint="default" w:ascii="Times New Roman" w:hAnsi="Times New Roman" w:eastAsia="宋体" w:cs="Times New Roman"/>
                      <w:kern w:val="2"/>
                      <w:sz w:val="21"/>
                      <w:szCs w:val="21"/>
                      <w:highlight w:val="none"/>
                      <w:lang w:val="en-US" w:eastAsia="zh-CN" w:bidi="ar-SA"/>
                    </w:rPr>
                  </w:pPr>
                </w:p>
              </w:tc>
              <w:tc>
                <w:tcPr>
                  <w:tcW w:w="826" w:type="dxa"/>
                  <w:tcBorders>
                    <w:tl2br w:val="nil"/>
                    <w:tr2bl w:val="nil"/>
                  </w:tcBorders>
                  <w:shd w:val="clear" w:color="auto" w:fill="auto"/>
                  <w:vAlign w:val="center"/>
                </w:tcPr>
                <w:p w14:paraId="647D97C3">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3个月</w:t>
                  </w:r>
                </w:p>
              </w:tc>
            </w:tr>
            <w:tr w14:paraId="6EE814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2" w:type="dxa"/>
                  <w:tcBorders>
                    <w:tl2br w:val="nil"/>
                    <w:tr2bl w:val="nil"/>
                  </w:tcBorders>
                  <w:shd w:val="clear" w:color="auto" w:fill="auto"/>
                  <w:vAlign w:val="center"/>
                </w:tcPr>
                <w:p w14:paraId="5296C3D7">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9</w:t>
                  </w:r>
                </w:p>
              </w:tc>
              <w:tc>
                <w:tcPr>
                  <w:tcW w:w="999" w:type="dxa"/>
                  <w:vMerge w:val="continue"/>
                  <w:tcBorders>
                    <w:tl2br w:val="nil"/>
                    <w:tr2bl w:val="nil"/>
                  </w:tcBorders>
                  <w:vAlign w:val="center"/>
                </w:tcPr>
                <w:p w14:paraId="323D47E6">
                  <w:pPr>
                    <w:jc w:val="center"/>
                    <w:rPr>
                      <w:rFonts w:hint="default" w:ascii="Times New Roman" w:hAnsi="Times New Roman" w:eastAsia="宋体" w:cs="Times New Roman"/>
                      <w:sz w:val="21"/>
                      <w:szCs w:val="21"/>
                      <w:highlight w:val="none"/>
                      <w:lang w:val="en-US" w:eastAsia="zh-CN"/>
                    </w:rPr>
                  </w:pPr>
                </w:p>
              </w:tc>
              <w:tc>
                <w:tcPr>
                  <w:tcW w:w="1347" w:type="dxa"/>
                  <w:tcBorders>
                    <w:tl2br w:val="nil"/>
                    <w:tr2bl w:val="nil"/>
                  </w:tcBorders>
                  <w:shd w:val="clear" w:color="auto" w:fill="auto"/>
                  <w:vAlign w:val="center"/>
                </w:tcPr>
                <w:p w14:paraId="1BF7EB79">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废吸附剂</w:t>
                  </w:r>
                </w:p>
              </w:tc>
              <w:tc>
                <w:tcPr>
                  <w:tcW w:w="1413" w:type="dxa"/>
                  <w:tcBorders>
                    <w:tl2br w:val="nil"/>
                    <w:tr2bl w:val="nil"/>
                  </w:tcBorders>
                  <w:shd w:val="clear" w:color="auto" w:fill="auto"/>
                  <w:vAlign w:val="center"/>
                </w:tcPr>
                <w:p w14:paraId="4F16D327">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900-039-49</w:t>
                  </w:r>
                </w:p>
              </w:tc>
              <w:tc>
                <w:tcPr>
                  <w:tcW w:w="840" w:type="dxa"/>
                  <w:tcBorders>
                    <w:tl2br w:val="nil"/>
                    <w:tr2bl w:val="nil"/>
                  </w:tcBorders>
                  <w:vAlign w:val="center"/>
                </w:tcPr>
                <w:p w14:paraId="039F2097">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袋装</w:t>
                  </w:r>
                </w:p>
              </w:tc>
              <w:tc>
                <w:tcPr>
                  <w:tcW w:w="734" w:type="dxa"/>
                  <w:vMerge w:val="continue"/>
                  <w:tcBorders>
                    <w:tl2br w:val="nil"/>
                    <w:tr2bl w:val="nil"/>
                  </w:tcBorders>
                  <w:vAlign w:val="center"/>
                </w:tcPr>
                <w:p w14:paraId="23FFBE2F">
                  <w:pPr>
                    <w:jc w:val="center"/>
                    <w:rPr>
                      <w:rFonts w:hint="default" w:ascii="Times New Roman" w:hAnsi="Times New Roman" w:eastAsia="宋体" w:cs="Times New Roman"/>
                      <w:sz w:val="21"/>
                      <w:szCs w:val="21"/>
                      <w:highlight w:val="none"/>
                      <w:lang w:val="en-US" w:eastAsia="zh-CN"/>
                    </w:rPr>
                  </w:pPr>
                </w:p>
              </w:tc>
              <w:tc>
                <w:tcPr>
                  <w:tcW w:w="747" w:type="dxa"/>
                  <w:vMerge w:val="continue"/>
                  <w:tcBorders>
                    <w:tl2br w:val="nil"/>
                    <w:tr2bl w:val="nil"/>
                  </w:tcBorders>
                  <w:vAlign w:val="center"/>
                </w:tcPr>
                <w:p w14:paraId="0CC81FBE">
                  <w:pPr>
                    <w:jc w:val="center"/>
                    <w:rPr>
                      <w:rFonts w:hint="default" w:ascii="Times New Roman" w:hAnsi="Times New Roman" w:eastAsia="宋体" w:cs="Times New Roman"/>
                      <w:sz w:val="21"/>
                      <w:szCs w:val="21"/>
                      <w:highlight w:val="none"/>
                      <w:lang w:val="en-US" w:eastAsia="zh-CN"/>
                    </w:rPr>
                  </w:pPr>
                </w:p>
              </w:tc>
              <w:tc>
                <w:tcPr>
                  <w:tcW w:w="826" w:type="dxa"/>
                  <w:tcBorders>
                    <w:tl2br w:val="nil"/>
                    <w:tr2bl w:val="nil"/>
                  </w:tcBorders>
                  <w:vAlign w:val="center"/>
                </w:tcPr>
                <w:p w14:paraId="7E47D455">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3个月</w:t>
                  </w:r>
                </w:p>
              </w:tc>
            </w:tr>
            <w:tr w14:paraId="7C8699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2" w:type="dxa"/>
                  <w:tcBorders>
                    <w:tl2br w:val="nil"/>
                    <w:tr2bl w:val="nil"/>
                  </w:tcBorders>
                  <w:shd w:val="clear" w:color="auto" w:fill="auto"/>
                  <w:vAlign w:val="center"/>
                </w:tcPr>
                <w:p w14:paraId="39AD3A14">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10</w:t>
                  </w:r>
                </w:p>
              </w:tc>
              <w:tc>
                <w:tcPr>
                  <w:tcW w:w="999" w:type="dxa"/>
                  <w:vMerge w:val="continue"/>
                  <w:tcBorders>
                    <w:tl2br w:val="nil"/>
                    <w:tr2bl w:val="nil"/>
                  </w:tcBorders>
                  <w:vAlign w:val="center"/>
                </w:tcPr>
                <w:p w14:paraId="51BC1A24">
                  <w:pPr>
                    <w:jc w:val="center"/>
                    <w:rPr>
                      <w:rFonts w:hint="default" w:ascii="Times New Roman" w:hAnsi="Times New Roman" w:eastAsia="宋体" w:cs="Times New Roman"/>
                      <w:sz w:val="21"/>
                      <w:szCs w:val="21"/>
                      <w:highlight w:val="none"/>
                      <w:lang w:val="en-US" w:eastAsia="zh-CN"/>
                    </w:rPr>
                  </w:pPr>
                </w:p>
              </w:tc>
              <w:tc>
                <w:tcPr>
                  <w:tcW w:w="1347" w:type="dxa"/>
                  <w:tcBorders>
                    <w:tl2br w:val="nil"/>
                    <w:tr2bl w:val="nil"/>
                  </w:tcBorders>
                  <w:shd w:val="clear" w:color="auto" w:fill="auto"/>
                  <w:vAlign w:val="center"/>
                </w:tcPr>
                <w:p w14:paraId="2EE02116">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废布袋</w:t>
                  </w:r>
                </w:p>
              </w:tc>
              <w:tc>
                <w:tcPr>
                  <w:tcW w:w="1413" w:type="dxa"/>
                  <w:tcBorders>
                    <w:tl2br w:val="nil"/>
                    <w:tr2bl w:val="nil"/>
                  </w:tcBorders>
                  <w:shd w:val="clear" w:color="auto" w:fill="auto"/>
                  <w:vAlign w:val="center"/>
                </w:tcPr>
                <w:p w14:paraId="7C5C573D">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900-039-49</w:t>
                  </w:r>
                </w:p>
              </w:tc>
              <w:tc>
                <w:tcPr>
                  <w:tcW w:w="840" w:type="dxa"/>
                  <w:tcBorders>
                    <w:tl2br w:val="nil"/>
                    <w:tr2bl w:val="nil"/>
                  </w:tcBorders>
                  <w:vAlign w:val="center"/>
                </w:tcPr>
                <w:p w14:paraId="3B7B4FDB">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袋装</w:t>
                  </w:r>
                </w:p>
              </w:tc>
              <w:tc>
                <w:tcPr>
                  <w:tcW w:w="734" w:type="dxa"/>
                  <w:vMerge w:val="continue"/>
                  <w:tcBorders>
                    <w:tl2br w:val="nil"/>
                    <w:tr2bl w:val="nil"/>
                  </w:tcBorders>
                  <w:vAlign w:val="center"/>
                </w:tcPr>
                <w:p w14:paraId="2B3B3469">
                  <w:pPr>
                    <w:jc w:val="center"/>
                    <w:rPr>
                      <w:rFonts w:hint="default" w:ascii="Times New Roman" w:hAnsi="Times New Roman" w:eastAsia="宋体" w:cs="Times New Roman"/>
                      <w:sz w:val="21"/>
                      <w:szCs w:val="21"/>
                      <w:highlight w:val="none"/>
                      <w:lang w:val="en-US" w:eastAsia="zh-CN"/>
                    </w:rPr>
                  </w:pPr>
                </w:p>
              </w:tc>
              <w:tc>
                <w:tcPr>
                  <w:tcW w:w="747" w:type="dxa"/>
                  <w:vMerge w:val="continue"/>
                  <w:tcBorders>
                    <w:tl2br w:val="nil"/>
                    <w:tr2bl w:val="nil"/>
                  </w:tcBorders>
                  <w:vAlign w:val="center"/>
                </w:tcPr>
                <w:p w14:paraId="4C479F37">
                  <w:pPr>
                    <w:jc w:val="center"/>
                    <w:rPr>
                      <w:rFonts w:hint="default" w:ascii="Times New Roman" w:hAnsi="Times New Roman" w:eastAsia="宋体" w:cs="Times New Roman"/>
                      <w:sz w:val="21"/>
                      <w:szCs w:val="21"/>
                      <w:highlight w:val="none"/>
                      <w:lang w:val="en-US" w:eastAsia="zh-CN"/>
                    </w:rPr>
                  </w:pPr>
                </w:p>
              </w:tc>
              <w:tc>
                <w:tcPr>
                  <w:tcW w:w="826" w:type="dxa"/>
                  <w:tcBorders>
                    <w:tl2br w:val="nil"/>
                    <w:tr2bl w:val="nil"/>
                  </w:tcBorders>
                  <w:vAlign w:val="center"/>
                </w:tcPr>
                <w:p w14:paraId="343D69DF">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3个月</w:t>
                  </w:r>
                </w:p>
              </w:tc>
            </w:tr>
            <w:tr w14:paraId="0F13DF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2" w:type="dxa"/>
                  <w:tcBorders>
                    <w:tl2br w:val="nil"/>
                    <w:tr2bl w:val="nil"/>
                  </w:tcBorders>
                  <w:shd w:val="clear" w:color="auto" w:fill="auto"/>
                  <w:vAlign w:val="center"/>
                </w:tcPr>
                <w:p w14:paraId="72601185">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11</w:t>
                  </w:r>
                </w:p>
              </w:tc>
              <w:tc>
                <w:tcPr>
                  <w:tcW w:w="999" w:type="dxa"/>
                  <w:vMerge w:val="restart"/>
                  <w:tcBorders>
                    <w:tl2br w:val="nil"/>
                    <w:tr2bl w:val="nil"/>
                  </w:tcBorders>
                  <w:vAlign w:val="center"/>
                </w:tcPr>
                <w:p w14:paraId="6DC8EAC4">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TS002</w:t>
                  </w:r>
                </w:p>
              </w:tc>
              <w:tc>
                <w:tcPr>
                  <w:tcW w:w="1347" w:type="dxa"/>
                  <w:tcBorders>
                    <w:tl2br w:val="nil"/>
                    <w:tr2bl w:val="nil"/>
                  </w:tcBorders>
                  <w:shd w:val="clear" w:color="auto" w:fill="auto"/>
                  <w:vAlign w:val="center"/>
                </w:tcPr>
                <w:p w14:paraId="1738369D">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废反应液</w:t>
                  </w:r>
                </w:p>
              </w:tc>
              <w:tc>
                <w:tcPr>
                  <w:tcW w:w="1413" w:type="dxa"/>
                  <w:tcBorders>
                    <w:tl2br w:val="nil"/>
                    <w:tr2bl w:val="nil"/>
                  </w:tcBorders>
                  <w:shd w:val="clear" w:color="auto" w:fill="auto"/>
                  <w:vAlign w:val="center"/>
                </w:tcPr>
                <w:p w14:paraId="2C91BE08">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900-047-49</w:t>
                  </w:r>
                </w:p>
              </w:tc>
              <w:tc>
                <w:tcPr>
                  <w:tcW w:w="840" w:type="dxa"/>
                  <w:tcBorders>
                    <w:tl2br w:val="nil"/>
                    <w:tr2bl w:val="nil"/>
                  </w:tcBorders>
                  <w:vAlign w:val="center"/>
                </w:tcPr>
                <w:p w14:paraId="06810696">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桶装</w:t>
                  </w:r>
                </w:p>
              </w:tc>
              <w:tc>
                <w:tcPr>
                  <w:tcW w:w="734" w:type="dxa"/>
                  <w:vMerge w:val="restart"/>
                  <w:tcBorders>
                    <w:tl2br w:val="nil"/>
                    <w:tr2bl w:val="nil"/>
                  </w:tcBorders>
                  <w:vAlign w:val="center"/>
                </w:tcPr>
                <w:p w14:paraId="1E6C3615">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w:t>
                  </w:r>
                </w:p>
              </w:tc>
              <w:tc>
                <w:tcPr>
                  <w:tcW w:w="747" w:type="dxa"/>
                  <w:vMerge w:val="restart"/>
                  <w:tcBorders>
                    <w:tl2br w:val="nil"/>
                    <w:tr2bl w:val="nil"/>
                  </w:tcBorders>
                  <w:vAlign w:val="center"/>
                </w:tcPr>
                <w:p w14:paraId="22E1D0CE">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2吨</w:t>
                  </w:r>
                </w:p>
              </w:tc>
              <w:tc>
                <w:tcPr>
                  <w:tcW w:w="826" w:type="dxa"/>
                  <w:tcBorders>
                    <w:tl2br w:val="nil"/>
                    <w:tr2bl w:val="nil"/>
                  </w:tcBorders>
                  <w:vAlign w:val="center"/>
                </w:tcPr>
                <w:p w14:paraId="12558845">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3个月</w:t>
                  </w:r>
                </w:p>
              </w:tc>
            </w:tr>
            <w:tr w14:paraId="290446C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2" w:type="dxa"/>
                  <w:tcBorders>
                    <w:tl2br w:val="nil"/>
                    <w:tr2bl w:val="nil"/>
                  </w:tcBorders>
                  <w:shd w:val="clear" w:color="auto" w:fill="auto"/>
                  <w:vAlign w:val="center"/>
                </w:tcPr>
                <w:p w14:paraId="0C07E5B2">
                  <w:pPr>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12</w:t>
                  </w:r>
                </w:p>
              </w:tc>
              <w:tc>
                <w:tcPr>
                  <w:tcW w:w="999" w:type="dxa"/>
                  <w:vMerge w:val="continue"/>
                  <w:tcBorders>
                    <w:tl2br w:val="nil"/>
                    <w:tr2bl w:val="nil"/>
                  </w:tcBorders>
                  <w:vAlign w:val="center"/>
                </w:tcPr>
                <w:p w14:paraId="0A32294B">
                  <w:pPr>
                    <w:jc w:val="center"/>
                    <w:rPr>
                      <w:rFonts w:hint="default" w:ascii="Times New Roman" w:hAnsi="Times New Roman" w:eastAsia="宋体" w:cs="Times New Roman"/>
                      <w:sz w:val="21"/>
                      <w:szCs w:val="21"/>
                      <w:highlight w:val="none"/>
                      <w:lang w:val="en-US" w:eastAsia="zh-CN"/>
                    </w:rPr>
                  </w:pPr>
                </w:p>
              </w:tc>
              <w:tc>
                <w:tcPr>
                  <w:tcW w:w="1347" w:type="dxa"/>
                  <w:tcBorders>
                    <w:tl2br w:val="nil"/>
                    <w:tr2bl w:val="nil"/>
                  </w:tcBorders>
                  <w:shd w:val="clear" w:color="auto" w:fill="auto"/>
                  <w:vAlign w:val="center"/>
                </w:tcPr>
                <w:p w14:paraId="03D2E0D3">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含氟废液</w:t>
                  </w:r>
                </w:p>
              </w:tc>
              <w:tc>
                <w:tcPr>
                  <w:tcW w:w="1413" w:type="dxa"/>
                  <w:tcBorders>
                    <w:tl2br w:val="nil"/>
                    <w:tr2bl w:val="nil"/>
                  </w:tcBorders>
                  <w:shd w:val="clear" w:color="auto" w:fill="auto"/>
                  <w:vAlign w:val="center"/>
                </w:tcPr>
                <w:p w14:paraId="1B718E11">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900-047-49</w:t>
                  </w:r>
                </w:p>
              </w:tc>
              <w:tc>
                <w:tcPr>
                  <w:tcW w:w="840" w:type="dxa"/>
                  <w:tcBorders>
                    <w:tl2br w:val="nil"/>
                    <w:tr2bl w:val="nil"/>
                  </w:tcBorders>
                  <w:shd w:val="clear" w:color="auto" w:fill="auto"/>
                  <w:vAlign w:val="center"/>
                </w:tcPr>
                <w:p w14:paraId="4C4ABD9C">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桶装</w:t>
                  </w:r>
                </w:p>
              </w:tc>
              <w:tc>
                <w:tcPr>
                  <w:tcW w:w="734" w:type="dxa"/>
                  <w:vMerge w:val="continue"/>
                  <w:tcBorders>
                    <w:tl2br w:val="nil"/>
                    <w:tr2bl w:val="nil"/>
                  </w:tcBorders>
                  <w:vAlign w:val="center"/>
                </w:tcPr>
                <w:p w14:paraId="1A978EBD">
                  <w:pPr>
                    <w:jc w:val="center"/>
                    <w:rPr>
                      <w:rFonts w:hint="default" w:ascii="Times New Roman" w:hAnsi="Times New Roman" w:eastAsia="宋体" w:cs="Times New Roman"/>
                      <w:sz w:val="21"/>
                      <w:szCs w:val="21"/>
                      <w:highlight w:val="none"/>
                      <w:lang w:val="en-US" w:eastAsia="zh-CN"/>
                    </w:rPr>
                  </w:pPr>
                </w:p>
              </w:tc>
              <w:tc>
                <w:tcPr>
                  <w:tcW w:w="747" w:type="dxa"/>
                  <w:vMerge w:val="continue"/>
                  <w:tcBorders>
                    <w:tl2br w:val="nil"/>
                    <w:tr2bl w:val="nil"/>
                  </w:tcBorders>
                  <w:vAlign w:val="center"/>
                </w:tcPr>
                <w:p w14:paraId="218CA8C2">
                  <w:pPr>
                    <w:jc w:val="center"/>
                    <w:rPr>
                      <w:rFonts w:hint="default" w:ascii="Times New Roman" w:hAnsi="Times New Roman" w:eastAsia="宋体" w:cs="Times New Roman"/>
                      <w:sz w:val="21"/>
                      <w:szCs w:val="21"/>
                      <w:highlight w:val="none"/>
                      <w:lang w:val="en-US" w:eastAsia="zh-CN"/>
                    </w:rPr>
                  </w:pPr>
                </w:p>
              </w:tc>
              <w:tc>
                <w:tcPr>
                  <w:tcW w:w="826" w:type="dxa"/>
                  <w:tcBorders>
                    <w:tl2br w:val="nil"/>
                    <w:tr2bl w:val="nil"/>
                  </w:tcBorders>
                  <w:vAlign w:val="center"/>
                </w:tcPr>
                <w:p w14:paraId="38CB53CC">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3个月</w:t>
                  </w:r>
                </w:p>
              </w:tc>
            </w:tr>
            <w:tr w14:paraId="34C612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2" w:type="dxa"/>
                  <w:tcBorders>
                    <w:tl2br w:val="nil"/>
                    <w:tr2bl w:val="nil"/>
                  </w:tcBorders>
                  <w:shd w:val="clear" w:color="auto" w:fill="auto"/>
                  <w:vAlign w:val="center"/>
                </w:tcPr>
                <w:p w14:paraId="08345218">
                  <w:pPr>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13</w:t>
                  </w:r>
                </w:p>
              </w:tc>
              <w:tc>
                <w:tcPr>
                  <w:tcW w:w="999" w:type="dxa"/>
                  <w:vMerge w:val="continue"/>
                  <w:tcBorders>
                    <w:tl2br w:val="nil"/>
                    <w:tr2bl w:val="nil"/>
                  </w:tcBorders>
                  <w:vAlign w:val="center"/>
                </w:tcPr>
                <w:p w14:paraId="1741BA14">
                  <w:pPr>
                    <w:jc w:val="center"/>
                    <w:rPr>
                      <w:rFonts w:hint="default" w:ascii="Times New Roman" w:hAnsi="Times New Roman" w:eastAsia="宋体" w:cs="Times New Roman"/>
                      <w:sz w:val="21"/>
                      <w:szCs w:val="21"/>
                      <w:highlight w:val="none"/>
                      <w:lang w:val="en-US" w:eastAsia="zh-CN"/>
                    </w:rPr>
                  </w:pPr>
                </w:p>
              </w:tc>
              <w:tc>
                <w:tcPr>
                  <w:tcW w:w="1347" w:type="dxa"/>
                  <w:tcBorders>
                    <w:tl2br w:val="nil"/>
                    <w:tr2bl w:val="nil"/>
                  </w:tcBorders>
                  <w:shd w:val="clear" w:color="auto" w:fill="auto"/>
                  <w:vAlign w:val="center"/>
                </w:tcPr>
                <w:p w14:paraId="1F7022B7">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物性分析废液</w:t>
                  </w:r>
                </w:p>
              </w:tc>
              <w:tc>
                <w:tcPr>
                  <w:tcW w:w="1413" w:type="dxa"/>
                  <w:tcBorders>
                    <w:tl2br w:val="nil"/>
                    <w:tr2bl w:val="nil"/>
                  </w:tcBorders>
                  <w:shd w:val="clear" w:color="auto" w:fill="auto"/>
                  <w:vAlign w:val="center"/>
                </w:tcPr>
                <w:p w14:paraId="1227482E">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900-047-49</w:t>
                  </w:r>
                </w:p>
              </w:tc>
              <w:tc>
                <w:tcPr>
                  <w:tcW w:w="840" w:type="dxa"/>
                  <w:tcBorders>
                    <w:tl2br w:val="nil"/>
                    <w:tr2bl w:val="nil"/>
                  </w:tcBorders>
                  <w:vAlign w:val="center"/>
                </w:tcPr>
                <w:p w14:paraId="01728E82">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桶装</w:t>
                  </w:r>
                </w:p>
              </w:tc>
              <w:tc>
                <w:tcPr>
                  <w:tcW w:w="734" w:type="dxa"/>
                  <w:vMerge w:val="continue"/>
                  <w:tcBorders>
                    <w:tl2br w:val="nil"/>
                    <w:tr2bl w:val="nil"/>
                  </w:tcBorders>
                  <w:vAlign w:val="center"/>
                </w:tcPr>
                <w:p w14:paraId="79D8A85C">
                  <w:pPr>
                    <w:jc w:val="center"/>
                    <w:rPr>
                      <w:rFonts w:hint="default" w:ascii="Times New Roman" w:hAnsi="Times New Roman" w:eastAsia="宋体" w:cs="Times New Roman"/>
                      <w:sz w:val="21"/>
                      <w:szCs w:val="21"/>
                      <w:highlight w:val="none"/>
                      <w:lang w:val="en-US" w:eastAsia="zh-CN"/>
                    </w:rPr>
                  </w:pPr>
                </w:p>
              </w:tc>
              <w:tc>
                <w:tcPr>
                  <w:tcW w:w="747" w:type="dxa"/>
                  <w:vMerge w:val="continue"/>
                  <w:tcBorders>
                    <w:tl2br w:val="nil"/>
                    <w:tr2bl w:val="nil"/>
                  </w:tcBorders>
                  <w:vAlign w:val="center"/>
                </w:tcPr>
                <w:p w14:paraId="66D8C5A3">
                  <w:pPr>
                    <w:jc w:val="center"/>
                    <w:rPr>
                      <w:rFonts w:hint="default" w:ascii="Times New Roman" w:hAnsi="Times New Roman" w:eastAsia="宋体" w:cs="Times New Roman"/>
                      <w:sz w:val="21"/>
                      <w:szCs w:val="21"/>
                      <w:highlight w:val="none"/>
                      <w:lang w:val="en-US" w:eastAsia="zh-CN"/>
                    </w:rPr>
                  </w:pPr>
                </w:p>
              </w:tc>
              <w:tc>
                <w:tcPr>
                  <w:tcW w:w="826" w:type="dxa"/>
                  <w:tcBorders>
                    <w:tl2br w:val="nil"/>
                    <w:tr2bl w:val="nil"/>
                  </w:tcBorders>
                  <w:vAlign w:val="center"/>
                </w:tcPr>
                <w:p w14:paraId="20B19484">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3个月</w:t>
                  </w:r>
                </w:p>
              </w:tc>
            </w:tr>
            <w:tr w14:paraId="61FFACF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2" w:type="dxa"/>
                  <w:tcBorders>
                    <w:tl2br w:val="nil"/>
                    <w:tr2bl w:val="nil"/>
                  </w:tcBorders>
                  <w:vAlign w:val="center"/>
                </w:tcPr>
                <w:p w14:paraId="6D468BB6">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14</w:t>
                  </w:r>
                </w:p>
              </w:tc>
              <w:tc>
                <w:tcPr>
                  <w:tcW w:w="999" w:type="dxa"/>
                  <w:vMerge w:val="continue"/>
                  <w:tcBorders>
                    <w:tl2br w:val="nil"/>
                    <w:tr2bl w:val="nil"/>
                  </w:tcBorders>
                  <w:vAlign w:val="center"/>
                </w:tcPr>
                <w:p w14:paraId="527CFFEA">
                  <w:pPr>
                    <w:jc w:val="center"/>
                    <w:rPr>
                      <w:rFonts w:hint="default" w:ascii="Times New Roman" w:hAnsi="Times New Roman" w:eastAsia="宋体" w:cs="Times New Roman"/>
                      <w:sz w:val="21"/>
                      <w:szCs w:val="21"/>
                      <w:highlight w:val="none"/>
                      <w:lang w:val="en-US" w:eastAsia="zh-CN"/>
                    </w:rPr>
                  </w:pPr>
                </w:p>
              </w:tc>
              <w:tc>
                <w:tcPr>
                  <w:tcW w:w="1347" w:type="dxa"/>
                  <w:tcBorders>
                    <w:tl2br w:val="nil"/>
                    <w:tr2bl w:val="nil"/>
                  </w:tcBorders>
                  <w:shd w:val="clear" w:color="auto" w:fill="auto"/>
                  <w:vAlign w:val="center"/>
                </w:tcPr>
                <w:p w14:paraId="1A1DE639">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电池材料设备清洗废液</w:t>
                  </w:r>
                </w:p>
              </w:tc>
              <w:tc>
                <w:tcPr>
                  <w:tcW w:w="1413" w:type="dxa"/>
                  <w:tcBorders>
                    <w:tl2br w:val="nil"/>
                    <w:tr2bl w:val="nil"/>
                  </w:tcBorders>
                  <w:shd w:val="clear" w:color="auto" w:fill="auto"/>
                  <w:vAlign w:val="center"/>
                </w:tcPr>
                <w:p w14:paraId="04488516">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900-047-49</w:t>
                  </w:r>
                </w:p>
              </w:tc>
              <w:tc>
                <w:tcPr>
                  <w:tcW w:w="840" w:type="dxa"/>
                  <w:tcBorders>
                    <w:tl2br w:val="nil"/>
                    <w:tr2bl w:val="nil"/>
                  </w:tcBorders>
                  <w:vAlign w:val="center"/>
                </w:tcPr>
                <w:p w14:paraId="09F64BA3">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桶装</w:t>
                  </w:r>
                </w:p>
              </w:tc>
              <w:tc>
                <w:tcPr>
                  <w:tcW w:w="734" w:type="dxa"/>
                  <w:vMerge w:val="continue"/>
                  <w:tcBorders>
                    <w:tl2br w:val="nil"/>
                    <w:tr2bl w:val="nil"/>
                  </w:tcBorders>
                  <w:vAlign w:val="center"/>
                </w:tcPr>
                <w:p w14:paraId="654A3107">
                  <w:pPr>
                    <w:jc w:val="center"/>
                    <w:rPr>
                      <w:rFonts w:hint="default" w:ascii="Times New Roman" w:hAnsi="Times New Roman" w:eastAsia="宋体" w:cs="Times New Roman"/>
                      <w:sz w:val="21"/>
                      <w:szCs w:val="21"/>
                      <w:highlight w:val="none"/>
                      <w:lang w:val="en-US" w:eastAsia="zh-CN"/>
                    </w:rPr>
                  </w:pPr>
                </w:p>
              </w:tc>
              <w:tc>
                <w:tcPr>
                  <w:tcW w:w="747" w:type="dxa"/>
                  <w:vMerge w:val="continue"/>
                  <w:tcBorders>
                    <w:tl2br w:val="nil"/>
                    <w:tr2bl w:val="nil"/>
                  </w:tcBorders>
                  <w:vAlign w:val="center"/>
                </w:tcPr>
                <w:p w14:paraId="1930124C">
                  <w:pPr>
                    <w:jc w:val="center"/>
                    <w:rPr>
                      <w:rFonts w:hint="default" w:ascii="Times New Roman" w:hAnsi="Times New Roman" w:eastAsia="宋体" w:cs="Times New Roman"/>
                      <w:sz w:val="21"/>
                      <w:szCs w:val="21"/>
                      <w:highlight w:val="none"/>
                      <w:lang w:val="en-US" w:eastAsia="zh-CN"/>
                    </w:rPr>
                  </w:pPr>
                </w:p>
              </w:tc>
              <w:tc>
                <w:tcPr>
                  <w:tcW w:w="826" w:type="dxa"/>
                  <w:tcBorders>
                    <w:tl2br w:val="nil"/>
                    <w:tr2bl w:val="nil"/>
                  </w:tcBorders>
                  <w:vAlign w:val="center"/>
                </w:tcPr>
                <w:p w14:paraId="50E67852">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3个月</w:t>
                  </w:r>
                </w:p>
              </w:tc>
            </w:tr>
          </w:tbl>
          <w:p w14:paraId="4E3B48BB">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本项目TS001</w:t>
            </w:r>
            <w:r>
              <w:rPr>
                <w:rFonts w:hint="default" w:ascii="Times New Roman" w:hAnsi="Times New Roman" w:eastAsia="宋体" w:cs="Times New Roman"/>
                <w:sz w:val="24"/>
                <w:highlight w:val="none"/>
              </w:rPr>
              <w:t>面积为</w:t>
            </w:r>
            <w:r>
              <w:rPr>
                <w:rFonts w:hint="default" w:ascii="Times New Roman" w:hAnsi="Times New Roman" w:eastAsia="宋体" w:cs="Times New Roman"/>
                <w:sz w:val="24"/>
                <w:highlight w:val="none"/>
                <w:lang w:val="en-US" w:eastAsia="zh-CN"/>
              </w:rPr>
              <w:t>2.7</w:t>
            </w:r>
            <w:r>
              <w:rPr>
                <w:rFonts w:hint="default" w:ascii="Times New Roman" w:hAnsi="Times New Roman" w:eastAsia="宋体" w:cs="Times New Roman"/>
                <w:sz w:val="24"/>
                <w:highlight w:val="none"/>
              </w:rPr>
              <w:t>m</w:t>
            </w:r>
            <w:r>
              <w:rPr>
                <w:rFonts w:hint="default" w:ascii="Times New Roman" w:hAnsi="Times New Roman" w:eastAsia="宋体" w:cs="Times New Roman"/>
                <w:sz w:val="24"/>
                <w:highlight w:val="none"/>
                <w:vertAlign w:val="superscript"/>
              </w:rPr>
              <w:t>2</w:t>
            </w:r>
            <w:r>
              <w:rPr>
                <w:rFonts w:hint="default" w:ascii="Times New Roman" w:hAnsi="Times New Roman" w:eastAsia="宋体" w:cs="Times New Roman"/>
                <w:sz w:val="24"/>
                <w:highlight w:val="none"/>
              </w:rPr>
              <w:t>，</w:t>
            </w:r>
            <w:r>
              <w:rPr>
                <w:rFonts w:hint="default" w:ascii="Times New Roman" w:hAnsi="Times New Roman" w:eastAsia="宋体" w:cs="Times New Roman"/>
                <w:sz w:val="24"/>
                <w:highlight w:val="none"/>
                <w:lang w:val="en-US" w:eastAsia="zh-CN"/>
              </w:rPr>
              <w:t>用于贮存除电池材料实验废液、设备清洗废液、物性分析废液外的其他危险废物，待贮存危险废物产生量</w:t>
            </w:r>
            <w:r>
              <w:rPr>
                <w:rFonts w:hint="eastAsia" w:cs="Times New Roman"/>
                <w:sz w:val="24"/>
                <w:highlight w:val="none"/>
                <w:lang w:val="en-US" w:eastAsia="zh-CN"/>
              </w:rPr>
              <w:t>4.9272</w:t>
            </w:r>
            <w:r>
              <w:rPr>
                <w:rFonts w:hint="default" w:ascii="Times New Roman" w:hAnsi="Times New Roman" w:eastAsia="宋体" w:cs="Times New Roman"/>
                <w:sz w:val="24"/>
                <w:highlight w:val="none"/>
                <w:lang w:val="en-US" w:eastAsia="zh-CN"/>
              </w:rPr>
              <w:t>吨/a，贮存周期3个月，贮存量</w:t>
            </w:r>
            <w:r>
              <w:rPr>
                <w:rFonts w:hint="eastAsia" w:cs="Times New Roman"/>
                <w:sz w:val="24"/>
                <w:highlight w:val="none"/>
                <w:lang w:val="en-US" w:eastAsia="zh-CN"/>
              </w:rPr>
              <w:t>1.2318</w:t>
            </w:r>
            <w:r>
              <w:rPr>
                <w:rFonts w:hint="default" w:ascii="Times New Roman" w:hAnsi="Times New Roman" w:eastAsia="宋体" w:cs="Times New Roman"/>
                <w:sz w:val="24"/>
                <w:highlight w:val="none"/>
                <w:lang w:val="en-US" w:eastAsia="zh-CN"/>
              </w:rPr>
              <w:t>t，TS001贮存能力2t。TS002</w:t>
            </w:r>
            <w:r>
              <w:rPr>
                <w:rFonts w:hint="default" w:ascii="Times New Roman" w:hAnsi="Times New Roman" w:eastAsia="宋体" w:cs="Times New Roman"/>
                <w:sz w:val="24"/>
                <w:highlight w:val="none"/>
              </w:rPr>
              <w:t>面积为</w:t>
            </w:r>
            <w:r>
              <w:rPr>
                <w:rFonts w:hint="default" w:ascii="Times New Roman" w:hAnsi="Times New Roman" w:eastAsia="宋体" w:cs="Times New Roman"/>
                <w:sz w:val="24"/>
                <w:highlight w:val="none"/>
                <w:lang w:val="en-US" w:eastAsia="zh-CN"/>
              </w:rPr>
              <w:t>5</w:t>
            </w:r>
            <w:r>
              <w:rPr>
                <w:rFonts w:hint="default" w:ascii="Times New Roman" w:hAnsi="Times New Roman" w:eastAsia="宋体" w:cs="Times New Roman"/>
                <w:sz w:val="24"/>
                <w:highlight w:val="none"/>
              </w:rPr>
              <w:t>m</w:t>
            </w:r>
            <w:r>
              <w:rPr>
                <w:rFonts w:hint="default" w:ascii="Times New Roman" w:hAnsi="Times New Roman" w:eastAsia="宋体" w:cs="Times New Roman"/>
                <w:sz w:val="24"/>
                <w:highlight w:val="none"/>
                <w:vertAlign w:val="superscript"/>
              </w:rPr>
              <w:t>2</w:t>
            </w:r>
            <w:r>
              <w:rPr>
                <w:rFonts w:hint="default" w:ascii="Times New Roman" w:hAnsi="Times New Roman" w:eastAsia="宋体" w:cs="Times New Roman"/>
                <w:sz w:val="24"/>
                <w:highlight w:val="none"/>
                <w:vertAlign w:val="baseline"/>
                <w:lang w:eastAsia="zh-CN"/>
              </w:rPr>
              <w:t>，</w:t>
            </w:r>
            <w:r>
              <w:rPr>
                <w:rFonts w:hint="default" w:ascii="Times New Roman" w:hAnsi="Times New Roman" w:eastAsia="宋体" w:cs="Times New Roman"/>
                <w:sz w:val="24"/>
                <w:highlight w:val="none"/>
                <w:lang w:val="en-US" w:eastAsia="zh-CN"/>
              </w:rPr>
              <w:t>用于贮存电池材料实验废液、</w:t>
            </w:r>
            <w:r>
              <w:rPr>
                <w:rFonts w:hint="eastAsia" w:cs="Times New Roman"/>
                <w:sz w:val="24"/>
                <w:highlight w:val="none"/>
                <w:lang w:val="en-US" w:eastAsia="zh-CN"/>
              </w:rPr>
              <w:t>含氟废液、</w:t>
            </w:r>
            <w:r>
              <w:rPr>
                <w:rFonts w:hint="eastAsia" w:ascii="Times New Roman" w:hAnsi="Times New Roman" w:eastAsia="宋体" w:cs="Times New Roman"/>
                <w:sz w:val="24"/>
                <w:highlight w:val="none"/>
                <w:lang w:val="en-US" w:eastAsia="zh-CN"/>
              </w:rPr>
              <w:t>电池材料</w:t>
            </w:r>
            <w:r>
              <w:rPr>
                <w:rFonts w:hint="default" w:ascii="Times New Roman" w:hAnsi="Times New Roman" w:eastAsia="宋体" w:cs="Times New Roman"/>
                <w:sz w:val="24"/>
                <w:highlight w:val="none"/>
                <w:lang w:val="en-US" w:eastAsia="zh-CN"/>
              </w:rPr>
              <w:t>设备清洗废液、物性分析废液，待贮存危险废物产生量18.14吨/a，贮存周期3个月，贮存量4.535t，TS002贮存能力5t。两个危险废物暂存间可以满足本项目产生危险废物的暂存</w:t>
            </w:r>
            <w:r>
              <w:rPr>
                <w:rFonts w:hint="default" w:ascii="Times New Roman" w:hAnsi="Times New Roman" w:eastAsia="宋体" w:cs="Times New Roman"/>
                <w:sz w:val="24"/>
                <w:highlight w:val="none"/>
              </w:rPr>
              <w:t>。</w:t>
            </w:r>
          </w:p>
          <w:p w14:paraId="376ACD31">
            <w:pPr>
              <w:numPr>
                <w:ilvl w:val="0"/>
                <w:numId w:val="0"/>
              </w:numPr>
              <w:adjustRightInd w:val="0"/>
              <w:snapToGrid w:val="0"/>
              <w:spacing w:line="360" w:lineRule="auto"/>
              <w:ind w:leftChars="0" w:firstLine="480" w:firstLineChars="200"/>
              <w:rPr>
                <w:rFonts w:hint="default" w:ascii="Times New Roman" w:hAnsi="Times New Roman" w:eastAsia="宋体" w:cs="Times New Roman"/>
                <w:b w:val="0"/>
                <w:bCs/>
                <w:sz w:val="24"/>
                <w:highlight w:val="none"/>
              </w:rPr>
            </w:pPr>
            <w:r>
              <w:rPr>
                <w:rFonts w:hint="default" w:ascii="Times New Roman" w:hAnsi="Times New Roman" w:eastAsia="宋体" w:cs="Times New Roman"/>
                <w:b w:val="0"/>
                <w:bCs/>
                <w:sz w:val="24"/>
                <w:highlight w:val="none"/>
                <w:lang w:val="en-US" w:eastAsia="zh-CN"/>
              </w:rPr>
              <w:t>（2）</w:t>
            </w:r>
            <w:r>
              <w:rPr>
                <w:rFonts w:hint="default" w:ascii="Times New Roman" w:hAnsi="Times New Roman" w:eastAsia="宋体" w:cs="Times New Roman"/>
                <w:b w:val="0"/>
                <w:bCs/>
                <w:sz w:val="24"/>
                <w:highlight w:val="none"/>
              </w:rPr>
              <w:t>环境管理要求</w:t>
            </w:r>
          </w:p>
          <w:p w14:paraId="37AEBD55">
            <w:pPr>
              <w:numPr>
                <w:ilvl w:val="0"/>
                <w:numId w:val="55"/>
              </w:numPr>
              <w:adjustRightInd w:val="0"/>
              <w:spacing w:line="360" w:lineRule="auto"/>
              <w:ind w:left="0" w:leftChars="0" w:firstLine="480" w:firstLineChars="200"/>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生活垃圾环境管理要求</w:t>
            </w:r>
          </w:p>
          <w:p w14:paraId="1A6E0412">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本项目产生的生活垃圾应按照《中华人民共和国固体废物污染环境防治法》（2020年9月1日起施行）及《北京市生活垃圾管理条例》（2020年5月1日施行）的相关规定，进行收集、管理、运输及处置：</w:t>
            </w:r>
          </w:p>
          <w:p w14:paraId="707554BD">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a、</w:t>
            </w:r>
            <w:r>
              <w:rPr>
                <w:rFonts w:hint="default" w:ascii="Times New Roman" w:hAnsi="Times New Roman" w:eastAsia="宋体" w:cs="Times New Roman"/>
                <w:sz w:val="24"/>
                <w:highlight w:val="none"/>
              </w:rPr>
              <w:t>应当使用经市环境保护行政主管部门认证登记，并符合市容环境行政主管部门规定的规格、厚度、颜色等要求的可降解专用垃圾袋盛装、分类收集生活垃圾，并由环卫部门及时清运；</w:t>
            </w:r>
          </w:p>
          <w:p w14:paraId="5186005A">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b、</w:t>
            </w:r>
            <w:r>
              <w:rPr>
                <w:rFonts w:hint="default" w:ascii="Times New Roman" w:hAnsi="Times New Roman" w:eastAsia="宋体" w:cs="Times New Roman"/>
                <w:sz w:val="24"/>
                <w:highlight w:val="none"/>
              </w:rPr>
              <w:t>生活垃圾袋应当扎紧袋口，不能混入危险废物，存放到指定地点；</w:t>
            </w:r>
          </w:p>
          <w:p w14:paraId="5CF1AF22">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c、</w:t>
            </w:r>
            <w:r>
              <w:rPr>
                <w:rFonts w:hint="default" w:ascii="Times New Roman" w:hAnsi="Times New Roman" w:eastAsia="宋体" w:cs="Times New Roman"/>
                <w:sz w:val="24"/>
                <w:highlight w:val="none"/>
              </w:rPr>
              <w:t>不能使用破损袋盛装生活垃圾。对有可能造成垃圾袋破损的物品应单独存放；</w:t>
            </w:r>
          </w:p>
          <w:p w14:paraId="3C7AD46D">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d、</w:t>
            </w:r>
            <w:r>
              <w:rPr>
                <w:rFonts w:hint="default" w:ascii="Times New Roman" w:hAnsi="Times New Roman" w:eastAsia="宋体" w:cs="Times New Roman"/>
                <w:sz w:val="24"/>
                <w:highlight w:val="none"/>
              </w:rPr>
              <w:t>产生生活废弃物的单位不得随意倾倒、抛撒和堆放生活废弃物。</w:t>
            </w:r>
          </w:p>
          <w:p w14:paraId="4CA5271F">
            <w:pPr>
              <w:numPr>
                <w:ilvl w:val="0"/>
                <w:numId w:val="55"/>
              </w:numPr>
              <w:adjustRightInd w:val="0"/>
              <w:spacing w:line="360" w:lineRule="auto"/>
              <w:ind w:left="0" w:leftChars="0" w:firstLine="480" w:firstLineChars="200"/>
              <w:rPr>
                <w:rFonts w:hint="default" w:ascii="Times New Roman" w:hAnsi="Times New Roman" w:eastAsia="宋体" w:cs="Times New Roman"/>
                <w:b w:val="0"/>
                <w:bCs w:val="0"/>
                <w:sz w:val="24"/>
                <w:highlight w:val="none"/>
              </w:rPr>
            </w:pPr>
            <w:r>
              <w:rPr>
                <w:rFonts w:hint="default" w:ascii="Times New Roman" w:hAnsi="Times New Roman" w:eastAsia="宋体" w:cs="Times New Roman"/>
                <w:b w:val="0"/>
                <w:bCs w:val="0"/>
                <w:sz w:val="24"/>
                <w:highlight w:val="none"/>
              </w:rPr>
              <w:t>一般工业固体废物环境管理要求</w:t>
            </w:r>
          </w:p>
          <w:p w14:paraId="0111C643">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按照《中华人民共和国固体废物污染环境防治法》（2020年9月1日起施行）、《一般工业固体废物贮存和填埋污染控制标准》（GB18599-2020）及北京市相关规定，</w:t>
            </w:r>
            <w:r>
              <w:rPr>
                <w:rFonts w:hint="default" w:ascii="Times New Roman" w:hAnsi="Times New Roman" w:eastAsia="宋体" w:cs="Times New Roman"/>
                <w:sz w:val="24"/>
                <w:highlight w:val="none"/>
                <w:lang w:val="en-US" w:eastAsia="zh-CN"/>
              </w:rPr>
              <w:t>建设一般固废暂存间</w:t>
            </w:r>
            <w:r>
              <w:rPr>
                <w:rFonts w:hint="default" w:ascii="Times New Roman" w:hAnsi="Times New Roman" w:eastAsia="宋体" w:cs="Times New Roman"/>
                <w:sz w:val="24"/>
                <w:highlight w:val="none"/>
              </w:rPr>
              <w:t>，做到防雨淋、防流失、防渗漏，避免产生二次污染。</w:t>
            </w:r>
          </w:p>
          <w:p w14:paraId="5EF0B726">
            <w:pPr>
              <w:numPr>
                <w:ilvl w:val="0"/>
                <w:numId w:val="55"/>
              </w:numPr>
              <w:adjustRightInd w:val="0"/>
              <w:spacing w:line="360" w:lineRule="auto"/>
              <w:ind w:left="0" w:leftChars="0" w:firstLine="480" w:firstLineChars="200"/>
              <w:rPr>
                <w:rFonts w:hint="default" w:ascii="Times New Roman" w:hAnsi="Times New Roman" w:eastAsia="宋体" w:cs="Times New Roman"/>
                <w:b w:val="0"/>
                <w:bCs w:val="0"/>
                <w:sz w:val="24"/>
                <w:highlight w:val="none"/>
              </w:rPr>
            </w:pPr>
            <w:r>
              <w:rPr>
                <w:rFonts w:hint="default" w:ascii="Times New Roman" w:hAnsi="Times New Roman" w:eastAsia="宋体" w:cs="Times New Roman"/>
                <w:b w:val="0"/>
                <w:bCs w:val="0"/>
                <w:sz w:val="24"/>
                <w:highlight w:val="none"/>
              </w:rPr>
              <w:t>危险废物管理要求</w:t>
            </w:r>
          </w:p>
          <w:p w14:paraId="0BFBCECF">
            <w:pPr>
              <w:adjustRightInd w:val="0"/>
              <w:spacing w:line="360" w:lineRule="auto"/>
              <w:ind w:left="420" w:leftChars="200"/>
              <w:rPr>
                <w:rFonts w:hint="default" w:ascii="Times New Roman" w:hAnsi="Times New Roman" w:eastAsia="宋体" w:cs="Times New Roman"/>
                <w:b w:val="0"/>
                <w:bCs w:val="0"/>
                <w:sz w:val="24"/>
                <w:highlight w:val="none"/>
              </w:rPr>
            </w:pPr>
            <w:r>
              <w:rPr>
                <w:rFonts w:hint="default" w:ascii="Times New Roman" w:hAnsi="Times New Roman" w:eastAsia="宋体" w:cs="Times New Roman"/>
                <w:b w:val="0"/>
                <w:bCs w:val="0"/>
                <w:sz w:val="24"/>
                <w:highlight w:val="none"/>
                <w:lang w:val="en-US" w:eastAsia="zh-CN"/>
              </w:rPr>
              <w:t>a、</w:t>
            </w:r>
            <w:r>
              <w:rPr>
                <w:rFonts w:hint="default" w:ascii="Times New Roman" w:hAnsi="Times New Roman" w:eastAsia="宋体" w:cs="Times New Roman"/>
                <w:b w:val="0"/>
                <w:bCs w:val="0"/>
                <w:sz w:val="24"/>
                <w:highlight w:val="none"/>
              </w:rPr>
              <w:t>贮存和管理要求</w:t>
            </w:r>
          </w:p>
          <w:p w14:paraId="7C44C076">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本项目</w:t>
            </w:r>
            <w:r>
              <w:rPr>
                <w:rFonts w:hint="default" w:ascii="Times New Roman" w:hAnsi="Times New Roman" w:eastAsia="宋体" w:cs="Times New Roman"/>
                <w:sz w:val="24"/>
                <w:highlight w:val="none"/>
                <w:lang w:val="en-US" w:eastAsia="zh-CN"/>
              </w:rPr>
              <w:t>按照</w:t>
            </w:r>
            <w:r>
              <w:rPr>
                <w:rFonts w:hint="default" w:ascii="Times New Roman" w:hAnsi="Times New Roman" w:eastAsia="宋体" w:cs="Times New Roman"/>
                <w:sz w:val="24"/>
                <w:highlight w:val="none"/>
              </w:rPr>
              <w:t>《危险废物贮存污染控制标准》（GB18597-2023）</w:t>
            </w:r>
            <w:r>
              <w:rPr>
                <w:rFonts w:hint="default" w:ascii="Times New Roman" w:hAnsi="Times New Roman" w:eastAsia="宋体" w:cs="Times New Roman"/>
                <w:sz w:val="24"/>
                <w:highlight w:val="none"/>
                <w:lang w:val="en-US" w:eastAsia="zh-CN"/>
              </w:rPr>
              <w:t>要求建设危险废物暂存间</w:t>
            </w:r>
            <w:r>
              <w:rPr>
                <w:rFonts w:hint="default" w:ascii="Times New Roman" w:hAnsi="Times New Roman" w:eastAsia="宋体" w:cs="Times New Roman"/>
                <w:sz w:val="24"/>
                <w:highlight w:val="none"/>
              </w:rPr>
              <w:t>，地面及储存间裙角采用防渗处理，防渗系数小于1×10</w:t>
            </w:r>
            <w:r>
              <w:rPr>
                <w:rFonts w:hint="default" w:ascii="Times New Roman" w:hAnsi="Times New Roman" w:eastAsia="宋体" w:cs="Times New Roman"/>
                <w:sz w:val="24"/>
                <w:highlight w:val="none"/>
                <w:vertAlign w:val="superscript"/>
              </w:rPr>
              <w:t>-10</w:t>
            </w:r>
            <w:r>
              <w:rPr>
                <w:rFonts w:hint="default" w:ascii="Times New Roman" w:hAnsi="Times New Roman" w:eastAsia="宋体" w:cs="Times New Roman"/>
                <w:sz w:val="24"/>
                <w:highlight w:val="none"/>
              </w:rPr>
              <w:t>cm/s</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危险废物暂存</w:t>
            </w:r>
            <w:r>
              <w:rPr>
                <w:rFonts w:hint="default" w:ascii="Times New Roman" w:hAnsi="Times New Roman" w:eastAsia="宋体" w:cs="Times New Roman"/>
                <w:sz w:val="24"/>
                <w:highlight w:val="none"/>
              </w:rPr>
              <w:t>间按</w:t>
            </w:r>
            <w:r>
              <w:rPr>
                <w:rFonts w:hint="default" w:ascii="Times New Roman" w:hAnsi="Times New Roman" w:eastAsia="宋体" w:cs="Times New Roman"/>
                <w:sz w:val="24"/>
                <w:highlight w:val="none"/>
                <w:lang w:val="en-US" w:eastAsia="zh-CN"/>
              </w:rPr>
              <w:t>危险废物性质</w:t>
            </w:r>
            <w:r>
              <w:rPr>
                <w:rFonts w:hint="default" w:ascii="Times New Roman" w:hAnsi="Times New Roman" w:eastAsia="宋体" w:cs="Times New Roman"/>
                <w:sz w:val="24"/>
                <w:highlight w:val="none"/>
              </w:rPr>
              <w:t>分区</w:t>
            </w:r>
            <w:r>
              <w:rPr>
                <w:rFonts w:hint="default" w:ascii="Times New Roman" w:hAnsi="Times New Roman" w:eastAsia="宋体" w:cs="Times New Roman"/>
                <w:sz w:val="24"/>
                <w:highlight w:val="none"/>
                <w:lang w:val="en-US" w:eastAsia="zh-CN"/>
              </w:rPr>
              <w:t>存放</w:t>
            </w:r>
            <w:r>
              <w:rPr>
                <w:rFonts w:hint="default" w:ascii="Times New Roman" w:hAnsi="Times New Roman" w:eastAsia="宋体" w:cs="Times New Roman"/>
                <w:sz w:val="24"/>
                <w:highlight w:val="none"/>
              </w:rPr>
              <w:t>，不同危废之间设有隔断，并粘贴危险废物</w:t>
            </w:r>
            <w:r>
              <w:rPr>
                <w:rFonts w:hint="default" w:ascii="Times New Roman" w:hAnsi="Times New Roman" w:eastAsia="宋体" w:cs="Times New Roman"/>
                <w:sz w:val="24"/>
                <w:highlight w:val="none"/>
                <w:lang w:val="en-US" w:eastAsia="zh-CN"/>
              </w:rPr>
              <w:t>标志</w:t>
            </w:r>
            <w:r>
              <w:rPr>
                <w:rFonts w:hint="default" w:ascii="Times New Roman" w:hAnsi="Times New Roman" w:eastAsia="宋体" w:cs="Times New Roman"/>
                <w:sz w:val="24"/>
                <w:highlight w:val="none"/>
              </w:rPr>
              <w:t>。</w:t>
            </w:r>
          </w:p>
          <w:p w14:paraId="4EA7F34B">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危险废物暂存间应</w:t>
            </w:r>
            <w:r>
              <w:rPr>
                <w:rFonts w:hint="default" w:ascii="Times New Roman" w:hAnsi="Times New Roman" w:eastAsia="宋体" w:cs="Times New Roman"/>
                <w:sz w:val="24"/>
                <w:highlight w:val="none"/>
              </w:rPr>
              <w:t>配备</w:t>
            </w:r>
            <w:r>
              <w:rPr>
                <w:rFonts w:hint="default" w:ascii="Times New Roman" w:hAnsi="Times New Roman" w:eastAsia="宋体" w:cs="Times New Roman"/>
                <w:sz w:val="24"/>
                <w:highlight w:val="none"/>
                <w:lang w:val="en-US" w:eastAsia="zh-CN"/>
              </w:rPr>
              <w:t>安全</w:t>
            </w:r>
            <w:r>
              <w:rPr>
                <w:rFonts w:hint="default" w:ascii="Times New Roman" w:hAnsi="Times New Roman" w:eastAsia="宋体" w:cs="Times New Roman"/>
                <w:sz w:val="24"/>
                <w:highlight w:val="none"/>
              </w:rPr>
              <w:t>照明设施、安全防护服装</w:t>
            </w:r>
            <w:r>
              <w:rPr>
                <w:rFonts w:hint="default" w:ascii="Times New Roman" w:hAnsi="Times New Roman" w:eastAsia="宋体" w:cs="Times New Roman"/>
                <w:sz w:val="24"/>
                <w:highlight w:val="none"/>
                <w:lang w:val="en-US" w:eastAsia="zh-CN"/>
              </w:rPr>
              <w:t>及</w:t>
            </w:r>
            <w:r>
              <w:rPr>
                <w:rFonts w:hint="default" w:ascii="Times New Roman" w:hAnsi="Times New Roman" w:eastAsia="宋体" w:cs="Times New Roman"/>
                <w:sz w:val="24"/>
                <w:highlight w:val="none"/>
              </w:rPr>
              <w:t>应急防护设施，地面与裙脚所围建的容积不低于最大容器的最大储量或总储量的五分之一，并设置警示标志。</w:t>
            </w:r>
          </w:p>
          <w:p w14:paraId="27687EE2">
            <w:pPr>
              <w:adjustRightInd w:val="0"/>
              <w:spacing w:line="360" w:lineRule="auto"/>
              <w:ind w:firstLine="480" w:firstLineChars="200"/>
              <w:rPr>
                <w:rFonts w:hint="default" w:ascii="Times New Roman" w:hAnsi="Times New Roman" w:eastAsia="宋体" w:cs="Times New Roman"/>
                <w:sz w:val="24"/>
                <w:highlight w:val="none"/>
              </w:rPr>
            </w:pPr>
            <w:r>
              <w:rPr>
                <w:rFonts w:hint="eastAsia" w:ascii="Times New Roman" w:hAnsi="Times New Roman" w:eastAsia="宋体" w:cs="Times New Roman"/>
                <w:sz w:val="24"/>
                <w:highlight w:val="none"/>
                <w:lang w:val="en-US" w:eastAsia="zh-CN"/>
              </w:rPr>
              <w:t>贮存设施应根据危险废物的类别、数量、形态、物理化学性质和污染防治等要求设置必要的贮存分区，避免不相容的危险废物接触、混合。</w:t>
            </w:r>
          </w:p>
          <w:p w14:paraId="39136A60">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危险废物</w:t>
            </w:r>
            <w:r>
              <w:rPr>
                <w:rFonts w:hint="default" w:ascii="Times New Roman" w:hAnsi="Times New Roman" w:eastAsia="宋体" w:cs="Times New Roman"/>
                <w:sz w:val="24"/>
                <w:highlight w:val="none"/>
              </w:rPr>
              <w:t>由专人进行管理，做好危险废物</w:t>
            </w:r>
            <w:r>
              <w:rPr>
                <w:rFonts w:hint="default" w:ascii="Times New Roman" w:hAnsi="Times New Roman" w:eastAsia="宋体" w:cs="Times New Roman"/>
                <w:sz w:val="24"/>
                <w:highlight w:val="none"/>
                <w:lang w:val="en-US" w:eastAsia="zh-CN"/>
              </w:rPr>
              <w:t>贮存</w:t>
            </w:r>
            <w:r>
              <w:rPr>
                <w:rFonts w:hint="default" w:ascii="Times New Roman" w:hAnsi="Times New Roman" w:eastAsia="宋体" w:cs="Times New Roman"/>
                <w:sz w:val="24"/>
                <w:highlight w:val="none"/>
              </w:rPr>
              <w:t>量</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转移</w:t>
            </w:r>
            <w:r>
              <w:rPr>
                <w:rFonts w:hint="default" w:ascii="Times New Roman" w:hAnsi="Times New Roman" w:eastAsia="宋体" w:cs="Times New Roman"/>
                <w:sz w:val="24"/>
                <w:highlight w:val="none"/>
              </w:rPr>
              <w:t>及处置记录，建立危废台账并在危险废物转移管理过程中严格执行《危险废物转移联单管理办法》，委托有资质单位处理，不得随意倾倒或非法转移危险固废。</w:t>
            </w:r>
          </w:p>
          <w:p w14:paraId="61A834A7">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装载危险废物的容器及材质要满足相应的强度要求，</w:t>
            </w:r>
            <w:r>
              <w:rPr>
                <w:rFonts w:hint="eastAsia" w:ascii="Times New Roman" w:hAnsi="Times New Roman" w:eastAsia="宋体" w:cs="Times New Roman"/>
                <w:sz w:val="24"/>
                <w:highlight w:val="none"/>
                <w:lang w:val="en-US" w:eastAsia="zh-CN"/>
              </w:rPr>
              <w:t>容器和包装物材质、内衬应与盛装的危险废物相容，</w:t>
            </w:r>
            <w:r>
              <w:rPr>
                <w:rFonts w:hint="default" w:ascii="Times New Roman" w:hAnsi="Times New Roman" w:eastAsia="宋体" w:cs="Times New Roman"/>
                <w:sz w:val="24"/>
                <w:highlight w:val="none"/>
              </w:rPr>
              <w:t>装载危险废物的容器必须完好无损。</w:t>
            </w:r>
          </w:p>
          <w:p w14:paraId="338A67C1">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做好危险废物情况的记录，记录上须注明危险废物的名称、来源、数量、特性和包装容器的类别、入库日期、存放库位、废物出库日期及接收单位名称。危险废物的记录和货单在危险废物回取后应继续保留五年。</w:t>
            </w:r>
          </w:p>
          <w:p w14:paraId="4E37207B">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定期对所贮存的危险废物包装容器及贮存设施进行检查，发现破损，应及时采取措施。</w:t>
            </w:r>
          </w:p>
          <w:p w14:paraId="37EBF569">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按照《危险废物贮存污染控制标准》 （GB18597-2023）相关规定要求，危废</w:t>
            </w:r>
            <w:r>
              <w:rPr>
                <w:rFonts w:hint="default" w:ascii="Times New Roman" w:hAnsi="Times New Roman" w:eastAsia="宋体" w:cs="Times New Roman"/>
                <w:sz w:val="24"/>
                <w:highlight w:val="none"/>
                <w:lang w:val="en-US" w:eastAsia="zh-CN"/>
              </w:rPr>
              <w:t>暂存</w:t>
            </w:r>
            <w:r>
              <w:rPr>
                <w:rFonts w:hint="default" w:ascii="Times New Roman" w:hAnsi="Times New Roman" w:eastAsia="宋体" w:cs="Times New Roman"/>
                <w:sz w:val="24"/>
                <w:highlight w:val="none"/>
              </w:rPr>
              <w:t>间及危险废物储存容器上需要张贴标签，具体要求如下：</w:t>
            </w:r>
          </w:p>
          <w:p w14:paraId="5443B04B">
            <w:pPr>
              <w:numPr>
                <w:ilvl w:val="0"/>
                <w:numId w:val="48"/>
              </w:numPr>
              <w:adjustRightInd w:val="0"/>
              <w:spacing w:line="360" w:lineRule="auto"/>
              <w:ind w:left="425" w:leftChars="0" w:hanging="425" w:firstLineChars="0"/>
              <w:jc w:val="center"/>
              <w:rPr>
                <w:rFonts w:hint="default" w:ascii="Times New Roman" w:hAnsi="Times New Roman" w:eastAsia="宋体" w:cs="Times New Roman"/>
                <w:sz w:val="24"/>
                <w:highlight w:val="none"/>
              </w:rPr>
            </w:pPr>
            <w:r>
              <w:rPr>
                <w:rFonts w:hint="default" w:ascii="Times New Roman" w:hAnsi="Times New Roman" w:eastAsia="宋体" w:cs="Times New Roman"/>
                <w:b/>
                <w:bCs/>
                <w:spacing w:val="6"/>
                <w:sz w:val="24"/>
                <w:highlight w:val="none"/>
              </w:rPr>
              <w:t>危废间及储存容器标签示例</w:t>
            </w:r>
          </w:p>
          <w:tbl>
            <w:tblPr>
              <w:tblStyle w:val="44"/>
              <w:tblW w:w="7745" w:type="dxa"/>
              <w:jc w:val="center"/>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1090"/>
              <w:gridCol w:w="2618"/>
              <w:gridCol w:w="4037"/>
            </w:tblGrid>
            <w:tr w14:paraId="00B4408B">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03" w:hRule="atLeast"/>
                <w:jc w:val="center"/>
              </w:trPr>
              <w:tc>
                <w:tcPr>
                  <w:tcW w:w="1090" w:type="dxa"/>
                  <w:tcBorders>
                    <w:tl2br w:val="nil"/>
                    <w:tr2bl w:val="nil"/>
                  </w:tcBorders>
                  <w:vAlign w:val="center"/>
                </w:tcPr>
                <w:p w14:paraId="0F94142E">
                  <w:pPr>
                    <w:widowControl/>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场合</w:t>
                  </w:r>
                </w:p>
              </w:tc>
              <w:tc>
                <w:tcPr>
                  <w:tcW w:w="2618" w:type="dxa"/>
                  <w:tcBorders>
                    <w:tl2br w:val="nil"/>
                    <w:tr2bl w:val="nil"/>
                  </w:tcBorders>
                  <w:vAlign w:val="center"/>
                </w:tcPr>
                <w:p w14:paraId="17E42E94">
                  <w:pPr>
                    <w:widowControl/>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样式</w:t>
                  </w:r>
                </w:p>
              </w:tc>
              <w:tc>
                <w:tcPr>
                  <w:tcW w:w="4037" w:type="dxa"/>
                  <w:tcBorders>
                    <w:tl2br w:val="nil"/>
                    <w:tr2bl w:val="nil"/>
                  </w:tcBorders>
                  <w:vAlign w:val="center"/>
                </w:tcPr>
                <w:p w14:paraId="4C9FF467">
                  <w:pPr>
                    <w:widowControl/>
                    <w:jc w:val="center"/>
                    <w:rPr>
                      <w:rFonts w:hint="default" w:ascii="Times New Roman" w:hAnsi="Times New Roman" w:eastAsia="宋体" w:cs="Times New Roman"/>
                      <w:b/>
                      <w:bCs/>
                      <w:kern w:val="0"/>
                      <w:szCs w:val="21"/>
                      <w:highlight w:val="none"/>
                    </w:rPr>
                  </w:pPr>
                  <w:r>
                    <w:rPr>
                      <w:rFonts w:hint="default" w:ascii="Times New Roman" w:hAnsi="Times New Roman" w:eastAsia="宋体" w:cs="Times New Roman"/>
                      <w:b/>
                      <w:bCs/>
                      <w:kern w:val="0"/>
                      <w:szCs w:val="21"/>
                      <w:highlight w:val="none"/>
                    </w:rPr>
                    <w:t>要求</w:t>
                  </w:r>
                </w:p>
              </w:tc>
            </w:tr>
            <w:tr w14:paraId="55995BC5">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908" w:hRule="atLeast"/>
                <w:jc w:val="center"/>
              </w:trPr>
              <w:tc>
                <w:tcPr>
                  <w:tcW w:w="1090" w:type="dxa"/>
                  <w:tcBorders>
                    <w:tl2br w:val="nil"/>
                    <w:tr2bl w:val="nil"/>
                  </w:tcBorders>
                  <w:vAlign w:val="center"/>
                </w:tcPr>
                <w:p w14:paraId="4930C626">
                  <w:pPr>
                    <w:widowControl/>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室外</w:t>
                  </w:r>
                </w:p>
                <w:p w14:paraId="3234FF5A">
                  <w:pPr>
                    <w:widowControl/>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（粘贴于门上或悬</w:t>
                  </w:r>
                </w:p>
                <w:p w14:paraId="34F366C0">
                  <w:pPr>
                    <w:widowControl/>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挂）</w:t>
                  </w:r>
                </w:p>
              </w:tc>
              <w:tc>
                <w:tcPr>
                  <w:tcW w:w="2618" w:type="dxa"/>
                  <w:tcBorders>
                    <w:tl2br w:val="nil"/>
                    <w:tr2bl w:val="nil"/>
                  </w:tcBorders>
                  <w:vAlign w:val="center"/>
                </w:tcPr>
                <w:p w14:paraId="6EC15D4A">
                  <w:pPr>
                    <w:spacing w:before="188" w:line="1519" w:lineRule="exact"/>
                    <w:jc w:val="both"/>
                    <w:rPr>
                      <w:rFonts w:hint="default" w:ascii="Times New Roman" w:hAnsi="Times New Roman" w:eastAsia="宋体" w:cs="Times New Roman"/>
                      <w:highlight w:val="none"/>
                    </w:rPr>
                  </w:pPr>
                  <w:r>
                    <w:rPr>
                      <w:rFonts w:hint="default" w:ascii="Times New Roman" w:hAnsi="Times New Roman" w:eastAsia="宋体" w:cs="Times New Roman"/>
                      <w:position w:val="-32"/>
                      <w:highlight w:val="none"/>
                    </w:rPr>
                    <w:drawing>
                      <wp:inline distT="0" distB="0" distL="0" distR="0">
                        <wp:extent cx="1625600" cy="1104900"/>
                        <wp:effectExtent l="0" t="0" r="5080" b="7620"/>
                        <wp:docPr id="39" name="IM 134"/>
                        <wp:cNvGraphicFramePr/>
                        <a:graphic xmlns:a="http://schemas.openxmlformats.org/drawingml/2006/main">
                          <a:graphicData uri="http://schemas.openxmlformats.org/drawingml/2006/picture">
                            <pic:pic xmlns:pic="http://schemas.openxmlformats.org/drawingml/2006/picture">
                              <pic:nvPicPr>
                                <pic:cNvPr id="39" name="IM 134"/>
                                <pic:cNvPicPr/>
                              </pic:nvPicPr>
                              <pic:blipFill>
                                <a:blip r:embed="rId28"/>
                                <a:stretch>
                                  <a:fillRect/>
                                </a:stretch>
                              </pic:blipFill>
                              <pic:spPr>
                                <a:xfrm>
                                  <a:off x="0" y="0"/>
                                  <a:ext cx="1625600" cy="1104900"/>
                                </a:xfrm>
                                <a:prstGeom prst="rect">
                                  <a:avLst/>
                                </a:prstGeom>
                              </pic:spPr>
                            </pic:pic>
                          </a:graphicData>
                        </a:graphic>
                      </wp:inline>
                    </w:drawing>
                  </w:r>
                </w:p>
              </w:tc>
              <w:tc>
                <w:tcPr>
                  <w:tcW w:w="4037" w:type="dxa"/>
                  <w:tcBorders>
                    <w:tl2br w:val="nil"/>
                    <w:tr2bl w:val="nil"/>
                  </w:tcBorders>
                  <w:vAlign w:val="center"/>
                </w:tcPr>
                <w:p w14:paraId="08F65A3D">
                  <w:pPr>
                    <w:widowControl/>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1、危险废物标签尺寸颜色：尺寸：40×40cm；</w:t>
                  </w:r>
                </w:p>
                <w:p w14:paraId="34548A6F">
                  <w:pPr>
                    <w:widowControl/>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颜色：背景为黄色，图形为黑色。</w:t>
                  </w:r>
                </w:p>
                <w:p w14:paraId="30A4B741">
                  <w:pPr>
                    <w:widowControl/>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2、警告标志外檐2.5cm。</w:t>
                  </w:r>
                </w:p>
                <w:p w14:paraId="37EC30A2">
                  <w:pPr>
                    <w:widowControl/>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3、适用于：危险废物贮存设施为房屋的，建有围墙或防护栅栏，且高度高于100cm时；部分危险废物利用、处置场所。</w:t>
                  </w:r>
                </w:p>
              </w:tc>
            </w:tr>
            <w:tr w14:paraId="76752541">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65" w:hRule="atLeast"/>
                <w:jc w:val="center"/>
              </w:trPr>
              <w:tc>
                <w:tcPr>
                  <w:tcW w:w="1090" w:type="dxa"/>
                  <w:tcBorders>
                    <w:tl2br w:val="nil"/>
                    <w:tr2bl w:val="nil"/>
                  </w:tcBorders>
                  <w:vAlign w:val="center"/>
                </w:tcPr>
                <w:p w14:paraId="63820EC3">
                  <w:pPr>
                    <w:widowControl/>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粘贴于危</w:t>
                  </w:r>
                </w:p>
                <w:p w14:paraId="0A99319A">
                  <w:pPr>
                    <w:widowControl/>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险废物储</w:t>
                  </w:r>
                </w:p>
                <w:p w14:paraId="57F47E40">
                  <w:pPr>
                    <w:widowControl/>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存容器</w:t>
                  </w:r>
                </w:p>
              </w:tc>
              <w:tc>
                <w:tcPr>
                  <w:tcW w:w="2618" w:type="dxa"/>
                  <w:tcBorders>
                    <w:tl2br w:val="nil"/>
                    <w:tr2bl w:val="nil"/>
                  </w:tcBorders>
                  <w:vAlign w:val="center"/>
                </w:tcPr>
                <w:p w14:paraId="61E6C82F">
                  <w:pPr>
                    <w:spacing w:before="8" w:line="1620" w:lineRule="exact"/>
                    <w:jc w:val="both"/>
                    <w:rPr>
                      <w:rFonts w:hint="default" w:ascii="Times New Roman" w:hAnsi="Times New Roman" w:eastAsia="宋体" w:cs="Times New Roman"/>
                      <w:highlight w:val="none"/>
                    </w:rPr>
                  </w:pPr>
                  <w:r>
                    <w:rPr>
                      <w:rFonts w:hint="default" w:ascii="Times New Roman" w:hAnsi="Times New Roman" w:eastAsia="宋体" w:cs="Times New Roman"/>
                      <w:highlight w:val="none"/>
                    </w:rPr>
                    <w:drawing>
                      <wp:anchor distT="0" distB="0" distL="114300" distR="114300" simplePos="0" relativeHeight="251721728" behindDoc="0" locked="0" layoutInCell="1" allowOverlap="1">
                        <wp:simplePos x="0" y="0"/>
                        <wp:positionH relativeFrom="column">
                          <wp:posOffset>29845</wp:posOffset>
                        </wp:positionH>
                        <wp:positionV relativeFrom="page">
                          <wp:posOffset>-635</wp:posOffset>
                        </wp:positionV>
                        <wp:extent cx="1620520" cy="1568450"/>
                        <wp:effectExtent l="0" t="0" r="10160" b="1270"/>
                        <wp:wrapNone/>
                        <wp:docPr id="4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
                                <pic:cNvPicPr>
                                  <a:picLocks noChangeAspect="1"/>
                                </pic:cNvPicPr>
                              </pic:nvPicPr>
                              <pic:blipFill>
                                <a:blip r:embed="rId29"/>
                                <a:stretch>
                                  <a:fillRect/>
                                </a:stretch>
                              </pic:blipFill>
                              <pic:spPr>
                                <a:xfrm>
                                  <a:off x="0" y="0"/>
                                  <a:ext cx="1620520" cy="1568450"/>
                                </a:xfrm>
                                <a:prstGeom prst="rect">
                                  <a:avLst/>
                                </a:prstGeom>
                                <a:noFill/>
                                <a:ln>
                                  <a:noFill/>
                                </a:ln>
                              </pic:spPr>
                            </pic:pic>
                          </a:graphicData>
                        </a:graphic>
                      </wp:anchor>
                    </w:drawing>
                  </w:r>
                </w:p>
              </w:tc>
              <w:tc>
                <w:tcPr>
                  <w:tcW w:w="4037" w:type="dxa"/>
                  <w:tcBorders>
                    <w:tl2br w:val="nil"/>
                    <w:tr2bl w:val="nil"/>
                  </w:tcBorders>
                  <w:vAlign w:val="center"/>
                </w:tcPr>
                <w:p w14:paraId="6E7681E5">
                  <w:pPr>
                    <w:widowControl/>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1、危险废物标签尺寸颜色：尺寸：20×20cm；</w:t>
                  </w:r>
                </w:p>
                <w:p w14:paraId="44342361">
                  <w:pPr>
                    <w:widowControl/>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底色：醒目的橘黄色。字体：黑体字；</w:t>
                  </w:r>
                </w:p>
                <w:p w14:paraId="3C31EDC4">
                  <w:pPr>
                    <w:widowControl/>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字体颜色：黑色。</w:t>
                  </w:r>
                </w:p>
                <w:p w14:paraId="7BDB60E7">
                  <w:pPr>
                    <w:widowControl/>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2、危险类别：按危险废物种类选择。</w:t>
                  </w:r>
                </w:p>
              </w:tc>
            </w:tr>
          </w:tbl>
          <w:p w14:paraId="02975DE9">
            <w:pPr>
              <w:adjustRightInd w:val="0"/>
              <w:spacing w:line="360" w:lineRule="auto"/>
              <w:ind w:firstLine="480" w:firstLineChars="200"/>
              <w:rPr>
                <w:rFonts w:hint="default" w:ascii="Times New Roman" w:hAnsi="Times New Roman" w:eastAsia="宋体" w:cs="Times New Roman"/>
                <w:b w:val="0"/>
                <w:bCs w:val="0"/>
                <w:sz w:val="24"/>
                <w:highlight w:val="none"/>
              </w:rPr>
            </w:pPr>
            <w:r>
              <w:rPr>
                <w:rFonts w:hint="default" w:ascii="Times New Roman" w:hAnsi="Times New Roman" w:eastAsia="宋体" w:cs="Times New Roman"/>
                <w:b w:val="0"/>
                <w:bCs w:val="0"/>
                <w:sz w:val="24"/>
                <w:highlight w:val="none"/>
                <w:lang w:val="en-US" w:eastAsia="zh-CN"/>
              </w:rPr>
              <w:t>b、</w:t>
            </w:r>
            <w:r>
              <w:rPr>
                <w:rFonts w:hint="default" w:ascii="Times New Roman" w:hAnsi="Times New Roman" w:eastAsia="宋体" w:cs="Times New Roman"/>
                <w:b w:val="0"/>
                <w:bCs w:val="0"/>
                <w:sz w:val="24"/>
                <w:highlight w:val="none"/>
              </w:rPr>
              <w:t>转移及运输过程的环境影响分析及污染防治措施</w:t>
            </w:r>
          </w:p>
          <w:p w14:paraId="2A0F0AE7">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本项目危险废物及时转运，按照确定的内部危险废物运送时间、路线，将危险废物收集、运送至危险废物暂存间，再定期由有清运、处置的资质单位转运处理，做好转运记录，填写危废转移联单，转运危险废物的车辆便于装卸、防止外溢，加盖便于密闭转运，转运车辆每日清洗与消毒，转运及运输过程执行《危险废物转移管理办法》（2022年1月1日起施行）相关要求。</w:t>
            </w:r>
          </w:p>
          <w:p w14:paraId="449BD0BB">
            <w:pPr>
              <w:numPr>
                <w:ilvl w:val="0"/>
                <w:numId w:val="0"/>
              </w:numPr>
              <w:adjustRightInd w:val="0"/>
              <w:snapToGrid w:val="0"/>
              <w:spacing w:line="360" w:lineRule="auto"/>
              <w:ind w:leftChars="0" w:firstLine="480" w:firstLineChars="200"/>
              <w:rPr>
                <w:rFonts w:hint="default" w:ascii="Times New Roman" w:hAnsi="Times New Roman" w:eastAsia="宋体" w:cs="Times New Roman"/>
                <w:b w:val="0"/>
                <w:bCs/>
                <w:sz w:val="24"/>
                <w:highlight w:val="none"/>
                <w:lang w:val="en-US" w:eastAsia="zh-CN"/>
              </w:rPr>
            </w:pPr>
            <w:r>
              <w:rPr>
                <w:rFonts w:hint="default" w:ascii="Times New Roman" w:hAnsi="Times New Roman" w:eastAsia="宋体" w:cs="Times New Roman"/>
                <w:b w:val="0"/>
                <w:bCs/>
                <w:sz w:val="24"/>
                <w:highlight w:val="none"/>
                <w:lang w:val="en-US" w:eastAsia="zh-CN"/>
              </w:rPr>
              <w:t>（3）固体废物环境影响结论</w:t>
            </w:r>
          </w:p>
          <w:p w14:paraId="02C9843A">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项目运营期间产生的固体废物的处置符合《中华人民共和国固体废物污染环境防治法》（2020年版）及《北京市生活垃圾管理条例》（2020年5月1日起施行，2020年9月25日第二次修正）、《中华人民共和国固体废物污染环境防治法》（2020年9月1日起施行）、《一般工业固体废物贮存和填埋污染控制标准》（GB18599-2020）、《北京市危险废物污染环境防治条例》、（2020年9月1日实施）、《危险废物收集贮存运输技术规范》（HJ2025-2012）、《危险废物贮存污染控制标准》（GB18597-2023）、《危险废物污染防治技术政策》（环发[2021]199号）和《危险废物转移管理办法》（2022年1月1日起施行）、《实验室危险废物污染防治技术规范》（DB11/T1368—2016）等相关规定，固体废物去向明确，处置措施合理，本项目固体废物的环境影响可以接受。</w:t>
            </w:r>
          </w:p>
          <w:p w14:paraId="047C58AB">
            <w:pPr>
              <w:numPr>
                <w:ilvl w:val="0"/>
                <w:numId w:val="46"/>
              </w:numPr>
              <w:adjustRightInd w:val="0"/>
              <w:snapToGrid w:val="0"/>
              <w:spacing w:line="360" w:lineRule="auto"/>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地下水、土壤</w:t>
            </w:r>
          </w:p>
          <w:p w14:paraId="4987A068">
            <w:pPr>
              <w:autoSpaceDE w:val="0"/>
              <w:autoSpaceDN w:val="0"/>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w:t>
            </w:r>
            <w:r>
              <w:rPr>
                <w:rFonts w:hint="default" w:ascii="Times New Roman" w:hAnsi="Times New Roman" w:eastAsia="宋体" w:cs="Times New Roman"/>
                <w:color w:val="auto"/>
                <w:sz w:val="24"/>
                <w:highlight w:val="none"/>
                <w:lang w:val="en-US" w:eastAsia="zh-CN"/>
              </w:rPr>
              <w:t>所在建筑一层以下是园区车库，项目二层的一般固废暂存间、一层的危险废物暂存间、危化品间、实验室都按要求做好分区防渗，且与土壤与地下水有空间间隔。项目废水经密闭管道进化粪池处理后</w:t>
            </w:r>
            <w:r>
              <w:rPr>
                <w:rFonts w:hint="default" w:ascii="Times New Roman" w:hAnsi="Times New Roman" w:eastAsia="宋体" w:cs="Times New Roman"/>
                <w:color w:val="auto"/>
                <w:sz w:val="24"/>
                <w:highlight w:val="none"/>
              </w:rPr>
              <w:t>排入市政污水管网，正常排放情况下不会进入地下水，</w:t>
            </w:r>
            <w:r>
              <w:rPr>
                <w:rFonts w:hint="default" w:ascii="Times New Roman" w:hAnsi="Times New Roman" w:eastAsia="宋体" w:cs="Times New Roman"/>
                <w:color w:val="auto"/>
                <w:sz w:val="24"/>
                <w:highlight w:val="none"/>
                <w:lang w:val="en-US" w:eastAsia="zh-CN"/>
              </w:rPr>
              <w:t>本</w:t>
            </w:r>
            <w:r>
              <w:rPr>
                <w:rFonts w:hint="default" w:ascii="Times New Roman" w:hAnsi="Times New Roman" w:eastAsia="宋体" w:cs="Times New Roman"/>
                <w:color w:val="auto"/>
                <w:sz w:val="24"/>
                <w:highlight w:val="none"/>
              </w:rPr>
              <w:t>项目所在地</w:t>
            </w:r>
            <w:r>
              <w:rPr>
                <w:rFonts w:hint="default" w:ascii="Times New Roman" w:hAnsi="Times New Roman" w:eastAsia="宋体" w:cs="Times New Roman"/>
                <w:sz w:val="24"/>
                <w:highlight w:val="none"/>
                <w:lang w:val="en-US" w:eastAsia="zh-CN"/>
              </w:rPr>
              <w:t>北京经济技术开发区康定街15号前沿科技创新空港金田加速区5号楼</w:t>
            </w:r>
            <w:r>
              <w:rPr>
                <w:rFonts w:hint="default" w:ascii="Times New Roman" w:hAnsi="Times New Roman" w:eastAsia="宋体" w:cs="Times New Roman"/>
                <w:color w:val="auto"/>
                <w:sz w:val="24"/>
                <w:highlight w:val="none"/>
              </w:rPr>
              <w:t>周边地面已全部硬化，基本不存在土壤环境污染途径。</w:t>
            </w:r>
          </w:p>
          <w:p w14:paraId="2B29FFEE">
            <w:pPr>
              <w:numPr>
                <w:ilvl w:val="0"/>
                <w:numId w:val="0"/>
              </w:numPr>
              <w:autoSpaceDE w:val="0"/>
              <w:autoSpaceDN w:val="0"/>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为避免实验、贮存等过程发生事故，风险物质对地下水和土壤产生影响，建设单位应</w:t>
            </w:r>
            <w:r>
              <w:rPr>
                <w:rFonts w:hint="default" w:ascii="Times New Roman" w:hAnsi="Times New Roman" w:eastAsia="宋体" w:cs="Times New Roman"/>
                <w:color w:val="auto"/>
                <w:sz w:val="24"/>
                <w:highlight w:val="none"/>
              </w:rPr>
              <w:t>采取以下措施：</w:t>
            </w:r>
          </w:p>
          <w:p w14:paraId="00D075EE">
            <w:pPr>
              <w:numPr>
                <w:ilvl w:val="0"/>
                <w:numId w:val="56"/>
              </w:numPr>
              <w:autoSpaceDE w:val="0"/>
              <w:autoSpaceDN w:val="0"/>
              <w:adjustRightInd w:val="0"/>
              <w:snapToGrid w:val="0"/>
              <w:spacing w:line="360" w:lineRule="auto"/>
              <w:ind w:left="0" w:leftChars="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制定环保设施操作规程和管理制度，</w:t>
            </w:r>
            <w:r>
              <w:rPr>
                <w:rFonts w:hint="default" w:ascii="Times New Roman" w:hAnsi="Times New Roman" w:eastAsia="宋体" w:cs="Times New Roman"/>
                <w:color w:val="auto"/>
                <w:sz w:val="24"/>
                <w:highlight w:val="none"/>
              </w:rPr>
              <w:t>加强管理。</w:t>
            </w:r>
          </w:p>
          <w:p w14:paraId="72D3C720">
            <w:pPr>
              <w:numPr>
                <w:ilvl w:val="0"/>
                <w:numId w:val="56"/>
              </w:numPr>
              <w:autoSpaceDE w:val="0"/>
              <w:autoSpaceDN w:val="0"/>
              <w:adjustRightInd w:val="0"/>
              <w:snapToGrid w:val="0"/>
              <w:spacing w:line="360" w:lineRule="auto"/>
              <w:ind w:left="0" w:leftChars="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各类固体废物分类收集、贮存、处置</w:t>
            </w:r>
            <w:r>
              <w:rPr>
                <w:rFonts w:hint="default" w:ascii="Times New Roman" w:hAnsi="Times New Roman" w:eastAsia="宋体" w:cs="Times New Roman"/>
                <w:color w:val="auto"/>
                <w:sz w:val="24"/>
                <w:highlight w:val="none"/>
              </w:rPr>
              <w:t>。</w:t>
            </w:r>
          </w:p>
          <w:p w14:paraId="73D85AC5">
            <w:pPr>
              <w:numPr>
                <w:ilvl w:val="0"/>
                <w:numId w:val="56"/>
              </w:numPr>
              <w:autoSpaceDE w:val="0"/>
              <w:autoSpaceDN w:val="0"/>
              <w:adjustRightInd w:val="0"/>
              <w:snapToGrid w:val="0"/>
              <w:spacing w:line="360" w:lineRule="auto"/>
              <w:ind w:left="0" w:leftChars="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各实验室、</w:t>
            </w:r>
            <w:r>
              <w:rPr>
                <w:rFonts w:hint="eastAsia" w:ascii="Times New Roman" w:hAnsi="Times New Roman" w:eastAsia="宋体" w:cs="Times New Roman"/>
                <w:color w:val="auto"/>
                <w:sz w:val="24"/>
                <w:highlight w:val="none"/>
                <w:lang w:val="en-US" w:eastAsia="zh-CN"/>
              </w:rPr>
              <w:t>危化品间</w:t>
            </w:r>
            <w:r>
              <w:rPr>
                <w:rFonts w:hint="default" w:ascii="Times New Roman" w:hAnsi="Times New Roman" w:eastAsia="宋体" w:cs="Times New Roman"/>
                <w:color w:val="auto"/>
                <w:sz w:val="24"/>
                <w:highlight w:val="none"/>
              </w:rPr>
              <w:t>、危险废物暂存间地面</w:t>
            </w:r>
            <w:r>
              <w:rPr>
                <w:rFonts w:hint="default" w:ascii="Times New Roman" w:hAnsi="Times New Roman" w:eastAsia="宋体" w:cs="Times New Roman"/>
                <w:color w:val="auto"/>
                <w:sz w:val="24"/>
                <w:highlight w:val="none"/>
                <w:lang w:val="en-US" w:eastAsia="zh-CN"/>
              </w:rPr>
              <w:t>按要求</w:t>
            </w:r>
            <w:r>
              <w:rPr>
                <w:rFonts w:hint="default" w:ascii="Times New Roman" w:hAnsi="Times New Roman" w:eastAsia="宋体" w:cs="Times New Roman"/>
                <w:color w:val="auto"/>
                <w:sz w:val="24"/>
                <w:highlight w:val="none"/>
              </w:rPr>
              <w:t>防渗</w:t>
            </w:r>
            <w:r>
              <w:rPr>
                <w:rFonts w:hint="default" w:ascii="Times New Roman" w:hAnsi="Times New Roman" w:eastAsia="宋体" w:cs="Times New Roman"/>
                <w:color w:val="auto"/>
                <w:sz w:val="24"/>
                <w:highlight w:val="none"/>
                <w:lang w:eastAsia="zh-CN"/>
              </w:rPr>
              <w:t>。</w:t>
            </w:r>
          </w:p>
          <w:p w14:paraId="3CC8258F">
            <w:pPr>
              <w:numPr>
                <w:ilvl w:val="0"/>
                <w:numId w:val="56"/>
              </w:numPr>
              <w:autoSpaceDE w:val="0"/>
              <w:autoSpaceDN w:val="0"/>
              <w:adjustRightInd w:val="0"/>
              <w:snapToGrid w:val="0"/>
              <w:spacing w:line="360" w:lineRule="auto"/>
              <w:ind w:left="0" w:leftChars="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污水管道均采取相应等级防腐、防渗措施</w:t>
            </w:r>
            <w:r>
              <w:rPr>
                <w:rFonts w:hint="default" w:ascii="Times New Roman" w:hAnsi="Times New Roman" w:eastAsia="宋体" w:cs="Times New Roman"/>
                <w:color w:val="auto"/>
                <w:sz w:val="24"/>
                <w:highlight w:val="none"/>
                <w:lang w:eastAsia="zh-CN"/>
              </w:rPr>
              <w:t>。</w:t>
            </w:r>
          </w:p>
          <w:p w14:paraId="386917D4">
            <w:pPr>
              <w:numPr>
                <w:ilvl w:val="0"/>
                <w:numId w:val="56"/>
              </w:numPr>
              <w:autoSpaceDE w:val="0"/>
              <w:autoSpaceDN w:val="0"/>
              <w:adjustRightInd w:val="0"/>
              <w:snapToGrid w:val="0"/>
              <w:spacing w:line="360" w:lineRule="auto"/>
              <w:ind w:left="0" w:leftChars="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落实隐患排查，</w:t>
            </w:r>
            <w:r>
              <w:rPr>
                <w:rFonts w:hint="default" w:ascii="Times New Roman" w:hAnsi="Times New Roman" w:eastAsia="宋体" w:cs="Times New Roman"/>
                <w:color w:val="auto"/>
                <w:sz w:val="24"/>
                <w:highlight w:val="none"/>
              </w:rPr>
              <w:t>做</w:t>
            </w:r>
            <w:r>
              <w:rPr>
                <w:rFonts w:hint="default" w:ascii="Times New Roman" w:hAnsi="Times New Roman" w:eastAsia="宋体" w:cs="Times New Roman"/>
                <w:color w:val="auto"/>
                <w:sz w:val="24"/>
                <w:highlight w:val="none"/>
                <w:lang w:val="en-US" w:eastAsia="zh-CN"/>
              </w:rPr>
              <w:t>好</w:t>
            </w:r>
            <w:r>
              <w:rPr>
                <w:rFonts w:hint="default" w:ascii="Times New Roman" w:hAnsi="Times New Roman" w:eastAsia="宋体" w:cs="Times New Roman"/>
                <w:color w:val="auto"/>
                <w:sz w:val="24"/>
                <w:highlight w:val="none"/>
              </w:rPr>
              <w:t>详细记录，发现问题应及时</w:t>
            </w:r>
            <w:r>
              <w:rPr>
                <w:rFonts w:hint="default" w:ascii="Times New Roman" w:hAnsi="Times New Roman" w:eastAsia="宋体" w:cs="Times New Roman"/>
                <w:color w:val="auto"/>
                <w:sz w:val="24"/>
                <w:highlight w:val="none"/>
                <w:lang w:val="en-US" w:eastAsia="zh-CN"/>
              </w:rPr>
              <w:t>处理</w:t>
            </w:r>
            <w:r>
              <w:rPr>
                <w:rFonts w:hint="default" w:ascii="Times New Roman" w:hAnsi="Times New Roman" w:eastAsia="宋体" w:cs="Times New Roman"/>
                <w:color w:val="auto"/>
                <w:sz w:val="24"/>
                <w:highlight w:val="none"/>
                <w:lang w:eastAsia="zh-CN"/>
              </w:rPr>
              <w:t>。</w:t>
            </w:r>
          </w:p>
          <w:p w14:paraId="6C60C9D6">
            <w:pPr>
              <w:numPr>
                <w:ilvl w:val="0"/>
                <w:numId w:val="0"/>
              </w:numPr>
              <w:autoSpaceDE w:val="0"/>
              <w:autoSpaceDN w:val="0"/>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采取上述防渗措施后，本项目</w:t>
            </w:r>
            <w:r>
              <w:rPr>
                <w:rFonts w:hint="default" w:ascii="Times New Roman" w:hAnsi="Times New Roman" w:eastAsia="宋体" w:cs="Times New Roman"/>
                <w:color w:val="auto"/>
                <w:sz w:val="24"/>
                <w:highlight w:val="none"/>
                <w:lang w:val="en-US" w:eastAsia="zh-CN"/>
              </w:rPr>
              <w:t>基本</w:t>
            </w:r>
            <w:r>
              <w:rPr>
                <w:rFonts w:hint="default" w:ascii="Times New Roman" w:hAnsi="Times New Roman" w:eastAsia="宋体" w:cs="Times New Roman"/>
                <w:color w:val="auto"/>
                <w:sz w:val="24"/>
                <w:highlight w:val="none"/>
              </w:rPr>
              <w:t>不会对区域地下水和土壤环境造成明显影响。</w:t>
            </w:r>
          </w:p>
          <w:p w14:paraId="062DBE29">
            <w:pPr>
              <w:numPr>
                <w:ilvl w:val="0"/>
                <w:numId w:val="46"/>
              </w:numPr>
              <w:adjustRightInd w:val="0"/>
              <w:snapToGrid w:val="0"/>
              <w:spacing w:line="360" w:lineRule="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生态影响分析</w:t>
            </w:r>
          </w:p>
          <w:p w14:paraId="55890C1B">
            <w:pPr>
              <w:numPr>
                <w:ilvl w:val="0"/>
                <w:numId w:val="0"/>
              </w:numPr>
              <w:adjustRightInd w:val="0"/>
              <w:snapToGri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本项目位于</w:t>
            </w:r>
            <w:r>
              <w:rPr>
                <w:rFonts w:hint="default" w:ascii="Times New Roman" w:hAnsi="Times New Roman" w:eastAsia="宋体" w:cs="Times New Roman"/>
                <w:sz w:val="24"/>
                <w:highlight w:val="none"/>
                <w:lang w:val="en-US" w:eastAsia="zh-CN"/>
              </w:rPr>
              <w:t>北京经济技术开发区康定街15号前沿科技创新空港金田加速区5号楼1-2层</w:t>
            </w:r>
            <w:r>
              <w:rPr>
                <w:rFonts w:hint="default" w:ascii="Times New Roman" w:hAnsi="Times New Roman" w:eastAsia="宋体" w:cs="Times New Roman"/>
                <w:color w:val="auto"/>
                <w:sz w:val="24"/>
                <w:highlight w:val="none"/>
                <w:lang w:val="en-US" w:eastAsia="zh-CN"/>
              </w:rPr>
              <w:t>，租用现有建筑物进行研发实验，不属于产业园区外建设项目新增用地项目，且项目用地范围内无生态环境敏感目标，因此，本项目对生态环境影响较小。</w:t>
            </w:r>
          </w:p>
          <w:p w14:paraId="253F0596">
            <w:pPr>
              <w:numPr>
                <w:ilvl w:val="0"/>
                <w:numId w:val="46"/>
              </w:numPr>
              <w:adjustRightInd w:val="0"/>
              <w:snapToGrid w:val="0"/>
              <w:spacing w:line="360" w:lineRule="auto"/>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环境风险</w:t>
            </w:r>
          </w:p>
          <w:p w14:paraId="652E95ED">
            <w:pPr>
              <w:adjustRightInd w:val="0"/>
              <w:spacing w:line="360" w:lineRule="auto"/>
              <w:ind w:firstLine="465"/>
              <w:rPr>
                <w:rFonts w:hint="default" w:ascii="Times New Roman" w:hAnsi="Times New Roman" w:eastAsia="宋体" w:cs="Times New Roman"/>
                <w:b w:val="0"/>
                <w:bCs w:val="0"/>
                <w:spacing w:val="-2"/>
                <w:sz w:val="24"/>
                <w:szCs w:val="32"/>
                <w:highlight w:val="none"/>
              </w:rPr>
            </w:pPr>
            <w:r>
              <w:rPr>
                <w:rFonts w:hint="default" w:ascii="Times New Roman" w:hAnsi="Times New Roman" w:eastAsia="宋体" w:cs="Times New Roman"/>
                <w:b w:val="0"/>
                <w:bCs w:val="0"/>
                <w:spacing w:val="-2"/>
                <w:sz w:val="24"/>
                <w:szCs w:val="32"/>
                <w:highlight w:val="none"/>
              </w:rPr>
              <w:t>（1）风险源</w:t>
            </w:r>
          </w:p>
          <w:p w14:paraId="377CDF5C">
            <w:pPr>
              <w:adjustRightInd w:val="0"/>
              <w:spacing w:line="360" w:lineRule="auto"/>
              <w:ind w:firstLine="465"/>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根据《建设项目风险评价技术导则》（HJ169-2018）附录 B 和《危险化学品重大危险源辨识》（GB18218-2018）中危险品临界量的有关规定，本项目涉及的环境风险物质主要为</w:t>
            </w:r>
            <w:r>
              <w:rPr>
                <w:rFonts w:hint="default" w:ascii="Times New Roman" w:hAnsi="Times New Roman" w:eastAsia="宋体" w:cs="Times New Roman"/>
                <w:sz w:val="24"/>
                <w:highlight w:val="none"/>
                <w:lang w:val="en-US" w:eastAsia="zh-CN"/>
              </w:rPr>
              <w:t>实验过程中的化学物质、</w:t>
            </w:r>
            <w:r>
              <w:rPr>
                <w:rFonts w:hint="default" w:ascii="Times New Roman" w:hAnsi="Times New Roman" w:eastAsia="宋体" w:cs="Times New Roman"/>
                <w:sz w:val="24"/>
                <w:highlight w:val="none"/>
              </w:rPr>
              <w:t>COD</w:t>
            </w:r>
            <w:r>
              <w:rPr>
                <w:rFonts w:hint="default" w:ascii="Times New Roman" w:hAnsi="Times New Roman" w:eastAsia="宋体" w:cs="Times New Roman"/>
                <w:sz w:val="24"/>
                <w:highlight w:val="none"/>
                <w:vertAlign w:val="subscript"/>
              </w:rPr>
              <w:t>Cr</w:t>
            </w:r>
            <w:r>
              <w:rPr>
                <w:rFonts w:hint="default" w:ascii="Times New Roman" w:hAnsi="Times New Roman" w:eastAsia="宋体" w:cs="Times New Roman"/>
                <w:sz w:val="24"/>
                <w:highlight w:val="none"/>
              </w:rPr>
              <w:t>大于10000mg/L的废液</w:t>
            </w:r>
            <w:r>
              <w:rPr>
                <w:rFonts w:hint="default" w:ascii="Times New Roman" w:hAnsi="Times New Roman" w:eastAsia="宋体" w:cs="Times New Roman"/>
                <w:sz w:val="24"/>
                <w:highlight w:val="none"/>
                <w:lang w:val="en-US" w:eastAsia="zh-CN"/>
              </w:rPr>
              <w:t>等</w:t>
            </w:r>
            <w:r>
              <w:rPr>
                <w:rFonts w:hint="default" w:ascii="Times New Roman" w:hAnsi="Times New Roman" w:eastAsia="宋体" w:cs="Times New Roman"/>
                <w:sz w:val="24"/>
                <w:highlight w:val="none"/>
              </w:rPr>
              <w:t>。计算本项目涉及的危险物质在厂界内的最大存储量与其对应的临界量的比值 Q 见下表。</w:t>
            </w:r>
          </w:p>
          <w:p w14:paraId="2F818F89">
            <w:pPr>
              <w:numPr>
                <w:ilvl w:val="0"/>
                <w:numId w:val="48"/>
              </w:numPr>
              <w:adjustRightInd w:val="0"/>
              <w:spacing w:line="360" w:lineRule="auto"/>
              <w:ind w:left="425" w:leftChars="0" w:hanging="425" w:firstLineChars="0"/>
              <w:jc w:val="center"/>
              <w:rPr>
                <w:rFonts w:hint="default" w:ascii="Times New Roman" w:hAnsi="Times New Roman" w:eastAsia="宋体" w:cs="Times New Roman"/>
                <w:b/>
                <w:snapToGrid w:val="0"/>
                <w:kern w:val="0"/>
                <w:sz w:val="24"/>
                <w:highlight w:val="none"/>
              </w:rPr>
            </w:pPr>
            <w:r>
              <w:rPr>
                <w:rFonts w:hint="default" w:ascii="Times New Roman" w:hAnsi="Times New Roman" w:eastAsia="宋体" w:cs="Times New Roman"/>
                <w:b/>
                <w:snapToGrid w:val="0"/>
                <w:kern w:val="0"/>
                <w:sz w:val="24"/>
                <w:highlight w:val="none"/>
              </w:rPr>
              <w:t>环境</w:t>
            </w:r>
            <w:r>
              <w:rPr>
                <w:rFonts w:hint="default" w:ascii="Times New Roman" w:hAnsi="Times New Roman" w:eastAsia="宋体" w:cs="Times New Roman"/>
                <w:b/>
                <w:color w:val="auto"/>
                <w:sz w:val="24"/>
                <w:highlight w:val="none"/>
              </w:rPr>
              <w:t>风险</w:t>
            </w:r>
            <w:r>
              <w:rPr>
                <w:rFonts w:hint="default" w:ascii="Times New Roman" w:hAnsi="Times New Roman" w:eastAsia="宋体" w:cs="Times New Roman"/>
                <w:b/>
                <w:snapToGrid w:val="0"/>
                <w:kern w:val="0"/>
                <w:sz w:val="24"/>
                <w:highlight w:val="none"/>
              </w:rPr>
              <w:t>物质数量与临界量比值</w:t>
            </w:r>
          </w:p>
          <w:tbl>
            <w:tblPr>
              <w:tblStyle w:val="18"/>
              <w:tblW w:w="7400"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585"/>
              <w:gridCol w:w="1110"/>
              <w:gridCol w:w="1555"/>
              <w:gridCol w:w="1053"/>
              <w:gridCol w:w="1097"/>
            </w:tblGrid>
            <w:tr w14:paraId="1F4355F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2585" w:type="dxa"/>
                  <w:tcBorders>
                    <w:tl2br w:val="nil"/>
                    <w:tr2bl w:val="nil"/>
                  </w:tcBorders>
                  <w:vAlign w:val="center"/>
                </w:tcPr>
                <w:p w14:paraId="628DB217">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危险品名称</w:t>
                  </w:r>
                </w:p>
              </w:tc>
              <w:tc>
                <w:tcPr>
                  <w:tcW w:w="1110" w:type="dxa"/>
                  <w:tcBorders>
                    <w:tl2br w:val="nil"/>
                    <w:tr2bl w:val="nil"/>
                  </w:tcBorders>
                  <w:vAlign w:val="center"/>
                </w:tcPr>
                <w:p w14:paraId="55532EBA">
                  <w:pPr>
                    <w:jc w:val="center"/>
                    <w:rPr>
                      <w:rFonts w:hint="default" w:ascii="Times New Roman" w:hAnsi="Times New Roman" w:eastAsia="宋体" w:cs="Times New Roman"/>
                      <w:b/>
                      <w:szCs w:val="21"/>
                      <w:highlight w:val="none"/>
                      <w:lang w:eastAsia="zh-CN"/>
                    </w:rPr>
                  </w:pPr>
                  <w:r>
                    <w:rPr>
                      <w:rFonts w:hint="default" w:ascii="Times New Roman" w:hAnsi="Times New Roman" w:eastAsia="宋体" w:cs="Times New Roman"/>
                      <w:b/>
                      <w:szCs w:val="21"/>
                      <w:highlight w:val="none"/>
                      <w:lang w:eastAsia="zh-CN"/>
                    </w:rPr>
                    <w:t>存放位置</w:t>
                  </w:r>
                </w:p>
              </w:tc>
              <w:tc>
                <w:tcPr>
                  <w:tcW w:w="1555" w:type="dxa"/>
                  <w:tcBorders>
                    <w:tl2br w:val="nil"/>
                    <w:tr2bl w:val="nil"/>
                  </w:tcBorders>
                  <w:vAlign w:val="center"/>
                </w:tcPr>
                <w:p w14:paraId="43D57743">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最大储存量（t）</w:t>
                  </w:r>
                </w:p>
              </w:tc>
              <w:tc>
                <w:tcPr>
                  <w:tcW w:w="1053" w:type="dxa"/>
                  <w:tcBorders>
                    <w:tl2br w:val="nil"/>
                    <w:tr2bl w:val="nil"/>
                  </w:tcBorders>
                  <w:vAlign w:val="center"/>
                </w:tcPr>
                <w:p w14:paraId="446907F8">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临界值（t）</w:t>
                  </w:r>
                </w:p>
              </w:tc>
              <w:tc>
                <w:tcPr>
                  <w:tcW w:w="1097" w:type="dxa"/>
                  <w:tcBorders>
                    <w:tl2br w:val="nil"/>
                    <w:tr2bl w:val="nil"/>
                  </w:tcBorders>
                  <w:vAlign w:val="center"/>
                </w:tcPr>
                <w:p w14:paraId="6F32A632">
                  <w:pPr>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Q值</w:t>
                  </w:r>
                </w:p>
              </w:tc>
            </w:tr>
            <w:tr w14:paraId="3020604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585" w:type="dxa"/>
                  <w:tcBorders>
                    <w:tl2br w:val="nil"/>
                    <w:tr2bl w:val="nil"/>
                  </w:tcBorders>
                  <w:shd w:val="clear" w:color="auto" w:fill="auto"/>
                  <w:vAlign w:val="center"/>
                </w:tcPr>
                <w:p w14:paraId="3A9B902C">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rPr>
                    <w:t>硝酸（HNO₃）</w:t>
                  </w:r>
                </w:p>
              </w:tc>
              <w:tc>
                <w:tcPr>
                  <w:tcW w:w="1110" w:type="dxa"/>
                  <w:vMerge w:val="restart"/>
                  <w:tcBorders>
                    <w:tl2br w:val="nil"/>
                    <w:tr2bl w:val="nil"/>
                  </w:tcBorders>
                  <w:shd w:val="clear" w:color="auto" w:fill="auto"/>
                  <w:vAlign w:val="center"/>
                </w:tcPr>
                <w:p w14:paraId="645F0ED5">
                  <w:pPr>
                    <w:widowControl/>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危化品间</w:t>
                  </w:r>
                </w:p>
              </w:tc>
              <w:tc>
                <w:tcPr>
                  <w:tcW w:w="1555" w:type="dxa"/>
                  <w:tcBorders>
                    <w:tl2br w:val="nil"/>
                    <w:tr2bl w:val="nil"/>
                  </w:tcBorders>
                  <w:shd w:val="clear" w:color="auto" w:fill="auto"/>
                  <w:vAlign w:val="center"/>
                </w:tcPr>
                <w:p w14:paraId="450B7811">
                  <w:pPr>
                    <w:widowControl/>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0.0007</w:t>
                  </w:r>
                </w:p>
              </w:tc>
              <w:tc>
                <w:tcPr>
                  <w:tcW w:w="1053" w:type="dxa"/>
                  <w:tcBorders>
                    <w:tl2br w:val="nil"/>
                    <w:tr2bl w:val="nil"/>
                  </w:tcBorders>
                  <w:shd w:val="clear" w:color="auto" w:fill="auto"/>
                  <w:vAlign w:val="center"/>
                </w:tcPr>
                <w:p w14:paraId="30367E51">
                  <w:pPr>
                    <w:widowControl/>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7.5</w:t>
                  </w:r>
                </w:p>
              </w:tc>
              <w:tc>
                <w:tcPr>
                  <w:tcW w:w="1097" w:type="dxa"/>
                  <w:tcBorders>
                    <w:tl2br w:val="nil"/>
                    <w:tr2bl w:val="nil"/>
                  </w:tcBorders>
                  <w:vAlign w:val="center"/>
                </w:tcPr>
                <w:p w14:paraId="76F82D42">
                  <w:pPr>
                    <w:widowControl/>
                    <w:jc w:val="center"/>
                    <w:textAlignment w:val="center"/>
                    <w:rPr>
                      <w:rFonts w:hint="default" w:ascii="Times New Roman" w:hAnsi="Times New Roman" w:eastAsia="宋体" w:cs="Times New Roman"/>
                      <w:color w:val="000000"/>
                      <w:kern w:val="0"/>
                      <w:szCs w:val="21"/>
                      <w:highlight w:val="none"/>
                      <w:lang w:val="en-US" w:eastAsia="zh-CN" w:bidi="ar"/>
                    </w:rPr>
                  </w:pPr>
                  <w:r>
                    <w:rPr>
                      <w:rFonts w:hint="default" w:ascii="Times New Roman" w:hAnsi="Times New Roman" w:eastAsia="宋体" w:cs="Times New Roman"/>
                      <w:color w:val="000000"/>
                      <w:kern w:val="0"/>
                      <w:szCs w:val="21"/>
                      <w:highlight w:val="none"/>
                      <w:lang w:val="en-US" w:eastAsia="zh-CN" w:bidi="ar"/>
                    </w:rPr>
                    <w:t>0.00009</w:t>
                  </w:r>
                </w:p>
              </w:tc>
            </w:tr>
            <w:tr w14:paraId="6EBD18C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585" w:type="dxa"/>
                  <w:tcBorders>
                    <w:tl2br w:val="nil"/>
                    <w:tr2bl w:val="nil"/>
                  </w:tcBorders>
                  <w:shd w:val="clear" w:color="auto" w:fill="auto"/>
                  <w:vAlign w:val="center"/>
                </w:tcPr>
                <w:p w14:paraId="174B1B02">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404040"/>
                      <w:sz w:val="18"/>
                      <w:szCs w:val="18"/>
                    </w:rPr>
                    <w:t>盐酸（HCl）</w:t>
                  </w:r>
                </w:p>
              </w:tc>
              <w:tc>
                <w:tcPr>
                  <w:tcW w:w="1110" w:type="dxa"/>
                  <w:vMerge w:val="continue"/>
                  <w:tcBorders>
                    <w:tl2br w:val="nil"/>
                    <w:tr2bl w:val="nil"/>
                  </w:tcBorders>
                  <w:shd w:val="clear" w:color="auto" w:fill="auto"/>
                  <w:vAlign w:val="center"/>
                </w:tcPr>
                <w:p w14:paraId="29A3B10B">
                  <w:pPr>
                    <w:widowControl/>
                    <w:jc w:val="center"/>
                    <w:rPr>
                      <w:rFonts w:hint="default" w:ascii="Times New Roman" w:hAnsi="Times New Roman" w:eastAsia="宋体" w:cs="Times New Roman"/>
                      <w:kern w:val="0"/>
                      <w:sz w:val="21"/>
                      <w:szCs w:val="21"/>
                      <w:highlight w:val="none"/>
                      <w:lang w:val="en-US" w:eastAsia="zh-CN" w:bidi="ar-SA"/>
                    </w:rPr>
                  </w:pPr>
                </w:p>
              </w:tc>
              <w:tc>
                <w:tcPr>
                  <w:tcW w:w="1555" w:type="dxa"/>
                  <w:tcBorders>
                    <w:tl2br w:val="nil"/>
                    <w:tr2bl w:val="nil"/>
                  </w:tcBorders>
                  <w:shd w:val="clear" w:color="auto" w:fill="auto"/>
                  <w:vAlign w:val="center"/>
                </w:tcPr>
                <w:p w14:paraId="4F5FA194">
                  <w:pPr>
                    <w:widowControl/>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0.0006</w:t>
                  </w:r>
                </w:p>
              </w:tc>
              <w:tc>
                <w:tcPr>
                  <w:tcW w:w="1053" w:type="dxa"/>
                  <w:tcBorders>
                    <w:tl2br w:val="nil"/>
                    <w:tr2bl w:val="nil"/>
                  </w:tcBorders>
                  <w:shd w:val="clear" w:color="auto" w:fill="auto"/>
                  <w:vAlign w:val="center"/>
                </w:tcPr>
                <w:p w14:paraId="7E48E75E">
                  <w:pPr>
                    <w:widowControl/>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2.5</w:t>
                  </w:r>
                </w:p>
              </w:tc>
              <w:tc>
                <w:tcPr>
                  <w:tcW w:w="1097" w:type="dxa"/>
                  <w:tcBorders>
                    <w:tl2br w:val="nil"/>
                    <w:tr2bl w:val="nil"/>
                  </w:tcBorders>
                  <w:shd w:val="clear" w:color="auto" w:fill="auto"/>
                  <w:vAlign w:val="center"/>
                </w:tcPr>
                <w:p w14:paraId="272ABE2D">
                  <w:pPr>
                    <w:widowControl/>
                    <w:jc w:val="center"/>
                    <w:textAlignment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0.00024</w:t>
                  </w:r>
                </w:p>
              </w:tc>
            </w:tr>
            <w:tr w14:paraId="2E1851B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585" w:type="dxa"/>
                  <w:tcBorders>
                    <w:tl2br w:val="nil"/>
                    <w:tr2bl w:val="nil"/>
                  </w:tcBorders>
                  <w:shd w:val="clear" w:color="auto" w:fill="auto"/>
                  <w:vAlign w:val="center"/>
                </w:tcPr>
                <w:p w14:paraId="0222FBD3">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无水乙醇</w:t>
                  </w:r>
                </w:p>
              </w:tc>
              <w:tc>
                <w:tcPr>
                  <w:tcW w:w="1110" w:type="dxa"/>
                  <w:vMerge w:val="continue"/>
                  <w:tcBorders>
                    <w:tl2br w:val="nil"/>
                    <w:tr2bl w:val="nil"/>
                  </w:tcBorders>
                  <w:shd w:val="clear" w:color="auto" w:fill="auto"/>
                  <w:vAlign w:val="center"/>
                </w:tcPr>
                <w:p w14:paraId="7247818F">
                  <w:pPr>
                    <w:widowControl/>
                    <w:jc w:val="center"/>
                    <w:rPr>
                      <w:rFonts w:hint="default" w:ascii="Times New Roman" w:hAnsi="Times New Roman" w:eastAsia="宋体" w:cs="Times New Roman"/>
                      <w:kern w:val="0"/>
                      <w:sz w:val="21"/>
                      <w:szCs w:val="21"/>
                      <w:highlight w:val="none"/>
                      <w:lang w:val="en-US" w:eastAsia="zh-CN" w:bidi="ar-SA"/>
                    </w:rPr>
                  </w:pPr>
                </w:p>
              </w:tc>
              <w:tc>
                <w:tcPr>
                  <w:tcW w:w="1555" w:type="dxa"/>
                  <w:tcBorders>
                    <w:tl2br w:val="nil"/>
                    <w:tr2bl w:val="nil"/>
                  </w:tcBorders>
                  <w:shd w:val="clear" w:color="auto" w:fill="auto"/>
                  <w:vAlign w:val="center"/>
                </w:tcPr>
                <w:p w14:paraId="3A461D49">
                  <w:pPr>
                    <w:widowControl/>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0.0008</w:t>
                  </w:r>
                </w:p>
              </w:tc>
              <w:tc>
                <w:tcPr>
                  <w:tcW w:w="1053" w:type="dxa"/>
                  <w:tcBorders>
                    <w:tl2br w:val="nil"/>
                    <w:tr2bl w:val="nil"/>
                  </w:tcBorders>
                  <w:shd w:val="clear" w:color="auto" w:fill="auto"/>
                  <w:vAlign w:val="center"/>
                </w:tcPr>
                <w:p w14:paraId="1E7F8EFE">
                  <w:pPr>
                    <w:widowControl/>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500</w:t>
                  </w:r>
                </w:p>
              </w:tc>
              <w:tc>
                <w:tcPr>
                  <w:tcW w:w="1097" w:type="dxa"/>
                  <w:tcBorders>
                    <w:tl2br w:val="nil"/>
                    <w:tr2bl w:val="nil"/>
                  </w:tcBorders>
                  <w:shd w:val="clear" w:color="auto" w:fill="auto"/>
                  <w:vAlign w:val="center"/>
                </w:tcPr>
                <w:p w14:paraId="71D1DA78">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highlight w:val="none"/>
                      <w:lang w:val="en-US" w:eastAsia="zh-CN" w:bidi="ar"/>
                    </w:rPr>
                  </w:pPr>
                  <w:r>
                    <w:rPr>
                      <w:rFonts w:hint="default" w:ascii="Times New Roman" w:hAnsi="Times New Roman" w:eastAsia="宋体" w:cs="Times New Roman"/>
                      <w:color w:val="000000"/>
                      <w:kern w:val="0"/>
                      <w:sz w:val="21"/>
                      <w:szCs w:val="21"/>
                      <w:highlight w:val="none"/>
                      <w:lang w:val="en-US" w:eastAsia="zh-CN" w:bidi="ar"/>
                    </w:rPr>
                    <w:t>0.0000016</w:t>
                  </w:r>
                </w:p>
              </w:tc>
            </w:tr>
            <w:tr w14:paraId="0198B8C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585" w:type="dxa"/>
                  <w:tcBorders>
                    <w:tl2br w:val="nil"/>
                    <w:tr2bl w:val="nil"/>
                  </w:tcBorders>
                  <w:shd w:val="clear" w:color="auto" w:fill="auto"/>
                  <w:vAlign w:val="center"/>
                </w:tcPr>
                <w:p w14:paraId="454C719D">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lang w:val="en-US" w:eastAsia="zh-CN"/>
                    </w:rPr>
                    <w:t>碳酸甲乙酯</w:t>
                  </w:r>
                </w:p>
              </w:tc>
              <w:tc>
                <w:tcPr>
                  <w:tcW w:w="1110" w:type="dxa"/>
                  <w:vMerge w:val="continue"/>
                  <w:tcBorders>
                    <w:tl2br w:val="nil"/>
                    <w:tr2bl w:val="nil"/>
                  </w:tcBorders>
                  <w:shd w:val="clear" w:color="auto" w:fill="auto"/>
                  <w:vAlign w:val="center"/>
                </w:tcPr>
                <w:p w14:paraId="4ACE53BE">
                  <w:pPr>
                    <w:widowControl/>
                    <w:jc w:val="center"/>
                    <w:rPr>
                      <w:rFonts w:hint="default" w:ascii="Times New Roman" w:hAnsi="Times New Roman" w:eastAsia="宋体" w:cs="Times New Roman"/>
                      <w:kern w:val="0"/>
                      <w:sz w:val="21"/>
                      <w:szCs w:val="21"/>
                      <w:highlight w:val="none"/>
                      <w:lang w:val="en-US" w:eastAsia="zh-CN" w:bidi="ar-SA"/>
                    </w:rPr>
                  </w:pPr>
                </w:p>
              </w:tc>
              <w:tc>
                <w:tcPr>
                  <w:tcW w:w="1555" w:type="dxa"/>
                  <w:tcBorders>
                    <w:tl2br w:val="nil"/>
                    <w:tr2bl w:val="nil"/>
                  </w:tcBorders>
                  <w:shd w:val="clear" w:color="auto" w:fill="auto"/>
                  <w:vAlign w:val="center"/>
                </w:tcPr>
                <w:p w14:paraId="03C959A3">
                  <w:pPr>
                    <w:widowControl/>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0.0002</w:t>
                  </w:r>
                </w:p>
              </w:tc>
              <w:tc>
                <w:tcPr>
                  <w:tcW w:w="1053" w:type="dxa"/>
                  <w:tcBorders>
                    <w:tl2br w:val="nil"/>
                    <w:tr2bl w:val="nil"/>
                  </w:tcBorders>
                  <w:shd w:val="clear" w:color="auto" w:fill="auto"/>
                  <w:vAlign w:val="center"/>
                </w:tcPr>
                <w:p w14:paraId="3FD6C24B">
                  <w:pPr>
                    <w:widowControl/>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5000</w:t>
                  </w:r>
                </w:p>
              </w:tc>
              <w:tc>
                <w:tcPr>
                  <w:tcW w:w="1097" w:type="dxa"/>
                  <w:tcBorders>
                    <w:tl2br w:val="nil"/>
                    <w:tr2bl w:val="nil"/>
                  </w:tcBorders>
                  <w:shd w:val="clear" w:color="auto" w:fill="auto"/>
                  <w:vAlign w:val="center"/>
                </w:tcPr>
                <w:p w14:paraId="408C17E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0.00000004</w:t>
                  </w:r>
                </w:p>
              </w:tc>
            </w:tr>
            <w:tr w14:paraId="4B6D832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585" w:type="dxa"/>
                  <w:tcBorders>
                    <w:tl2br w:val="nil"/>
                    <w:tr2bl w:val="nil"/>
                  </w:tcBorders>
                  <w:shd w:val="clear" w:color="auto" w:fill="auto"/>
                  <w:vAlign w:val="center"/>
                </w:tcPr>
                <w:p w14:paraId="1334F404">
                  <w:pPr>
                    <w:adjustRightInd w:val="0"/>
                    <w:snapToGrid w:val="0"/>
                    <w:jc w:val="center"/>
                    <w:rPr>
                      <w:rFonts w:hint="default" w:ascii="Times New Roman" w:hAnsi="Times New Roman" w:eastAsia="宋体" w:cs="Times New Roman"/>
                      <w:color w:val="000000"/>
                      <w:sz w:val="18"/>
                      <w:szCs w:val="18"/>
                      <w:lang w:val="en-US" w:eastAsia="zh-CN"/>
                    </w:rPr>
                  </w:pPr>
                  <w:r>
                    <w:rPr>
                      <w:rFonts w:hint="eastAsia" w:cs="Times New Roman"/>
                      <w:color w:val="000000"/>
                      <w:sz w:val="18"/>
                      <w:szCs w:val="18"/>
                      <w:lang w:val="en-US" w:eastAsia="zh-CN"/>
                    </w:rPr>
                    <w:t>氢氟酸</w:t>
                  </w:r>
                </w:p>
              </w:tc>
              <w:tc>
                <w:tcPr>
                  <w:tcW w:w="1110" w:type="dxa"/>
                  <w:vMerge w:val="continue"/>
                  <w:tcBorders>
                    <w:tl2br w:val="nil"/>
                    <w:tr2bl w:val="nil"/>
                  </w:tcBorders>
                  <w:shd w:val="clear" w:color="auto" w:fill="auto"/>
                  <w:vAlign w:val="center"/>
                </w:tcPr>
                <w:p w14:paraId="08D6E148">
                  <w:pPr>
                    <w:widowControl/>
                    <w:jc w:val="center"/>
                    <w:rPr>
                      <w:rFonts w:hint="default" w:ascii="Times New Roman" w:hAnsi="Times New Roman" w:eastAsia="宋体" w:cs="Times New Roman"/>
                      <w:kern w:val="0"/>
                      <w:sz w:val="21"/>
                      <w:szCs w:val="21"/>
                      <w:highlight w:val="none"/>
                      <w:lang w:val="en-US" w:eastAsia="zh-CN" w:bidi="ar-SA"/>
                    </w:rPr>
                  </w:pPr>
                </w:p>
              </w:tc>
              <w:tc>
                <w:tcPr>
                  <w:tcW w:w="1555" w:type="dxa"/>
                  <w:tcBorders>
                    <w:tl2br w:val="nil"/>
                    <w:tr2bl w:val="nil"/>
                  </w:tcBorders>
                  <w:shd w:val="clear" w:color="auto" w:fill="auto"/>
                  <w:vAlign w:val="center"/>
                </w:tcPr>
                <w:p w14:paraId="6768FC57">
                  <w:pPr>
                    <w:widowControl/>
                    <w:jc w:val="center"/>
                    <w:rPr>
                      <w:rFonts w:hint="default" w:ascii="Times New Roman" w:hAnsi="Times New Roman" w:eastAsia="宋体" w:cs="Times New Roman"/>
                      <w:kern w:val="0"/>
                      <w:szCs w:val="21"/>
                      <w:highlight w:val="none"/>
                      <w:lang w:val="en-US" w:eastAsia="zh-CN"/>
                    </w:rPr>
                  </w:pPr>
                  <w:r>
                    <w:rPr>
                      <w:rFonts w:hint="eastAsia" w:cs="Times New Roman"/>
                      <w:kern w:val="0"/>
                      <w:szCs w:val="21"/>
                      <w:highlight w:val="none"/>
                      <w:lang w:val="en-US" w:eastAsia="zh-CN"/>
                    </w:rPr>
                    <w:t>0.00046</w:t>
                  </w:r>
                </w:p>
              </w:tc>
              <w:tc>
                <w:tcPr>
                  <w:tcW w:w="1053" w:type="dxa"/>
                  <w:tcBorders>
                    <w:tl2br w:val="nil"/>
                    <w:tr2bl w:val="nil"/>
                  </w:tcBorders>
                  <w:shd w:val="clear" w:color="auto" w:fill="auto"/>
                  <w:vAlign w:val="center"/>
                </w:tcPr>
                <w:p w14:paraId="269839F2">
                  <w:pPr>
                    <w:widowControl/>
                    <w:jc w:val="center"/>
                    <w:rPr>
                      <w:rFonts w:hint="default" w:ascii="Times New Roman" w:hAnsi="Times New Roman" w:eastAsia="宋体" w:cs="Times New Roman"/>
                      <w:kern w:val="0"/>
                      <w:szCs w:val="21"/>
                      <w:highlight w:val="none"/>
                      <w:lang w:val="en-US" w:eastAsia="zh-CN"/>
                    </w:rPr>
                  </w:pPr>
                  <w:r>
                    <w:rPr>
                      <w:rFonts w:hint="eastAsia" w:cs="Times New Roman"/>
                      <w:kern w:val="0"/>
                      <w:szCs w:val="21"/>
                      <w:highlight w:val="none"/>
                      <w:lang w:val="en-US" w:eastAsia="zh-CN"/>
                    </w:rPr>
                    <w:t>5</w:t>
                  </w:r>
                </w:p>
              </w:tc>
              <w:tc>
                <w:tcPr>
                  <w:tcW w:w="1097" w:type="dxa"/>
                  <w:tcBorders>
                    <w:tl2br w:val="nil"/>
                    <w:tr2bl w:val="nil"/>
                  </w:tcBorders>
                  <w:shd w:val="clear" w:color="auto" w:fill="auto"/>
                  <w:vAlign w:val="center"/>
                </w:tcPr>
                <w:p w14:paraId="5260A2F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0.000092</w:t>
                  </w:r>
                </w:p>
              </w:tc>
            </w:tr>
            <w:tr w14:paraId="3274AC1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585" w:type="dxa"/>
                  <w:tcBorders>
                    <w:tl2br w:val="nil"/>
                    <w:tr2bl w:val="nil"/>
                  </w:tcBorders>
                  <w:shd w:val="clear" w:color="auto" w:fill="auto"/>
                  <w:vAlign w:val="center"/>
                </w:tcPr>
                <w:p w14:paraId="4C6664F2">
                  <w:pPr>
                    <w:adjustRightInd w:val="0"/>
                    <w:snapToGrid w:val="0"/>
                    <w:jc w:val="center"/>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color w:val="000000"/>
                      <w:sz w:val="18"/>
                      <w:szCs w:val="18"/>
                    </w:rPr>
                    <w:t>N-甲基吡咯烷酮（NMP）</w:t>
                  </w:r>
                </w:p>
              </w:tc>
              <w:tc>
                <w:tcPr>
                  <w:tcW w:w="1110" w:type="dxa"/>
                  <w:vMerge w:val="continue"/>
                  <w:tcBorders>
                    <w:tl2br w:val="nil"/>
                    <w:tr2bl w:val="nil"/>
                  </w:tcBorders>
                  <w:shd w:val="clear" w:color="auto" w:fill="auto"/>
                  <w:vAlign w:val="center"/>
                </w:tcPr>
                <w:p w14:paraId="0C16B70E">
                  <w:pPr>
                    <w:widowControl/>
                    <w:jc w:val="center"/>
                    <w:rPr>
                      <w:rFonts w:hint="default" w:ascii="Times New Roman" w:hAnsi="Times New Roman" w:eastAsia="宋体" w:cs="Times New Roman"/>
                      <w:kern w:val="0"/>
                      <w:sz w:val="21"/>
                      <w:szCs w:val="21"/>
                      <w:highlight w:val="none"/>
                      <w:lang w:val="en-US" w:eastAsia="zh-CN" w:bidi="ar-SA"/>
                    </w:rPr>
                  </w:pPr>
                </w:p>
              </w:tc>
              <w:tc>
                <w:tcPr>
                  <w:tcW w:w="1555" w:type="dxa"/>
                  <w:tcBorders>
                    <w:tl2br w:val="nil"/>
                    <w:tr2bl w:val="nil"/>
                  </w:tcBorders>
                  <w:shd w:val="clear" w:color="auto" w:fill="auto"/>
                  <w:vAlign w:val="center"/>
                </w:tcPr>
                <w:p w14:paraId="2DCCD58A">
                  <w:pPr>
                    <w:widowControl/>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0.001</w:t>
                  </w:r>
                </w:p>
              </w:tc>
              <w:tc>
                <w:tcPr>
                  <w:tcW w:w="1053" w:type="dxa"/>
                  <w:tcBorders>
                    <w:tl2br w:val="nil"/>
                    <w:tr2bl w:val="nil"/>
                  </w:tcBorders>
                  <w:shd w:val="clear" w:color="auto" w:fill="auto"/>
                  <w:vAlign w:val="center"/>
                </w:tcPr>
                <w:p w14:paraId="088A9B72">
                  <w:pPr>
                    <w:widowControl/>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5000</w:t>
                  </w:r>
                </w:p>
              </w:tc>
              <w:tc>
                <w:tcPr>
                  <w:tcW w:w="1097" w:type="dxa"/>
                  <w:tcBorders>
                    <w:tl2br w:val="nil"/>
                    <w:tr2bl w:val="nil"/>
                  </w:tcBorders>
                  <w:shd w:val="clear" w:color="auto" w:fill="auto"/>
                  <w:vAlign w:val="center"/>
                </w:tcPr>
                <w:p w14:paraId="706B575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0.0000002</w:t>
                  </w:r>
                </w:p>
              </w:tc>
            </w:tr>
            <w:tr w14:paraId="10052C6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585" w:type="dxa"/>
                  <w:tcBorders>
                    <w:tl2br w:val="nil"/>
                    <w:tr2bl w:val="nil"/>
                  </w:tcBorders>
                  <w:shd w:val="clear" w:color="auto" w:fill="auto"/>
                  <w:vAlign w:val="center"/>
                </w:tcPr>
                <w:p w14:paraId="5DDF78B0">
                  <w:pPr>
                    <w:adjustRightInd w:val="0"/>
                    <w:snapToGrid w:val="0"/>
                    <w:jc w:val="center"/>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碳酸二乙酯</w:t>
                  </w:r>
                </w:p>
              </w:tc>
              <w:tc>
                <w:tcPr>
                  <w:tcW w:w="1110" w:type="dxa"/>
                  <w:vMerge w:val="continue"/>
                  <w:tcBorders>
                    <w:tl2br w:val="nil"/>
                    <w:tr2bl w:val="nil"/>
                  </w:tcBorders>
                  <w:shd w:val="clear" w:color="auto" w:fill="auto"/>
                  <w:vAlign w:val="center"/>
                </w:tcPr>
                <w:p w14:paraId="059BBCD0">
                  <w:pPr>
                    <w:widowControl/>
                    <w:jc w:val="center"/>
                    <w:rPr>
                      <w:rFonts w:hint="default" w:ascii="Times New Roman" w:hAnsi="Times New Roman" w:eastAsia="宋体" w:cs="Times New Roman"/>
                      <w:kern w:val="0"/>
                      <w:sz w:val="21"/>
                      <w:szCs w:val="21"/>
                      <w:highlight w:val="none"/>
                      <w:lang w:val="en-US" w:eastAsia="zh-CN" w:bidi="ar-SA"/>
                    </w:rPr>
                  </w:pPr>
                </w:p>
              </w:tc>
              <w:tc>
                <w:tcPr>
                  <w:tcW w:w="1555" w:type="dxa"/>
                  <w:tcBorders>
                    <w:tl2br w:val="nil"/>
                    <w:tr2bl w:val="nil"/>
                  </w:tcBorders>
                  <w:shd w:val="clear" w:color="auto" w:fill="auto"/>
                  <w:vAlign w:val="center"/>
                </w:tcPr>
                <w:p w14:paraId="0B5160D7">
                  <w:pPr>
                    <w:widowControl/>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0.0002</w:t>
                  </w:r>
                </w:p>
              </w:tc>
              <w:tc>
                <w:tcPr>
                  <w:tcW w:w="1053" w:type="dxa"/>
                  <w:tcBorders>
                    <w:tl2br w:val="nil"/>
                    <w:tr2bl w:val="nil"/>
                  </w:tcBorders>
                  <w:shd w:val="clear" w:color="auto" w:fill="auto"/>
                  <w:vAlign w:val="center"/>
                </w:tcPr>
                <w:p w14:paraId="09AE9399">
                  <w:pPr>
                    <w:widowControl/>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5000</w:t>
                  </w:r>
                </w:p>
              </w:tc>
              <w:tc>
                <w:tcPr>
                  <w:tcW w:w="1097" w:type="dxa"/>
                  <w:tcBorders>
                    <w:tl2br w:val="nil"/>
                    <w:tr2bl w:val="nil"/>
                  </w:tcBorders>
                  <w:shd w:val="clear" w:color="auto" w:fill="auto"/>
                  <w:vAlign w:val="center"/>
                </w:tcPr>
                <w:p w14:paraId="6121EEE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0.00000004</w:t>
                  </w:r>
                </w:p>
              </w:tc>
            </w:tr>
            <w:tr w14:paraId="5E2439F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585" w:type="dxa"/>
                  <w:tcBorders>
                    <w:tl2br w:val="nil"/>
                    <w:tr2bl w:val="nil"/>
                  </w:tcBorders>
                  <w:shd w:val="clear" w:color="auto" w:fill="auto"/>
                  <w:vAlign w:val="center"/>
                </w:tcPr>
                <w:p w14:paraId="34798F63">
                  <w:pPr>
                    <w:adjustRightInd w:val="0"/>
                    <w:snapToGrid w:val="0"/>
                    <w:jc w:val="center"/>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color w:val="000000"/>
                      <w:sz w:val="18"/>
                      <w:szCs w:val="18"/>
                    </w:rPr>
                    <w:t>碳酸乙烯酯</w:t>
                  </w:r>
                </w:p>
              </w:tc>
              <w:tc>
                <w:tcPr>
                  <w:tcW w:w="1110" w:type="dxa"/>
                  <w:vMerge w:val="continue"/>
                  <w:tcBorders>
                    <w:tl2br w:val="nil"/>
                    <w:tr2bl w:val="nil"/>
                  </w:tcBorders>
                  <w:shd w:val="clear" w:color="auto" w:fill="auto"/>
                  <w:vAlign w:val="center"/>
                </w:tcPr>
                <w:p w14:paraId="173CD1AA">
                  <w:pPr>
                    <w:widowControl/>
                    <w:jc w:val="center"/>
                    <w:rPr>
                      <w:rFonts w:hint="default" w:ascii="Times New Roman" w:hAnsi="Times New Roman" w:eastAsia="宋体" w:cs="Times New Roman"/>
                      <w:kern w:val="0"/>
                      <w:sz w:val="21"/>
                      <w:szCs w:val="21"/>
                      <w:highlight w:val="none"/>
                      <w:lang w:val="en-US" w:eastAsia="zh-CN" w:bidi="ar-SA"/>
                    </w:rPr>
                  </w:pPr>
                </w:p>
              </w:tc>
              <w:tc>
                <w:tcPr>
                  <w:tcW w:w="1555" w:type="dxa"/>
                  <w:tcBorders>
                    <w:tl2br w:val="nil"/>
                    <w:tr2bl w:val="nil"/>
                  </w:tcBorders>
                  <w:shd w:val="clear" w:color="auto" w:fill="auto"/>
                  <w:vAlign w:val="center"/>
                </w:tcPr>
                <w:p w14:paraId="14D16CB6">
                  <w:pPr>
                    <w:widowControl/>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0.0002</w:t>
                  </w:r>
                </w:p>
              </w:tc>
              <w:tc>
                <w:tcPr>
                  <w:tcW w:w="1053" w:type="dxa"/>
                  <w:tcBorders>
                    <w:tl2br w:val="nil"/>
                    <w:tr2bl w:val="nil"/>
                  </w:tcBorders>
                  <w:shd w:val="clear" w:color="auto" w:fill="auto"/>
                  <w:vAlign w:val="center"/>
                </w:tcPr>
                <w:p w14:paraId="5F87E21D">
                  <w:pPr>
                    <w:widowControl/>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5000</w:t>
                  </w:r>
                </w:p>
              </w:tc>
              <w:tc>
                <w:tcPr>
                  <w:tcW w:w="1097" w:type="dxa"/>
                  <w:tcBorders>
                    <w:tl2br w:val="nil"/>
                    <w:tr2bl w:val="nil"/>
                  </w:tcBorders>
                  <w:shd w:val="clear" w:color="auto" w:fill="auto"/>
                  <w:vAlign w:val="center"/>
                </w:tcPr>
                <w:p w14:paraId="7511EE4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0.00000004</w:t>
                  </w:r>
                </w:p>
              </w:tc>
            </w:tr>
            <w:tr w14:paraId="1CF44D1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585" w:type="dxa"/>
                  <w:tcBorders>
                    <w:tl2br w:val="nil"/>
                    <w:tr2bl w:val="nil"/>
                  </w:tcBorders>
                  <w:shd w:val="clear" w:color="auto" w:fill="auto"/>
                  <w:vAlign w:val="center"/>
                </w:tcPr>
                <w:p w14:paraId="7D59BA16">
                  <w:pPr>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环氧树脂（固化剂）</w:t>
                  </w:r>
                </w:p>
              </w:tc>
              <w:tc>
                <w:tcPr>
                  <w:tcW w:w="1110" w:type="dxa"/>
                  <w:vMerge w:val="continue"/>
                  <w:tcBorders>
                    <w:tl2br w:val="nil"/>
                    <w:tr2bl w:val="nil"/>
                  </w:tcBorders>
                  <w:shd w:val="clear" w:color="auto" w:fill="auto"/>
                  <w:vAlign w:val="center"/>
                </w:tcPr>
                <w:p w14:paraId="1EC47933">
                  <w:pPr>
                    <w:widowControl/>
                    <w:jc w:val="center"/>
                    <w:rPr>
                      <w:rFonts w:hint="default" w:ascii="Times New Roman" w:hAnsi="Times New Roman" w:eastAsia="宋体" w:cs="Times New Roman"/>
                      <w:kern w:val="0"/>
                      <w:sz w:val="21"/>
                      <w:szCs w:val="21"/>
                      <w:highlight w:val="none"/>
                      <w:lang w:val="en-US" w:eastAsia="zh-CN" w:bidi="ar-SA"/>
                    </w:rPr>
                  </w:pPr>
                </w:p>
              </w:tc>
              <w:tc>
                <w:tcPr>
                  <w:tcW w:w="1555" w:type="dxa"/>
                  <w:tcBorders>
                    <w:tl2br w:val="nil"/>
                    <w:tr2bl w:val="nil"/>
                  </w:tcBorders>
                  <w:shd w:val="clear" w:color="auto" w:fill="auto"/>
                  <w:vAlign w:val="center"/>
                </w:tcPr>
                <w:p w14:paraId="05C4DE55">
                  <w:pPr>
                    <w:widowControl/>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0.0032</w:t>
                  </w:r>
                </w:p>
              </w:tc>
              <w:tc>
                <w:tcPr>
                  <w:tcW w:w="1053" w:type="dxa"/>
                  <w:tcBorders>
                    <w:tl2br w:val="nil"/>
                    <w:tr2bl w:val="nil"/>
                  </w:tcBorders>
                  <w:shd w:val="clear" w:color="auto" w:fill="auto"/>
                  <w:vAlign w:val="center"/>
                </w:tcPr>
                <w:p w14:paraId="1DED155B">
                  <w:pPr>
                    <w:widowControl/>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5000</w:t>
                  </w:r>
                </w:p>
              </w:tc>
              <w:tc>
                <w:tcPr>
                  <w:tcW w:w="1097" w:type="dxa"/>
                  <w:tcBorders>
                    <w:tl2br w:val="nil"/>
                    <w:tr2bl w:val="nil"/>
                  </w:tcBorders>
                  <w:shd w:val="clear" w:color="auto" w:fill="auto"/>
                  <w:vAlign w:val="center"/>
                </w:tcPr>
                <w:p w14:paraId="1805E98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0.0000006</w:t>
                  </w:r>
                </w:p>
              </w:tc>
            </w:tr>
            <w:tr w14:paraId="486E6F4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585" w:type="dxa"/>
                  <w:tcBorders>
                    <w:tl2br w:val="nil"/>
                    <w:tr2bl w:val="nil"/>
                  </w:tcBorders>
                  <w:shd w:val="clear" w:color="auto" w:fill="auto"/>
                  <w:vAlign w:val="center"/>
                </w:tcPr>
                <w:p w14:paraId="4E6D7009">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氨</w:t>
                  </w:r>
                </w:p>
              </w:tc>
              <w:tc>
                <w:tcPr>
                  <w:tcW w:w="1110" w:type="dxa"/>
                  <w:vMerge w:val="continue"/>
                  <w:tcBorders>
                    <w:tl2br w:val="nil"/>
                    <w:tr2bl w:val="nil"/>
                  </w:tcBorders>
                  <w:shd w:val="clear" w:color="auto" w:fill="auto"/>
                  <w:vAlign w:val="center"/>
                </w:tcPr>
                <w:p w14:paraId="7BDFA9B9">
                  <w:pPr>
                    <w:widowControl/>
                    <w:jc w:val="center"/>
                    <w:rPr>
                      <w:rFonts w:hint="default" w:ascii="Times New Roman" w:hAnsi="Times New Roman" w:eastAsia="宋体" w:cs="Times New Roman"/>
                      <w:kern w:val="0"/>
                      <w:sz w:val="21"/>
                      <w:szCs w:val="21"/>
                      <w:highlight w:val="none"/>
                      <w:lang w:val="en-US" w:eastAsia="zh-CN" w:bidi="ar-SA"/>
                    </w:rPr>
                  </w:pPr>
                </w:p>
              </w:tc>
              <w:tc>
                <w:tcPr>
                  <w:tcW w:w="1555" w:type="dxa"/>
                  <w:tcBorders>
                    <w:tl2br w:val="nil"/>
                    <w:tr2bl w:val="nil"/>
                  </w:tcBorders>
                  <w:shd w:val="clear" w:color="auto" w:fill="auto"/>
                  <w:vAlign w:val="center"/>
                </w:tcPr>
                <w:p w14:paraId="2BEB6C63">
                  <w:pPr>
                    <w:widowControl/>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0.001</w:t>
                  </w:r>
                </w:p>
              </w:tc>
              <w:tc>
                <w:tcPr>
                  <w:tcW w:w="1053" w:type="dxa"/>
                  <w:tcBorders>
                    <w:tl2br w:val="nil"/>
                    <w:tr2bl w:val="nil"/>
                  </w:tcBorders>
                  <w:shd w:val="clear" w:color="auto" w:fill="auto"/>
                  <w:vAlign w:val="center"/>
                </w:tcPr>
                <w:p w14:paraId="5DCD1B03">
                  <w:pPr>
                    <w:widowControl/>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7.5</w:t>
                  </w:r>
                </w:p>
              </w:tc>
              <w:tc>
                <w:tcPr>
                  <w:tcW w:w="1097" w:type="dxa"/>
                  <w:tcBorders>
                    <w:tl2br w:val="nil"/>
                    <w:tr2bl w:val="nil"/>
                  </w:tcBorders>
                  <w:shd w:val="clear" w:color="auto" w:fill="auto"/>
                  <w:vAlign w:val="center"/>
                </w:tcPr>
                <w:p w14:paraId="7550A6B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0.00013</w:t>
                  </w:r>
                </w:p>
              </w:tc>
            </w:tr>
            <w:tr w14:paraId="1BB52B1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585" w:type="dxa"/>
                  <w:tcBorders>
                    <w:tl2br w:val="nil"/>
                    <w:tr2bl w:val="nil"/>
                  </w:tcBorders>
                  <w:shd w:val="clear" w:color="auto" w:fill="auto"/>
                  <w:vAlign w:val="center"/>
                </w:tcPr>
                <w:p w14:paraId="6D564DFB">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润滑剂（设备维护用）</w:t>
                  </w:r>
                </w:p>
              </w:tc>
              <w:tc>
                <w:tcPr>
                  <w:tcW w:w="1110" w:type="dxa"/>
                  <w:vMerge w:val="continue"/>
                  <w:tcBorders>
                    <w:tl2br w:val="nil"/>
                    <w:tr2bl w:val="nil"/>
                  </w:tcBorders>
                  <w:shd w:val="clear" w:color="auto" w:fill="auto"/>
                  <w:vAlign w:val="center"/>
                </w:tcPr>
                <w:p w14:paraId="047813A1">
                  <w:pPr>
                    <w:widowControl/>
                    <w:jc w:val="center"/>
                    <w:rPr>
                      <w:rFonts w:hint="default" w:ascii="Times New Roman" w:hAnsi="Times New Roman" w:eastAsia="宋体" w:cs="Times New Roman"/>
                      <w:kern w:val="0"/>
                      <w:sz w:val="21"/>
                      <w:szCs w:val="21"/>
                      <w:highlight w:val="none"/>
                      <w:lang w:val="en-US" w:eastAsia="zh-CN" w:bidi="ar-SA"/>
                    </w:rPr>
                  </w:pPr>
                </w:p>
              </w:tc>
              <w:tc>
                <w:tcPr>
                  <w:tcW w:w="1555" w:type="dxa"/>
                  <w:tcBorders>
                    <w:tl2br w:val="nil"/>
                    <w:tr2bl w:val="nil"/>
                  </w:tcBorders>
                  <w:shd w:val="clear" w:color="auto" w:fill="auto"/>
                  <w:vAlign w:val="center"/>
                </w:tcPr>
                <w:p w14:paraId="156F53E7">
                  <w:pPr>
                    <w:widowControl/>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Cs w:val="21"/>
                      <w:highlight w:val="none"/>
                      <w:lang w:val="en-US" w:eastAsia="zh-CN"/>
                    </w:rPr>
                    <w:t>0.0006</w:t>
                  </w:r>
                </w:p>
              </w:tc>
              <w:tc>
                <w:tcPr>
                  <w:tcW w:w="1053" w:type="dxa"/>
                  <w:tcBorders>
                    <w:tl2br w:val="nil"/>
                    <w:tr2bl w:val="nil"/>
                  </w:tcBorders>
                  <w:shd w:val="clear" w:color="auto" w:fill="auto"/>
                  <w:vAlign w:val="center"/>
                </w:tcPr>
                <w:p w14:paraId="542CBBCA">
                  <w:pPr>
                    <w:widowControl/>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Cs w:val="21"/>
                      <w:highlight w:val="none"/>
                      <w:lang w:val="en-US" w:eastAsia="zh-CN"/>
                    </w:rPr>
                    <w:t>5000</w:t>
                  </w:r>
                </w:p>
              </w:tc>
              <w:tc>
                <w:tcPr>
                  <w:tcW w:w="1097" w:type="dxa"/>
                  <w:tcBorders>
                    <w:tl2br w:val="nil"/>
                    <w:tr2bl w:val="nil"/>
                  </w:tcBorders>
                  <w:shd w:val="clear" w:color="auto" w:fill="auto"/>
                  <w:vAlign w:val="center"/>
                </w:tcPr>
                <w:p w14:paraId="267841F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0.00000012</w:t>
                  </w:r>
                </w:p>
              </w:tc>
            </w:tr>
            <w:tr w14:paraId="55A3B08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585" w:type="dxa"/>
                  <w:tcBorders>
                    <w:tl2br w:val="nil"/>
                    <w:tr2bl w:val="nil"/>
                  </w:tcBorders>
                  <w:shd w:val="clear" w:color="auto" w:fill="auto"/>
                  <w:vAlign w:val="center"/>
                </w:tcPr>
                <w:p w14:paraId="3F0D7CAB">
                  <w:pPr>
                    <w:adjustRightInd w:val="0"/>
                    <w:snapToGrid w:val="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color w:val="000000"/>
                      <w:sz w:val="18"/>
                      <w:szCs w:val="18"/>
                    </w:rPr>
                    <w:t>COD</w:t>
                  </w:r>
                  <w:r>
                    <w:rPr>
                      <w:rFonts w:hint="default" w:ascii="Times New Roman" w:hAnsi="Times New Roman" w:eastAsia="宋体" w:cs="Times New Roman"/>
                      <w:color w:val="000000"/>
                      <w:sz w:val="18"/>
                      <w:szCs w:val="18"/>
                      <w:vertAlign w:val="subscript"/>
                    </w:rPr>
                    <w:t>Cr</w:t>
                  </w:r>
                  <w:r>
                    <w:rPr>
                      <w:rFonts w:hint="default" w:ascii="Times New Roman" w:hAnsi="Times New Roman" w:eastAsia="宋体" w:cs="Times New Roman"/>
                      <w:color w:val="000000"/>
                      <w:sz w:val="18"/>
                      <w:szCs w:val="18"/>
                    </w:rPr>
                    <w:t>大于10000mg/L的废液</w:t>
                  </w:r>
                </w:p>
              </w:tc>
              <w:tc>
                <w:tcPr>
                  <w:tcW w:w="1110" w:type="dxa"/>
                  <w:vMerge w:val="continue"/>
                  <w:tcBorders>
                    <w:tl2br w:val="nil"/>
                    <w:tr2bl w:val="nil"/>
                  </w:tcBorders>
                  <w:shd w:val="clear" w:color="auto" w:fill="auto"/>
                  <w:vAlign w:val="center"/>
                </w:tcPr>
                <w:p w14:paraId="27A826B4">
                  <w:pPr>
                    <w:widowControl/>
                    <w:jc w:val="center"/>
                    <w:rPr>
                      <w:rFonts w:hint="default" w:ascii="Times New Roman" w:hAnsi="Times New Roman" w:eastAsia="宋体" w:cs="Times New Roman"/>
                      <w:kern w:val="0"/>
                      <w:sz w:val="21"/>
                      <w:szCs w:val="21"/>
                      <w:highlight w:val="none"/>
                      <w:lang w:val="en-US" w:eastAsia="zh-CN" w:bidi="ar-SA"/>
                    </w:rPr>
                  </w:pPr>
                </w:p>
              </w:tc>
              <w:tc>
                <w:tcPr>
                  <w:tcW w:w="1555" w:type="dxa"/>
                  <w:tcBorders>
                    <w:tl2br w:val="nil"/>
                    <w:tr2bl w:val="nil"/>
                  </w:tcBorders>
                  <w:shd w:val="clear" w:color="auto" w:fill="auto"/>
                  <w:vAlign w:val="center"/>
                </w:tcPr>
                <w:p w14:paraId="12CAEF0C">
                  <w:pPr>
                    <w:widowControl/>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5.41</w:t>
                  </w:r>
                </w:p>
              </w:tc>
              <w:tc>
                <w:tcPr>
                  <w:tcW w:w="1053" w:type="dxa"/>
                  <w:tcBorders>
                    <w:tl2br w:val="nil"/>
                    <w:tr2bl w:val="nil"/>
                  </w:tcBorders>
                  <w:shd w:val="clear" w:color="auto" w:fill="auto"/>
                  <w:vAlign w:val="center"/>
                </w:tcPr>
                <w:p w14:paraId="3ADAAEF7">
                  <w:pPr>
                    <w:widowControl/>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50</w:t>
                  </w:r>
                </w:p>
              </w:tc>
              <w:tc>
                <w:tcPr>
                  <w:tcW w:w="1097" w:type="dxa"/>
                  <w:tcBorders>
                    <w:tl2br w:val="nil"/>
                    <w:tr2bl w:val="nil"/>
                  </w:tcBorders>
                  <w:shd w:val="clear" w:color="auto" w:fill="auto"/>
                  <w:vAlign w:val="center"/>
                </w:tcPr>
                <w:p w14:paraId="46020E7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0.1082</w:t>
                  </w:r>
                </w:p>
              </w:tc>
            </w:tr>
            <w:tr w14:paraId="1D26489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303" w:type="dxa"/>
                  <w:gridSpan w:val="4"/>
                  <w:tcBorders>
                    <w:tl2br w:val="nil"/>
                    <w:tr2bl w:val="nil"/>
                  </w:tcBorders>
                  <w:shd w:val="clear" w:color="auto" w:fill="auto"/>
                  <w:vAlign w:val="center"/>
                </w:tcPr>
                <w:p w14:paraId="08CBA4A2">
                  <w:pPr>
                    <w:widowControl/>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2"/>
                      <w:sz w:val="18"/>
                      <w:szCs w:val="18"/>
                      <w:lang w:val="en-US" w:eastAsia="zh-CN" w:bidi="ar-SA"/>
                    </w:rPr>
                    <w:t>合计</w:t>
                  </w:r>
                </w:p>
              </w:tc>
              <w:tc>
                <w:tcPr>
                  <w:tcW w:w="1097" w:type="dxa"/>
                  <w:tcBorders>
                    <w:tl2br w:val="nil"/>
                    <w:tr2bl w:val="nil"/>
                  </w:tcBorders>
                  <w:shd w:val="clear" w:color="auto" w:fill="auto"/>
                  <w:vAlign w:val="center"/>
                </w:tcPr>
                <w:p w14:paraId="32A06A2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0.1087</w:t>
                  </w:r>
                </w:p>
              </w:tc>
            </w:tr>
          </w:tbl>
          <w:p w14:paraId="50390C7C">
            <w:pPr>
              <w:adjustRightInd w:val="0"/>
              <w:spacing w:line="360" w:lineRule="auto"/>
              <w:ind w:firstLine="465"/>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根据《建设项目环境风险评价技术导则》（HJ</w:t>
            </w:r>
            <w:r>
              <w:rPr>
                <w:rFonts w:hint="default" w:ascii="Times New Roman" w:hAnsi="Times New Roman" w:eastAsia="宋体" w:cs="Times New Roman"/>
                <w:bCs/>
                <w:snapToGrid w:val="0"/>
                <w:kern w:val="0"/>
                <w:sz w:val="24"/>
                <w:highlight w:val="none"/>
                <w:lang w:val="en-US" w:eastAsia="zh-CN"/>
              </w:rPr>
              <w:t xml:space="preserve"> </w:t>
            </w:r>
            <w:r>
              <w:rPr>
                <w:rFonts w:hint="default" w:ascii="Times New Roman" w:hAnsi="Times New Roman" w:eastAsia="宋体" w:cs="Times New Roman"/>
                <w:bCs/>
                <w:snapToGrid w:val="0"/>
                <w:kern w:val="0"/>
                <w:sz w:val="24"/>
                <w:highlight w:val="none"/>
              </w:rPr>
              <w:t>169-2018）附录C，当存在多种危险物质时，应按式（C.1）计算物质总量与其临界量的比值（Q）:</w:t>
            </w:r>
          </w:p>
          <w:p w14:paraId="05C9D666">
            <w:pPr>
              <w:adjustRightInd w:val="0"/>
              <w:spacing w:line="360" w:lineRule="auto"/>
              <w:ind w:firstLine="465"/>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fldChar w:fldCharType="begin"/>
            </w:r>
            <w:r>
              <w:rPr>
                <w:rFonts w:hint="default" w:ascii="Times New Roman" w:hAnsi="Times New Roman" w:eastAsia="宋体" w:cs="Times New Roman"/>
                <w:bCs/>
                <w:snapToGrid w:val="0"/>
                <w:kern w:val="0"/>
                <w:sz w:val="24"/>
                <w:highlight w:val="none"/>
              </w:rPr>
              <w:instrText xml:space="preserve"> INCLUDEPICTURE  "C:\\Users\\Administrator\\AppData\\Roaming\\Tencent\\Users\\106562794\\QQ\\WinTemp\\RichOle\\3[HA_)5@93(CJOQJQ(ZBZ59.png" \* MERGEFORMATINET </w:instrText>
            </w:r>
            <w:r>
              <w:rPr>
                <w:rFonts w:hint="default" w:ascii="Times New Roman" w:hAnsi="Times New Roman" w:eastAsia="宋体" w:cs="Times New Roman"/>
                <w:bCs/>
                <w:snapToGrid w:val="0"/>
                <w:kern w:val="0"/>
                <w:sz w:val="24"/>
                <w:highlight w:val="none"/>
              </w:rPr>
              <w:fldChar w:fldCharType="separate"/>
            </w:r>
            <w:r>
              <w:rPr>
                <w:rFonts w:hint="default" w:ascii="Times New Roman" w:hAnsi="Times New Roman" w:eastAsia="宋体" w:cs="Times New Roman"/>
                <w:bCs/>
                <w:snapToGrid w:val="0"/>
                <w:kern w:val="0"/>
                <w:sz w:val="24"/>
                <w:highlight w:val="none"/>
              </w:rPr>
              <w:fldChar w:fldCharType="begin"/>
            </w:r>
            <w:r>
              <w:rPr>
                <w:rFonts w:hint="default" w:ascii="Times New Roman" w:hAnsi="Times New Roman" w:eastAsia="宋体" w:cs="Times New Roman"/>
                <w:bCs/>
                <w:snapToGrid w:val="0"/>
                <w:kern w:val="0"/>
                <w:sz w:val="24"/>
                <w:highlight w:val="none"/>
              </w:rPr>
              <w:instrText xml:space="preserve"> INCLUDEPICTURE  "C:\\Users\\Administrator\\AppData\\Roaming\\Tencent\\Users\\106562794\\QQ\\WinTemp\\RichOle\\3[HA_)5@93(CJOQJQ(ZBZ59.png" \* MERGEFORMATINET </w:instrText>
            </w:r>
            <w:r>
              <w:rPr>
                <w:rFonts w:hint="default" w:ascii="Times New Roman" w:hAnsi="Times New Roman" w:eastAsia="宋体" w:cs="Times New Roman"/>
                <w:bCs/>
                <w:snapToGrid w:val="0"/>
                <w:kern w:val="0"/>
                <w:sz w:val="24"/>
                <w:highlight w:val="none"/>
              </w:rPr>
              <w:fldChar w:fldCharType="separate"/>
            </w:r>
            <w:r>
              <w:rPr>
                <w:rFonts w:hint="default" w:ascii="Times New Roman" w:hAnsi="Times New Roman" w:eastAsia="宋体" w:cs="Times New Roman"/>
                <w:bCs/>
                <w:snapToGrid w:val="0"/>
                <w:kern w:val="0"/>
                <w:sz w:val="24"/>
                <w:highlight w:val="none"/>
              </w:rPr>
              <w:drawing>
                <wp:inline distT="0" distB="0" distL="114300" distR="114300">
                  <wp:extent cx="4343400" cy="1211580"/>
                  <wp:effectExtent l="0" t="0" r="0" b="7620"/>
                  <wp:docPr id="15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4"/>
                          <pic:cNvPicPr>
                            <a:picLocks noChangeAspect="1"/>
                          </pic:cNvPicPr>
                        </pic:nvPicPr>
                        <pic:blipFill>
                          <a:blip r:embed="rId30" r:link="rId31"/>
                          <a:stretch>
                            <a:fillRect/>
                          </a:stretch>
                        </pic:blipFill>
                        <pic:spPr>
                          <a:xfrm>
                            <a:off x="0" y="0"/>
                            <a:ext cx="4343400" cy="1211580"/>
                          </a:xfrm>
                          <a:prstGeom prst="rect">
                            <a:avLst/>
                          </a:prstGeom>
                          <a:noFill/>
                          <a:ln>
                            <a:noFill/>
                          </a:ln>
                        </pic:spPr>
                      </pic:pic>
                    </a:graphicData>
                  </a:graphic>
                </wp:inline>
              </w:drawing>
            </w:r>
            <w:r>
              <w:rPr>
                <w:rFonts w:hint="default" w:ascii="Times New Roman" w:hAnsi="Times New Roman" w:eastAsia="宋体" w:cs="Times New Roman"/>
                <w:bCs/>
                <w:snapToGrid w:val="0"/>
                <w:kern w:val="0"/>
                <w:sz w:val="24"/>
                <w:highlight w:val="none"/>
              </w:rPr>
              <w:fldChar w:fldCharType="end"/>
            </w:r>
            <w:r>
              <w:rPr>
                <w:rFonts w:hint="default" w:ascii="Times New Roman" w:hAnsi="Times New Roman" w:eastAsia="宋体" w:cs="Times New Roman"/>
                <w:bCs/>
                <w:snapToGrid w:val="0"/>
                <w:kern w:val="0"/>
                <w:sz w:val="24"/>
                <w:highlight w:val="none"/>
              </w:rPr>
              <w:fldChar w:fldCharType="end"/>
            </w:r>
          </w:p>
          <w:p w14:paraId="77417A87">
            <w:pPr>
              <w:adjustRightInd w:val="0"/>
              <w:spacing w:line="360" w:lineRule="auto"/>
              <w:ind w:firstLine="465"/>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通过计算，本项目危险物质总量与其临界量的比值Q=0.</w:t>
            </w:r>
            <w:r>
              <w:rPr>
                <w:rFonts w:hint="default" w:ascii="Times New Roman" w:hAnsi="Times New Roman" w:eastAsia="宋体" w:cs="Times New Roman"/>
                <w:bCs/>
                <w:snapToGrid w:val="0"/>
                <w:kern w:val="0"/>
                <w:sz w:val="24"/>
                <w:highlight w:val="none"/>
                <w:lang w:val="en-US" w:eastAsia="zh-CN"/>
              </w:rPr>
              <w:t>1087</w:t>
            </w:r>
            <w:r>
              <w:rPr>
                <w:rFonts w:hint="default" w:ascii="Times New Roman" w:hAnsi="Times New Roman" w:eastAsia="宋体" w:cs="Times New Roman"/>
                <w:bCs/>
                <w:snapToGrid w:val="0"/>
                <w:kern w:val="0"/>
                <w:sz w:val="24"/>
                <w:highlight w:val="none"/>
              </w:rPr>
              <w:t>＜1，因此不需要设置风险专项。</w:t>
            </w:r>
          </w:p>
          <w:p w14:paraId="4F429960">
            <w:pPr>
              <w:adjustRightInd w:val="0"/>
              <w:spacing w:line="360" w:lineRule="auto"/>
              <w:ind w:firstLine="465"/>
              <w:rPr>
                <w:rFonts w:hint="default" w:ascii="Times New Roman" w:hAnsi="Times New Roman" w:eastAsia="宋体" w:cs="Times New Roman"/>
                <w:b w:val="0"/>
                <w:bCs w:val="0"/>
                <w:spacing w:val="-4"/>
                <w:kern w:val="0"/>
                <w:sz w:val="24"/>
                <w:highlight w:val="none"/>
              </w:rPr>
            </w:pPr>
            <w:r>
              <w:rPr>
                <w:rFonts w:hint="default" w:ascii="Times New Roman" w:hAnsi="Times New Roman" w:eastAsia="宋体" w:cs="Times New Roman"/>
                <w:b w:val="0"/>
                <w:bCs w:val="0"/>
                <w:spacing w:val="-4"/>
                <w:kern w:val="0"/>
                <w:sz w:val="24"/>
                <w:highlight w:val="none"/>
              </w:rPr>
              <w:t>（2）环境风险</w:t>
            </w:r>
            <w:r>
              <w:rPr>
                <w:rFonts w:hint="default" w:ascii="Times New Roman" w:hAnsi="Times New Roman" w:eastAsia="宋体" w:cs="Times New Roman"/>
                <w:b w:val="0"/>
                <w:bCs w:val="0"/>
                <w:spacing w:val="-4"/>
                <w:kern w:val="0"/>
                <w:sz w:val="24"/>
                <w:highlight w:val="none"/>
                <w:lang w:val="en-US" w:eastAsia="zh-CN"/>
              </w:rPr>
              <w:t>源分布情况及</w:t>
            </w:r>
            <w:r>
              <w:rPr>
                <w:rFonts w:hint="default" w:ascii="Times New Roman" w:hAnsi="Times New Roman" w:eastAsia="宋体" w:cs="Times New Roman"/>
                <w:b w:val="0"/>
                <w:bCs w:val="0"/>
                <w:spacing w:val="-4"/>
                <w:kern w:val="0"/>
                <w:sz w:val="24"/>
                <w:highlight w:val="none"/>
              </w:rPr>
              <w:t>影响途径</w:t>
            </w:r>
          </w:p>
          <w:p w14:paraId="0ED028E3">
            <w:pPr>
              <w:adjustRightInd w:val="0"/>
              <w:spacing w:line="360" w:lineRule="auto"/>
              <w:ind w:firstLine="465"/>
              <w:rPr>
                <w:rFonts w:hint="default" w:ascii="Times New Roman" w:hAnsi="Times New Roman" w:eastAsia="宋体" w:cs="Times New Roman"/>
                <w:bCs/>
                <w:snapToGrid w:val="0"/>
                <w:kern w:val="0"/>
                <w:sz w:val="24"/>
                <w:highlight w:val="none"/>
                <w:lang w:val="en-US" w:eastAsia="zh-CN"/>
              </w:rPr>
            </w:pPr>
            <w:r>
              <w:rPr>
                <w:rFonts w:hint="default" w:ascii="Times New Roman" w:hAnsi="Times New Roman" w:eastAsia="宋体" w:cs="Times New Roman"/>
                <w:bCs/>
                <w:snapToGrid w:val="0"/>
                <w:kern w:val="0"/>
                <w:sz w:val="24"/>
                <w:highlight w:val="none"/>
                <w:lang w:val="en-US" w:eastAsia="zh-CN"/>
              </w:rPr>
              <w:t>本项目风险物质主要包括实验室储存的化学品和实验室产生的危险废物。风险物质在收集、储存、转运过程中存在的风险，若未采取相应措施，可能会造成影响地下水环境、人群健康等情况。本项目风险源分布情况及可能影响环境的途径见下表。</w:t>
            </w:r>
          </w:p>
          <w:p w14:paraId="75C60260">
            <w:pPr>
              <w:numPr>
                <w:ilvl w:val="0"/>
                <w:numId w:val="48"/>
              </w:numPr>
              <w:adjustRightInd w:val="0"/>
              <w:spacing w:line="360" w:lineRule="auto"/>
              <w:ind w:left="425" w:leftChars="0" w:hanging="425" w:firstLineChars="0"/>
              <w:jc w:val="center"/>
              <w:rPr>
                <w:rFonts w:hint="default" w:ascii="Times New Roman" w:hAnsi="Times New Roman" w:eastAsia="宋体" w:cs="Times New Roman"/>
              </w:rPr>
            </w:pPr>
            <w:r>
              <w:rPr>
                <w:rFonts w:hint="default" w:ascii="Times New Roman" w:hAnsi="Times New Roman" w:eastAsia="宋体" w:cs="Times New Roman"/>
                <w:b/>
                <w:bCs/>
                <w:color w:val="000000"/>
                <w:kern w:val="0"/>
                <w:sz w:val="24"/>
                <w:szCs w:val="24"/>
                <w:lang w:val="en-US" w:eastAsia="zh-CN" w:bidi="ar"/>
              </w:rPr>
              <w:t>风险源分布及危险性分析一览表</w:t>
            </w:r>
          </w:p>
          <w:tbl>
            <w:tblPr>
              <w:tblStyle w:val="18"/>
              <w:tblW w:w="7568"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47"/>
              <w:gridCol w:w="1516"/>
              <w:gridCol w:w="1495"/>
              <w:gridCol w:w="3110"/>
            </w:tblGrid>
            <w:tr w14:paraId="44648A1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47" w:type="dxa"/>
                  <w:tcBorders>
                    <w:tl2br w:val="nil"/>
                    <w:tr2bl w:val="nil"/>
                  </w:tcBorders>
                </w:tcPr>
                <w:p w14:paraId="32E5DFBE">
                  <w:pPr>
                    <w:keepNext w:val="0"/>
                    <w:keepLines w:val="0"/>
                    <w:widowControl/>
                    <w:suppressLineNumbers w:val="0"/>
                    <w:ind w:firstLine="211" w:firstLineChars="100"/>
                    <w:jc w:val="left"/>
                    <w:rPr>
                      <w:rFonts w:hint="default" w:ascii="Times New Roman" w:hAnsi="Times New Roman" w:eastAsia="宋体" w:cs="Times New Roman"/>
                      <w:b/>
                      <w:bCs/>
                      <w:snapToGrid w:val="0"/>
                      <w:kern w:val="0"/>
                      <w:sz w:val="21"/>
                      <w:szCs w:val="21"/>
                      <w:highlight w:val="none"/>
                      <w:vertAlign w:val="baseline"/>
                      <w:lang w:val="en-US" w:eastAsia="zh-CN"/>
                    </w:rPr>
                  </w:pPr>
                  <w:r>
                    <w:rPr>
                      <w:rFonts w:hint="default" w:ascii="Times New Roman" w:hAnsi="Times New Roman" w:eastAsia="宋体" w:cs="Times New Roman"/>
                      <w:b/>
                      <w:bCs/>
                      <w:color w:val="000000"/>
                      <w:kern w:val="0"/>
                      <w:sz w:val="21"/>
                      <w:szCs w:val="21"/>
                      <w:lang w:val="en-US" w:eastAsia="zh-CN" w:bidi="ar"/>
                    </w:rPr>
                    <w:t xml:space="preserve">风险物质 </w:t>
                  </w:r>
                </w:p>
              </w:tc>
              <w:tc>
                <w:tcPr>
                  <w:tcW w:w="1516" w:type="dxa"/>
                  <w:tcBorders>
                    <w:tl2br w:val="nil"/>
                    <w:tr2bl w:val="nil"/>
                  </w:tcBorders>
                </w:tcPr>
                <w:p w14:paraId="522DB61A">
                  <w:pPr>
                    <w:keepNext w:val="0"/>
                    <w:keepLines w:val="0"/>
                    <w:widowControl/>
                    <w:suppressLineNumbers w:val="0"/>
                    <w:ind w:firstLine="211" w:firstLineChars="100"/>
                    <w:jc w:val="left"/>
                    <w:rPr>
                      <w:rFonts w:hint="default" w:ascii="Times New Roman" w:hAnsi="Times New Roman" w:eastAsia="宋体" w:cs="Times New Roman"/>
                      <w:b/>
                      <w:bCs/>
                      <w:snapToGrid w:val="0"/>
                      <w:kern w:val="0"/>
                      <w:sz w:val="21"/>
                      <w:szCs w:val="21"/>
                      <w:highlight w:val="none"/>
                      <w:vertAlign w:val="baseline"/>
                      <w:lang w:val="en-US" w:eastAsia="zh-CN"/>
                    </w:rPr>
                  </w:pPr>
                  <w:r>
                    <w:rPr>
                      <w:rFonts w:hint="default" w:ascii="Times New Roman" w:hAnsi="Times New Roman" w:eastAsia="宋体" w:cs="Times New Roman"/>
                      <w:b/>
                      <w:bCs/>
                      <w:color w:val="000000"/>
                      <w:kern w:val="0"/>
                      <w:sz w:val="21"/>
                      <w:szCs w:val="21"/>
                      <w:lang w:val="en-US" w:eastAsia="zh-CN" w:bidi="ar"/>
                    </w:rPr>
                    <w:t xml:space="preserve">分布情况 </w:t>
                  </w:r>
                </w:p>
              </w:tc>
              <w:tc>
                <w:tcPr>
                  <w:tcW w:w="1495" w:type="dxa"/>
                  <w:tcBorders>
                    <w:tl2br w:val="nil"/>
                    <w:tr2bl w:val="nil"/>
                  </w:tcBorders>
                </w:tcPr>
                <w:p w14:paraId="57D5DA54">
                  <w:pPr>
                    <w:numPr>
                      <w:ilvl w:val="0"/>
                      <w:numId w:val="0"/>
                    </w:numPr>
                    <w:adjustRightInd w:val="0"/>
                    <w:spacing w:line="360" w:lineRule="auto"/>
                    <w:jc w:val="both"/>
                    <w:rPr>
                      <w:rFonts w:hint="default" w:ascii="Times New Roman" w:hAnsi="Times New Roman" w:eastAsia="宋体" w:cs="Times New Roman"/>
                      <w:b/>
                      <w:bCs/>
                      <w:snapToGrid w:val="0"/>
                      <w:kern w:val="0"/>
                      <w:sz w:val="21"/>
                      <w:szCs w:val="21"/>
                      <w:highlight w:val="none"/>
                      <w:vertAlign w:val="baseline"/>
                      <w:lang w:val="en-US" w:eastAsia="zh-CN"/>
                    </w:rPr>
                  </w:pPr>
                  <w:r>
                    <w:rPr>
                      <w:rFonts w:hint="default" w:ascii="Times New Roman" w:hAnsi="Times New Roman" w:eastAsia="宋体" w:cs="Times New Roman"/>
                      <w:b/>
                      <w:bCs/>
                      <w:color w:val="000000"/>
                      <w:kern w:val="0"/>
                      <w:sz w:val="21"/>
                      <w:szCs w:val="21"/>
                      <w:lang w:val="en-US" w:eastAsia="zh-CN" w:bidi="ar"/>
                    </w:rPr>
                    <w:t>产生事故模式</w:t>
                  </w:r>
                </w:p>
              </w:tc>
              <w:tc>
                <w:tcPr>
                  <w:tcW w:w="3110" w:type="dxa"/>
                  <w:tcBorders>
                    <w:tl2br w:val="nil"/>
                    <w:tr2bl w:val="nil"/>
                  </w:tcBorders>
                </w:tcPr>
                <w:p w14:paraId="757750E4">
                  <w:pPr>
                    <w:keepNext w:val="0"/>
                    <w:keepLines w:val="0"/>
                    <w:widowControl/>
                    <w:suppressLineNumbers w:val="0"/>
                    <w:ind w:firstLine="632" w:firstLineChars="300"/>
                    <w:jc w:val="left"/>
                    <w:rPr>
                      <w:rFonts w:hint="default" w:ascii="Times New Roman" w:hAnsi="Times New Roman" w:eastAsia="宋体" w:cs="Times New Roman"/>
                      <w:b/>
                      <w:bCs/>
                      <w:snapToGrid w:val="0"/>
                      <w:kern w:val="0"/>
                      <w:sz w:val="21"/>
                      <w:szCs w:val="21"/>
                      <w:highlight w:val="none"/>
                      <w:vertAlign w:val="baseline"/>
                      <w:lang w:val="en-US" w:eastAsia="zh-CN"/>
                    </w:rPr>
                  </w:pPr>
                  <w:r>
                    <w:rPr>
                      <w:rFonts w:hint="default" w:ascii="Times New Roman" w:hAnsi="Times New Roman" w:eastAsia="宋体" w:cs="Times New Roman"/>
                      <w:b/>
                      <w:bCs/>
                      <w:color w:val="000000"/>
                      <w:kern w:val="0"/>
                      <w:sz w:val="21"/>
                      <w:szCs w:val="21"/>
                      <w:lang w:val="en-US" w:eastAsia="zh-CN" w:bidi="ar"/>
                    </w:rPr>
                    <w:t>影响环境的</w:t>
                  </w:r>
                  <w:r>
                    <w:rPr>
                      <w:rFonts w:hint="eastAsia" w:ascii="Times New Roman" w:hAnsi="Times New Roman" w:eastAsia="宋体" w:cs="Times New Roman"/>
                      <w:b/>
                      <w:bCs/>
                      <w:color w:val="000000"/>
                      <w:kern w:val="0"/>
                      <w:sz w:val="21"/>
                      <w:szCs w:val="21"/>
                      <w:lang w:val="en-US" w:eastAsia="zh-CN" w:bidi="ar"/>
                    </w:rPr>
                    <w:t>途径</w:t>
                  </w:r>
                </w:p>
              </w:tc>
            </w:tr>
            <w:tr w14:paraId="20F4C4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47" w:type="dxa"/>
                  <w:vMerge w:val="restart"/>
                  <w:tcBorders>
                    <w:tl2br w:val="nil"/>
                    <w:tr2bl w:val="nil"/>
                  </w:tcBorders>
                  <w:vAlign w:val="center"/>
                </w:tcPr>
                <w:p w14:paraId="3040A2B0">
                  <w:pPr>
                    <w:keepNext w:val="0"/>
                    <w:keepLines w:val="0"/>
                    <w:widowControl/>
                    <w:suppressLineNumbers w:val="0"/>
                    <w:ind w:firstLine="210" w:firstLineChars="100"/>
                    <w:jc w:val="left"/>
                    <w:rPr>
                      <w:rFonts w:hint="default" w:ascii="Times New Roman" w:hAnsi="Times New Roman" w:eastAsia="宋体" w:cs="Times New Roman"/>
                    </w:rPr>
                  </w:pPr>
                  <w:r>
                    <w:rPr>
                      <w:rFonts w:hint="default" w:ascii="Times New Roman" w:hAnsi="Times New Roman" w:eastAsia="宋体" w:cs="Times New Roman"/>
                      <w:color w:val="000000"/>
                      <w:kern w:val="0"/>
                      <w:sz w:val="21"/>
                      <w:szCs w:val="21"/>
                      <w:lang w:val="en-US" w:eastAsia="zh-CN" w:bidi="ar"/>
                    </w:rPr>
                    <w:t xml:space="preserve">化学品 </w:t>
                  </w:r>
                </w:p>
                <w:p w14:paraId="0F7B0194">
                  <w:pPr>
                    <w:keepNext w:val="0"/>
                    <w:keepLines w:val="0"/>
                    <w:widowControl/>
                    <w:suppressLineNumbers w:val="0"/>
                    <w:ind w:firstLine="210" w:firstLineChars="100"/>
                    <w:jc w:val="left"/>
                    <w:rPr>
                      <w:rFonts w:hint="default" w:ascii="Times New Roman" w:hAnsi="Times New Roman" w:eastAsia="宋体" w:cs="Times New Roman"/>
                    </w:rPr>
                  </w:pPr>
                  <w:r>
                    <w:rPr>
                      <w:rFonts w:hint="default" w:ascii="Times New Roman" w:hAnsi="Times New Roman" w:eastAsia="宋体" w:cs="Times New Roman"/>
                      <w:color w:val="000000"/>
                      <w:kern w:val="0"/>
                      <w:sz w:val="21"/>
                      <w:szCs w:val="21"/>
                      <w:lang w:val="en-US" w:eastAsia="zh-CN" w:bidi="ar"/>
                    </w:rPr>
                    <w:t>危险废物</w:t>
                  </w:r>
                </w:p>
                <w:p w14:paraId="106727B8">
                  <w:pPr>
                    <w:numPr>
                      <w:ilvl w:val="0"/>
                      <w:numId w:val="0"/>
                    </w:numPr>
                    <w:adjustRightInd w:val="0"/>
                    <w:spacing w:line="360" w:lineRule="auto"/>
                    <w:jc w:val="center"/>
                    <w:rPr>
                      <w:rFonts w:hint="default" w:ascii="Times New Roman" w:hAnsi="Times New Roman" w:eastAsia="宋体" w:cs="Times New Roman"/>
                      <w:b w:val="0"/>
                      <w:bCs w:val="0"/>
                      <w:snapToGrid w:val="0"/>
                      <w:kern w:val="0"/>
                      <w:sz w:val="21"/>
                      <w:szCs w:val="21"/>
                      <w:highlight w:val="none"/>
                      <w:vertAlign w:val="baseline"/>
                      <w:lang w:val="en-US" w:eastAsia="zh-CN"/>
                    </w:rPr>
                  </w:pPr>
                </w:p>
              </w:tc>
              <w:tc>
                <w:tcPr>
                  <w:tcW w:w="1516" w:type="dxa"/>
                  <w:vMerge w:val="restart"/>
                  <w:tcBorders>
                    <w:tl2br w:val="nil"/>
                    <w:tr2bl w:val="nil"/>
                  </w:tcBorders>
                  <w:vAlign w:val="center"/>
                </w:tcPr>
                <w:p w14:paraId="40DAEF66">
                  <w:pPr>
                    <w:keepNext w:val="0"/>
                    <w:keepLines w:val="0"/>
                    <w:widowControl/>
                    <w:suppressLineNumbers w:val="0"/>
                    <w:jc w:val="center"/>
                    <w:rPr>
                      <w:rFonts w:hint="default" w:ascii="Times New Roman" w:hAnsi="Times New Roman" w:eastAsia="宋体" w:cs="Times New Roman"/>
                    </w:rPr>
                  </w:pPr>
                  <w:r>
                    <w:rPr>
                      <w:rFonts w:hint="default" w:ascii="Times New Roman" w:hAnsi="Times New Roman" w:eastAsia="宋体" w:cs="Times New Roman"/>
                      <w:color w:val="000000"/>
                      <w:kern w:val="0"/>
                      <w:sz w:val="21"/>
                      <w:szCs w:val="21"/>
                      <w:lang w:val="en-US" w:eastAsia="zh-CN" w:bidi="ar"/>
                    </w:rPr>
                    <w:t>实验室</w:t>
                  </w:r>
                </w:p>
                <w:p w14:paraId="4996676D">
                  <w:pPr>
                    <w:keepNext w:val="0"/>
                    <w:keepLines w:val="0"/>
                    <w:widowControl/>
                    <w:suppressLineNumbers w:val="0"/>
                    <w:jc w:val="center"/>
                    <w:rPr>
                      <w:rFonts w:hint="default" w:ascii="Times New Roman" w:hAnsi="Times New Roman" w:eastAsia="宋体" w:cs="Times New Roman"/>
                    </w:rPr>
                  </w:pPr>
                  <w:r>
                    <w:rPr>
                      <w:rFonts w:hint="default" w:ascii="Times New Roman" w:hAnsi="Times New Roman" w:eastAsia="宋体" w:cs="Times New Roman"/>
                      <w:color w:val="000000"/>
                      <w:kern w:val="0"/>
                      <w:sz w:val="21"/>
                      <w:szCs w:val="21"/>
                      <w:lang w:val="en-US" w:eastAsia="zh-CN" w:bidi="ar"/>
                    </w:rPr>
                    <w:t>危废暂存间</w:t>
                  </w:r>
                </w:p>
                <w:p w14:paraId="4B4DE0ED">
                  <w:pPr>
                    <w:keepNext w:val="0"/>
                    <w:keepLines w:val="0"/>
                    <w:widowControl/>
                    <w:suppressLineNumbers w:val="0"/>
                    <w:jc w:val="center"/>
                    <w:rPr>
                      <w:rFonts w:hint="default" w:ascii="Times New Roman" w:hAnsi="Times New Roman" w:eastAsia="宋体" w:cs="Times New Roman"/>
                      <w:lang w:val="en-US"/>
                    </w:rPr>
                  </w:pPr>
                  <w:r>
                    <w:rPr>
                      <w:rFonts w:hint="default" w:ascii="Times New Roman" w:hAnsi="Times New Roman" w:eastAsia="宋体" w:cs="Times New Roman"/>
                      <w:color w:val="000000"/>
                      <w:kern w:val="0"/>
                      <w:sz w:val="21"/>
                      <w:szCs w:val="21"/>
                      <w:lang w:val="en-US" w:eastAsia="zh-CN" w:bidi="ar"/>
                    </w:rPr>
                    <w:t>危化品</w:t>
                  </w:r>
                  <w:r>
                    <w:rPr>
                      <w:rFonts w:hint="eastAsia" w:ascii="Times New Roman" w:hAnsi="Times New Roman" w:eastAsia="宋体" w:cs="Times New Roman"/>
                      <w:color w:val="000000"/>
                      <w:kern w:val="0"/>
                      <w:sz w:val="21"/>
                      <w:szCs w:val="21"/>
                      <w:lang w:val="en-US" w:eastAsia="zh-CN" w:bidi="ar"/>
                    </w:rPr>
                    <w:t>间</w:t>
                  </w:r>
                </w:p>
                <w:p w14:paraId="3299E9B8">
                  <w:pPr>
                    <w:numPr>
                      <w:ilvl w:val="0"/>
                      <w:numId w:val="0"/>
                    </w:numPr>
                    <w:adjustRightInd w:val="0"/>
                    <w:spacing w:line="360" w:lineRule="auto"/>
                    <w:jc w:val="center"/>
                    <w:rPr>
                      <w:rFonts w:hint="default" w:ascii="Times New Roman" w:hAnsi="Times New Roman" w:eastAsia="宋体" w:cs="Times New Roman"/>
                      <w:b w:val="0"/>
                      <w:bCs w:val="0"/>
                      <w:snapToGrid w:val="0"/>
                      <w:kern w:val="0"/>
                      <w:sz w:val="21"/>
                      <w:szCs w:val="21"/>
                      <w:highlight w:val="none"/>
                      <w:vertAlign w:val="baseline"/>
                      <w:lang w:val="en-US" w:eastAsia="zh-CN"/>
                    </w:rPr>
                  </w:pPr>
                </w:p>
              </w:tc>
              <w:tc>
                <w:tcPr>
                  <w:tcW w:w="1495" w:type="dxa"/>
                  <w:tcBorders>
                    <w:tl2br w:val="nil"/>
                    <w:tr2bl w:val="nil"/>
                  </w:tcBorders>
                  <w:vAlign w:val="center"/>
                </w:tcPr>
                <w:p w14:paraId="78028846">
                  <w:pPr>
                    <w:numPr>
                      <w:ilvl w:val="0"/>
                      <w:numId w:val="0"/>
                    </w:numPr>
                    <w:adjustRightInd w:val="0"/>
                    <w:spacing w:line="360" w:lineRule="auto"/>
                    <w:jc w:val="center"/>
                    <w:rPr>
                      <w:rFonts w:hint="default" w:ascii="Times New Roman" w:hAnsi="Times New Roman" w:eastAsia="宋体" w:cs="Times New Roman"/>
                      <w:b w:val="0"/>
                      <w:bCs w:val="0"/>
                      <w:snapToGrid w:val="0"/>
                      <w:kern w:val="0"/>
                      <w:sz w:val="21"/>
                      <w:szCs w:val="21"/>
                      <w:highlight w:val="none"/>
                      <w:vertAlign w:val="baseline"/>
                      <w:lang w:val="en-US" w:eastAsia="zh-CN"/>
                    </w:rPr>
                  </w:pPr>
                  <w:r>
                    <w:rPr>
                      <w:rFonts w:hint="default" w:ascii="Times New Roman" w:hAnsi="Times New Roman" w:eastAsia="宋体" w:cs="Times New Roman"/>
                      <w:b w:val="0"/>
                      <w:bCs w:val="0"/>
                      <w:snapToGrid w:val="0"/>
                      <w:kern w:val="0"/>
                      <w:sz w:val="21"/>
                      <w:szCs w:val="21"/>
                      <w:highlight w:val="none"/>
                      <w:vertAlign w:val="baseline"/>
                      <w:lang w:val="en-US" w:eastAsia="zh-CN"/>
                    </w:rPr>
                    <w:t>泄露</w:t>
                  </w:r>
                </w:p>
              </w:tc>
              <w:tc>
                <w:tcPr>
                  <w:tcW w:w="3110" w:type="dxa"/>
                  <w:tcBorders>
                    <w:tl2br w:val="nil"/>
                    <w:tr2bl w:val="nil"/>
                  </w:tcBorders>
                </w:tcPr>
                <w:p w14:paraId="77275E3C">
                  <w:pPr>
                    <w:keepNext w:val="0"/>
                    <w:keepLines w:val="0"/>
                    <w:widowControl/>
                    <w:suppressLineNumbers w:val="0"/>
                    <w:jc w:val="left"/>
                    <w:rPr>
                      <w:rFonts w:hint="default" w:ascii="Times New Roman" w:hAnsi="Times New Roman" w:eastAsia="宋体" w:cs="Times New Roman"/>
                    </w:rPr>
                  </w:pPr>
                  <w:r>
                    <w:rPr>
                      <w:rFonts w:hint="default" w:ascii="Times New Roman" w:hAnsi="Times New Roman" w:eastAsia="宋体" w:cs="Times New Roman"/>
                      <w:color w:val="000000"/>
                      <w:kern w:val="0"/>
                      <w:sz w:val="21"/>
                      <w:szCs w:val="21"/>
                      <w:lang w:val="en-US" w:eastAsia="zh-CN" w:bidi="ar"/>
                    </w:rPr>
                    <w:t xml:space="preserve">①化学品、危险废物泄漏，挥发性化学物质污染大气环境。 </w:t>
                  </w:r>
                </w:p>
                <w:p w14:paraId="6196AAB1">
                  <w:pPr>
                    <w:keepNext w:val="0"/>
                    <w:keepLines w:val="0"/>
                    <w:widowControl/>
                    <w:suppressLineNumbers w:val="0"/>
                    <w:jc w:val="left"/>
                    <w:rPr>
                      <w:rFonts w:hint="default" w:ascii="Times New Roman" w:hAnsi="Times New Roman" w:eastAsia="宋体" w:cs="Times New Roman"/>
                      <w:b w:val="0"/>
                      <w:bCs w:val="0"/>
                      <w:snapToGrid w:val="0"/>
                      <w:kern w:val="0"/>
                      <w:sz w:val="21"/>
                      <w:szCs w:val="21"/>
                      <w:highlight w:val="none"/>
                      <w:vertAlign w:val="baseline"/>
                      <w:lang w:val="en-US" w:eastAsia="zh-CN"/>
                    </w:rPr>
                  </w:pPr>
                  <w:r>
                    <w:rPr>
                      <w:rFonts w:hint="default" w:ascii="Times New Roman" w:hAnsi="Times New Roman" w:eastAsia="宋体" w:cs="Times New Roman"/>
                      <w:color w:val="000000"/>
                      <w:kern w:val="0"/>
                      <w:sz w:val="21"/>
                      <w:szCs w:val="21"/>
                      <w:lang w:val="en-US" w:eastAsia="zh-CN" w:bidi="ar"/>
                    </w:rPr>
                    <w:t>②化学品、危险废物泄漏，污染地表水、地下水、土壤环境。</w:t>
                  </w:r>
                </w:p>
              </w:tc>
            </w:tr>
            <w:tr w14:paraId="146BD3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47" w:type="dxa"/>
                  <w:vMerge w:val="continue"/>
                  <w:tcBorders>
                    <w:tl2br w:val="nil"/>
                    <w:tr2bl w:val="nil"/>
                  </w:tcBorders>
                  <w:vAlign w:val="center"/>
                </w:tcPr>
                <w:p w14:paraId="77507C33">
                  <w:pPr>
                    <w:numPr>
                      <w:ilvl w:val="0"/>
                      <w:numId w:val="0"/>
                    </w:numPr>
                    <w:adjustRightInd w:val="0"/>
                    <w:spacing w:line="360" w:lineRule="auto"/>
                    <w:jc w:val="center"/>
                    <w:rPr>
                      <w:rFonts w:hint="default" w:ascii="Times New Roman" w:hAnsi="Times New Roman" w:eastAsia="宋体" w:cs="Times New Roman"/>
                      <w:b w:val="0"/>
                      <w:bCs w:val="0"/>
                      <w:snapToGrid w:val="0"/>
                      <w:kern w:val="0"/>
                      <w:sz w:val="21"/>
                      <w:szCs w:val="21"/>
                      <w:highlight w:val="none"/>
                      <w:vertAlign w:val="baseline"/>
                      <w:lang w:val="en-US" w:eastAsia="zh-CN"/>
                    </w:rPr>
                  </w:pPr>
                </w:p>
              </w:tc>
              <w:tc>
                <w:tcPr>
                  <w:tcW w:w="1516" w:type="dxa"/>
                  <w:vMerge w:val="continue"/>
                  <w:tcBorders>
                    <w:tl2br w:val="nil"/>
                    <w:tr2bl w:val="nil"/>
                  </w:tcBorders>
                  <w:vAlign w:val="center"/>
                </w:tcPr>
                <w:p w14:paraId="6771FBA7">
                  <w:pPr>
                    <w:numPr>
                      <w:ilvl w:val="0"/>
                      <w:numId w:val="0"/>
                    </w:numPr>
                    <w:adjustRightInd w:val="0"/>
                    <w:spacing w:line="360" w:lineRule="auto"/>
                    <w:jc w:val="center"/>
                    <w:rPr>
                      <w:rFonts w:hint="default" w:ascii="Times New Roman" w:hAnsi="Times New Roman" w:eastAsia="宋体" w:cs="Times New Roman"/>
                      <w:b w:val="0"/>
                      <w:bCs w:val="0"/>
                      <w:snapToGrid w:val="0"/>
                      <w:kern w:val="0"/>
                      <w:sz w:val="21"/>
                      <w:szCs w:val="21"/>
                      <w:highlight w:val="none"/>
                      <w:vertAlign w:val="baseline"/>
                      <w:lang w:val="en-US" w:eastAsia="zh-CN"/>
                    </w:rPr>
                  </w:pPr>
                </w:p>
              </w:tc>
              <w:tc>
                <w:tcPr>
                  <w:tcW w:w="1495" w:type="dxa"/>
                  <w:tcBorders>
                    <w:tl2br w:val="nil"/>
                    <w:tr2bl w:val="nil"/>
                  </w:tcBorders>
                  <w:vAlign w:val="center"/>
                </w:tcPr>
                <w:p w14:paraId="11C31DBB">
                  <w:pPr>
                    <w:numPr>
                      <w:ilvl w:val="0"/>
                      <w:numId w:val="0"/>
                    </w:numPr>
                    <w:adjustRightInd w:val="0"/>
                    <w:spacing w:line="360" w:lineRule="auto"/>
                    <w:jc w:val="center"/>
                    <w:rPr>
                      <w:rFonts w:hint="default" w:ascii="Times New Roman" w:hAnsi="Times New Roman" w:eastAsia="宋体" w:cs="Times New Roman"/>
                      <w:b w:val="0"/>
                      <w:bCs w:val="0"/>
                      <w:snapToGrid w:val="0"/>
                      <w:kern w:val="0"/>
                      <w:sz w:val="21"/>
                      <w:szCs w:val="21"/>
                      <w:highlight w:val="none"/>
                      <w:vertAlign w:val="baseline"/>
                      <w:lang w:val="en-US" w:eastAsia="zh-CN"/>
                    </w:rPr>
                  </w:pPr>
                  <w:r>
                    <w:rPr>
                      <w:rFonts w:hint="default" w:ascii="Times New Roman" w:hAnsi="Times New Roman" w:eastAsia="宋体" w:cs="Times New Roman"/>
                      <w:b w:val="0"/>
                      <w:bCs w:val="0"/>
                      <w:snapToGrid w:val="0"/>
                      <w:kern w:val="0"/>
                      <w:sz w:val="21"/>
                      <w:szCs w:val="21"/>
                      <w:highlight w:val="none"/>
                      <w:vertAlign w:val="baseline"/>
                      <w:lang w:val="en-US" w:eastAsia="zh-CN"/>
                    </w:rPr>
                    <w:t>火灾爆炸</w:t>
                  </w:r>
                </w:p>
              </w:tc>
              <w:tc>
                <w:tcPr>
                  <w:tcW w:w="3110" w:type="dxa"/>
                  <w:tcBorders>
                    <w:tl2br w:val="nil"/>
                    <w:tr2bl w:val="nil"/>
                  </w:tcBorders>
                </w:tcPr>
                <w:p w14:paraId="1369EDD2">
                  <w:pPr>
                    <w:keepNext w:val="0"/>
                    <w:keepLines w:val="0"/>
                    <w:widowControl/>
                    <w:suppressLineNumbers w:val="0"/>
                    <w:jc w:val="left"/>
                    <w:rPr>
                      <w:rFonts w:hint="default" w:ascii="Times New Roman" w:hAnsi="Times New Roman" w:eastAsia="宋体" w:cs="Times New Roman"/>
                      <w:b w:val="0"/>
                      <w:bCs w:val="0"/>
                      <w:snapToGrid w:val="0"/>
                      <w:kern w:val="0"/>
                      <w:sz w:val="21"/>
                      <w:szCs w:val="21"/>
                      <w:highlight w:val="none"/>
                      <w:vertAlign w:val="baseline"/>
                      <w:lang w:val="en-US" w:eastAsia="zh-CN"/>
                    </w:rPr>
                  </w:pPr>
                  <w:r>
                    <w:rPr>
                      <w:rFonts w:hint="default" w:ascii="Times New Roman" w:hAnsi="Times New Roman" w:eastAsia="宋体" w:cs="Times New Roman"/>
                      <w:color w:val="000000"/>
                      <w:kern w:val="0"/>
                      <w:sz w:val="21"/>
                      <w:szCs w:val="21"/>
                      <w:lang w:val="en-US" w:eastAsia="zh-CN" w:bidi="ar"/>
                    </w:rPr>
                    <w:t>化学品泄漏，遇明火，引起火灾、爆炸事故，火灾、爆炸时伴生烟雾进入大气环境，次生的消防废水进入水环境等。</w:t>
                  </w:r>
                </w:p>
              </w:tc>
            </w:tr>
          </w:tbl>
          <w:p w14:paraId="395E8242">
            <w:pPr>
              <w:adjustRightInd w:val="0"/>
              <w:spacing w:line="360" w:lineRule="auto"/>
              <w:ind w:firstLine="465"/>
              <w:rPr>
                <w:rFonts w:hint="default" w:ascii="Times New Roman" w:hAnsi="Times New Roman" w:eastAsia="宋体" w:cs="Times New Roman"/>
                <w:bCs/>
                <w:snapToGrid w:val="0"/>
                <w:kern w:val="0"/>
                <w:sz w:val="24"/>
                <w:highlight w:val="none"/>
              </w:rPr>
            </w:pPr>
            <w:r>
              <w:rPr>
                <w:rFonts w:hint="default" w:ascii="Times New Roman" w:hAnsi="Times New Roman" w:eastAsia="宋体" w:cs="Times New Roman"/>
                <w:bCs/>
                <w:snapToGrid w:val="0"/>
                <w:kern w:val="0"/>
                <w:sz w:val="24"/>
                <w:highlight w:val="none"/>
              </w:rPr>
              <w:t>本项目环境风险可能影响的途径如下：</w:t>
            </w:r>
          </w:p>
          <w:p w14:paraId="618F8CE6">
            <w:pPr>
              <w:numPr>
                <w:ilvl w:val="0"/>
                <w:numId w:val="57"/>
              </w:num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泄漏：本项目</w:t>
            </w:r>
            <w:r>
              <w:rPr>
                <w:rFonts w:hint="eastAsia" w:cs="Times New Roman"/>
                <w:bCs/>
                <w:snapToGrid w:val="0"/>
                <w:color w:val="auto"/>
                <w:kern w:val="0"/>
                <w:sz w:val="24"/>
                <w:highlight w:val="none"/>
                <w:lang w:val="en-US" w:eastAsia="zh-CN"/>
              </w:rPr>
              <w:t>氢氟酸、硝酸等酸类物质、</w:t>
            </w:r>
            <w:r>
              <w:rPr>
                <w:rFonts w:hint="default" w:ascii="Times New Roman" w:hAnsi="Times New Roman" w:eastAsia="宋体" w:cs="Times New Roman"/>
                <w:bCs/>
                <w:snapToGrid w:val="0"/>
                <w:color w:val="auto"/>
                <w:kern w:val="0"/>
                <w:sz w:val="24"/>
                <w:highlight w:val="none"/>
                <w:lang w:val="en-US" w:eastAsia="zh-CN"/>
              </w:rPr>
              <w:t>腐蚀液、电解液</w:t>
            </w:r>
            <w:r>
              <w:rPr>
                <w:rFonts w:hint="default" w:ascii="Times New Roman" w:hAnsi="Times New Roman" w:eastAsia="宋体" w:cs="Times New Roman"/>
                <w:bCs/>
                <w:snapToGrid w:val="0"/>
                <w:color w:val="auto"/>
                <w:kern w:val="0"/>
                <w:sz w:val="24"/>
                <w:highlight w:val="none"/>
              </w:rPr>
              <w:t>、实验废液和</w:t>
            </w:r>
            <w:r>
              <w:rPr>
                <w:rFonts w:hint="default" w:ascii="Times New Roman" w:hAnsi="Times New Roman" w:eastAsia="宋体" w:cs="Times New Roman"/>
                <w:bCs/>
                <w:snapToGrid w:val="0"/>
                <w:color w:val="auto"/>
                <w:kern w:val="0"/>
                <w:sz w:val="24"/>
                <w:highlight w:val="none"/>
                <w:lang w:val="en-US" w:eastAsia="zh-CN"/>
              </w:rPr>
              <w:t>设备</w:t>
            </w:r>
            <w:r>
              <w:rPr>
                <w:rFonts w:hint="default" w:ascii="Times New Roman" w:hAnsi="Times New Roman" w:eastAsia="宋体" w:cs="Times New Roman"/>
                <w:bCs/>
                <w:snapToGrid w:val="0"/>
                <w:color w:val="auto"/>
                <w:kern w:val="0"/>
                <w:sz w:val="24"/>
                <w:highlight w:val="none"/>
              </w:rPr>
              <w:t>清洗废液置于专用容器内，一般发生事故的情况考虑为：工作人员操作不善，导致储存的容器倾倒，而发生泄漏事故。</w:t>
            </w:r>
          </w:p>
          <w:p w14:paraId="34240ED3">
            <w:pPr>
              <w:numPr>
                <w:ilvl w:val="0"/>
                <w:numId w:val="57"/>
              </w:num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火灾：本项目乙醇、</w:t>
            </w:r>
            <w:r>
              <w:rPr>
                <w:rFonts w:hint="default" w:ascii="Times New Roman" w:hAnsi="Times New Roman" w:eastAsia="宋体" w:cs="Times New Roman"/>
                <w:bCs/>
                <w:snapToGrid w:val="0"/>
                <w:color w:val="auto"/>
                <w:kern w:val="0"/>
                <w:sz w:val="24"/>
                <w:highlight w:val="none"/>
                <w:lang w:val="en-US" w:eastAsia="zh-CN"/>
              </w:rPr>
              <w:t>电解液、</w:t>
            </w:r>
            <w:r>
              <w:rPr>
                <w:rFonts w:hint="default" w:ascii="Times New Roman" w:hAnsi="Times New Roman" w:eastAsia="宋体" w:cs="Times New Roman"/>
                <w:bCs/>
                <w:snapToGrid w:val="0"/>
                <w:color w:val="auto"/>
                <w:kern w:val="0"/>
                <w:sz w:val="24"/>
                <w:highlight w:val="none"/>
              </w:rPr>
              <w:t>实验废液和</w:t>
            </w:r>
            <w:r>
              <w:rPr>
                <w:rFonts w:hint="default" w:ascii="Times New Roman" w:hAnsi="Times New Roman" w:eastAsia="宋体" w:cs="Times New Roman"/>
                <w:bCs/>
                <w:snapToGrid w:val="0"/>
                <w:color w:val="auto"/>
                <w:kern w:val="0"/>
                <w:sz w:val="24"/>
                <w:highlight w:val="none"/>
                <w:lang w:val="en-US" w:eastAsia="zh-CN"/>
              </w:rPr>
              <w:t>设备</w:t>
            </w:r>
            <w:r>
              <w:rPr>
                <w:rFonts w:hint="default" w:ascii="Times New Roman" w:hAnsi="Times New Roman" w:eastAsia="宋体" w:cs="Times New Roman"/>
                <w:bCs/>
                <w:snapToGrid w:val="0"/>
                <w:color w:val="auto"/>
                <w:kern w:val="0"/>
                <w:sz w:val="24"/>
                <w:highlight w:val="none"/>
              </w:rPr>
              <w:t>清洗废液泄漏遇高温、高热、明火易引起燃烧而引发火灾，引发火灾后，次生污染物主要为CO、烟尘，会对环境空气带来污染。CO、烟尘等扩散到实验室外，会对厂区周边一定区域内的居民身体健康造成影响。</w:t>
            </w:r>
          </w:p>
          <w:p w14:paraId="23C82985">
            <w:pPr>
              <w:numPr>
                <w:ilvl w:val="0"/>
                <w:numId w:val="57"/>
              </w:num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eastAsia" w:cs="Times New Roman"/>
                <w:bCs/>
                <w:snapToGrid w:val="0"/>
                <w:color w:val="auto"/>
                <w:kern w:val="0"/>
                <w:sz w:val="24"/>
                <w:highlight w:val="none"/>
                <w:lang w:val="en-US" w:eastAsia="zh-CN"/>
              </w:rPr>
              <w:t>操作事故：本项目危险废物类别较多，如果操作不当，不相容危险废物在一起可能发生放热、释放气体或其他事故等。</w:t>
            </w:r>
          </w:p>
          <w:p w14:paraId="263C562B">
            <w:pPr>
              <w:numPr>
                <w:ilvl w:val="0"/>
                <w:numId w:val="57"/>
              </w:numPr>
              <w:adjustRightInd w:val="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bCs/>
                <w:snapToGrid w:val="0"/>
                <w:color w:val="auto"/>
                <w:kern w:val="0"/>
                <w:sz w:val="24"/>
                <w:highlight w:val="none"/>
              </w:rPr>
              <w:t>火灾事故次生含水环境风险物质的消防废水，可能会经雨水排放途径进入水环境风险受体。</w:t>
            </w:r>
          </w:p>
          <w:p w14:paraId="3C832BA9">
            <w:pPr>
              <w:adjustRightInd w:val="0"/>
              <w:spacing w:line="360" w:lineRule="auto"/>
              <w:ind w:firstLine="465"/>
              <w:rPr>
                <w:rFonts w:hint="default" w:ascii="Times New Roman" w:hAnsi="Times New Roman" w:eastAsia="宋体" w:cs="Times New Roman"/>
                <w:b w:val="0"/>
                <w:bCs/>
                <w:spacing w:val="-2"/>
                <w:sz w:val="24"/>
                <w:szCs w:val="32"/>
                <w:highlight w:val="none"/>
              </w:rPr>
            </w:pPr>
            <w:r>
              <w:rPr>
                <w:rFonts w:hint="default" w:ascii="Times New Roman" w:hAnsi="Times New Roman" w:eastAsia="宋体" w:cs="Times New Roman"/>
                <w:b w:val="0"/>
                <w:bCs/>
                <w:snapToGrid w:val="0"/>
                <w:kern w:val="0"/>
                <w:sz w:val="24"/>
                <w:highlight w:val="none"/>
              </w:rPr>
              <w:t>（3）</w:t>
            </w:r>
            <w:r>
              <w:rPr>
                <w:rFonts w:hint="default" w:ascii="Times New Roman" w:hAnsi="Times New Roman" w:eastAsia="宋体" w:cs="Times New Roman"/>
                <w:b w:val="0"/>
                <w:bCs/>
                <w:spacing w:val="-2"/>
                <w:sz w:val="24"/>
                <w:szCs w:val="32"/>
                <w:highlight w:val="none"/>
              </w:rPr>
              <w:t>环境风险防范措施</w:t>
            </w:r>
          </w:p>
          <w:p w14:paraId="09A19D79">
            <w:pPr>
              <w:widowControl/>
              <w:numPr>
                <w:ilvl w:val="0"/>
                <w:numId w:val="58"/>
              </w:numPr>
              <w:spacing w:line="360" w:lineRule="auto"/>
              <w:ind w:firstLine="480" w:firstLineChars="200"/>
              <w:jc w:val="left"/>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建设单位应制定突发环境事件应急预案</w:t>
            </w:r>
            <w:r>
              <w:rPr>
                <w:rFonts w:hint="eastAsia" w:cs="Times New Roman"/>
                <w:kern w:val="0"/>
                <w:sz w:val="24"/>
                <w:highlight w:val="none"/>
                <w:lang w:val="en-US" w:eastAsia="zh-CN"/>
              </w:rPr>
              <w:t>和危险废物专项应急预案</w:t>
            </w:r>
            <w:r>
              <w:rPr>
                <w:rFonts w:hint="default" w:ascii="Times New Roman" w:hAnsi="Times New Roman" w:eastAsia="宋体" w:cs="Times New Roman"/>
                <w:kern w:val="0"/>
                <w:sz w:val="24"/>
                <w:highlight w:val="none"/>
              </w:rPr>
              <w:t>。</w:t>
            </w:r>
          </w:p>
          <w:p w14:paraId="6F5C1928">
            <w:pPr>
              <w:widowControl/>
              <w:numPr>
                <w:ilvl w:val="0"/>
                <w:numId w:val="58"/>
              </w:numPr>
              <w:spacing w:line="360" w:lineRule="auto"/>
              <w:ind w:firstLine="480" w:firstLineChars="200"/>
              <w:jc w:val="left"/>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定期检查危险化学品和废液密封状态，禁止跑、冒、滴、漏。</w:t>
            </w:r>
          </w:p>
          <w:p w14:paraId="2BA269BB">
            <w:pPr>
              <w:widowControl/>
              <w:numPr>
                <w:ilvl w:val="0"/>
                <w:numId w:val="58"/>
              </w:numPr>
              <w:spacing w:line="360" w:lineRule="auto"/>
              <w:ind w:firstLine="480" w:firstLineChars="200"/>
              <w:jc w:val="left"/>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在风险源场所设置消防栓、灭火器，配备一定数量的自给式呼吸器、消防防护服、消防沙等，并设置明显的</w:t>
            </w:r>
            <w:r>
              <w:rPr>
                <w:rFonts w:hint="eastAsia" w:ascii="Times New Roman" w:hAnsi="Times New Roman" w:eastAsia="宋体" w:cs="Times New Roman"/>
                <w:kern w:val="0"/>
                <w:sz w:val="24"/>
                <w:highlight w:val="none"/>
                <w:lang w:eastAsia="zh-CN"/>
              </w:rPr>
              <w:t>“</w:t>
            </w:r>
            <w:r>
              <w:rPr>
                <w:rFonts w:hint="default" w:ascii="Times New Roman" w:hAnsi="Times New Roman" w:eastAsia="宋体" w:cs="Times New Roman"/>
                <w:kern w:val="0"/>
                <w:sz w:val="24"/>
                <w:highlight w:val="none"/>
              </w:rPr>
              <w:t>危险</w:t>
            </w:r>
            <w:r>
              <w:rPr>
                <w:rFonts w:hint="eastAsia" w:ascii="Times New Roman" w:hAnsi="Times New Roman" w:eastAsia="宋体" w:cs="Times New Roman"/>
                <w:kern w:val="0"/>
                <w:sz w:val="24"/>
                <w:highlight w:val="none"/>
                <w:lang w:eastAsia="zh-CN"/>
              </w:rPr>
              <w:t>”</w:t>
            </w:r>
            <w:r>
              <w:rPr>
                <w:rFonts w:hint="default" w:ascii="Times New Roman" w:hAnsi="Times New Roman" w:eastAsia="宋体" w:cs="Times New Roman"/>
                <w:kern w:val="0"/>
                <w:sz w:val="24"/>
                <w:highlight w:val="none"/>
              </w:rPr>
              <w:t>警示标识和</w:t>
            </w:r>
            <w:r>
              <w:rPr>
                <w:rFonts w:hint="eastAsia" w:ascii="Times New Roman" w:hAnsi="Times New Roman" w:eastAsia="宋体" w:cs="Times New Roman"/>
                <w:kern w:val="0"/>
                <w:sz w:val="24"/>
                <w:highlight w:val="none"/>
                <w:lang w:eastAsia="zh-CN"/>
              </w:rPr>
              <w:t>“</w:t>
            </w:r>
            <w:r>
              <w:rPr>
                <w:rFonts w:hint="default" w:ascii="Times New Roman" w:hAnsi="Times New Roman" w:eastAsia="宋体" w:cs="Times New Roman"/>
                <w:kern w:val="0"/>
                <w:sz w:val="24"/>
                <w:highlight w:val="none"/>
              </w:rPr>
              <w:t>禁止吸烟</w:t>
            </w:r>
            <w:r>
              <w:rPr>
                <w:rFonts w:hint="eastAsia" w:ascii="Times New Roman" w:hAnsi="Times New Roman" w:eastAsia="宋体" w:cs="Times New Roman"/>
                <w:kern w:val="0"/>
                <w:sz w:val="24"/>
                <w:highlight w:val="none"/>
                <w:lang w:eastAsia="zh-CN"/>
              </w:rPr>
              <w:t>”</w:t>
            </w:r>
            <w:r>
              <w:rPr>
                <w:rFonts w:hint="default" w:ascii="Times New Roman" w:hAnsi="Times New Roman" w:eastAsia="宋体" w:cs="Times New Roman"/>
                <w:kern w:val="0"/>
                <w:sz w:val="24"/>
                <w:highlight w:val="none"/>
              </w:rPr>
              <w:t>的警示标识。</w:t>
            </w:r>
          </w:p>
          <w:p w14:paraId="75F5F184">
            <w:pPr>
              <w:widowControl/>
              <w:numPr>
                <w:ilvl w:val="0"/>
                <w:numId w:val="58"/>
              </w:numPr>
              <w:spacing w:line="360" w:lineRule="auto"/>
              <w:ind w:firstLine="480" w:firstLineChars="200"/>
              <w:jc w:val="left"/>
              <w:rPr>
                <w:rFonts w:hint="default" w:ascii="Times New Roman" w:hAnsi="Times New Roman" w:eastAsia="宋体" w:cs="Times New Roman"/>
                <w:kern w:val="0"/>
                <w:sz w:val="24"/>
                <w:highlight w:val="none"/>
              </w:rPr>
            </w:pPr>
            <w:r>
              <w:rPr>
                <w:rFonts w:hint="eastAsia" w:cs="Times New Roman"/>
                <w:kern w:val="0"/>
                <w:sz w:val="24"/>
                <w:highlight w:val="none"/>
                <w:lang w:val="en-US" w:eastAsia="zh-CN"/>
              </w:rPr>
              <w:t>加强危险废物相关的教育和培训，从源头减少危险废物的产生量，及时将产生的危险废物分类收集，并做好危险废物识别标志和台账。</w:t>
            </w:r>
          </w:p>
          <w:p w14:paraId="1A1BFCAD">
            <w:pPr>
              <w:widowControl/>
              <w:numPr>
                <w:ilvl w:val="0"/>
                <w:numId w:val="58"/>
              </w:numPr>
              <w:spacing w:line="360" w:lineRule="auto"/>
              <w:ind w:firstLine="480" w:firstLineChars="200"/>
              <w:jc w:val="left"/>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加强对员工进行专业培训、制定操作规程，定期进行消防安全知识培训，重点培训岗位防火技术、灭火器的使用办法、疏散逃生知识等，加强员工防火意识，确保每位员工都掌握安全防火技能，一旦发生事故能采取正确的应急措施。如发生小量泄漏，应及时将泄漏物收集至专用桶内，并用消防沙、活性炭或其他惰性材料吸附，吸附后的材料和清洗废水收集至专用容器内，放于危险废物暂存间内交由有资质单位处理；如发生大量泄漏，工作人员应严格控制电、火源，及时报警，配合消防部门，提供相关物料的理化性质等，做好协助工作。</w:t>
            </w:r>
          </w:p>
          <w:p w14:paraId="2E5D4DB6">
            <w:pPr>
              <w:widowControl/>
              <w:numPr>
                <w:ilvl w:val="0"/>
                <w:numId w:val="58"/>
              </w:numPr>
              <w:spacing w:line="360" w:lineRule="auto"/>
              <w:ind w:firstLine="480" w:firstLineChars="200"/>
              <w:jc w:val="left"/>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建立安全管理制度，制定岗位责任制度，定期对设备等各环节进行检修，发现有损坏的设备、零部件及时更换，减少意外事故发生的概率。</w:t>
            </w:r>
          </w:p>
          <w:p w14:paraId="0A4D7FCB">
            <w:pPr>
              <w:widowControl/>
              <w:numPr>
                <w:ilvl w:val="0"/>
                <w:numId w:val="58"/>
              </w:numPr>
              <w:spacing w:line="360" w:lineRule="auto"/>
              <w:ind w:firstLine="480" w:firstLineChars="200"/>
              <w:jc w:val="left"/>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若发生火灾事故，火灾对水体的污染主要体现在灭火过程中，一般在火灾的扑救过程中会使用大量的水来冷却可燃物或扑灭火，消防废水会将火灾中产生的有害物质带走，渗入地下，排入城市排水系统，控制不当，进入周边地表水体可能导致次生水环境风险事故，应在日常营运中注意避免火灾的发生，便可避免消防废水等对水体的污染。园区雨水排放口末端设置紧急切断闸门，一旦发生火灾、水体污染事故，需</w:t>
            </w:r>
            <w:r>
              <w:rPr>
                <w:rFonts w:hint="default" w:ascii="Times New Roman" w:hAnsi="Times New Roman" w:eastAsia="宋体" w:cs="Times New Roman"/>
                <w:kern w:val="0"/>
                <w:sz w:val="24"/>
                <w:highlight w:val="none"/>
                <w:lang w:val="en-US" w:eastAsia="zh-CN"/>
              </w:rPr>
              <w:t>与园区物理联系，</w:t>
            </w:r>
            <w:r>
              <w:rPr>
                <w:rFonts w:hint="default" w:ascii="Times New Roman" w:hAnsi="Times New Roman" w:eastAsia="宋体" w:cs="Times New Roman"/>
                <w:kern w:val="0"/>
                <w:sz w:val="24"/>
                <w:highlight w:val="none"/>
              </w:rPr>
              <w:t>关闭雨水总排口，将事故控制在厂界内，防止对下游造成污染。</w:t>
            </w:r>
          </w:p>
          <w:p w14:paraId="5CF5A97B">
            <w:pPr>
              <w:adjustRightInd w:val="0"/>
              <w:spacing w:line="360" w:lineRule="auto"/>
              <w:ind w:firstLine="465"/>
              <w:rPr>
                <w:rFonts w:hint="default" w:ascii="Times New Roman" w:hAnsi="Times New Roman" w:eastAsia="宋体" w:cs="Times New Roman"/>
                <w:b w:val="0"/>
                <w:bCs w:val="0"/>
                <w:spacing w:val="-2"/>
                <w:sz w:val="24"/>
                <w:szCs w:val="32"/>
                <w:highlight w:val="none"/>
              </w:rPr>
            </w:pPr>
            <w:r>
              <w:rPr>
                <w:rFonts w:hint="default" w:ascii="Times New Roman" w:hAnsi="Times New Roman" w:eastAsia="宋体" w:cs="Times New Roman"/>
                <w:b w:val="0"/>
                <w:bCs w:val="0"/>
                <w:spacing w:val="-2"/>
                <w:sz w:val="24"/>
                <w:szCs w:val="32"/>
                <w:highlight w:val="none"/>
              </w:rPr>
              <w:t>（</w:t>
            </w:r>
            <w:r>
              <w:rPr>
                <w:rFonts w:hint="default" w:ascii="Times New Roman" w:hAnsi="Times New Roman" w:eastAsia="宋体" w:cs="Times New Roman"/>
                <w:b w:val="0"/>
                <w:bCs w:val="0"/>
                <w:spacing w:val="-2"/>
                <w:sz w:val="24"/>
                <w:szCs w:val="32"/>
                <w:highlight w:val="none"/>
                <w:lang w:val="en-US" w:eastAsia="zh-CN"/>
              </w:rPr>
              <w:t>4</w:t>
            </w:r>
            <w:r>
              <w:rPr>
                <w:rFonts w:hint="default" w:ascii="Times New Roman" w:hAnsi="Times New Roman" w:eastAsia="宋体" w:cs="Times New Roman"/>
                <w:b w:val="0"/>
                <w:bCs w:val="0"/>
                <w:spacing w:val="-2"/>
                <w:sz w:val="24"/>
                <w:szCs w:val="32"/>
                <w:highlight w:val="none"/>
              </w:rPr>
              <w:t>）环境风险评价结论</w:t>
            </w:r>
          </w:p>
          <w:p w14:paraId="38F7328F">
            <w:pPr>
              <w:adjustRightInd w:val="0"/>
              <w:spacing w:line="360" w:lineRule="auto"/>
              <w:ind w:firstLine="465"/>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综上分析，本项目涉及的化学品日常储存量小于临界量，环境风险潜势为I级，风险评价等级为简单分析，存在泄漏、火灾事故类型，本工程从管理、员工培训等方面积极采取防范措施，确保工程运行的安全性；同时在严格执行国家相关法律、法规和规范，按相关操作规章操作的前提下，通过采用相应的控制措施后，本项目环境风险可控。本项目环境风险简单分析内容表见下表。</w:t>
            </w:r>
          </w:p>
          <w:p w14:paraId="108E83FA">
            <w:pPr>
              <w:numPr>
                <w:ilvl w:val="0"/>
                <w:numId w:val="48"/>
              </w:numPr>
              <w:adjustRightInd w:val="0"/>
              <w:spacing w:line="360" w:lineRule="auto"/>
              <w:ind w:left="425" w:leftChars="0" w:hanging="425" w:firstLineChars="0"/>
              <w:jc w:val="center"/>
              <w:rPr>
                <w:rFonts w:hint="default" w:ascii="Times New Roman" w:hAnsi="Times New Roman" w:eastAsia="宋体" w:cs="Times New Roman"/>
                <w:b/>
                <w:bCs/>
                <w:kern w:val="0"/>
                <w:sz w:val="24"/>
                <w:highlight w:val="none"/>
              </w:rPr>
            </w:pPr>
            <w:r>
              <w:rPr>
                <w:rFonts w:hint="default" w:ascii="Times New Roman" w:hAnsi="Times New Roman" w:eastAsia="宋体" w:cs="Times New Roman"/>
                <w:b/>
                <w:color w:val="auto"/>
                <w:sz w:val="24"/>
                <w:highlight w:val="none"/>
              </w:rPr>
              <w:t>建设</w:t>
            </w:r>
            <w:r>
              <w:rPr>
                <w:rFonts w:hint="default" w:ascii="Times New Roman" w:hAnsi="Times New Roman" w:eastAsia="宋体" w:cs="Times New Roman"/>
                <w:b/>
                <w:bCs/>
                <w:kern w:val="0"/>
                <w:sz w:val="24"/>
                <w:highlight w:val="none"/>
              </w:rPr>
              <w:t>项目环境风险简单分析内容表</w:t>
            </w:r>
          </w:p>
          <w:tbl>
            <w:tblPr>
              <w:tblStyle w:val="44"/>
              <w:tblW w:w="7599" w:type="dxa"/>
              <w:jc w:val="center"/>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2117"/>
              <w:gridCol w:w="666"/>
              <w:gridCol w:w="2089"/>
              <w:gridCol w:w="564"/>
              <w:gridCol w:w="2163"/>
            </w:tblGrid>
            <w:tr w14:paraId="7FFB0CD1">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37" w:hRule="atLeast"/>
                <w:jc w:val="center"/>
              </w:trPr>
              <w:tc>
                <w:tcPr>
                  <w:tcW w:w="2117" w:type="dxa"/>
                  <w:tcBorders>
                    <w:tl2br w:val="nil"/>
                    <w:tr2bl w:val="nil"/>
                  </w:tcBorders>
                  <w:vAlign w:val="center"/>
                </w:tcPr>
                <w:p w14:paraId="6C1B6770">
                  <w:pPr>
                    <w:snapToGrid w:val="0"/>
                    <w:jc w:val="center"/>
                    <w:rPr>
                      <w:rFonts w:hint="default" w:ascii="Times New Roman" w:hAnsi="Times New Roman" w:eastAsia="宋体" w:cs="Times New Roman"/>
                      <w:b/>
                      <w:bCs w:val="0"/>
                      <w:szCs w:val="21"/>
                      <w:highlight w:val="none"/>
                    </w:rPr>
                  </w:pPr>
                  <w:r>
                    <w:rPr>
                      <w:rFonts w:hint="default" w:ascii="Times New Roman" w:hAnsi="Times New Roman" w:eastAsia="宋体" w:cs="Times New Roman"/>
                      <w:b/>
                      <w:bCs w:val="0"/>
                      <w:szCs w:val="21"/>
                      <w:highlight w:val="none"/>
                    </w:rPr>
                    <w:t>建设项目名称</w:t>
                  </w:r>
                </w:p>
              </w:tc>
              <w:tc>
                <w:tcPr>
                  <w:tcW w:w="5482" w:type="dxa"/>
                  <w:gridSpan w:val="4"/>
                  <w:tcBorders>
                    <w:tl2br w:val="nil"/>
                    <w:tr2bl w:val="nil"/>
                  </w:tcBorders>
                  <w:vAlign w:val="center"/>
                </w:tcPr>
                <w:p w14:paraId="71E16A55">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中信金属股份有限公司</w:t>
                  </w:r>
                </w:p>
              </w:tc>
            </w:tr>
            <w:tr w14:paraId="48FC6AC4">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117" w:type="dxa"/>
                  <w:tcBorders>
                    <w:tl2br w:val="nil"/>
                    <w:tr2bl w:val="nil"/>
                  </w:tcBorders>
                  <w:vAlign w:val="center"/>
                </w:tcPr>
                <w:p w14:paraId="5DCE80A3">
                  <w:pPr>
                    <w:snapToGrid w:val="0"/>
                    <w:jc w:val="center"/>
                    <w:rPr>
                      <w:rFonts w:hint="default" w:ascii="Times New Roman" w:hAnsi="Times New Roman" w:eastAsia="宋体" w:cs="Times New Roman"/>
                      <w:b/>
                      <w:bCs w:val="0"/>
                      <w:szCs w:val="21"/>
                      <w:highlight w:val="none"/>
                    </w:rPr>
                  </w:pPr>
                  <w:r>
                    <w:rPr>
                      <w:rFonts w:hint="default" w:ascii="Times New Roman" w:hAnsi="Times New Roman" w:eastAsia="宋体" w:cs="Times New Roman"/>
                      <w:b/>
                      <w:bCs w:val="0"/>
                      <w:szCs w:val="21"/>
                      <w:highlight w:val="none"/>
                    </w:rPr>
                    <w:t>建设地点</w:t>
                  </w:r>
                </w:p>
              </w:tc>
              <w:tc>
                <w:tcPr>
                  <w:tcW w:w="5482" w:type="dxa"/>
                  <w:gridSpan w:val="4"/>
                  <w:tcBorders>
                    <w:tl2br w:val="nil"/>
                    <w:tr2bl w:val="nil"/>
                  </w:tcBorders>
                  <w:vAlign w:val="center"/>
                </w:tcPr>
                <w:p w14:paraId="3D39ED7A">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北京经济技术开发区康定街15号前沿科技创新空港金田加速区5号楼1-2层</w:t>
                  </w:r>
                </w:p>
              </w:tc>
            </w:tr>
            <w:tr w14:paraId="33E81BFA">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9" w:hRule="atLeast"/>
                <w:jc w:val="center"/>
              </w:trPr>
              <w:tc>
                <w:tcPr>
                  <w:tcW w:w="2117" w:type="dxa"/>
                  <w:tcBorders>
                    <w:tl2br w:val="nil"/>
                    <w:tr2bl w:val="nil"/>
                  </w:tcBorders>
                  <w:vAlign w:val="center"/>
                </w:tcPr>
                <w:p w14:paraId="0510BA63">
                  <w:pPr>
                    <w:snapToGrid w:val="0"/>
                    <w:jc w:val="center"/>
                    <w:rPr>
                      <w:rFonts w:hint="default" w:ascii="Times New Roman" w:hAnsi="Times New Roman" w:eastAsia="宋体" w:cs="Times New Roman"/>
                      <w:b/>
                      <w:bCs w:val="0"/>
                      <w:szCs w:val="21"/>
                      <w:highlight w:val="none"/>
                    </w:rPr>
                  </w:pPr>
                  <w:r>
                    <w:rPr>
                      <w:rFonts w:hint="default" w:ascii="Times New Roman" w:hAnsi="Times New Roman" w:eastAsia="宋体" w:cs="Times New Roman"/>
                      <w:b/>
                      <w:bCs w:val="0"/>
                      <w:szCs w:val="21"/>
                      <w:highlight w:val="none"/>
                    </w:rPr>
                    <w:t>地理坐标</w:t>
                  </w:r>
                </w:p>
              </w:tc>
              <w:tc>
                <w:tcPr>
                  <w:tcW w:w="666" w:type="dxa"/>
                  <w:tcBorders>
                    <w:tl2br w:val="nil"/>
                    <w:tr2bl w:val="nil"/>
                  </w:tcBorders>
                  <w:vAlign w:val="center"/>
                </w:tcPr>
                <w:p w14:paraId="6B0882C0">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经度</w:t>
                  </w:r>
                </w:p>
              </w:tc>
              <w:tc>
                <w:tcPr>
                  <w:tcW w:w="2089" w:type="dxa"/>
                  <w:tcBorders>
                    <w:tl2br w:val="nil"/>
                    <w:tr2bl w:val="nil"/>
                  </w:tcBorders>
                  <w:vAlign w:val="center"/>
                </w:tcPr>
                <w:p w14:paraId="5CF0CBFA">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东经116°3</w:t>
                  </w:r>
                  <w:r>
                    <w:rPr>
                      <w:rFonts w:hint="default" w:ascii="Times New Roman" w:hAnsi="Times New Roman" w:eastAsia="宋体" w:cs="Times New Roman"/>
                      <w:szCs w:val="21"/>
                      <w:highlight w:val="none"/>
                      <w:lang w:val="en-US" w:eastAsia="zh-CN"/>
                    </w:rPr>
                    <w:t>2</w:t>
                  </w:r>
                  <w:r>
                    <w:rPr>
                      <w:rFonts w:hint="default" w:ascii="Times New Roman" w:hAnsi="Times New Roman" w:eastAsia="宋体" w:cs="Times New Roman"/>
                      <w:szCs w:val="21"/>
                      <w:highlight w:val="none"/>
                    </w:rPr>
                    <w:t>′</w:t>
                  </w:r>
                  <w:r>
                    <w:rPr>
                      <w:rFonts w:hint="default" w:ascii="Times New Roman" w:hAnsi="Times New Roman" w:eastAsia="宋体" w:cs="Times New Roman"/>
                      <w:szCs w:val="21"/>
                      <w:highlight w:val="none"/>
                      <w:lang w:val="en-US" w:eastAsia="zh-CN"/>
                    </w:rPr>
                    <w:t>4.520</w:t>
                  </w:r>
                  <w:r>
                    <w:rPr>
                      <w:rFonts w:hint="default" w:ascii="Times New Roman" w:hAnsi="Times New Roman" w:eastAsia="宋体" w:cs="Times New Roman"/>
                      <w:szCs w:val="21"/>
                      <w:highlight w:val="none"/>
                    </w:rPr>
                    <w:t>″</w:t>
                  </w:r>
                </w:p>
              </w:tc>
              <w:tc>
                <w:tcPr>
                  <w:tcW w:w="564" w:type="dxa"/>
                  <w:tcBorders>
                    <w:tl2br w:val="nil"/>
                    <w:tr2bl w:val="nil"/>
                  </w:tcBorders>
                  <w:vAlign w:val="center"/>
                </w:tcPr>
                <w:p w14:paraId="74EF9973">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纬度</w:t>
                  </w:r>
                </w:p>
              </w:tc>
              <w:tc>
                <w:tcPr>
                  <w:tcW w:w="2163" w:type="dxa"/>
                  <w:tcBorders>
                    <w:tl2br w:val="nil"/>
                    <w:tr2bl w:val="nil"/>
                  </w:tcBorders>
                  <w:vAlign w:val="center"/>
                </w:tcPr>
                <w:p w14:paraId="2E6D3D63">
                  <w:pPr>
                    <w:snapToGrid w:val="0"/>
                    <w:jc w:val="center"/>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rPr>
                    <w:t>北纬39°</w:t>
                  </w:r>
                  <w:r>
                    <w:rPr>
                      <w:rFonts w:hint="default" w:ascii="Times New Roman" w:hAnsi="Times New Roman" w:eastAsia="宋体" w:cs="Times New Roman"/>
                      <w:szCs w:val="21"/>
                      <w:highlight w:val="none"/>
                      <w:lang w:eastAsia="zh-CN"/>
                    </w:rPr>
                    <w:t>46'</w:t>
                  </w:r>
                  <w:r>
                    <w:rPr>
                      <w:rFonts w:hint="default" w:ascii="Times New Roman" w:hAnsi="Times New Roman" w:eastAsia="宋体" w:cs="Times New Roman"/>
                      <w:szCs w:val="21"/>
                      <w:highlight w:val="none"/>
                      <w:lang w:val="en-US" w:eastAsia="zh-CN"/>
                    </w:rPr>
                    <w:t xml:space="preserve"> 25.760</w:t>
                  </w:r>
                  <w:r>
                    <w:rPr>
                      <w:rFonts w:hint="default" w:ascii="Times New Roman" w:hAnsi="Times New Roman" w:eastAsia="宋体" w:cs="Times New Roman"/>
                      <w:szCs w:val="21"/>
                      <w:highlight w:val="none"/>
                      <w:lang w:eastAsia="zh-CN"/>
                    </w:rPr>
                    <w:t>''</w:t>
                  </w:r>
                </w:p>
              </w:tc>
            </w:tr>
            <w:tr w14:paraId="1EF986B3">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56" w:hRule="atLeast"/>
                <w:jc w:val="center"/>
              </w:trPr>
              <w:tc>
                <w:tcPr>
                  <w:tcW w:w="2117" w:type="dxa"/>
                  <w:tcBorders>
                    <w:tl2br w:val="nil"/>
                    <w:tr2bl w:val="nil"/>
                  </w:tcBorders>
                  <w:vAlign w:val="center"/>
                </w:tcPr>
                <w:p w14:paraId="79BA2A5C">
                  <w:pPr>
                    <w:snapToGrid w:val="0"/>
                    <w:jc w:val="center"/>
                    <w:rPr>
                      <w:rFonts w:hint="default" w:ascii="Times New Roman" w:hAnsi="Times New Roman" w:eastAsia="宋体" w:cs="Times New Roman"/>
                      <w:b/>
                      <w:bCs w:val="0"/>
                      <w:szCs w:val="21"/>
                      <w:highlight w:val="none"/>
                    </w:rPr>
                  </w:pPr>
                  <w:r>
                    <w:rPr>
                      <w:rFonts w:hint="default" w:ascii="Times New Roman" w:hAnsi="Times New Roman" w:eastAsia="宋体" w:cs="Times New Roman"/>
                      <w:b/>
                      <w:bCs w:val="0"/>
                      <w:szCs w:val="21"/>
                      <w:highlight w:val="none"/>
                    </w:rPr>
                    <w:t>主要危险物质及分布</w:t>
                  </w:r>
                </w:p>
              </w:tc>
              <w:tc>
                <w:tcPr>
                  <w:tcW w:w="5482" w:type="dxa"/>
                  <w:gridSpan w:val="4"/>
                  <w:tcBorders>
                    <w:tl2br w:val="nil"/>
                    <w:tr2bl w:val="nil"/>
                  </w:tcBorders>
                  <w:vAlign w:val="center"/>
                </w:tcPr>
                <w:p w14:paraId="0591A3B5">
                  <w:pPr>
                    <w:snapToGrid w:val="0"/>
                    <w:jc w:val="left"/>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危化品间</w:t>
                  </w:r>
                  <w:r>
                    <w:rPr>
                      <w:rFonts w:hint="default" w:ascii="Times New Roman" w:hAnsi="Times New Roman" w:eastAsia="宋体" w:cs="Times New Roman"/>
                      <w:szCs w:val="21"/>
                      <w:highlight w:val="none"/>
                      <w:lang w:val="en-US" w:eastAsia="zh-CN"/>
                    </w:rPr>
                    <w:t>贮存的各类试剂；金属材料实验室贮存的腐蚀液；电池材料实验室贮存的电解液；纳米晶体材料实验室贮存的环氧树脂；危险废物暂存间贮存的危险废物。</w:t>
                  </w:r>
                </w:p>
              </w:tc>
            </w:tr>
            <w:tr w14:paraId="3F698D02">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60" w:hRule="atLeast"/>
                <w:jc w:val="center"/>
              </w:trPr>
              <w:tc>
                <w:tcPr>
                  <w:tcW w:w="2117" w:type="dxa"/>
                  <w:tcBorders>
                    <w:tl2br w:val="nil"/>
                    <w:tr2bl w:val="nil"/>
                  </w:tcBorders>
                  <w:vAlign w:val="center"/>
                </w:tcPr>
                <w:p w14:paraId="407FA49D">
                  <w:pPr>
                    <w:snapToGrid w:val="0"/>
                    <w:jc w:val="center"/>
                    <w:rPr>
                      <w:rFonts w:hint="default" w:ascii="Times New Roman" w:hAnsi="Times New Roman" w:eastAsia="宋体" w:cs="Times New Roman"/>
                      <w:b/>
                      <w:bCs w:val="0"/>
                      <w:szCs w:val="21"/>
                      <w:highlight w:val="none"/>
                    </w:rPr>
                  </w:pPr>
                  <w:r>
                    <w:rPr>
                      <w:rFonts w:hint="default" w:ascii="Times New Roman" w:hAnsi="Times New Roman" w:eastAsia="宋体" w:cs="Times New Roman"/>
                      <w:b/>
                      <w:bCs w:val="0"/>
                      <w:szCs w:val="21"/>
                      <w:highlight w:val="none"/>
                    </w:rPr>
                    <w:t>环境影响途径及危害后果（大气、地表水、地下水）</w:t>
                  </w:r>
                </w:p>
              </w:tc>
              <w:tc>
                <w:tcPr>
                  <w:tcW w:w="5482" w:type="dxa"/>
                  <w:gridSpan w:val="4"/>
                  <w:tcBorders>
                    <w:tl2br w:val="nil"/>
                    <w:tr2bl w:val="nil"/>
                  </w:tcBorders>
                  <w:vAlign w:val="center"/>
                </w:tcPr>
                <w:p w14:paraId="6D5A8B01">
                  <w:pPr>
                    <w:snapToGrid w:val="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影响途径：泄漏后挥发进入大气环境或者火灾事故时伴生烟雾进入大气环境，次生的消防废水进入水环境等。</w:t>
                  </w:r>
                </w:p>
                <w:p w14:paraId="50B600E2">
                  <w:pPr>
                    <w:snapToGrid w:val="0"/>
                    <w:jc w:val="both"/>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危害后果：造成环境空气、地表水等污染。</w:t>
                  </w:r>
                </w:p>
              </w:tc>
            </w:tr>
          </w:tbl>
          <w:p w14:paraId="02F0AD83">
            <w:pPr>
              <w:numPr>
                <w:ilvl w:val="0"/>
                <w:numId w:val="46"/>
              </w:numPr>
              <w:adjustRightInd w:val="0"/>
              <w:snapToGrid w:val="0"/>
              <w:spacing w:line="360" w:lineRule="auto"/>
              <w:rPr>
                <w:rFonts w:hint="default" w:ascii="Times New Roman" w:hAnsi="Times New Roman" w:eastAsia="宋体" w:cs="Times New Roman"/>
                <w:b/>
                <w:spacing w:val="-4"/>
                <w:kern w:val="0"/>
                <w:sz w:val="24"/>
                <w:highlight w:val="none"/>
              </w:rPr>
            </w:pPr>
            <w:r>
              <w:rPr>
                <w:rFonts w:hint="default" w:ascii="Times New Roman" w:hAnsi="Times New Roman" w:eastAsia="宋体" w:cs="Times New Roman"/>
                <w:b/>
                <w:spacing w:val="-4"/>
                <w:kern w:val="0"/>
                <w:sz w:val="24"/>
                <w:highlight w:val="none"/>
              </w:rPr>
              <w:t>环保投资</w:t>
            </w:r>
          </w:p>
          <w:p w14:paraId="6B949421">
            <w:pPr>
              <w:adjustRightIn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本项目总投资</w:t>
            </w:r>
            <w:r>
              <w:rPr>
                <w:rFonts w:hint="default" w:ascii="Times New Roman" w:hAnsi="Times New Roman" w:eastAsia="宋体" w:cs="Times New Roman"/>
                <w:sz w:val="24"/>
                <w:highlight w:val="none"/>
                <w:lang w:val="en-US" w:eastAsia="zh-CN"/>
              </w:rPr>
              <w:t>8888</w:t>
            </w:r>
            <w:r>
              <w:rPr>
                <w:rFonts w:hint="default" w:ascii="Times New Roman" w:hAnsi="Times New Roman" w:eastAsia="宋体" w:cs="Times New Roman"/>
                <w:sz w:val="24"/>
                <w:highlight w:val="none"/>
              </w:rPr>
              <w:t>万元，其中环保投资</w:t>
            </w:r>
            <w:r>
              <w:rPr>
                <w:rFonts w:hint="default" w:ascii="Times New Roman" w:hAnsi="Times New Roman" w:eastAsia="宋体" w:cs="Times New Roman"/>
                <w:sz w:val="24"/>
                <w:highlight w:val="none"/>
                <w:lang w:val="en-US" w:eastAsia="zh-CN"/>
              </w:rPr>
              <w:t>300</w:t>
            </w:r>
            <w:r>
              <w:rPr>
                <w:rFonts w:hint="default" w:ascii="Times New Roman" w:hAnsi="Times New Roman" w:eastAsia="宋体" w:cs="Times New Roman"/>
                <w:sz w:val="24"/>
                <w:highlight w:val="none"/>
              </w:rPr>
              <w:t>万元，占总投资的</w:t>
            </w:r>
            <w:r>
              <w:rPr>
                <w:rFonts w:hint="default" w:ascii="Times New Roman" w:hAnsi="Times New Roman" w:eastAsia="宋体" w:cs="Times New Roman"/>
                <w:sz w:val="24"/>
                <w:highlight w:val="none"/>
                <w:lang w:val="en-US" w:eastAsia="zh-CN"/>
              </w:rPr>
              <w:t>3.38</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。环保投资清单见下表。</w:t>
            </w:r>
          </w:p>
          <w:p w14:paraId="1B3E36B8">
            <w:pPr>
              <w:numPr>
                <w:ilvl w:val="0"/>
                <w:numId w:val="48"/>
              </w:numPr>
              <w:adjustRightInd w:val="0"/>
              <w:spacing w:line="360" w:lineRule="auto"/>
              <w:ind w:left="425" w:leftChars="0" w:hanging="425" w:firstLineChars="0"/>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color w:val="auto"/>
                <w:sz w:val="24"/>
                <w:highlight w:val="none"/>
              </w:rPr>
              <w:t>环保</w:t>
            </w:r>
            <w:r>
              <w:rPr>
                <w:rFonts w:hint="default" w:ascii="Times New Roman" w:hAnsi="Times New Roman" w:eastAsia="宋体" w:cs="Times New Roman"/>
                <w:b/>
                <w:bCs/>
                <w:sz w:val="24"/>
                <w:highlight w:val="none"/>
              </w:rPr>
              <w:t>设施及投资清单</w:t>
            </w:r>
          </w:p>
          <w:tbl>
            <w:tblPr>
              <w:tblStyle w:val="17"/>
              <w:tblW w:w="7618"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69"/>
              <w:gridCol w:w="2639"/>
              <w:gridCol w:w="2288"/>
            </w:tblGrid>
            <w:tr w14:paraId="57F2283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722" w:type="dxa"/>
                  <w:tcBorders>
                    <w:tl2br w:val="nil"/>
                    <w:tr2bl w:val="nil"/>
                  </w:tcBorders>
                  <w:vAlign w:val="center"/>
                </w:tcPr>
                <w:p w14:paraId="133759A1">
                  <w:pPr>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序号</w:t>
                  </w:r>
                </w:p>
              </w:tc>
              <w:tc>
                <w:tcPr>
                  <w:tcW w:w="1969" w:type="dxa"/>
                  <w:tcBorders>
                    <w:tl2br w:val="nil"/>
                    <w:tr2bl w:val="nil"/>
                  </w:tcBorders>
                  <w:vAlign w:val="center"/>
                </w:tcPr>
                <w:p w14:paraId="43753253">
                  <w:pPr>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项目</w:t>
                  </w:r>
                </w:p>
              </w:tc>
              <w:tc>
                <w:tcPr>
                  <w:tcW w:w="2639" w:type="dxa"/>
                  <w:tcBorders>
                    <w:tl2br w:val="nil"/>
                    <w:tr2bl w:val="nil"/>
                  </w:tcBorders>
                  <w:vAlign w:val="center"/>
                </w:tcPr>
                <w:p w14:paraId="51605AC8">
                  <w:pPr>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治理措施</w:t>
                  </w:r>
                </w:p>
              </w:tc>
              <w:tc>
                <w:tcPr>
                  <w:tcW w:w="2288" w:type="dxa"/>
                  <w:tcBorders>
                    <w:tl2br w:val="nil"/>
                    <w:tr2bl w:val="nil"/>
                  </w:tcBorders>
                  <w:vAlign w:val="center"/>
                </w:tcPr>
                <w:p w14:paraId="78EBE64E">
                  <w:pPr>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投资金额（万元）</w:t>
                  </w:r>
                </w:p>
              </w:tc>
            </w:tr>
            <w:tr w14:paraId="18AC4CF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722" w:type="dxa"/>
                  <w:tcBorders>
                    <w:tl2br w:val="nil"/>
                    <w:tr2bl w:val="nil"/>
                  </w:tcBorders>
                  <w:vAlign w:val="center"/>
                </w:tcPr>
                <w:p w14:paraId="4EE5C003">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1</w:t>
                  </w:r>
                </w:p>
              </w:tc>
              <w:tc>
                <w:tcPr>
                  <w:tcW w:w="1969" w:type="dxa"/>
                  <w:tcBorders>
                    <w:tl2br w:val="nil"/>
                    <w:tr2bl w:val="nil"/>
                  </w:tcBorders>
                  <w:vAlign w:val="center"/>
                </w:tcPr>
                <w:p w14:paraId="3DB1883F">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噪声污染防治</w:t>
                  </w:r>
                </w:p>
              </w:tc>
              <w:tc>
                <w:tcPr>
                  <w:tcW w:w="2639" w:type="dxa"/>
                  <w:tcBorders>
                    <w:tl2br w:val="nil"/>
                    <w:tr2bl w:val="nil"/>
                  </w:tcBorders>
                  <w:vAlign w:val="center"/>
                </w:tcPr>
                <w:p w14:paraId="4429FEBA">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基础减振</w:t>
                  </w:r>
                </w:p>
              </w:tc>
              <w:tc>
                <w:tcPr>
                  <w:tcW w:w="2288" w:type="dxa"/>
                  <w:tcBorders>
                    <w:tl2br w:val="nil"/>
                    <w:tr2bl w:val="nil"/>
                  </w:tcBorders>
                  <w:vAlign w:val="center"/>
                </w:tcPr>
                <w:p w14:paraId="78E081A2">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10</w:t>
                  </w:r>
                </w:p>
              </w:tc>
            </w:tr>
            <w:tr w14:paraId="59F7EAF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722" w:type="dxa"/>
                  <w:tcBorders>
                    <w:tl2br w:val="nil"/>
                    <w:tr2bl w:val="nil"/>
                  </w:tcBorders>
                  <w:shd w:val="clear" w:color="auto" w:fill="auto"/>
                  <w:vAlign w:val="center"/>
                </w:tcPr>
                <w:p w14:paraId="4513EEC8">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2</w:t>
                  </w:r>
                </w:p>
              </w:tc>
              <w:tc>
                <w:tcPr>
                  <w:tcW w:w="1969" w:type="dxa"/>
                  <w:tcBorders>
                    <w:tl2br w:val="nil"/>
                    <w:tr2bl w:val="nil"/>
                  </w:tcBorders>
                  <w:vAlign w:val="center"/>
                </w:tcPr>
                <w:p w14:paraId="3DF55EDC">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水污染物防治</w:t>
                  </w:r>
                </w:p>
              </w:tc>
              <w:tc>
                <w:tcPr>
                  <w:tcW w:w="2639" w:type="dxa"/>
                  <w:tcBorders>
                    <w:tl2br w:val="nil"/>
                    <w:tr2bl w:val="nil"/>
                  </w:tcBorders>
                  <w:vAlign w:val="center"/>
                </w:tcPr>
                <w:p w14:paraId="492BBD60">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污水管道铺设、地面防渗</w:t>
                  </w:r>
                </w:p>
              </w:tc>
              <w:tc>
                <w:tcPr>
                  <w:tcW w:w="2288" w:type="dxa"/>
                  <w:tcBorders>
                    <w:tl2br w:val="nil"/>
                    <w:tr2bl w:val="nil"/>
                  </w:tcBorders>
                  <w:vAlign w:val="center"/>
                </w:tcPr>
                <w:p w14:paraId="29D5DA99">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20</w:t>
                  </w:r>
                </w:p>
              </w:tc>
            </w:tr>
            <w:tr w14:paraId="1312762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722" w:type="dxa"/>
                  <w:tcBorders>
                    <w:tl2br w:val="nil"/>
                    <w:tr2bl w:val="nil"/>
                  </w:tcBorders>
                  <w:shd w:val="clear" w:color="auto" w:fill="auto"/>
                  <w:vAlign w:val="center"/>
                </w:tcPr>
                <w:p w14:paraId="279B81A3">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3</w:t>
                  </w:r>
                </w:p>
              </w:tc>
              <w:tc>
                <w:tcPr>
                  <w:tcW w:w="1969" w:type="dxa"/>
                  <w:tcBorders>
                    <w:tl2br w:val="nil"/>
                    <w:tr2bl w:val="nil"/>
                  </w:tcBorders>
                  <w:vAlign w:val="center"/>
                </w:tcPr>
                <w:p w14:paraId="54644B84">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大气污染物防治</w:t>
                  </w:r>
                </w:p>
              </w:tc>
              <w:tc>
                <w:tcPr>
                  <w:tcW w:w="2639" w:type="dxa"/>
                  <w:tcBorders>
                    <w:tl2br w:val="nil"/>
                    <w:tr2bl w:val="nil"/>
                  </w:tcBorders>
                  <w:vAlign w:val="center"/>
                </w:tcPr>
                <w:p w14:paraId="696C10D3">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喷淋塔、</w:t>
                  </w:r>
                  <w:r>
                    <w:rPr>
                      <w:rFonts w:hint="default" w:ascii="Times New Roman" w:hAnsi="Times New Roman" w:eastAsia="宋体" w:cs="Times New Roman"/>
                      <w:szCs w:val="21"/>
                      <w:highlight w:val="none"/>
                      <w:lang w:eastAsia="zh-CN"/>
                    </w:rPr>
                    <w:t>活性炭吸附设备</w:t>
                  </w:r>
                  <w:r>
                    <w:rPr>
                      <w:rFonts w:hint="default" w:ascii="Times New Roman" w:hAnsi="Times New Roman" w:eastAsia="宋体" w:cs="Times New Roman"/>
                      <w:szCs w:val="21"/>
                      <w:highlight w:val="none"/>
                    </w:rPr>
                    <w:t>、排气筒</w:t>
                  </w:r>
                </w:p>
              </w:tc>
              <w:tc>
                <w:tcPr>
                  <w:tcW w:w="2288" w:type="dxa"/>
                  <w:tcBorders>
                    <w:tl2br w:val="nil"/>
                    <w:tr2bl w:val="nil"/>
                  </w:tcBorders>
                  <w:vAlign w:val="center"/>
                </w:tcPr>
                <w:p w14:paraId="20853AD4">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140</w:t>
                  </w:r>
                </w:p>
              </w:tc>
            </w:tr>
            <w:tr w14:paraId="2E1EDC2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722" w:type="dxa"/>
                  <w:tcBorders>
                    <w:tl2br w:val="nil"/>
                    <w:tr2bl w:val="nil"/>
                  </w:tcBorders>
                  <w:shd w:val="clear" w:color="auto" w:fill="auto"/>
                  <w:vAlign w:val="center"/>
                </w:tcPr>
                <w:p w14:paraId="578660B2">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4</w:t>
                  </w:r>
                </w:p>
              </w:tc>
              <w:tc>
                <w:tcPr>
                  <w:tcW w:w="1969" w:type="dxa"/>
                  <w:tcBorders>
                    <w:tl2br w:val="nil"/>
                    <w:tr2bl w:val="nil"/>
                  </w:tcBorders>
                  <w:vAlign w:val="center"/>
                </w:tcPr>
                <w:p w14:paraId="0C19CC80">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固体废物防治</w:t>
                  </w:r>
                </w:p>
              </w:tc>
              <w:tc>
                <w:tcPr>
                  <w:tcW w:w="2639" w:type="dxa"/>
                  <w:tcBorders>
                    <w:tl2br w:val="nil"/>
                    <w:tr2bl w:val="nil"/>
                  </w:tcBorders>
                  <w:vAlign w:val="center"/>
                </w:tcPr>
                <w:p w14:paraId="2D1762CA">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规范的危险废物暂存间、一般固废间</w:t>
                  </w:r>
                </w:p>
              </w:tc>
              <w:tc>
                <w:tcPr>
                  <w:tcW w:w="2288" w:type="dxa"/>
                  <w:tcBorders>
                    <w:tl2br w:val="nil"/>
                    <w:tr2bl w:val="nil"/>
                  </w:tcBorders>
                  <w:vAlign w:val="center"/>
                </w:tcPr>
                <w:p w14:paraId="772933B0">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80</w:t>
                  </w:r>
                </w:p>
              </w:tc>
            </w:tr>
            <w:tr w14:paraId="297F1EA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722" w:type="dxa"/>
                  <w:tcBorders>
                    <w:tl2br w:val="nil"/>
                    <w:tr2bl w:val="nil"/>
                  </w:tcBorders>
                  <w:shd w:val="clear" w:color="auto" w:fill="auto"/>
                  <w:vAlign w:val="center"/>
                </w:tcPr>
                <w:p w14:paraId="772D1A51">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w:t>
                  </w:r>
                </w:p>
              </w:tc>
              <w:tc>
                <w:tcPr>
                  <w:tcW w:w="1969" w:type="dxa"/>
                  <w:tcBorders>
                    <w:tl2br w:val="nil"/>
                    <w:tr2bl w:val="nil"/>
                  </w:tcBorders>
                  <w:vAlign w:val="center"/>
                </w:tcPr>
                <w:p w14:paraId="2FE6C8C7">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新风系统</w:t>
                  </w:r>
                </w:p>
              </w:tc>
              <w:tc>
                <w:tcPr>
                  <w:tcW w:w="2639" w:type="dxa"/>
                  <w:tcBorders>
                    <w:tl2br w:val="nil"/>
                    <w:tr2bl w:val="nil"/>
                  </w:tcBorders>
                  <w:vAlign w:val="center"/>
                </w:tcPr>
                <w:p w14:paraId="76D744D9">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三级过滤</w:t>
                  </w:r>
                </w:p>
              </w:tc>
              <w:tc>
                <w:tcPr>
                  <w:tcW w:w="2288" w:type="dxa"/>
                  <w:tcBorders>
                    <w:tl2br w:val="nil"/>
                    <w:tr2bl w:val="nil"/>
                  </w:tcBorders>
                  <w:vAlign w:val="center"/>
                </w:tcPr>
                <w:p w14:paraId="543EA762">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50</w:t>
                  </w:r>
                </w:p>
              </w:tc>
            </w:tr>
            <w:tr w14:paraId="0050DC3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2691" w:type="dxa"/>
                  <w:gridSpan w:val="2"/>
                  <w:tcBorders>
                    <w:tl2br w:val="nil"/>
                    <w:tr2bl w:val="nil"/>
                  </w:tcBorders>
                  <w:vAlign w:val="center"/>
                </w:tcPr>
                <w:p w14:paraId="5D8BF5F0">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总计</w:t>
                  </w:r>
                </w:p>
              </w:tc>
              <w:tc>
                <w:tcPr>
                  <w:tcW w:w="2639" w:type="dxa"/>
                  <w:tcBorders>
                    <w:tl2br w:val="nil"/>
                    <w:tr2bl w:val="nil"/>
                  </w:tcBorders>
                  <w:vAlign w:val="center"/>
                </w:tcPr>
                <w:p w14:paraId="7BFA1528">
                  <w:pPr>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2288" w:type="dxa"/>
                  <w:tcBorders>
                    <w:tl2br w:val="nil"/>
                    <w:tr2bl w:val="nil"/>
                  </w:tcBorders>
                  <w:vAlign w:val="center"/>
                </w:tcPr>
                <w:p w14:paraId="59C2BD0D">
                  <w:pPr>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300</w:t>
                  </w:r>
                </w:p>
              </w:tc>
            </w:tr>
          </w:tbl>
          <w:p w14:paraId="4A34AA4D">
            <w:pPr>
              <w:widowControl/>
              <w:numPr>
                <w:ilvl w:val="0"/>
                <w:numId w:val="0"/>
              </w:numPr>
              <w:spacing w:line="360" w:lineRule="auto"/>
              <w:ind w:firstLine="480" w:firstLineChars="200"/>
              <w:jc w:val="left"/>
              <w:rPr>
                <w:rFonts w:hint="default" w:ascii="Times New Roman" w:hAnsi="Times New Roman" w:eastAsia="宋体" w:cs="Times New Roman"/>
                <w:color w:val="auto"/>
                <w:sz w:val="24"/>
                <w:highlight w:val="none"/>
                <w:lang w:val="en-US" w:eastAsia="zh-CN"/>
              </w:rPr>
            </w:pPr>
          </w:p>
        </w:tc>
      </w:tr>
    </w:tbl>
    <w:p w14:paraId="4AFAE51A">
      <w:pPr>
        <w:widowControl/>
        <w:jc w:val="left"/>
        <w:rPr>
          <w:rFonts w:hint="default" w:ascii="Times New Roman" w:hAnsi="Times New Roman" w:eastAsia="宋体" w:cs="Times New Roman"/>
          <w:sz w:val="24"/>
          <w:szCs w:val="32"/>
          <w:highlight w:val="none"/>
        </w:rPr>
      </w:pPr>
      <w:r>
        <w:rPr>
          <w:rFonts w:hint="default" w:ascii="Times New Roman" w:hAnsi="Times New Roman" w:eastAsia="宋体" w:cs="Times New Roman"/>
          <w:sz w:val="24"/>
          <w:szCs w:val="32"/>
          <w:highlight w:val="none"/>
        </w:rPr>
        <w:br w:type="page"/>
      </w:r>
    </w:p>
    <w:p w14:paraId="1633F30F">
      <w:pPr>
        <w:pStyle w:val="2"/>
        <w:jc w:val="center"/>
        <w:rPr>
          <w:rFonts w:hint="default" w:ascii="Times New Roman" w:hAnsi="Times New Roman" w:eastAsia="宋体" w:cs="Times New Roman"/>
          <w:b w:val="0"/>
          <w:bCs w:val="0"/>
          <w:color w:val="auto"/>
          <w:sz w:val="36"/>
          <w:szCs w:val="36"/>
          <w:highlight w:val="none"/>
        </w:rPr>
      </w:pPr>
      <w:r>
        <w:rPr>
          <w:rFonts w:hint="default" w:ascii="Times New Roman" w:hAnsi="Times New Roman" w:eastAsia="宋体" w:cs="Times New Roman"/>
          <w:b w:val="0"/>
          <w:bCs w:val="0"/>
          <w:color w:val="auto"/>
          <w:sz w:val="36"/>
          <w:szCs w:val="36"/>
          <w:highlight w:val="none"/>
        </w:rPr>
        <w:t>五、</w:t>
      </w:r>
      <w:bookmarkStart w:id="4" w:name="_Hlk54167917"/>
      <w:r>
        <w:rPr>
          <w:rFonts w:hint="default" w:ascii="Times New Roman" w:hAnsi="Times New Roman" w:eastAsia="宋体" w:cs="Times New Roman"/>
          <w:b w:val="0"/>
          <w:bCs w:val="0"/>
          <w:color w:val="auto"/>
          <w:sz w:val="36"/>
          <w:szCs w:val="36"/>
          <w:highlight w:val="none"/>
        </w:rPr>
        <w:t>环境保护措施监督检查清单</w:t>
      </w:r>
      <w:bookmarkEnd w:id="4"/>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29"/>
        <w:gridCol w:w="1527"/>
        <w:gridCol w:w="1612"/>
        <w:gridCol w:w="2670"/>
        <w:gridCol w:w="1762"/>
      </w:tblGrid>
      <w:tr w14:paraId="1D40B0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229" w:type="dxa"/>
            <w:tcBorders>
              <w:tl2br w:val="single" w:color="auto" w:sz="4" w:space="0"/>
            </w:tcBorders>
          </w:tcPr>
          <w:p w14:paraId="40A66925">
            <w:pPr>
              <w:adjustRightInd w:val="0"/>
              <w:snapToGrid w:val="0"/>
              <w:ind w:firstLine="482" w:firstLineChars="200"/>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内容</w:t>
            </w:r>
          </w:p>
          <w:p w14:paraId="4B1C8C87">
            <w:pPr>
              <w:adjustRightInd w:val="0"/>
              <w:snapToGrid w:val="0"/>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要素</w:t>
            </w:r>
          </w:p>
        </w:tc>
        <w:tc>
          <w:tcPr>
            <w:tcW w:w="1527" w:type="dxa"/>
            <w:vAlign w:val="center"/>
          </w:tcPr>
          <w:p w14:paraId="2147F9F3">
            <w:pPr>
              <w:adjustRightInd w:val="0"/>
              <w:snapToGrid w:val="0"/>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排放口(编号、名称)/污染源</w:t>
            </w:r>
          </w:p>
        </w:tc>
        <w:tc>
          <w:tcPr>
            <w:tcW w:w="1612" w:type="dxa"/>
            <w:vAlign w:val="center"/>
          </w:tcPr>
          <w:p w14:paraId="614CB020">
            <w:pPr>
              <w:adjustRightInd w:val="0"/>
              <w:snapToGrid w:val="0"/>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污染物项目</w:t>
            </w:r>
          </w:p>
        </w:tc>
        <w:tc>
          <w:tcPr>
            <w:tcW w:w="2670" w:type="dxa"/>
            <w:vAlign w:val="center"/>
          </w:tcPr>
          <w:p w14:paraId="560D9517">
            <w:pPr>
              <w:adjustRightInd w:val="0"/>
              <w:snapToGrid w:val="0"/>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环境保护措施</w:t>
            </w:r>
          </w:p>
        </w:tc>
        <w:tc>
          <w:tcPr>
            <w:tcW w:w="1762" w:type="dxa"/>
            <w:vAlign w:val="center"/>
          </w:tcPr>
          <w:p w14:paraId="621D688C">
            <w:pPr>
              <w:adjustRightInd w:val="0"/>
              <w:snapToGrid w:val="0"/>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执行标准</w:t>
            </w:r>
          </w:p>
        </w:tc>
      </w:tr>
      <w:tr w14:paraId="52E974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9" w:type="dxa"/>
            <w:vMerge w:val="restart"/>
            <w:vAlign w:val="center"/>
          </w:tcPr>
          <w:p w14:paraId="421C7C61">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大气环境</w:t>
            </w:r>
          </w:p>
        </w:tc>
        <w:tc>
          <w:tcPr>
            <w:tcW w:w="1527" w:type="dxa"/>
            <w:vAlign w:val="center"/>
          </w:tcPr>
          <w:p w14:paraId="78D7A159">
            <w:pPr>
              <w:adjustRightInd w:val="0"/>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DA00</w:t>
            </w:r>
            <w:r>
              <w:rPr>
                <w:rFonts w:hint="default" w:ascii="Times New Roman" w:hAnsi="Times New Roman" w:eastAsia="宋体" w:cs="Times New Roman"/>
                <w:szCs w:val="21"/>
                <w:highlight w:val="none"/>
                <w:lang w:val="en-US" w:eastAsia="zh-CN"/>
              </w:rPr>
              <w:t>1</w:t>
            </w:r>
          </w:p>
        </w:tc>
        <w:tc>
          <w:tcPr>
            <w:tcW w:w="1612" w:type="dxa"/>
            <w:shd w:val="clear" w:color="auto" w:fill="auto"/>
            <w:vAlign w:val="center"/>
          </w:tcPr>
          <w:p w14:paraId="0DB54B20">
            <w:pPr>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颗粒物、</w:t>
            </w:r>
            <w:r>
              <w:rPr>
                <w:rFonts w:hint="default" w:ascii="Times New Roman" w:hAnsi="Times New Roman" w:eastAsia="宋体" w:cs="Times New Roman"/>
                <w:color w:val="000000"/>
                <w:kern w:val="0"/>
                <w:sz w:val="21"/>
                <w:szCs w:val="21"/>
                <w:lang w:val="en-US" w:eastAsia="zh-CN" w:bidi="ar"/>
              </w:rPr>
              <w:t>镍及其化合物</w:t>
            </w:r>
          </w:p>
        </w:tc>
        <w:tc>
          <w:tcPr>
            <w:tcW w:w="2670" w:type="dxa"/>
            <w:vAlign w:val="center"/>
          </w:tcPr>
          <w:p w14:paraId="30EF6325">
            <w:pPr>
              <w:rPr>
                <w:rFonts w:hint="default" w:ascii="Times New Roman" w:hAnsi="Times New Roman" w:eastAsia="宋体" w:cs="Times New Roman"/>
                <w:szCs w:val="21"/>
                <w:highlight w:val="none"/>
              </w:rPr>
            </w:pPr>
            <w:r>
              <w:rPr>
                <w:rFonts w:hint="default" w:ascii="Times New Roman" w:hAnsi="Times New Roman" w:eastAsia="宋体" w:cs="Times New Roman"/>
                <w:color w:val="000000"/>
                <w:kern w:val="0"/>
                <w:sz w:val="21"/>
                <w:szCs w:val="21"/>
                <w:lang w:val="en-US" w:eastAsia="zh-CN" w:bidi="ar"/>
              </w:rPr>
              <w:t>集气罩收集后进</w:t>
            </w:r>
            <w:r>
              <w:rPr>
                <w:rFonts w:hint="eastAsia" w:cs="Times New Roman"/>
                <w:color w:val="000000"/>
                <w:kern w:val="0"/>
                <w:sz w:val="21"/>
                <w:szCs w:val="21"/>
                <w:lang w:val="en-US" w:eastAsia="zh-CN" w:bidi="ar"/>
              </w:rPr>
              <w:t>袋式除尘器</w:t>
            </w:r>
            <w:r>
              <w:rPr>
                <w:rFonts w:hint="default" w:ascii="Times New Roman" w:hAnsi="Times New Roman" w:eastAsia="宋体" w:cs="Times New Roman"/>
                <w:color w:val="000000"/>
                <w:kern w:val="0"/>
                <w:sz w:val="21"/>
                <w:szCs w:val="21"/>
                <w:lang w:val="en-US" w:eastAsia="zh-CN" w:bidi="ar"/>
              </w:rPr>
              <w:t>处理后经21.5米的DA001排放。</w:t>
            </w:r>
          </w:p>
        </w:tc>
        <w:tc>
          <w:tcPr>
            <w:tcW w:w="1762" w:type="dxa"/>
            <w:vMerge w:val="restart"/>
            <w:vAlign w:val="center"/>
          </w:tcPr>
          <w:p w14:paraId="19DD1E8B">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zh-CN"/>
              </w:rPr>
              <w:t>北京市《大气污染物综合排放标准》（DB11/501-2017）中表3</w:t>
            </w:r>
            <w:r>
              <w:rPr>
                <w:rFonts w:hint="default" w:ascii="Times New Roman" w:hAnsi="Times New Roman" w:eastAsia="宋体" w:cs="Times New Roman"/>
                <w:szCs w:val="21"/>
                <w:highlight w:val="none"/>
              </w:rPr>
              <w:t xml:space="preserve"> </w:t>
            </w:r>
            <w:r>
              <w:rPr>
                <w:rFonts w:hint="default" w:ascii="Times New Roman" w:hAnsi="Times New Roman" w:eastAsia="宋体" w:cs="Times New Roman"/>
                <w:szCs w:val="21"/>
                <w:highlight w:val="none"/>
                <w:lang w:val="zh-CN"/>
              </w:rPr>
              <w:t>Ⅱ时段的最高允许排放浓度限值要求</w:t>
            </w:r>
          </w:p>
        </w:tc>
      </w:tr>
      <w:tr w14:paraId="691117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9" w:type="dxa"/>
            <w:vMerge w:val="continue"/>
            <w:vAlign w:val="center"/>
          </w:tcPr>
          <w:p w14:paraId="272765FD">
            <w:pPr>
              <w:adjustRightInd w:val="0"/>
              <w:snapToGrid w:val="0"/>
              <w:jc w:val="center"/>
              <w:rPr>
                <w:rFonts w:hint="default" w:ascii="Times New Roman" w:hAnsi="Times New Roman" w:eastAsia="宋体" w:cs="Times New Roman"/>
                <w:sz w:val="24"/>
                <w:highlight w:val="none"/>
              </w:rPr>
            </w:pPr>
          </w:p>
        </w:tc>
        <w:tc>
          <w:tcPr>
            <w:tcW w:w="1527" w:type="dxa"/>
            <w:vAlign w:val="center"/>
          </w:tcPr>
          <w:p w14:paraId="49120A80">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DA002</w:t>
            </w:r>
          </w:p>
        </w:tc>
        <w:tc>
          <w:tcPr>
            <w:tcW w:w="1612" w:type="dxa"/>
            <w:shd w:val="clear" w:color="auto" w:fill="auto"/>
            <w:vAlign w:val="center"/>
          </w:tcPr>
          <w:p w14:paraId="7C2871A7">
            <w:pPr>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非甲烷总烃、</w:t>
            </w:r>
            <w:r>
              <w:rPr>
                <w:rFonts w:hint="default" w:ascii="Times New Roman" w:hAnsi="Times New Roman" w:eastAsia="宋体" w:cs="Times New Roman"/>
                <w:color w:val="000000"/>
                <w:kern w:val="0"/>
                <w:sz w:val="21"/>
                <w:szCs w:val="21"/>
                <w:lang w:val="en-US" w:eastAsia="zh-CN" w:bidi="ar"/>
              </w:rPr>
              <w:t>氮氧化物</w:t>
            </w:r>
          </w:p>
        </w:tc>
        <w:tc>
          <w:tcPr>
            <w:tcW w:w="2670" w:type="dxa"/>
            <w:vAlign w:val="center"/>
          </w:tcPr>
          <w:p w14:paraId="74CF655B">
            <w:pPr>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通风橱</w:t>
            </w:r>
            <w:r>
              <w:rPr>
                <w:rFonts w:hint="default" w:ascii="Times New Roman" w:hAnsi="Times New Roman" w:eastAsia="宋体" w:cs="Times New Roman"/>
                <w:color w:val="000000"/>
                <w:kern w:val="0"/>
                <w:sz w:val="21"/>
                <w:szCs w:val="21"/>
                <w:lang w:val="en-US" w:eastAsia="zh-CN" w:bidi="ar"/>
              </w:rPr>
              <w:t>收集后进</w:t>
            </w:r>
            <w:r>
              <w:rPr>
                <w:rFonts w:hint="eastAsia" w:cs="Times New Roman"/>
                <w:color w:val="000000"/>
                <w:kern w:val="0"/>
                <w:sz w:val="21"/>
                <w:szCs w:val="21"/>
                <w:lang w:val="en-US" w:eastAsia="zh-CN" w:bidi="ar"/>
              </w:rPr>
              <w:t>干式过滤器</w:t>
            </w:r>
            <w:r>
              <w:rPr>
                <w:rFonts w:hint="default" w:ascii="Times New Roman" w:hAnsi="Times New Roman" w:eastAsia="宋体" w:cs="Times New Roman"/>
                <w:color w:val="000000"/>
                <w:kern w:val="0"/>
                <w:sz w:val="21"/>
                <w:szCs w:val="21"/>
                <w:lang w:val="en-US" w:eastAsia="zh-CN" w:bidi="ar"/>
              </w:rPr>
              <w:t>处理后经21.5米的DA00</w:t>
            </w:r>
            <w:r>
              <w:rPr>
                <w:rFonts w:hint="eastAsia" w:ascii="Times New Roman" w:hAnsi="Times New Roman" w:eastAsia="宋体" w:cs="Times New Roman"/>
                <w:color w:val="000000"/>
                <w:kern w:val="0"/>
                <w:sz w:val="21"/>
                <w:szCs w:val="21"/>
                <w:lang w:val="en-US" w:eastAsia="zh-CN" w:bidi="ar"/>
              </w:rPr>
              <w:t>2</w:t>
            </w:r>
            <w:r>
              <w:rPr>
                <w:rFonts w:hint="default" w:ascii="Times New Roman" w:hAnsi="Times New Roman" w:eastAsia="宋体" w:cs="Times New Roman"/>
                <w:color w:val="000000"/>
                <w:kern w:val="0"/>
                <w:sz w:val="21"/>
                <w:szCs w:val="21"/>
                <w:lang w:val="en-US" w:eastAsia="zh-CN" w:bidi="ar"/>
              </w:rPr>
              <w:t>排放。</w:t>
            </w:r>
          </w:p>
        </w:tc>
        <w:tc>
          <w:tcPr>
            <w:tcW w:w="1762" w:type="dxa"/>
            <w:vMerge w:val="continue"/>
            <w:vAlign w:val="center"/>
          </w:tcPr>
          <w:p w14:paraId="4E1218B0">
            <w:pPr>
              <w:adjustRightInd w:val="0"/>
              <w:snapToGrid w:val="0"/>
              <w:jc w:val="center"/>
              <w:rPr>
                <w:rFonts w:hint="default" w:ascii="Times New Roman" w:hAnsi="Times New Roman" w:eastAsia="宋体" w:cs="Times New Roman"/>
                <w:szCs w:val="21"/>
                <w:highlight w:val="none"/>
                <w:lang w:val="zh-CN"/>
              </w:rPr>
            </w:pPr>
          </w:p>
        </w:tc>
      </w:tr>
      <w:tr w14:paraId="6EA7E6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9" w:type="dxa"/>
            <w:vMerge w:val="continue"/>
            <w:vAlign w:val="center"/>
          </w:tcPr>
          <w:p w14:paraId="340D8F09">
            <w:pPr>
              <w:adjustRightInd w:val="0"/>
              <w:snapToGrid w:val="0"/>
              <w:jc w:val="center"/>
              <w:rPr>
                <w:rFonts w:hint="default" w:ascii="Times New Roman" w:hAnsi="Times New Roman" w:eastAsia="宋体" w:cs="Times New Roman"/>
                <w:sz w:val="24"/>
                <w:highlight w:val="none"/>
              </w:rPr>
            </w:pPr>
          </w:p>
        </w:tc>
        <w:tc>
          <w:tcPr>
            <w:tcW w:w="1527" w:type="dxa"/>
            <w:vAlign w:val="center"/>
          </w:tcPr>
          <w:p w14:paraId="4CA947D7">
            <w:pPr>
              <w:adjustRightInd w:val="0"/>
              <w:snapToGrid w:val="0"/>
              <w:jc w:val="center"/>
              <w:rPr>
                <w:rFonts w:hint="default" w:ascii="Times New Roman" w:hAnsi="Times New Roman" w:eastAsia="宋体" w:cs="Times New Roman"/>
                <w:szCs w:val="21"/>
                <w:highlight w:val="none"/>
                <w:lang w:val="en-US"/>
              </w:rPr>
            </w:pPr>
            <w:r>
              <w:rPr>
                <w:rFonts w:hint="default" w:ascii="Times New Roman" w:hAnsi="Times New Roman" w:eastAsia="宋体" w:cs="Times New Roman"/>
                <w:szCs w:val="21"/>
                <w:highlight w:val="none"/>
                <w:lang w:val="en-US" w:eastAsia="zh-CN"/>
              </w:rPr>
              <w:t>DA00</w:t>
            </w:r>
            <w:r>
              <w:rPr>
                <w:rFonts w:hint="eastAsia" w:ascii="Times New Roman" w:hAnsi="Times New Roman" w:eastAsia="宋体" w:cs="Times New Roman"/>
                <w:szCs w:val="21"/>
                <w:highlight w:val="none"/>
                <w:lang w:val="en-US" w:eastAsia="zh-CN"/>
              </w:rPr>
              <w:t>3</w:t>
            </w:r>
          </w:p>
        </w:tc>
        <w:tc>
          <w:tcPr>
            <w:tcW w:w="1612" w:type="dxa"/>
            <w:shd w:val="clear" w:color="auto" w:fill="auto"/>
            <w:vAlign w:val="center"/>
          </w:tcPr>
          <w:p w14:paraId="4BB2A7F5">
            <w:pP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氯化氢</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氮氧化物</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氨</w:t>
            </w:r>
            <w:r>
              <w:rPr>
                <w:rFonts w:hint="eastAsia" w:ascii="Times New Roman" w:hAnsi="Times New Roman" w:eastAsia="宋体" w:cs="Times New Roman"/>
                <w:color w:val="000000"/>
                <w:kern w:val="0"/>
                <w:sz w:val="21"/>
                <w:szCs w:val="21"/>
                <w:lang w:val="en-US" w:eastAsia="zh-CN" w:bidi="ar"/>
              </w:rPr>
              <w:t>、氟</w:t>
            </w:r>
          </w:p>
        </w:tc>
        <w:tc>
          <w:tcPr>
            <w:tcW w:w="2670" w:type="dxa"/>
            <w:vAlign w:val="center"/>
          </w:tcPr>
          <w:p w14:paraId="79218E99">
            <w:pP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集气罩收集后进</w:t>
            </w:r>
            <w:r>
              <w:rPr>
                <w:rFonts w:hint="eastAsia" w:cs="Times New Roman"/>
                <w:color w:val="000000"/>
                <w:kern w:val="0"/>
                <w:sz w:val="21"/>
                <w:szCs w:val="21"/>
                <w:lang w:val="en-US" w:eastAsia="zh-CN" w:bidi="ar"/>
              </w:rPr>
              <w:t>喷淋塔</w:t>
            </w:r>
            <w:r>
              <w:rPr>
                <w:rFonts w:hint="default" w:ascii="Times New Roman" w:hAnsi="Times New Roman" w:eastAsia="宋体" w:cs="Times New Roman"/>
                <w:color w:val="000000"/>
                <w:kern w:val="0"/>
                <w:sz w:val="21"/>
                <w:szCs w:val="21"/>
                <w:lang w:val="en-US" w:eastAsia="zh-CN" w:bidi="ar"/>
              </w:rPr>
              <w:t>处理后经21.5米的DA00</w:t>
            </w:r>
            <w:r>
              <w:rPr>
                <w:rFonts w:hint="eastAsia" w:ascii="Times New Roman" w:hAnsi="Times New Roman" w:eastAsia="宋体" w:cs="Times New Roman"/>
                <w:color w:val="000000"/>
                <w:kern w:val="0"/>
                <w:sz w:val="21"/>
                <w:szCs w:val="21"/>
                <w:lang w:val="en-US" w:eastAsia="zh-CN" w:bidi="ar"/>
              </w:rPr>
              <w:t>3</w:t>
            </w:r>
            <w:r>
              <w:rPr>
                <w:rFonts w:hint="default" w:ascii="Times New Roman" w:hAnsi="Times New Roman" w:eastAsia="宋体" w:cs="Times New Roman"/>
                <w:color w:val="000000"/>
                <w:kern w:val="0"/>
                <w:sz w:val="21"/>
                <w:szCs w:val="21"/>
                <w:lang w:val="en-US" w:eastAsia="zh-CN" w:bidi="ar"/>
              </w:rPr>
              <w:t>排放。</w:t>
            </w:r>
          </w:p>
        </w:tc>
        <w:tc>
          <w:tcPr>
            <w:tcW w:w="1762" w:type="dxa"/>
            <w:vMerge w:val="continue"/>
            <w:vAlign w:val="center"/>
          </w:tcPr>
          <w:p w14:paraId="397107FB">
            <w:pPr>
              <w:adjustRightInd w:val="0"/>
              <w:snapToGrid w:val="0"/>
              <w:jc w:val="center"/>
              <w:rPr>
                <w:rFonts w:hint="default" w:ascii="Times New Roman" w:hAnsi="Times New Roman" w:eastAsia="宋体" w:cs="Times New Roman"/>
                <w:szCs w:val="21"/>
                <w:highlight w:val="none"/>
                <w:lang w:val="zh-CN"/>
              </w:rPr>
            </w:pPr>
          </w:p>
        </w:tc>
      </w:tr>
      <w:tr w14:paraId="2D96FF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9" w:type="dxa"/>
            <w:vMerge w:val="continue"/>
            <w:vAlign w:val="center"/>
          </w:tcPr>
          <w:p w14:paraId="41945D04">
            <w:pPr>
              <w:adjustRightInd w:val="0"/>
              <w:snapToGrid w:val="0"/>
              <w:jc w:val="center"/>
              <w:rPr>
                <w:rFonts w:hint="default" w:ascii="Times New Roman" w:hAnsi="Times New Roman" w:eastAsia="宋体" w:cs="Times New Roman"/>
                <w:sz w:val="24"/>
                <w:highlight w:val="none"/>
              </w:rPr>
            </w:pPr>
          </w:p>
        </w:tc>
        <w:tc>
          <w:tcPr>
            <w:tcW w:w="1527" w:type="dxa"/>
            <w:vAlign w:val="center"/>
          </w:tcPr>
          <w:p w14:paraId="6958851D">
            <w:pPr>
              <w:adjustRightInd w:val="0"/>
              <w:snapToGrid w:val="0"/>
              <w:jc w:val="center"/>
              <w:rPr>
                <w:rFonts w:hint="default" w:ascii="Times New Roman" w:hAnsi="Times New Roman" w:eastAsia="宋体" w:cs="Times New Roman"/>
                <w:szCs w:val="21"/>
                <w:highlight w:val="none"/>
                <w:lang w:val="en-US"/>
              </w:rPr>
            </w:pPr>
            <w:r>
              <w:rPr>
                <w:rFonts w:hint="default" w:ascii="Times New Roman" w:hAnsi="Times New Roman" w:eastAsia="宋体" w:cs="Times New Roman"/>
                <w:szCs w:val="21"/>
                <w:highlight w:val="none"/>
                <w:lang w:val="en-US" w:eastAsia="zh-CN"/>
              </w:rPr>
              <w:t>DA00</w:t>
            </w:r>
            <w:r>
              <w:rPr>
                <w:rFonts w:hint="eastAsia" w:ascii="Times New Roman" w:hAnsi="Times New Roman" w:eastAsia="宋体" w:cs="Times New Roman"/>
                <w:szCs w:val="21"/>
                <w:highlight w:val="none"/>
                <w:lang w:val="en-US" w:eastAsia="zh-CN"/>
              </w:rPr>
              <w:t>4</w:t>
            </w:r>
          </w:p>
        </w:tc>
        <w:tc>
          <w:tcPr>
            <w:tcW w:w="1612" w:type="dxa"/>
            <w:shd w:val="clear" w:color="auto" w:fill="auto"/>
            <w:vAlign w:val="center"/>
          </w:tcPr>
          <w:p w14:paraId="4E57D66A">
            <w:pPr>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非甲烷总烃</w:t>
            </w:r>
          </w:p>
        </w:tc>
        <w:tc>
          <w:tcPr>
            <w:tcW w:w="2670" w:type="dxa"/>
            <w:vAlign w:val="center"/>
          </w:tcPr>
          <w:p w14:paraId="361A6693">
            <w:pP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集气罩收集后进</w:t>
            </w:r>
            <w:r>
              <w:rPr>
                <w:rFonts w:hint="eastAsia" w:cs="Times New Roman"/>
                <w:color w:val="000000"/>
                <w:kern w:val="0"/>
                <w:sz w:val="21"/>
                <w:szCs w:val="21"/>
                <w:lang w:val="en-US" w:eastAsia="zh-CN" w:bidi="ar"/>
              </w:rPr>
              <w:t>干式过滤器</w:t>
            </w:r>
            <w:r>
              <w:rPr>
                <w:rFonts w:hint="default" w:ascii="Times New Roman" w:hAnsi="Times New Roman" w:eastAsia="宋体" w:cs="Times New Roman"/>
                <w:color w:val="000000"/>
                <w:kern w:val="0"/>
                <w:sz w:val="21"/>
                <w:szCs w:val="21"/>
                <w:lang w:val="en-US" w:eastAsia="zh-CN" w:bidi="ar"/>
              </w:rPr>
              <w:t>处理后经21.5米的DA00</w:t>
            </w:r>
            <w:r>
              <w:rPr>
                <w:rFonts w:hint="eastAsia" w:ascii="Times New Roman" w:hAnsi="Times New Roman" w:eastAsia="宋体" w:cs="Times New Roman"/>
                <w:color w:val="000000"/>
                <w:kern w:val="0"/>
                <w:sz w:val="21"/>
                <w:szCs w:val="21"/>
                <w:lang w:val="en-US" w:eastAsia="zh-CN" w:bidi="ar"/>
              </w:rPr>
              <w:t>4</w:t>
            </w:r>
            <w:r>
              <w:rPr>
                <w:rFonts w:hint="default" w:ascii="Times New Roman" w:hAnsi="Times New Roman" w:eastAsia="宋体" w:cs="Times New Roman"/>
                <w:color w:val="000000"/>
                <w:kern w:val="0"/>
                <w:sz w:val="21"/>
                <w:szCs w:val="21"/>
                <w:lang w:val="en-US" w:eastAsia="zh-CN" w:bidi="ar"/>
              </w:rPr>
              <w:t>排放。</w:t>
            </w:r>
          </w:p>
        </w:tc>
        <w:tc>
          <w:tcPr>
            <w:tcW w:w="1762" w:type="dxa"/>
            <w:vMerge w:val="continue"/>
            <w:vAlign w:val="center"/>
          </w:tcPr>
          <w:p w14:paraId="5D309277">
            <w:pPr>
              <w:adjustRightInd w:val="0"/>
              <w:snapToGrid w:val="0"/>
              <w:jc w:val="center"/>
              <w:rPr>
                <w:rFonts w:hint="default" w:ascii="Times New Roman" w:hAnsi="Times New Roman" w:eastAsia="宋体" w:cs="Times New Roman"/>
                <w:szCs w:val="21"/>
                <w:highlight w:val="none"/>
                <w:lang w:val="zh-CN"/>
              </w:rPr>
            </w:pPr>
          </w:p>
        </w:tc>
      </w:tr>
      <w:tr w14:paraId="5E4D42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1229" w:type="dxa"/>
            <w:vMerge w:val="continue"/>
            <w:vAlign w:val="center"/>
          </w:tcPr>
          <w:p w14:paraId="6DAC7484">
            <w:pPr>
              <w:adjustRightInd w:val="0"/>
              <w:snapToGrid w:val="0"/>
              <w:jc w:val="center"/>
              <w:rPr>
                <w:rFonts w:hint="default" w:ascii="Times New Roman" w:hAnsi="Times New Roman" w:eastAsia="宋体" w:cs="Times New Roman"/>
                <w:sz w:val="24"/>
                <w:highlight w:val="none"/>
              </w:rPr>
            </w:pPr>
          </w:p>
        </w:tc>
        <w:tc>
          <w:tcPr>
            <w:tcW w:w="1527" w:type="dxa"/>
            <w:vAlign w:val="center"/>
          </w:tcPr>
          <w:p w14:paraId="4FE77C88">
            <w:pPr>
              <w:adjustRightInd w:val="0"/>
              <w:snapToGrid w:val="0"/>
              <w:jc w:val="center"/>
              <w:rPr>
                <w:rFonts w:hint="default" w:ascii="Times New Roman" w:hAnsi="Times New Roman" w:eastAsia="宋体" w:cs="Times New Roman"/>
                <w:szCs w:val="21"/>
                <w:highlight w:val="none"/>
                <w:lang w:val="en-US"/>
              </w:rPr>
            </w:pPr>
            <w:r>
              <w:rPr>
                <w:rFonts w:hint="default" w:ascii="Times New Roman" w:hAnsi="Times New Roman" w:eastAsia="宋体" w:cs="Times New Roman"/>
                <w:szCs w:val="21"/>
                <w:highlight w:val="none"/>
                <w:lang w:val="en-US" w:eastAsia="zh-CN"/>
              </w:rPr>
              <w:t>DA00</w:t>
            </w:r>
            <w:r>
              <w:rPr>
                <w:rFonts w:hint="eastAsia" w:ascii="Times New Roman" w:hAnsi="Times New Roman" w:eastAsia="宋体" w:cs="Times New Roman"/>
                <w:szCs w:val="21"/>
                <w:highlight w:val="none"/>
                <w:lang w:val="en-US" w:eastAsia="zh-CN"/>
              </w:rPr>
              <w:t>5</w:t>
            </w:r>
          </w:p>
        </w:tc>
        <w:tc>
          <w:tcPr>
            <w:tcW w:w="1612" w:type="dxa"/>
            <w:shd w:val="clear" w:color="auto" w:fill="auto"/>
            <w:vAlign w:val="center"/>
          </w:tcPr>
          <w:p w14:paraId="328D86D5">
            <w:pPr>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非甲烷总烃</w:t>
            </w:r>
          </w:p>
        </w:tc>
        <w:tc>
          <w:tcPr>
            <w:tcW w:w="2670" w:type="dxa"/>
            <w:vAlign w:val="center"/>
          </w:tcPr>
          <w:p w14:paraId="6B4D75C4">
            <w:pP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集气罩收集后进</w:t>
            </w:r>
            <w:r>
              <w:rPr>
                <w:rFonts w:hint="eastAsia" w:cs="Times New Roman"/>
                <w:color w:val="000000"/>
                <w:kern w:val="0"/>
                <w:sz w:val="21"/>
                <w:szCs w:val="21"/>
                <w:lang w:val="en-US" w:eastAsia="zh-CN" w:bidi="ar"/>
              </w:rPr>
              <w:t>干式过滤器</w:t>
            </w:r>
            <w:r>
              <w:rPr>
                <w:rFonts w:hint="default" w:ascii="Times New Roman" w:hAnsi="Times New Roman" w:eastAsia="宋体" w:cs="Times New Roman"/>
                <w:color w:val="000000"/>
                <w:kern w:val="0"/>
                <w:sz w:val="21"/>
                <w:szCs w:val="21"/>
                <w:lang w:val="en-US" w:eastAsia="zh-CN" w:bidi="ar"/>
              </w:rPr>
              <w:t>处理后经21.5米的DA00</w:t>
            </w:r>
            <w:r>
              <w:rPr>
                <w:rFonts w:hint="eastAsia" w:ascii="Times New Roman" w:hAnsi="Times New Roman" w:eastAsia="宋体" w:cs="Times New Roman"/>
                <w:color w:val="000000"/>
                <w:kern w:val="0"/>
                <w:sz w:val="21"/>
                <w:szCs w:val="21"/>
                <w:lang w:val="en-US" w:eastAsia="zh-CN" w:bidi="ar"/>
              </w:rPr>
              <w:t>5</w:t>
            </w:r>
            <w:r>
              <w:rPr>
                <w:rFonts w:hint="default" w:ascii="Times New Roman" w:hAnsi="Times New Roman" w:eastAsia="宋体" w:cs="Times New Roman"/>
                <w:color w:val="000000"/>
                <w:kern w:val="0"/>
                <w:sz w:val="21"/>
                <w:szCs w:val="21"/>
                <w:lang w:val="en-US" w:eastAsia="zh-CN" w:bidi="ar"/>
              </w:rPr>
              <w:t>排放。</w:t>
            </w:r>
          </w:p>
        </w:tc>
        <w:tc>
          <w:tcPr>
            <w:tcW w:w="1762" w:type="dxa"/>
            <w:vMerge w:val="continue"/>
            <w:vAlign w:val="center"/>
          </w:tcPr>
          <w:p w14:paraId="389CAF23">
            <w:pPr>
              <w:adjustRightInd w:val="0"/>
              <w:snapToGrid w:val="0"/>
              <w:jc w:val="center"/>
              <w:rPr>
                <w:rFonts w:hint="default" w:ascii="Times New Roman" w:hAnsi="Times New Roman" w:eastAsia="宋体" w:cs="Times New Roman"/>
                <w:szCs w:val="21"/>
                <w:highlight w:val="none"/>
                <w:lang w:val="zh-CN"/>
              </w:rPr>
            </w:pPr>
          </w:p>
        </w:tc>
      </w:tr>
      <w:tr w14:paraId="0CA905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9" w:type="dxa"/>
            <w:vMerge w:val="continue"/>
            <w:vAlign w:val="center"/>
          </w:tcPr>
          <w:p w14:paraId="798DDB18">
            <w:pPr>
              <w:adjustRightInd w:val="0"/>
              <w:snapToGrid w:val="0"/>
              <w:jc w:val="center"/>
              <w:rPr>
                <w:rFonts w:hint="default" w:ascii="Times New Roman" w:hAnsi="Times New Roman" w:eastAsia="宋体" w:cs="Times New Roman"/>
                <w:sz w:val="24"/>
                <w:highlight w:val="none"/>
              </w:rPr>
            </w:pPr>
          </w:p>
        </w:tc>
        <w:tc>
          <w:tcPr>
            <w:tcW w:w="1527" w:type="dxa"/>
            <w:vAlign w:val="center"/>
          </w:tcPr>
          <w:p w14:paraId="1F9A12C0">
            <w:pPr>
              <w:adjustRightInd w:val="0"/>
              <w:snapToGrid w:val="0"/>
              <w:jc w:val="center"/>
              <w:rPr>
                <w:rFonts w:hint="default" w:ascii="Times New Roman" w:hAnsi="Times New Roman" w:eastAsia="宋体" w:cs="Times New Roman"/>
                <w:szCs w:val="21"/>
                <w:highlight w:val="none"/>
                <w:lang w:val="en-US"/>
              </w:rPr>
            </w:pPr>
            <w:r>
              <w:rPr>
                <w:rFonts w:hint="default" w:ascii="Times New Roman" w:hAnsi="Times New Roman" w:eastAsia="宋体" w:cs="Times New Roman"/>
                <w:szCs w:val="21"/>
                <w:highlight w:val="none"/>
                <w:lang w:val="en-US" w:eastAsia="zh-CN"/>
              </w:rPr>
              <w:t>DA00</w:t>
            </w:r>
            <w:r>
              <w:rPr>
                <w:rFonts w:hint="eastAsia" w:ascii="Times New Roman" w:hAnsi="Times New Roman" w:eastAsia="宋体" w:cs="Times New Roman"/>
                <w:szCs w:val="21"/>
                <w:highlight w:val="none"/>
                <w:lang w:val="en-US" w:eastAsia="zh-CN"/>
              </w:rPr>
              <w:t>6</w:t>
            </w:r>
          </w:p>
        </w:tc>
        <w:tc>
          <w:tcPr>
            <w:tcW w:w="1612" w:type="dxa"/>
            <w:shd w:val="clear" w:color="auto" w:fill="auto"/>
            <w:vAlign w:val="center"/>
          </w:tcPr>
          <w:p w14:paraId="7371EAEA">
            <w:pPr>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非甲烷总烃</w:t>
            </w:r>
          </w:p>
        </w:tc>
        <w:tc>
          <w:tcPr>
            <w:tcW w:w="2670" w:type="dxa"/>
            <w:vAlign w:val="center"/>
          </w:tcPr>
          <w:p w14:paraId="0830CE27">
            <w:pP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集气罩收集后进</w:t>
            </w:r>
            <w:r>
              <w:rPr>
                <w:rFonts w:hint="eastAsia" w:cs="Times New Roman"/>
                <w:color w:val="000000"/>
                <w:kern w:val="0"/>
                <w:sz w:val="21"/>
                <w:szCs w:val="21"/>
                <w:lang w:val="en-US" w:eastAsia="zh-CN" w:bidi="ar"/>
              </w:rPr>
              <w:t>干式过滤器</w:t>
            </w:r>
            <w:r>
              <w:rPr>
                <w:rFonts w:hint="default" w:ascii="Times New Roman" w:hAnsi="Times New Roman" w:eastAsia="宋体" w:cs="Times New Roman"/>
                <w:color w:val="000000"/>
                <w:kern w:val="0"/>
                <w:sz w:val="21"/>
                <w:szCs w:val="21"/>
                <w:lang w:val="en-US" w:eastAsia="zh-CN" w:bidi="ar"/>
              </w:rPr>
              <w:t>处理后经21.5米的DA00</w:t>
            </w:r>
            <w:r>
              <w:rPr>
                <w:rFonts w:hint="eastAsia" w:ascii="Times New Roman" w:hAnsi="Times New Roman" w:eastAsia="宋体" w:cs="Times New Roman"/>
                <w:color w:val="000000"/>
                <w:kern w:val="0"/>
                <w:sz w:val="21"/>
                <w:szCs w:val="21"/>
                <w:lang w:val="en-US" w:eastAsia="zh-CN" w:bidi="ar"/>
              </w:rPr>
              <w:t>6</w:t>
            </w:r>
            <w:r>
              <w:rPr>
                <w:rFonts w:hint="default" w:ascii="Times New Roman" w:hAnsi="Times New Roman" w:eastAsia="宋体" w:cs="Times New Roman"/>
                <w:color w:val="000000"/>
                <w:kern w:val="0"/>
                <w:sz w:val="21"/>
                <w:szCs w:val="21"/>
                <w:lang w:val="en-US" w:eastAsia="zh-CN" w:bidi="ar"/>
              </w:rPr>
              <w:t>排放。</w:t>
            </w:r>
          </w:p>
        </w:tc>
        <w:tc>
          <w:tcPr>
            <w:tcW w:w="1762" w:type="dxa"/>
            <w:vMerge w:val="continue"/>
            <w:vAlign w:val="center"/>
          </w:tcPr>
          <w:p w14:paraId="0063ADFB">
            <w:pPr>
              <w:adjustRightInd w:val="0"/>
              <w:snapToGrid w:val="0"/>
              <w:jc w:val="center"/>
              <w:rPr>
                <w:rFonts w:hint="default" w:ascii="Times New Roman" w:hAnsi="Times New Roman" w:eastAsia="宋体" w:cs="Times New Roman"/>
                <w:szCs w:val="21"/>
                <w:highlight w:val="none"/>
                <w:lang w:val="zh-CN"/>
              </w:rPr>
            </w:pPr>
          </w:p>
        </w:tc>
      </w:tr>
      <w:tr w14:paraId="534ABE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9" w:type="dxa"/>
            <w:vMerge w:val="continue"/>
            <w:vAlign w:val="center"/>
          </w:tcPr>
          <w:p w14:paraId="7A8E72E1">
            <w:pPr>
              <w:adjustRightInd w:val="0"/>
              <w:snapToGrid w:val="0"/>
              <w:jc w:val="center"/>
              <w:rPr>
                <w:rFonts w:hint="default" w:ascii="Times New Roman" w:hAnsi="Times New Roman" w:eastAsia="宋体" w:cs="Times New Roman"/>
                <w:sz w:val="24"/>
                <w:highlight w:val="none"/>
              </w:rPr>
            </w:pPr>
          </w:p>
        </w:tc>
        <w:tc>
          <w:tcPr>
            <w:tcW w:w="1527" w:type="dxa"/>
            <w:vAlign w:val="center"/>
          </w:tcPr>
          <w:p w14:paraId="24751EB2">
            <w:pPr>
              <w:adjustRightInd w:val="0"/>
              <w:snapToGrid w:val="0"/>
              <w:jc w:val="center"/>
              <w:rPr>
                <w:rFonts w:hint="default" w:ascii="Times New Roman" w:hAnsi="Times New Roman" w:eastAsia="宋体" w:cs="Times New Roman"/>
                <w:szCs w:val="21"/>
                <w:highlight w:val="none"/>
                <w:lang w:val="en-US"/>
              </w:rPr>
            </w:pPr>
            <w:r>
              <w:rPr>
                <w:rFonts w:hint="default" w:ascii="Times New Roman" w:hAnsi="Times New Roman" w:eastAsia="宋体" w:cs="Times New Roman"/>
                <w:szCs w:val="21"/>
                <w:highlight w:val="none"/>
                <w:lang w:val="en-US" w:eastAsia="zh-CN"/>
              </w:rPr>
              <w:t>DA00</w:t>
            </w:r>
            <w:r>
              <w:rPr>
                <w:rFonts w:hint="eastAsia" w:ascii="Times New Roman" w:hAnsi="Times New Roman" w:eastAsia="宋体" w:cs="Times New Roman"/>
                <w:szCs w:val="21"/>
                <w:highlight w:val="none"/>
                <w:lang w:val="en-US" w:eastAsia="zh-CN"/>
              </w:rPr>
              <w:t>7</w:t>
            </w:r>
          </w:p>
        </w:tc>
        <w:tc>
          <w:tcPr>
            <w:tcW w:w="1612" w:type="dxa"/>
            <w:shd w:val="clear" w:color="auto" w:fill="auto"/>
            <w:vAlign w:val="center"/>
          </w:tcPr>
          <w:p w14:paraId="319334D8">
            <w:pPr>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非甲烷总烃</w:t>
            </w:r>
          </w:p>
        </w:tc>
        <w:tc>
          <w:tcPr>
            <w:tcW w:w="2670" w:type="dxa"/>
            <w:vAlign w:val="center"/>
          </w:tcPr>
          <w:p w14:paraId="334675E6">
            <w:pP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集气罩收集后进</w:t>
            </w:r>
            <w:r>
              <w:rPr>
                <w:rFonts w:hint="eastAsia" w:cs="Times New Roman"/>
                <w:color w:val="000000"/>
                <w:kern w:val="0"/>
                <w:sz w:val="21"/>
                <w:szCs w:val="21"/>
                <w:lang w:val="en-US" w:eastAsia="zh-CN" w:bidi="ar"/>
              </w:rPr>
              <w:t>干式过滤器</w:t>
            </w:r>
            <w:r>
              <w:rPr>
                <w:rFonts w:hint="default" w:ascii="Times New Roman" w:hAnsi="Times New Roman" w:eastAsia="宋体" w:cs="Times New Roman"/>
                <w:color w:val="000000"/>
                <w:kern w:val="0"/>
                <w:sz w:val="21"/>
                <w:szCs w:val="21"/>
                <w:lang w:val="en-US" w:eastAsia="zh-CN" w:bidi="ar"/>
              </w:rPr>
              <w:t>处理后经21.5米的DA00</w:t>
            </w:r>
            <w:r>
              <w:rPr>
                <w:rFonts w:hint="eastAsia" w:ascii="Times New Roman" w:hAnsi="Times New Roman" w:eastAsia="宋体" w:cs="Times New Roman"/>
                <w:color w:val="000000"/>
                <w:kern w:val="0"/>
                <w:sz w:val="21"/>
                <w:szCs w:val="21"/>
                <w:lang w:val="en-US" w:eastAsia="zh-CN" w:bidi="ar"/>
              </w:rPr>
              <w:t>7</w:t>
            </w:r>
            <w:r>
              <w:rPr>
                <w:rFonts w:hint="default" w:ascii="Times New Roman" w:hAnsi="Times New Roman" w:eastAsia="宋体" w:cs="Times New Roman"/>
                <w:color w:val="000000"/>
                <w:kern w:val="0"/>
                <w:sz w:val="21"/>
                <w:szCs w:val="21"/>
                <w:lang w:val="en-US" w:eastAsia="zh-CN" w:bidi="ar"/>
              </w:rPr>
              <w:t>排放。</w:t>
            </w:r>
          </w:p>
        </w:tc>
        <w:tc>
          <w:tcPr>
            <w:tcW w:w="1762" w:type="dxa"/>
            <w:vMerge w:val="continue"/>
            <w:vAlign w:val="center"/>
          </w:tcPr>
          <w:p w14:paraId="4B5BFE71">
            <w:pPr>
              <w:adjustRightInd w:val="0"/>
              <w:snapToGrid w:val="0"/>
              <w:jc w:val="center"/>
              <w:rPr>
                <w:rFonts w:hint="default" w:ascii="Times New Roman" w:hAnsi="Times New Roman" w:eastAsia="宋体" w:cs="Times New Roman"/>
                <w:szCs w:val="21"/>
                <w:highlight w:val="none"/>
                <w:lang w:val="zh-CN"/>
              </w:rPr>
            </w:pPr>
          </w:p>
        </w:tc>
      </w:tr>
      <w:tr w14:paraId="5BCA71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9" w:type="dxa"/>
            <w:vMerge w:val="continue"/>
            <w:vAlign w:val="center"/>
          </w:tcPr>
          <w:p w14:paraId="5D79DCDD">
            <w:pPr>
              <w:adjustRightInd w:val="0"/>
              <w:snapToGrid w:val="0"/>
              <w:jc w:val="center"/>
              <w:rPr>
                <w:rFonts w:hint="default" w:ascii="Times New Roman" w:hAnsi="Times New Roman" w:eastAsia="宋体" w:cs="Times New Roman"/>
                <w:sz w:val="24"/>
                <w:highlight w:val="none"/>
              </w:rPr>
            </w:pPr>
          </w:p>
        </w:tc>
        <w:tc>
          <w:tcPr>
            <w:tcW w:w="1527" w:type="dxa"/>
            <w:vAlign w:val="center"/>
          </w:tcPr>
          <w:p w14:paraId="515D003E">
            <w:pPr>
              <w:adjustRightInd w:val="0"/>
              <w:snapToGrid w:val="0"/>
              <w:jc w:val="center"/>
              <w:rPr>
                <w:rFonts w:hint="default" w:ascii="Times New Roman" w:hAnsi="Times New Roman" w:eastAsia="宋体" w:cs="Times New Roman"/>
                <w:szCs w:val="21"/>
                <w:highlight w:val="none"/>
                <w:lang w:val="en-US"/>
              </w:rPr>
            </w:pPr>
            <w:r>
              <w:rPr>
                <w:rFonts w:hint="default" w:ascii="Times New Roman" w:hAnsi="Times New Roman" w:eastAsia="宋体" w:cs="Times New Roman"/>
                <w:szCs w:val="21"/>
                <w:highlight w:val="none"/>
                <w:lang w:val="en-US" w:eastAsia="zh-CN"/>
              </w:rPr>
              <w:t>DA00</w:t>
            </w:r>
            <w:r>
              <w:rPr>
                <w:rFonts w:hint="eastAsia" w:ascii="Times New Roman" w:hAnsi="Times New Roman" w:eastAsia="宋体" w:cs="Times New Roman"/>
                <w:szCs w:val="21"/>
                <w:highlight w:val="none"/>
                <w:lang w:val="en-US" w:eastAsia="zh-CN"/>
              </w:rPr>
              <w:t>8</w:t>
            </w:r>
          </w:p>
        </w:tc>
        <w:tc>
          <w:tcPr>
            <w:tcW w:w="1612" w:type="dxa"/>
            <w:shd w:val="clear" w:color="auto" w:fill="auto"/>
            <w:vAlign w:val="center"/>
          </w:tcPr>
          <w:p w14:paraId="030DDAC2">
            <w:pPr>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非甲烷总烃</w:t>
            </w:r>
          </w:p>
        </w:tc>
        <w:tc>
          <w:tcPr>
            <w:tcW w:w="2670" w:type="dxa"/>
            <w:vAlign w:val="center"/>
          </w:tcPr>
          <w:p w14:paraId="388FB4A0">
            <w:pP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集气罩收集后进</w:t>
            </w:r>
            <w:r>
              <w:rPr>
                <w:rFonts w:hint="eastAsia" w:cs="Times New Roman"/>
                <w:color w:val="000000"/>
                <w:kern w:val="0"/>
                <w:sz w:val="21"/>
                <w:szCs w:val="21"/>
                <w:lang w:val="en-US" w:eastAsia="zh-CN" w:bidi="ar"/>
              </w:rPr>
              <w:t>干式过滤器</w:t>
            </w:r>
            <w:r>
              <w:rPr>
                <w:rFonts w:hint="default" w:ascii="Times New Roman" w:hAnsi="Times New Roman" w:eastAsia="宋体" w:cs="Times New Roman"/>
                <w:color w:val="000000"/>
                <w:kern w:val="0"/>
                <w:sz w:val="21"/>
                <w:szCs w:val="21"/>
                <w:lang w:val="en-US" w:eastAsia="zh-CN" w:bidi="ar"/>
              </w:rPr>
              <w:t>处理后经21.5米的DA00</w:t>
            </w:r>
            <w:r>
              <w:rPr>
                <w:rFonts w:hint="eastAsia" w:ascii="Times New Roman" w:hAnsi="Times New Roman" w:eastAsia="宋体" w:cs="Times New Roman"/>
                <w:color w:val="000000"/>
                <w:kern w:val="0"/>
                <w:sz w:val="21"/>
                <w:szCs w:val="21"/>
                <w:lang w:val="en-US" w:eastAsia="zh-CN" w:bidi="ar"/>
              </w:rPr>
              <w:t>8</w:t>
            </w:r>
            <w:r>
              <w:rPr>
                <w:rFonts w:hint="default" w:ascii="Times New Roman" w:hAnsi="Times New Roman" w:eastAsia="宋体" w:cs="Times New Roman"/>
                <w:color w:val="000000"/>
                <w:kern w:val="0"/>
                <w:sz w:val="21"/>
                <w:szCs w:val="21"/>
                <w:lang w:val="en-US" w:eastAsia="zh-CN" w:bidi="ar"/>
              </w:rPr>
              <w:t>排放。</w:t>
            </w:r>
          </w:p>
        </w:tc>
        <w:tc>
          <w:tcPr>
            <w:tcW w:w="1762" w:type="dxa"/>
            <w:vMerge w:val="continue"/>
            <w:vAlign w:val="center"/>
          </w:tcPr>
          <w:p w14:paraId="6023C14C">
            <w:pPr>
              <w:adjustRightInd w:val="0"/>
              <w:snapToGrid w:val="0"/>
              <w:jc w:val="center"/>
              <w:rPr>
                <w:rFonts w:hint="default" w:ascii="Times New Roman" w:hAnsi="Times New Roman" w:eastAsia="宋体" w:cs="Times New Roman"/>
                <w:szCs w:val="21"/>
                <w:highlight w:val="none"/>
                <w:lang w:val="zh-CN"/>
              </w:rPr>
            </w:pPr>
          </w:p>
        </w:tc>
      </w:tr>
      <w:tr w14:paraId="799105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82" w:hRule="atLeast"/>
          <w:jc w:val="center"/>
        </w:trPr>
        <w:tc>
          <w:tcPr>
            <w:tcW w:w="1229" w:type="dxa"/>
            <w:shd w:val="clear" w:color="auto" w:fill="auto"/>
            <w:vAlign w:val="center"/>
          </w:tcPr>
          <w:p w14:paraId="7F6E6DBA">
            <w:pPr>
              <w:adjustRightInd w:val="0"/>
              <w:snapToGrid w:val="0"/>
              <w:jc w:val="center"/>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sz w:val="24"/>
                <w:highlight w:val="none"/>
              </w:rPr>
              <w:t>地表水环境</w:t>
            </w:r>
          </w:p>
        </w:tc>
        <w:tc>
          <w:tcPr>
            <w:tcW w:w="1527" w:type="dxa"/>
            <w:shd w:val="clear" w:color="auto" w:fill="auto"/>
            <w:vAlign w:val="center"/>
          </w:tcPr>
          <w:p w14:paraId="24275F7D">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DW001</w:t>
            </w:r>
          </w:p>
        </w:tc>
        <w:tc>
          <w:tcPr>
            <w:tcW w:w="1612" w:type="dxa"/>
            <w:shd w:val="clear" w:color="auto" w:fill="auto"/>
            <w:vAlign w:val="center"/>
          </w:tcPr>
          <w:p w14:paraId="476680AD">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eastAsia="zh-CN"/>
              </w:rPr>
              <w:t>pH</w:t>
            </w:r>
            <w:r>
              <w:rPr>
                <w:rFonts w:hint="default" w:ascii="Times New Roman" w:hAnsi="Times New Roman" w:eastAsia="宋体" w:cs="Times New Roman"/>
                <w:szCs w:val="21"/>
                <w:highlight w:val="none"/>
              </w:rPr>
              <w:t>、COD</w:t>
            </w:r>
            <w:r>
              <w:rPr>
                <w:rFonts w:hint="default" w:ascii="Times New Roman" w:hAnsi="Times New Roman" w:eastAsia="宋体" w:cs="Times New Roman"/>
                <w:szCs w:val="21"/>
                <w:highlight w:val="none"/>
                <w:vertAlign w:val="subscript"/>
              </w:rPr>
              <w:t>Cr</w:t>
            </w:r>
            <w:r>
              <w:rPr>
                <w:rFonts w:hint="default" w:ascii="Times New Roman" w:hAnsi="Times New Roman" w:eastAsia="宋体" w:cs="Times New Roman"/>
                <w:szCs w:val="21"/>
                <w:highlight w:val="none"/>
              </w:rPr>
              <w:t>、</w:t>
            </w:r>
          </w:p>
          <w:p w14:paraId="451953AF">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BOD</w:t>
            </w:r>
            <w:r>
              <w:rPr>
                <w:rFonts w:hint="default" w:ascii="Times New Roman" w:hAnsi="Times New Roman" w:eastAsia="宋体" w:cs="Times New Roman"/>
                <w:szCs w:val="21"/>
                <w:highlight w:val="none"/>
                <w:vertAlign w:val="subscript"/>
              </w:rPr>
              <w:t>5</w:t>
            </w:r>
            <w:r>
              <w:rPr>
                <w:rFonts w:hint="default" w:ascii="Times New Roman" w:hAnsi="Times New Roman" w:eastAsia="宋体" w:cs="Times New Roman"/>
                <w:szCs w:val="21"/>
                <w:highlight w:val="none"/>
              </w:rPr>
              <w:t>、SS、氨氮、可溶性固体总</w:t>
            </w:r>
          </w:p>
        </w:tc>
        <w:tc>
          <w:tcPr>
            <w:tcW w:w="2670" w:type="dxa"/>
            <w:shd w:val="clear" w:color="auto" w:fill="auto"/>
            <w:vAlign w:val="center"/>
          </w:tcPr>
          <w:p w14:paraId="31FCBA6A">
            <w:pP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生活污水、纯水制备废水、超声波清洗废水、其他设备第三遍清洗废水经园区化粪池吃处理后</w:t>
            </w:r>
            <w:r>
              <w:rPr>
                <w:rFonts w:hint="default" w:ascii="Times New Roman" w:hAnsi="Times New Roman" w:eastAsia="宋体" w:cs="Times New Roman"/>
                <w:bCs/>
                <w:szCs w:val="21"/>
                <w:highlight w:val="none"/>
              </w:rPr>
              <w:t>经市政管网排入</w:t>
            </w:r>
            <w:r>
              <w:rPr>
                <w:rFonts w:hint="default" w:ascii="Times New Roman" w:hAnsi="Times New Roman" w:eastAsia="宋体" w:cs="Times New Roman"/>
                <w:szCs w:val="21"/>
                <w:highlight w:val="none"/>
                <w:lang w:eastAsia="zh-CN"/>
              </w:rPr>
              <w:t>北京亦庄环境科技集团有限公司经开污水处理厂。</w:t>
            </w:r>
          </w:p>
        </w:tc>
        <w:tc>
          <w:tcPr>
            <w:tcW w:w="1762" w:type="dxa"/>
            <w:shd w:val="clear" w:color="auto" w:fill="auto"/>
            <w:vAlign w:val="center"/>
          </w:tcPr>
          <w:p w14:paraId="7DFF8898">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北京市《水污染物综合排放标准》（DB11/307-2013）</w:t>
            </w:r>
            <w:r>
              <w:rPr>
                <w:rFonts w:hint="eastAsia"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表3 排入公共污水处理系统的水污染物排放限值</w:t>
            </w:r>
            <w:r>
              <w:rPr>
                <w:rFonts w:hint="eastAsia" w:ascii="Times New Roman" w:hAnsi="Times New Roman" w:eastAsia="宋体" w:cs="Times New Roman"/>
                <w:szCs w:val="21"/>
                <w:highlight w:val="none"/>
                <w:lang w:eastAsia="zh-CN"/>
              </w:rPr>
              <w:t>”</w:t>
            </w:r>
          </w:p>
        </w:tc>
      </w:tr>
      <w:tr w14:paraId="4B7823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9" w:type="dxa"/>
            <w:vAlign w:val="center"/>
          </w:tcPr>
          <w:p w14:paraId="6129AFBF">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声环境</w:t>
            </w:r>
          </w:p>
        </w:tc>
        <w:tc>
          <w:tcPr>
            <w:tcW w:w="1527" w:type="dxa"/>
            <w:vAlign w:val="center"/>
          </w:tcPr>
          <w:p w14:paraId="174820C2">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实验场所</w:t>
            </w:r>
          </w:p>
        </w:tc>
        <w:tc>
          <w:tcPr>
            <w:tcW w:w="1612" w:type="dxa"/>
            <w:vAlign w:val="center"/>
          </w:tcPr>
          <w:p w14:paraId="451D7B4F">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等效连续A声级</w:t>
            </w:r>
          </w:p>
        </w:tc>
        <w:tc>
          <w:tcPr>
            <w:tcW w:w="2670" w:type="dxa"/>
            <w:vAlign w:val="center"/>
          </w:tcPr>
          <w:p w14:paraId="17104E75">
            <w:pPr>
              <w:adjustRightInd w:val="0"/>
              <w:snapToGrid w:val="0"/>
              <w:jc w:val="center"/>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rPr>
              <w:t>低噪声设备</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lang w:val="en-US" w:eastAsia="zh-CN"/>
              </w:rPr>
              <w:t>基础减震、</w:t>
            </w:r>
            <w:r>
              <w:rPr>
                <w:rFonts w:hint="default" w:ascii="Times New Roman" w:hAnsi="Times New Roman" w:eastAsia="宋体" w:cs="Times New Roman"/>
                <w:szCs w:val="21"/>
                <w:highlight w:val="none"/>
              </w:rPr>
              <w:t>墙体隔音</w:t>
            </w:r>
            <w:r>
              <w:rPr>
                <w:rFonts w:hint="default" w:ascii="Times New Roman" w:hAnsi="Times New Roman" w:eastAsia="宋体" w:cs="Times New Roman"/>
                <w:szCs w:val="21"/>
                <w:highlight w:val="none"/>
                <w:lang w:eastAsia="zh-CN"/>
              </w:rPr>
              <w:t>。</w:t>
            </w:r>
          </w:p>
        </w:tc>
        <w:tc>
          <w:tcPr>
            <w:tcW w:w="1762" w:type="dxa"/>
            <w:vAlign w:val="center"/>
          </w:tcPr>
          <w:p w14:paraId="679EA04A">
            <w:pPr>
              <w:keepNext w:val="0"/>
              <w:keepLines w:val="0"/>
              <w:pageBreakBefore w:val="0"/>
              <w:widowControl w:val="0"/>
              <w:kinsoku/>
              <w:wordWrap w:val="0"/>
              <w:overflowPunct/>
              <w:topLinePunct/>
              <w:autoSpaceDE/>
              <w:autoSpaceDN/>
              <w:bidi w:val="0"/>
              <w:adjustRightInd w:val="0"/>
              <w:snapToGrid w:val="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《工业企业厂界环境噪声排放标准》（GB12348-2008）3</w:t>
            </w:r>
            <w:r>
              <w:rPr>
                <w:rFonts w:hint="default" w:ascii="Times New Roman" w:hAnsi="Times New Roman" w:eastAsia="宋体" w:cs="Times New Roman"/>
                <w:szCs w:val="21"/>
                <w:highlight w:val="none"/>
                <w:lang w:val="en-US" w:eastAsia="zh-CN"/>
              </w:rPr>
              <w:t>类</w:t>
            </w:r>
            <w:r>
              <w:rPr>
                <w:rFonts w:hint="default" w:ascii="Times New Roman" w:hAnsi="Times New Roman" w:eastAsia="宋体" w:cs="Times New Roman"/>
                <w:szCs w:val="21"/>
                <w:highlight w:val="none"/>
              </w:rPr>
              <w:t>标准</w:t>
            </w:r>
          </w:p>
        </w:tc>
      </w:tr>
      <w:tr w14:paraId="7A30A0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1229" w:type="dxa"/>
            <w:vAlign w:val="center"/>
          </w:tcPr>
          <w:p w14:paraId="5AE97B10">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电磁辐射</w:t>
            </w:r>
          </w:p>
        </w:tc>
        <w:tc>
          <w:tcPr>
            <w:tcW w:w="1527" w:type="dxa"/>
            <w:vAlign w:val="center"/>
          </w:tcPr>
          <w:p w14:paraId="4A23043B">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1612" w:type="dxa"/>
            <w:vAlign w:val="center"/>
          </w:tcPr>
          <w:p w14:paraId="3C662918">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2670" w:type="dxa"/>
            <w:vAlign w:val="center"/>
          </w:tcPr>
          <w:p w14:paraId="36435982">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1762" w:type="dxa"/>
            <w:vAlign w:val="center"/>
          </w:tcPr>
          <w:p w14:paraId="50CD9742">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r>
      <w:tr w14:paraId="28AD82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229" w:type="dxa"/>
            <w:vAlign w:val="center"/>
          </w:tcPr>
          <w:p w14:paraId="3682CEAA">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固体废物</w:t>
            </w:r>
          </w:p>
        </w:tc>
        <w:tc>
          <w:tcPr>
            <w:tcW w:w="7571" w:type="dxa"/>
            <w:gridSpan w:val="4"/>
            <w:vAlign w:val="center"/>
          </w:tcPr>
          <w:p w14:paraId="3E11427F">
            <w:pPr>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项目产生的一般工业固体废物统一收集后交由物资部门回收再利用；危险废物统一收集后暂存于危险废物暂存间，定期交由有资质单位处置。生活垃圾统一收集后交环卫部门定期清运。</w:t>
            </w:r>
          </w:p>
          <w:p w14:paraId="3A9B93B3">
            <w:pPr>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生活垃圾处理执行《中华人民共和国固体废物污染环境防治法》（2020年版）及《北京市生活垃圾管理条例》（2020年5月1日起施行，2020年9月25日第二次修正）中的有关规定。</w:t>
            </w:r>
          </w:p>
          <w:p w14:paraId="7D7E1D01">
            <w:pPr>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一般工业固体废物处置执行《中华人民共和国固体废物污染环境防治法》（2020年9月1日起施行）、《一般工业固体废物贮存和填埋污染控制标准》（GB18599-2020）中的有关规定。</w:t>
            </w:r>
          </w:p>
          <w:p w14:paraId="6A2BAD8A">
            <w:pPr>
              <w:snapToGrid w:val="0"/>
              <w:spacing w:line="360" w:lineRule="auto"/>
              <w:ind w:firstLine="480" w:firstLineChars="200"/>
              <w:rPr>
                <w:rFonts w:hint="default" w:ascii="Times New Roman" w:hAnsi="Times New Roman" w:eastAsia="宋体" w:cs="Times New Roman"/>
                <w:szCs w:val="21"/>
                <w:highlight w:val="none"/>
              </w:rPr>
            </w:pPr>
            <w:r>
              <w:rPr>
                <w:rFonts w:hint="default" w:ascii="Times New Roman" w:hAnsi="Times New Roman" w:eastAsia="宋体" w:cs="Times New Roman"/>
                <w:sz w:val="24"/>
                <w:highlight w:val="none"/>
                <w:lang w:val="en-US" w:eastAsia="zh-CN"/>
              </w:rPr>
              <w:t>危险废物处理执行《危险废物贮存污染控制标准》（GB18597-2023）、《危险废物转移管理办法》（2022年1月1日施行）中的相关规定。</w:t>
            </w:r>
          </w:p>
        </w:tc>
      </w:tr>
      <w:tr w14:paraId="014B44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9" w:type="dxa"/>
            <w:vAlign w:val="center"/>
          </w:tcPr>
          <w:p w14:paraId="238147AD">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土壤及地下水污染防治措施</w:t>
            </w:r>
          </w:p>
        </w:tc>
        <w:tc>
          <w:tcPr>
            <w:tcW w:w="7571" w:type="dxa"/>
            <w:gridSpan w:val="4"/>
            <w:vAlign w:val="center"/>
          </w:tcPr>
          <w:p w14:paraId="31A77BF5">
            <w:pPr>
              <w:snapToGrid w:val="0"/>
              <w:spacing w:line="360" w:lineRule="auto"/>
              <w:ind w:firstLine="480" w:firstLineChars="200"/>
              <w:rPr>
                <w:rFonts w:hint="default" w:ascii="Times New Roman" w:hAnsi="Times New Roman" w:eastAsia="宋体" w:cs="Times New Roman"/>
                <w:szCs w:val="21"/>
                <w:highlight w:val="none"/>
              </w:rPr>
            </w:pPr>
            <w:r>
              <w:rPr>
                <w:rFonts w:hint="default" w:ascii="Times New Roman" w:hAnsi="Times New Roman" w:eastAsia="宋体" w:cs="Times New Roman"/>
                <w:sz w:val="24"/>
                <w:highlight w:val="none"/>
                <w:lang w:val="en-US" w:eastAsia="zh-CN"/>
              </w:rPr>
              <w:t>本项目防渗分区划分为重点防渗区、一般防渗区和简单防渗区。危险废物暂存间、</w:t>
            </w:r>
            <w:r>
              <w:rPr>
                <w:rFonts w:hint="eastAsia" w:ascii="Times New Roman" w:hAnsi="Times New Roman" w:eastAsia="宋体" w:cs="Times New Roman"/>
                <w:sz w:val="24"/>
                <w:highlight w:val="none"/>
                <w:lang w:val="en-US" w:eastAsia="zh-CN"/>
              </w:rPr>
              <w:t>危化品间</w:t>
            </w:r>
            <w:r>
              <w:rPr>
                <w:rFonts w:hint="default" w:ascii="Times New Roman" w:hAnsi="Times New Roman" w:eastAsia="宋体" w:cs="Times New Roman"/>
                <w:sz w:val="24"/>
                <w:highlight w:val="none"/>
                <w:lang w:val="en-US" w:eastAsia="zh-CN"/>
              </w:rPr>
              <w:t>、实验室为重点防渗区，危险废物暂存间地面与裙脚采取表面防渗措施，使用2mm厚高密度聚乙烯膜或其他防渗材料（渗透系数不大于 10</w:t>
            </w:r>
            <w:r>
              <w:rPr>
                <w:rFonts w:hint="default" w:ascii="Times New Roman" w:hAnsi="Times New Roman" w:eastAsia="宋体" w:cs="Times New Roman"/>
                <w:sz w:val="24"/>
                <w:highlight w:val="none"/>
                <w:vertAlign w:val="superscript"/>
                <w:lang w:val="en-US" w:eastAsia="zh-CN"/>
              </w:rPr>
              <w:t>-10</w:t>
            </w:r>
            <w:r>
              <w:rPr>
                <w:rFonts w:hint="default" w:ascii="Times New Roman" w:hAnsi="Times New Roman" w:eastAsia="宋体" w:cs="Times New Roman"/>
                <w:sz w:val="24"/>
                <w:highlight w:val="none"/>
                <w:lang w:val="en-US" w:eastAsia="zh-CN"/>
              </w:rPr>
              <w:t>cm/s）；其他实验贮存区域为一般防渗区，采取等效黏土防渗层 Mb≥1.5m，K≤1.0×10</w:t>
            </w:r>
            <w:r>
              <w:rPr>
                <w:rFonts w:hint="default" w:ascii="Times New Roman" w:hAnsi="Times New Roman" w:eastAsia="宋体" w:cs="Times New Roman"/>
                <w:sz w:val="24"/>
                <w:highlight w:val="none"/>
                <w:vertAlign w:val="superscript"/>
                <w:lang w:val="en-US" w:eastAsia="zh-CN"/>
              </w:rPr>
              <w:t>-7</w:t>
            </w:r>
            <w:r>
              <w:rPr>
                <w:rFonts w:hint="default" w:ascii="Times New Roman" w:hAnsi="Times New Roman" w:eastAsia="宋体" w:cs="Times New Roman"/>
                <w:sz w:val="24"/>
                <w:highlight w:val="none"/>
                <w:lang w:val="en-US" w:eastAsia="zh-CN"/>
              </w:rPr>
              <w:t>cm/s；办公区域为简单防渗区，防渗要求为一般地面硬化。</w:t>
            </w:r>
          </w:p>
        </w:tc>
      </w:tr>
      <w:tr w14:paraId="218C21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229" w:type="dxa"/>
            <w:vAlign w:val="center"/>
          </w:tcPr>
          <w:p w14:paraId="3F80EBC5">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生态保护措施</w:t>
            </w:r>
          </w:p>
        </w:tc>
        <w:tc>
          <w:tcPr>
            <w:tcW w:w="7571" w:type="dxa"/>
            <w:gridSpan w:val="4"/>
            <w:vAlign w:val="center"/>
          </w:tcPr>
          <w:p w14:paraId="4FE1B93C">
            <w:pPr>
              <w:adjustRightInd w:val="0"/>
              <w:snapToGrid w:val="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w:t>
            </w:r>
          </w:p>
        </w:tc>
      </w:tr>
      <w:tr w14:paraId="0279A2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9" w:type="dxa"/>
            <w:vAlign w:val="center"/>
          </w:tcPr>
          <w:p w14:paraId="17FB164A">
            <w:pPr>
              <w:adjustRightInd w:val="0"/>
              <w:snapToGrid w:val="0"/>
              <w:jc w:val="center"/>
              <w:rPr>
                <w:rFonts w:hint="default" w:ascii="Times New Roman" w:hAnsi="Times New Roman" w:eastAsia="宋体" w:cs="Times New Roman"/>
                <w:spacing w:val="-8"/>
                <w:sz w:val="24"/>
                <w:highlight w:val="none"/>
              </w:rPr>
            </w:pPr>
            <w:r>
              <w:rPr>
                <w:rFonts w:hint="default" w:ascii="Times New Roman" w:hAnsi="Times New Roman" w:eastAsia="宋体" w:cs="Times New Roman"/>
                <w:spacing w:val="-8"/>
                <w:sz w:val="24"/>
                <w:highlight w:val="none"/>
              </w:rPr>
              <w:t>环境风险防范措施</w:t>
            </w:r>
          </w:p>
        </w:tc>
        <w:tc>
          <w:tcPr>
            <w:tcW w:w="7571" w:type="dxa"/>
            <w:gridSpan w:val="4"/>
            <w:vAlign w:val="center"/>
          </w:tcPr>
          <w:p w14:paraId="1692DEEA">
            <w:pPr>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rPr>
              <w:t>①泄漏</w:t>
            </w:r>
            <w:r>
              <w:rPr>
                <w:rFonts w:hint="default" w:ascii="Times New Roman" w:hAnsi="Times New Roman" w:eastAsia="宋体" w:cs="Times New Roman"/>
                <w:sz w:val="24"/>
                <w:highlight w:val="none"/>
                <w:lang w:val="en-US" w:eastAsia="zh-CN"/>
              </w:rPr>
              <w:t>防范措施</w:t>
            </w:r>
          </w:p>
          <w:p w14:paraId="1B7E7C2B">
            <w:pPr>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a</w:t>
            </w:r>
            <w:r>
              <w:rPr>
                <w:rFonts w:hint="default" w:ascii="Times New Roman" w:hAnsi="Times New Roman" w:eastAsia="宋体" w:cs="Times New Roman"/>
                <w:sz w:val="24"/>
                <w:highlight w:val="none"/>
              </w:rPr>
              <w:t>、危险废物存入危险废物暂存间时，严格检验危险废物的质量、数量、包装情况、有无泄漏；在贮存期内，定期检查，发现其包装破损、渗漏等状况，及时处理；</w:t>
            </w:r>
          </w:p>
          <w:p w14:paraId="5E6E4A32">
            <w:pPr>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b</w:t>
            </w:r>
            <w:r>
              <w:rPr>
                <w:rFonts w:hint="default" w:ascii="Times New Roman" w:hAnsi="Times New Roman" w:eastAsia="宋体" w:cs="Times New Roman"/>
                <w:sz w:val="24"/>
                <w:highlight w:val="none"/>
              </w:rPr>
              <w:t>、危险废物暂存间</w:t>
            </w:r>
            <w:r>
              <w:rPr>
                <w:rFonts w:hint="default" w:ascii="Times New Roman" w:hAnsi="Times New Roman" w:eastAsia="宋体" w:cs="Times New Roman"/>
                <w:sz w:val="24"/>
                <w:highlight w:val="none"/>
                <w:lang w:eastAsia="zh-CN"/>
              </w:rPr>
              <w:t>做好</w:t>
            </w:r>
            <w:r>
              <w:rPr>
                <w:rFonts w:hint="default" w:ascii="Times New Roman" w:hAnsi="Times New Roman" w:eastAsia="宋体" w:cs="Times New Roman"/>
                <w:sz w:val="24"/>
                <w:highlight w:val="none"/>
              </w:rPr>
              <w:t>行防渗；一旦发生泄漏，应及时将泄漏物收集至专用桶内，并用活性炭或其他惰性材料吸附，吸附后的材料和清洗废水收集至专用容器内，放于危险废物暂存间内交由有资质单位处理；</w:t>
            </w:r>
          </w:p>
          <w:p w14:paraId="4821526E">
            <w:pPr>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c</w:t>
            </w:r>
            <w:r>
              <w:rPr>
                <w:rFonts w:hint="default" w:ascii="Times New Roman" w:hAnsi="Times New Roman" w:eastAsia="宋体" w:cs="Times New Roman"/>
                <w:sz w:val="24"/>
                <w:highlight w:val="none"/>
              </w:rPr>
              <w:t>、禁止向危险废物贮存场所以外的区域抛撒、倾倒、堆放、填埋或排放危险废物；</w:t>
            </w:r>
          </w:p>
          <w:p w14:paraId="41641FE0">
            <w:pPr>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d</w:t>
            </w:r>
            <w:r>
              <w:rPr>
                <w:rFonts w:hint="default" w:ascii="Times New Roman" w:hAnsi="Times New Roman" w:eastAsia="宋体" w:cs="Times New Roman"/>
                <w:sz w:val="24"/>
                <w:highlight w:val="none"/>
              </w:rPr>
              <w:t>、制定</w:t>
            </w:r>
            <w:r>
              <w:rPr>
                <w:rFonts w:hint="default" w:ascii="Times New Roman" w:hAnsi="Times New Roman" w:eastAsia="宋体" w:cs="Times New Roman"/>
                <w:sz w:val="24"/>
                <w:highlight w:val="none"/>
                <w:lang w:val="en-US" w:eastAsia="zh-CN"/>
              </w:rPr>
              <w:t>突发</w:t>
            </w:r>
            <w:r>
              <w:rPr>
                <w:rFonts w:hint="default" w:ascii="Times New Roman" w:hAnsi="Times New Roman" w:eastAsia="宋体" w:cs="Times New Roman"/>
                <w:sz w:val="24"/>
                <w:highlight w:val="none"/>
              </w:rPr>
              <w:t>环境风险</w:t>
            </w:r>
            <w:r>
              <w:rPr>
                <w:rFonts w:hint="default" w:ascii="Times New Roman" w:hAnsi="Times New Roman" w:eastAsia="宋体" w:cs="Times New Roman"/>
                <w:sz w:val="24"/>
                <w:highlight w:val="none"/>
                <w:lang w:val="en-US" w:eastAsia="zh-CN"/>
              </w:rPr>
              <w:t>事故</w:t>
            </w:r>
            <w:r>
              <w:rPr>
                <w:rFonts w:hint="default" w:ascii="Times New Roman" w:hAnsi="Times New Roman" w:eastAsia="宋体" w:cs="Times New Roman"/>
                <w:sz w:val="24"/>
                <w:highlight w:val="none"/>
              </w:rPr>
              <w:t>应急预案。</w:t>
            </w:r>
          </w:p>
          <w:p w14:paraId="3927AD04">
            <w:pPr>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②火灾</w:t>
            </w:r>
          </w:p>
          <w:p w14:paraId="422547B9">
            <w:pPr>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一旦发生火灾事故，建设单位应及时疏散厂区内员工，负责救援的人员，应及时佩戴呼吸器，以免浓烟损害健康。同时，应通知周围人群对人员进行疏散，避免人群长时间在 CO、烟尘浓度较高的条件下活动，出现刺激症状。建设单位在日常工作中应采取如下措施：</w:t>
            </w:r>
          </w:p>
          <w:p w14:paraId="2B3D52CF">
            <w:pPr>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a</w:t>
            </w:r>
            <w:r>
              <w:rPr>
                <w:rFonts w:hint="default" w:ascii="Times New Roman" w:hAnsi="Times New Roman" w:eastAsia="宋体" w:cs="Times New Roman"/>
                <w:sz w:val="24"/>
                <w:highlight w:val="none"/>
              </w:rPr>
              <w:t>、</w:t>
            </w:r>
            <w:r>
              <w:rPr>
                <w:rFonts w:hint="default" w:ascii="Times New Roman" w:hAnsi="Times New Roman" w:eastAsia="宋体" w:cs="Times New Roman"/>
                <w:sz w:val="24"/>
                <w:highlight w:val="none"/>
                <w:lang w:val="en-US" w:eastAsia="zh-CN"/>
              </w:rPr>
              <w:t>定期</w:t>
            </w:r>
            <w:r>
              <w:rPr>
                <w:rFonts w:hint="default" w:ascii="Times New Roman" w:hAnsi="Times New Roman" w:eastAsia="宋体" w:cs="Times New Roman"/>
                <w:sz w:val="24"/>
                <w:highlight w:val="none"/>
              </w:rPr>
              <w:t>检查试剂库中危险物品的使用及贮存情况，对使用、贮存情况应记录在册；</w:t>
            </w:r>
          </w:p>
          <w:p w14:paraId="6A9E976E">
            <w:pPr>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b</w:t>
            </w:r>
            <w:r>
              <w:rPr>
                <w:rFonts w:hint="default" w:ascii="Times New Roman" w:hAnsi="Times New Roman" w:eastAsia="宋体" w:cs="Times New Roman"/>
                <w:sz w:val="24"/>
                <w:highlight w:val="none"/>
              </w:rPr>
              <w:t>、加强火源的管理，严禁烟火带入，危险物质储存场所应设有明显的禁止烟火安全标志；</w:t>
            </w:r>
          </w:p>
          <w:p w14:paraId="612434B2">
            <w:pPr>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c</w:t>
            </w:r>
            <w:r>
              <w:rPr>
                <w:rFonts w:hint="default" w:ascii="Times New Roman" w:hAnsi="Times New Roman" w:eastAsia="宋体" w:cs="Times New Roman"/>
                <w:sz w:val="24"/>
                <w:highlight w:val="none"/>
              </w:rPr>
              <w:t>、制定操作规程，在危险物质储存场所内设置灭火器，并配备一定数量的自给式呼吸器、消防防护服等；</w:t>
            </w:r>
          </w:p>
          <w:p w14:paraId="4506736B">
            <w:pPr>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d</w:t>
            </w:r>
            <w:r>
              <w:rPr>
                <w:rFonts w:hint="default" w:ascii="Times New Roman" w:hAnsi="Times New Roman" w:eastAsia="宋体" w:cs="Times New Roman"/>
                <w:sz w:val="24"/>
                <w:highlight w:val="none"/>
              </w:rPr>
              <w:t>、定期对职工进行消防安全知识培训，一旦发生事故能采取正确的应急措施；</w:t>
            </w:r>
          </w:p>
          <w:p w14:paraId="2386B926">
            <w:pPr>
              <w:snapToGrid w:val="0"/>
              <w:spacing w:line="360" w:lineRule="auto"/>
              <w:ind w:firstLine="480" w:firstLineChars="200"/>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 w:val="24"/>
                <w:highlight w:val="none"/>
                <w:lang w:val="en-US" w:eastAsia="zh-CN"/>
              </w:rPr>
              <w:t>e</w:t>
            </w:r>
            <w:r>
              <w:rPr>
                <w:rFonts w:hint="default" w:ascii="Times New Roman" w:hAnsi="Times New Roman" w:eastAsia="宋体" w:cs="Times New Roman"/>
                <w:sz w:val="24"/>
                <w:highlight w:val="none"/>
              </w:rPr>
              <w:t>、</w:t>
            </w:r>
            <w:r>
              <w:rPr>
                <w:rFonts w:hint="default" w:ascii="Times New Roman" w:hAnsi="Times New Roman" w:eastAsia="宋体" w:cs="Times New Roman"/>
                <w:sz w:val="24"/>
                <w:highlight w:val="none"/>
                <w:lang w:val="en-US" w:eastAsia="zh-CN"/>
              </w:rPr>
              <w:t>定期开展环保设施安全风险辨识评估，定期组织隐患排查，发现问题及时处理。</w:t>
            </w:r>
          </w:p>
        </w:tc>
      </w:tr>
      <w:tr w14:paraId="045DED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229" w:type="dxa"/>
            <w:vAlign w:val="center"/>
          </w:tcPr>
          <w:p w14:paraId="0F4E6041">
            <w:pPr>
              <w:adjustRightInd w:val="0"/>
              <w:snapToGrid w:val="0"/>
              <w:jc w:val="center"/>
              <w:rPr>
                <w:rFonts w:hint="default" w:ascii="Times New Roman" w:hAnsi="Times New Roman" w:eastAsia="宋体" w:cs="Times New Roman"/>
                <w:spacing w:val="-8"/>
                <w:sz w:val="24"/>
                <w:highlight w:val="none"/>
              </w:rPr>
            </w:pPr>
            <w:r>
              <w:rPr>
                <w:rFonts w:hint="default" w:ascii="Times New Roman" w:hAnsi="Times New Roman" w:eastAsia="宋体" w:cs="Times New Roman"/>
                <w:spacing w:val="-8"/>
                <w:sz w:val="24"/>
                <w:highlight w:val="none"/>
              </w:rPr>
              <w:t>其他环境管理要求</w:t>
            </w:r>
          </w:p>
        </w:tc>
        <w:tc>
          <w:tcPr>
            <w:tcW w:w="7571" w:type="dxa"/>
            <w:gridSpan w:val="4"/>
            <w:vAlign w:val="center"/>
          </w:tcPr>
          <w:p w14:paraId="58985590">
            <w:pPr>
              <w:snapToGrid w:val="0"/>
              <w:spacing w:line="360" w:lineRule="auto"/>
              <w:ind w:firstLine="480" w:firstLineChars="200"/>
              <w:rPr>
                <w:rFonts w:hint="default" w:ascii="Times New Roman" w:hAnsi="Times New Roman" w:eastAsia="宋体" w:cs="Times New Roman"/>
                <w:b w:val="0"/>
                <w:bCs w:val="0"/>
                <w:sz w:val="24"/>
                <w:highlight w:val="none"/>
              </w:rPr>
            </w:pPr>
            <w:r>
              <w:rPr>
                <w:rFonts w:hint="default" w:ascii="Times New Roman" w:hAnsi="Times New Roman" w:eastAsia="宋体" w:cs="Times New Roman"/>
                <w:b w:val="0"/>
                <w:bCs w:val="0"/>
                <w:sz w:val="24"/>
                <w:highlight w:val="none"/>
              </w:rPr>
              <w:t>（1）与排污许可制衔接要求</w:t>
            </w:r>
          </w:p>
          <w:p w14:paraId="5BE485C8">
            <w:pPr>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根据《国民经济行业分类》（GB/T4754-2017），本项目属于</w:t>
            </w:r>
            <w:r>
              <w:rPr>
                <w:rFonts w:hint="eastAsia"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M73</w:t>
            </w:r>
            <w:r>
              <w:rPr>
                <w:rFonts w:hint="default" w:ascii="Times New Roman" w:hAnsi="Times New Roman" w:eastAsia="宋体" w:cs="Times New Roman"/>
                <w:sz w:val="24"/>
                <w:highlight w:val="none"/>
                <w:lang w:val="en-US" w:eastAsia="zh-CN"/>
              </w:rPr>
              <w:t>2</w:t>
            </w:r>
            <w:r>
              <w:rPr>
                <w:rFonts w:hint="default" w:ascii="Times New Roman" w:hAnsi="Times New Roman" w:eastAsia="宋体" w:cs="Times New Roman"/>
                <w:sz w:val="24"/>
                <w:highlight w:val="none"/>
              </w:rPr>
              <w:t>0</w:t>
            </w:r>
            <w:r>
              <w:rPr>
                <w:rFonts w:hint="default" w:ascii="Times New Roman" w:hAnsi="Times New Roman" w:eastAsia="宋体" w:cs="Times New Roman"/>
                <w:sz w:val="24"/>
                <w:highlight w:val="none"/>
                <w:lang w:val="en-US" w:eastAsia="zh-CN"/>
              </w:rPr>
              <w:t>工程和技术研究和实验发展</w:t>
            </w:r>
            <w:r>
              <w:rPr>
                <w:rFonts w:hint="eastAsia"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。对照《固定污染源排污许可分类管理名录》（2019版）内，本项目暂无相关要求。</w:t>
            </w:r>
          </w:p>
          <w:p w14:paraId="5004A636">
            <w:pPr>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根据《关于做好环境影响评价制度与排污许可制衔接相关工作的通知》（环办环评[2017]84号）文件要求，需做好建设项目环境影响评价制度与排污许可制有机衔接相关工作。按照该要求，核定建设项目的产排污环节、污染物种类及污染防治设施和措施等基本信息，严格核定排放口数量、位置以及每个排放口的污染物种类、允许排放浓度和允许排放量、排放方式、排放去向、自行监测计划等与污染物排放相关的主要内容。</w:t>
            </w:r>
          </w:p>
          <w:p w14:paraId="39C41C45">
            <w:pPr>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本项目污染物排放相关的主要内容详见下表：</w:t>
            </w:r>
          </w:p>
          <w:p w14:paraId="00F0488A">
            <w:pPr>
              <w:numPr>
                <w:ilvl w:val="0"/>
                <w:numId w:val="0"/>
              </w:numPr>
              <w:adjustRightInd w:val="0"/>
              <w:spacing w:line="360" w:lineRule="auto"/>
              <w:ind w:leftChars="0"/>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lang w:val="en-US" w:eastAsia="zh-CN"/>
              </w:rPr>
              <w:t xml:space="preserve">表5-1  </w:t>
            </w:r>
            <w:r>
              <w:rPr>
                <w:rFonts w:hint="default" w:ascii="Times New Roman" w:hAnsi="Times New Roman" w:eastAsia="宋体" w:cs="Times New Roman"/>
                <w:b/>
                <w:sz w:val="24"/>
                <w:highlight w:val="none"/>
              </w:rPr>
              <w:t>项目与污染物排放相关内容一览表</w:t>
            </w:r>
          </w:p>
          <w:tbl>
            <w:tblPr>
              <w:tblStyle w:val="18"/>
              <w:tblW w:w="7358" w:type="dxa"/>
              <w:tblInd w:w="5"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3087"/>
              <w:gridCol w:w="3109"/>
            </w:tblGrid>
            <w:tr w14:paraId="6BF9912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162" w:type="dxa"/>
                  <w:tcBorders>
                    <w:tl2br w:val="nil"/>
                    <w:tr2bl w:val="nil"/>
                  </w:tcBorders>
                  <w:tcMar>
                    <w:top w:w="0" w:type="dxa"/>
                    <w:left w:w="0" w:type="dxa"/>
                    <w:bottom w:w="0" w:type="dxa"/>
                    <w:right w:w="0" w:type="dxa"/>
                  </w:tcMar>
                  <w:vAlign w:val="center"/>
                </w:tcPr>
                <w:p w14:paraId="795AF523">
                  <w:pPr>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类别</w:t>
                  </w:r>
                </w:p>
              </w:tc>
              <w:tc>
                <w:tcPr>
                  <w:tcW w:w="3087" w:type="dxa"/>
                  <w:tcBorders>
                    <w:tl2br w:val="nil"/>
                    <w:tr2bl w:val="nil"/>
                  </w:tcBorders>
                  <w:tcMar>
                    <w:top w:w="0" w:type="dxa"/>
                    <w:left w:w="0" w:type="dxa"/>
                    <w:bottom w:w="0" w:type="dxa"/>
                    <w:right w:w="0" w:type="dxa"/>
                  </w:tcMar>
                  <w:vAlign w:val="center"/>
                </w:tcPr>
                <w:p w14:paraId="0C7FA203">
                  <w:pPr>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废气</w:t>
                  </w:r>
                </w:p>
              </w:tc>
              <w:tc>
                <w:tcPr>
                  <w:tcW w:w="3109" w:type="dxa"/>
                  <w:tcBorders>
                    <w:tl2br w:val="nil"/>
                    <w:tr2bl w:val="nil"/>
                  </w:tcBorders>
                  <w:tcMar>
                    <w:top w:w="0" w:type="dxa"/>
                    <w:left w:w="0" w:type="dxa"/>
                    <w:bottom w:w="0" w:type="dxa"/>
                    <w:right w:w="0" w:type="dxa"/>
                  </w:tcMar>
                  <w:vAlign w:val="center"/>
                </w:tcPr>
                <w:p w14:paraId="038FC65C">
                  <w:pPr>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废水</w:t>
                  </w:r>
                </w:p>
              </w:tc>
            </w:tr>
            <w:tr w14:paraId="4D6055D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1162" w:type="dxa"/>
                  <w:tcBorders>
                    <w:tl2br w:val="nil"/>
                    <w:tr2bl w:val="nil"/>
                  </w:tcBorders>
                  <w:tcMar>
                    <w:top w:w="0" w:type="dxa"/>
                    <w:left w:w="0" w:type="dxa"/>
                    <w:bottom w:w="0" w:type="dxa"/>
                    <w:right w:w="0" w:type="dxa"/>
                  </w:tcMar>
                  <w:vAlign w:val="center"/>
                </w:tcPr>
                <w:p w14:paraId="429F6B8B">
                  <w:pPr>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产排污环节</w:t>
                  </w:r>
                </w:p>
              </w:tc>
              <w:tc>
                <w:tcPr>
                  <w:tcW w:w="3087" w:type="dxa"/>
                  <w:tcBorders>
                    <w:tl2br w:val="nil"/>
                    <w:tr2bl w:val="nil"/>
                  </w:tcBorders>
                  <w:tcMar>
                    <w:top w:w="0" w:type="dxa"/>
                    <w:left w:w="0" w:type="dxa"/>
                    <w:bottom w:w="0" w:type="dxa"/>
                    <w:right w:w="0" w:type="dxa"/>
                  </w:tcMar>
                  <w:vAlign w:val="center"/>
                </w:tcPr>
                <w:p w14:paraId="43051389">
                  <w:pPr>
                    <w:rPr>
                      <w:rFonts w:hint="default" w:ascii="Times New Roman" w:hAnsi="Times New Roman" w:eastAsia="宋体" w:cs="Times New Roman"/>
                      <w:bCs/>
                      <w:szCs w:val="21"/>
                      <w:highlight w:val="none"/>
                      <w:lang w:eastAsia="zh-CN"/>
                    </w:rPr>
                  </w:pPr>
                  <w:r>
                    <w:rPr>
                      <w:rFonts w:hint="default" w:ascii="Times New Roman" w:hAnsi="Times New Roman" w:eastAsia="宋体" w:cs="Times New Roman"/>
                      <w:color w:val="000000"/>
                      <w:kern w:val="0"/>
                      <w:sz w:val="21"/>
                      <w:szCs w:val="21"/>
                      <w:lang w:val="en-US" w:eastAsia="zh-CN" w:bidi="ar"/>
                    </w:rPr>
                    <w:t>擦拭、晶界腐蚀、镶样、</w:t>
                  </w:r>
                  <w:r>
                    <w:rPr>
                      <w:rFonts w:hint="eastAsia" w:cs="Times New Roman"/>
                      <w:color w:val="000000"/>
                      <w:kern w:val="0"/>
                      <w:sz w:val="21"/>
                      <w:szCs w:val="21"/>
                      <w:lang w:val="en-US" w:eastAsia="zh-CN" w:bidi="ar"/>
                    </w:rPr>
                    <w:t>沉淀反应、</w:t>
                  </w:r>
                  <w:r>
                    <w:rPr>
                      <w:rFonts w:hint="default" w:ascii="Times New Roman" w:hAnsi="Times New Roman" w:eastAsia="宋体" w:cs="Times New Roman"/>
                      <w:color w:val="000000"/>
                      <w:kern w:val="0"/>
                      <w:sz w:val="21"/>
                      <w:szCs w:val="21"/>
                      <w:lang w:val="en-US" w:eastAsia="zh-CN" w:bidi="ar"/>
                    </w:rPr>
                    <w:t>电池组装、浸树脂、护盒固定、熔炼、混合粉碎、酸解等</w:t>
                  </w:r>
                </w:p>
              </w:tc>
              <w:tc>
                <w:tcPr>
                  <w:tcW w:w="3109" w:type="dxa"/>
                  <w:tcBorders>
                    <w:tl2br w:val="nil"/>
                    <w:tr2bl w:val="nil"/>
                  </w:tcBorders>
                  <w:shd w:val="clear" w:color="auto" w:fill="auto"/>
                  <w:tcMar>
                    <w:top w:w="0" w:type="dxa"/>
                    <w:left w:w="0" w:type="dxa"/>
                    <w:bottom w:w="0" w:type="dxa"/>
                    <w:right w:w="0" w:type="dxa"/>
                  </w:tcMar>
                  <w:vAlign w:val="center"/>
                </w:tcPr>
                <w:p w14:paraId="3595CC14">
                  <w:pPr>
                    <w:snapToGri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清洗、纯水制备、员工生活</w:t>
                  </w:r>
                </w:p>
              </w:tc>
            </w:tr>
            <w:tr w14:paraId="13E8697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162" w:type="dxa"/>
                  <w:tcBorders>
                    <w:tl2br w:val="nil"/>
                    <w:tr2bl w:val="nil"/>
                  </w:tcBorders>
                  <w:tcMar>
                    <w:top w:w="0" w:type="dxa"/>
                    <w:left w:w="0" w:type="dxa"/>
                    <w:bottom w:w="0" w:type="dxa"/>
                    <w:right w:w="0" w:type="dxa"/>
                  </w:tcMar>
                  <w:vAlign w:val="center"/>
                </w:tcPr>
                <w:p w14:paraId="6DC459CF">
                  <w:pPr>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污染物种类</w:t>
                  </w:r>
                </w:p>
              </w:tc>
              <w:tc>
                <w:tcPr>
                  <w:tcW w:w="3087" w:type="dxa"/>
                  <w:tcBorders>
                    <w:tl2br w:val="nil"/>
                    <w:tr2bl w:val="nil"/>
                  </w:tcBorders>
                  <w:tcMar>
                    <w:top w:w="0" w:type="dxa"/>
                    <w:left w:w="0" w:type="dxa"/>
                    <w:bottom w:w="0" w:type="dxa"/>
                    <w:right w:w="0" w:type="dxa"/>
                  </w:tcMar>
                  <w:vAlign w:val="center"/>
                </w:tcPr>
                <w:p w14:paraId="0A5D0DFA">
                  <w:pPr>
                    <w:snapToGrid w:val="0"/>
                    <w:jc w:val="center"/>
                    <w:rPr>
                      <w:rFonts w:hint="eastAsia" w:ascii="Times New Roman" w:hAnsi="Times New Roman" w:eastAsia="宋体" w:cs="Times New Roman"/>
                      <w:bCs/>
                      <w:szCs w:val="21"/>
                      <w:highlight w:val="none"/>
                      <w:lang w:eastAsia="zh-CN"/>
                    </w:rPr>
                  </w:pPr>
                  <w:r>
                    <w:rPr>
                      <w:rFonts w:hint="default" w:ascii="Times New Roman" w:hAnsi="Times New Roman" w:eastAsia="宋体" w:cs="Times New Roman"/>
                      <w:bCs/>
                      <w:szCs w:val="21"/>
                      <w:highlight w:val="none"/>
                    </w:rPr>
                    <w:t>非甲烷总烃</w:t>
                  </w:r>
                  <w:r>
                    <w:rPr>
                      <w:rFonts w:hint="default" w:ascii="Times New Roman" w:hAnsi="Times New Roman" w:eastAsia="宋体" w:cs="Times New Roman"/>
                      <w:bCs/>
                      <w:szCs w:val="21"/>
                      <w:highlight w:val="none"/>
                      <w:lang w:eastAsia="zh-CN"/>
                    </w:rPr>
                    <w:t>、</w:t>
                  </w:r>
                  <w:r>
                    <w:rPr>
                      <w:rFonts w:hint="default" w:ascii="Times New Roman" w:hAnsi="Times New Roman" w:eastAsia="宋体" w:cs="Times New Roman"/>
                      <w:bCs/>
                      <w:szCs w:val="21"/>
                      <w:highlight w:val="none"/>
                      <w:lang w:val="en-US" w:eastAsia="zh-CN"/>
                    </w:rPr>
                    <w:t>颗粒物、镍及其化合物、氯化氢、氮氧化物、</w:t>
                  </w:r>
                  <w:r>
                    <w:rPr>
                      <w:rFonts w:hint="default" w:ascii="Times New Roman" w:hAnsi="Times New Roman" w:eastAsia="宋体" w:cs="Times New Roman"/>
                      <w:bCs/>
                      <w:szCs w:val="21"/>
                      <w:highlight w:val="none"/>
                    </w:rPr>
                    <w:t>氨</w:t>
                  </w:r>
                  <w:r>
                    <w:rPr>
                      <w:rFonts w:hint="eastAsia" w:cs="Times New Roman"/>
                      <w:bCs/>
                      <w:szCs w:val="21"/>
                      <w:highlight w:val="none"/>
                      <w:lang w:eastAsia="zh-CN"/>
                    </w:rPr>
                    <w:t>、</w:t>
                  </w:r>
                  <w:r>
                    <w:rPr>
                      <w:rFonts w:hint="eastAsia" w:cs="Times New Roman"/>
                      <w:bCs/>
                      <w:szCs w:val="21"/>
                      <w:highlight w:val="none"/>
                      <w:lang w:val="en-US" w:eastAsia="zh-CN"/>
                    </w:rPr>
                    <w:t>氟化物（以F计）</w:t>
                  </w:r>
                </w:p>
              </w:tc>
              <w:tc>
                <w:tcPr>
                  <w:tcW w:w="3109" w:type="dxa"/>
                  <w:tcBorders>
                    <w:tl2br w:val="nil"/>
                    <w:tr2bl w:val="nil"/>
                  </w:tcBorders>
                  <w:shd w:val="clear" w:color="auto" w:fill="auto"/>
                  <w:tcMar>
                    <w:top w:w="0" w:type="dxa"/>
                    <w:left w:w="0" w:type="dxa"/>
                    <w:bottom w:w="0" w:type="dxa"/>
                    <w:right w:w="0" w:type="dxa"/>
                  </w:tcMar>
                  <w:vAlign w:val="center"/>
                </w:tcPr>
                <w:p w14:paraId="00FD99C5">
                  <w:pPr>
                    <w:snapToGri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lang w:eastAsia="zh-CN"/>
                    </w:rPr>
                    <w:t>pH</w:t>
                  </w:r>
                  <w:r>
                    <w:rPr>
                      <w:rFonts w:hint="default" w:ascii="Times New Roman" w:hAnsi="Times New Roman" w:eastAsia="宋体" w:cs="Times New Roman"/>
                      <w:bCs/>
                      <w:szCs w:val="21"/>
                      <w:highlight w:val="none"/>
                    </w:rPr>
                    <w:t>、COD</w:t>
                  </w:r>
                  <w:r>
                    <w:rPr>
                      <w:rFonts w:hint="default" w:ascii="Times New Roman" w:hAnsi="Times New Roman" w:eastAsia="宋体" w:cs="Times New Roman"/>
                      <w:bCs/>
                      <w:szCs w:val="21"/>
                      <w:highlight w:val="none"/>
                      <w:vertAlign w:val="subscript"/>
                    </w:rPr>
                    <w:t>Cr</w:t>
                  </w:r>
                  <w:r>
                    <w:rPr>
                      <w:rFonts w:hint="default" w:ascii="Times New Roman" w:hAnsi="Times New Roman" w:eastAsia="宋体" w:cs="Times New Roman"/>
                      <w:bCs/>
                      <w:szCs w:val="21"/>
                      <w:highlight w:val="none"/>
                    </w:rPr>
                    <w:t>、BOD</w:t>
                  </w:r>
                  <w:r>
                    <w:rPr>
                      <w:rFonts w:hint="default" w:ascii="Times New Roman" w:hAnsi="Times New Roman" w:eastAsia="宋体" w:cs="Times New Roman"/>
                      <w:bCs/>
                      <w:szCs w:val="21"/>
                      <w:highlight w:val="none"/>
                      <w:vertAlign w:val="subscript"/>
                    </w:rPr>
                    <w:t>5</w:t>
                  </w:r>
                  <w:r>
                    <w:rPr>
                      <w:rFonts w:hint="default" w:ascii="Times New Roman" w:hAnsi="Times New Roman" w:eastAsia="宋体" w:cs="Times New Roman"/>
                      <w:bCs/>
                      <w:szCs w:val="21"/>
                      <w:highlight w:val="none"/>
                    </w:rPr>
                    <w:t>、SS、氨氮</w:t>
                  </w:r>
                </w:p>
                <w:p w14:paraId="238F64F0">
                  <w:pPr>
                    <w:snapToGri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可溶性固体总量</w:t>
                  </w:r>
                </w:p>
              </w:tc>
            </w:tr>
            <w:tr w14:paraId="582EF9A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162" w:type="dxa"/>
                  <w:tcBorders>
                    <w:tl2br w:val="nil"/>
                    <w:tr2bl w:val="nil"/>
                  </w:tcBorders>
                  <w:tcMar>
                    <w:top w:w="0" w:type="dxa"/>
                    <w:left w:w="0" w:type="dxa"/>
                    <w:bottom w:w="0" w:type="dxa"/>
                    <w:right w:w="0" w:type="dxa"/>
                  </w:tcMar>
                  <w:vAlign w:val="center"/>
                </w:tcPr>
                <w:p w14:paraId="4CA06147">
                  <w:pPr>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污染防治措施</w:t>
                  </w:r>
                </w:p>
              </w:tc>
              <w:tc>
                <w:tcPr>
                  <w:tcW w:w="3087" w:type="dxa"/>
                  <w:tcBorders>
                    <w:tl2br w:val="nil"/>
                    <w:tr2bl w:val="nil"/>
                  </w:tcBorders>
                  <w:tcMar>
                    <w:top w:w="0" w:type="dxa"/>
                    <w:left w:w="0" w:type="dxa"/>
                    <w:bottom w:w="0" w:type="dxa"/>
                    <w:right w:w="0" w:type="dxa"/>
                  </w:tcMar>
                  <w:vAlign w:val="center"/>
                </w:tcPr>
                <w:p w14:paraId="7BE83C1E">
                  <w:pPr>
                    <w:snapToGrid w:val="0"/>
                    <w:jc w:val="center"/>
                    <w:rPr>
                      <w:rFonts w:hint="default" w:ascii="Times New Roman" w:hAnsi="Times New Roman" w:eastAsia="宋体" w:cs="Times New Roman"/>
                      <w:bCs/>
                      <w:szCs w:val="21"/>
                      <w:highlight w:val="none"/>
                      <w:lang w:eastAsia="zh-CN"/>
                    </w:rPr>
                  </w:pPr>
                  <w:r>
                    <w:rPr>
                      <w:rFonts w:hint="eastAsia" w:cs="Times New Roman"/>
                      <w:bCs/>
                      <w:szCs w:val="21"/>
                      <w:highlight w:val="none"/>
                      <w:lang w:val="en-US" w:eastAsia="zh-CN"/>
                    </w:rPr>
                    <w:t>袋式除尘器、干式过滤器</w:t>
                  </w:r>
                  <w:r>
                    <w:rPr>
                      <w:rFonts w:hint="default" w:ascii="Times New Roman" w:hAnsi="Times New Roman" w:eastAsia="宋体" w:cs="Times New Roman"/>
                      <w:bCs/>
                      <w:szCs w:val="21"/>
                      <w:highlight w:val="none"/>
                      <w:lang w:eastAsia="zh-CN"/>
                    </w:rPr>
                    <w:t>、</w:t>
                  </w:r>
                  <w:r>
                    <w:rPr>
                      <w:rFonts w:hint="default" w:ascii="Times New Roman" w:hAnsi="Times New Roman" w:eastAsia="宋体" w:cs="Times New Roman"/>
                      <w:bCs/>
                      <w:szCs w:val="21"/>
                      <w:highlight w:val="none"/>
                      <w:lang w:val="en-US" w:eastAsia="zh-CN"/>
                    </w:rPr>
                    <w:t>喷淋塔</w:t>
                  </w:r>
                </w:p>
              </w:tc>
              <w:tc>
                <w:tcPr>
                  <w:tcW w:w="3109" w:type="dxa"/>
                  <w:tcBorders>
                    <w:tl2br w:val="nil"/>
                    <w:tr2bl w:val="nil"/>
                  </w:tcBorders>
                  <w:shd w:val="clear" w:color="auto" w:fill="auto"/>
                  <w:tcMar>
                    <w:top w:w="0" w:type="dxa"/>
                    <w:left w:w="0" w:type="dxa"/>
                    <w:bottom w:w="0" w:type="dxa"/>
                    <w:right w:w="0" w:type="dxa"/>
                  </w:tcMar>
                  <w:vAlign w:val="center"/>
                </w:tcPr>
                <w:p w14:paraId="5307585A">
                  <w:pPr>
                    <w:snapToGri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化粪池</w:t>
                  </w:r>
                </w:p>
              </w:tc>
            </w:tr>
            <w:tr w14:paraId="3AFF5FC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162" w:type="dxa"/>
                  <w:tcBorders>
                    <w:tl2br w:val="nil"/>
                    <w:tr2bl w:val="nil"/>
                  </w:tcBorders>
                  <w:tcMar>
                    <w:top w:w="0" w:type="dxa"/>
                    <w:left w:w="0" w:type="dxa"/>
                    <w:bottom w:w="0" w:type="dxa"/>
                    <w:right w:w="0" w:type="dxa"/>
                  </w:tcMar>
                  <w:vAlign w:val="center"/>
                </w:tcPr>
                <w:p w14:paraId="2F099978">
                  <w:pPr>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排污口数量及位置</w:t>
                  </w:r>
                </w:p>
              </w:tc>
              <w:tc>
                <w:tcPr>
                  <w:tcW w:w="3087" w:type="dxa"/>
                  <w:tcBorders>
                    <w:tl2br w:val="nil"/>
                    <w:tr2bl w:val="nil"/>
                  </w:tcBorders>
                  <w:tcMar>
                    <w:top w:w="0" w:type="dxa"/>
                    <w:left w:w="0" w:type="dxa"/>
                    <w:bottom w:w="0" w:type="dxa"/>
                    <w:right w:w="0" w:type="dxa"/>
                  </w:tcMar>
                  <w:vAlign w:val="center"/>
                </w:tcPr>
                <w:p w14:paraId="72957619">
                  <w:pPr>
                    <w:snapToGrid w:val="0"/>
                    <w:jc w:val="center"/>
                    <w:rPr>
                      <w:rFonts w:hint="default" w:ascii="Times New Roman" w:hAnsi="Times New Roman" w:eastAsia="宋体" w:cs="Times New Roman"/>
                      <w:bCs/>
                      <w:szCs w:val="21"/>
                      <w:highlight w:val="none"/>
                    </w:rPr>
                  </w:pPr>
                  <w:r>
                    <w:rPr>
                      <w:rFonts w:hint="eastAsia" w:cs="Times New Roman"/>
                      <w:bCs/>
                      <w:szCs w:val="21"/>
                      <w:highlight w:val="none"/>
                      <w:lang w:val="en-US" w:eastAsia="zh-CN"/>
                    </w:rPr>
                    <w:t>8</w:t>
                  </w:r>
                  <w:r>
                    <w:rPr>
                      <w:rFonts w:hint="default" w:ascii="Times New Roman" w:hAnsi="Times New Roman" w:eastAsia="宋体" w:cs="Times New Roman"/>
                      <w:bCs/>
                      <w:szCs w:val="21"/>
                      <w:highlight w:val="none"/>
                    </w:rPr>
                    <w:t>个</w:t>
                  </w:r>
                  <w:r>
                    <w:rPr>
                      <w:rFonts w:hint="default" w:ascii="Times New Roman" w:hAnsi="Times New Roman" w:eastAsia="宋体" w:cs="Times New Roman"/>
                      <w:bCs/>
                      <w:szCs w:val="21"/>
                      <w:highlight w:val="none"/>
                      <w:lang w:eastAsia="zh-CN"/>
                    </w:rPr>
                    <w:t>，</w:t>
                  </w:r>
                  <w:r>
                    <w:rPr>
                      <w:rFonts w:hint="default" w:ascii="Times New Roman" w:hAnsi="Times New Roman" w:eastAsia="宋体" w:cs="Times New Roman"/>
                      <w:bCs/>
                      <w:szCs w:val="21"/>
                      <w:highlight w:val="none"/>
                    </w:rPr>
                    <w:t>位于楼顶</w:t>
                  </w:r>
                </w:p>
              </w:tc>
              <w:tc>
                <w:tcPr>
                  <w:tcW w:w="3109" w:type="dxa"/>
                  <w:tcBorders>
                    <w:tl2br w:val="nil"/>
                    <w:tr2bl w:val="nil"/>
                  </w:tcBorders>
                  <w:tcMar>
                    <w:top w:w="0" w:type="dxa"/>
                    <w:left w:w="0" w:type="dxa"/>
                    <w:bottom w:w="0" w:type="dxa"/>
                    <w:right w:w="0" w:type="dxa"/>
                  </w:tcMar>
                  <w:vAlign w:val="center"/>
                </w:tcPr>
                <w:p w14:paraId="3373E0EC">
                  <w:pPr>
                    <w:snapToGrid w:val="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1个</w:t>
                  </w:r>
                  <w:r>
                    <w:rPr>
                      <w:rFonts w:hint="default" w:ascii="Times New Roman" w:hAnsi="Times New Roman" w:eastAsia="宋体" w:cs="Times New Roman"/>
                      <w:bCs/>
                      <w:szCs w:val="21"/>
                      <w:highlight w:val="none"/>
                      <w:lang w:eastAsia="zh-CN"/>
                    </w:rPr>
                    <w:t>，</w:t>
                  </w:r>
                  <w:r>
                    <w:rPr>
                      <w:rFonts w:hint="default" w:ascii="Times New Roman" w:hAnsi="Times New Roman" w:eastAsia="宋体" w:cs="Times New Roman"/>
                      <w:bCs/>
                      <w:szCs w:val="21"/>
                      <w:highlight w:val="none"/>
                    </w:rPr>
                    <w:t>位于</w:t>
                  </w:r>
                  <w:r>
                    <w:rPr>
                      <w:rFonts w:hint="default" w:ascii="Times New Roman" w:hAnsi="Times New Roman" w:eastAsia="宋体" w:cs="Times New Roman"/>
                      <w:bCs/>
                      <w:szCs w:val="21"/>
                      <w:highlight w:val="none"/>
                      <w:lang w:val="en-US" w:eastAsia="zh-CN"/>
                    </w:rPr>
                    <w:t>7号</w:t>
                  </w:r>
                  <w:r>
                    <w:rPr>
                      <w:rFonts w:hint="default" w:ascii="Times New Roman" w:hAnsi="Times New Roman" w:eastAsia="宋体" w:cs="Times New Roman"/>
                      <w:bCs/>
                      <w:szCs w:val="21"/>
                      <w:highlight w:val="none"/>
                    </w:rPr>
                    <w:t>楼</w:t>
                  </w:r>
                  <w:r>
                    <w:rPr>
                      <w:rFonts w:hint="default" w:ascii="Times New Roman" w:hAnsi="Times New Roman" w:eastAsia="宋体" w:cs="Times New Roman"/>
                      <w:bCs/>
                      <w:szCs w:val="21"/>
                      <w:highlight w:val="none"/>
                      <w:lang w:val="en-US" w:eastAsia="zh-CN"/>
                    </w:rPr>
                    <w:t>南</w:t>
                  </w:r>
                  <w:r>
                    <w:rPr>
                      <w:rFonts w:hint="default" w:ascii="Times New Roman" w:hAnsi="Times New Roman" w:eastAsia="宋体" w:cs="Times New Roman"/>
                      <w:bCs/>
                      <w:szCs w:val="21"/>
                      <w:highlight w:val="none"/>
                    </w:rPr>
                    <w:t>侧</w:t>
                  </w:r>
                </w:p>
              </w:tc>
            </w:tr>
            <w:tr w14:paraId="263989E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1162" w:type="dxa"/>
                  <w:tcBorders>
                    <w:tl2br w:val="nil"/>
                    <w:tr2bl w:val="nil"/>
                  </w:tcBorders>
                  <w:tcMar>
                    <w:top w:w="0" w:type="dxa"/>
                    <w:left w:w="0" w:type="dxa"/>
                    <w:bottom w:w="0" w:type="dxa"/>
                    <w:right w:w="0" w:type="dxa"/>
                  </w:tcMar>
                  <w:vAlign w:val="center"/>
                </w:tcPr>
                <w:p w14:paraId="24585740">
                  <w:pPr>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排放方式及去向</w:t>
                  </w:r>
                </w:p>
              </w:tc>
              <w:tc>
                <w:tcPr>
                  <w:tcW w:w="3087" w:type="dxa"/>
                  <w:tcBorders>
                    <w:tl2br w:val="nil"/>
                    <w:tr2bl w:val="nil"/>
                  </w:tcBorders>
                  <w:tcMar>
                    <w:top w:w="0" w:type="dxa"/>
                    <w:left w:w="0" w:type="dxa"/>
                    <w:bottom w:w="0" w:type="dxa"/>
                    <w:right w:w="0" w:type="dxa"/>
                  </w:tcMar>
                  <w:vAlign w:val="center"/>
                </w:tcPr>
                <w:p w14:paraId="653AF23F">
                  <w:pPr>
                    <w:snapToGrid w:val="0"/>
                    <w:jc w:val="center"/>
                    <w:rPr>
                      <w:rFonts w:hint="default" w:ascii="Times New Roman" w:hAnsi="Times New Roman" w:eastAsia="宋体" w:cs="Times New Roman"/>
                      <w:bCs/>
                      <w:szCs w:val="21"/>
                      <w:highlight w:val="none"/>
                      <w:lang w:eastAsia="zh-CN"/>
                    </w:rPr>
                  </w:pPr>
                  <w:r>
                    <w:rPr>
                      <w:rFonts w:hint="default" w:ascii="Times New Roman" w:hAnsi="Times New Roman" w:eastAsia="宋体" w:cs="Times New Roman"/>
                      <w:bCs/>
                      <w:szCs w:val="21"/>
                      <w:highlight w:val="none"/>
                    </w:rPr>
                    <w:t>处理达标后由排气筒排入大气环境</w:t>
                  </w:r>
                </w:p>
              </w:tc>
              <w:tc>
                <w:tcPr>
                  <w:tcW w:w="3109" w:type="dxa"/>
                  <w:tcBorders>
                    <w:tl2br w:val="nil"/>
                    <w:tr2bl w:val="nil"/>
                  </w:tcBorders>
                  <w:tcMar>
                    <w:top w:w="0" w:type="dxa"/>
                    <w:left w:w="0" w:type="dxa"/>
                    <w:bottom w:w="0" w:type="dxa"/>
                    <w:right w:w="0" w:type="dxa"/>
                  </w:tcMar>
                  <w:vAlign w:val="center"/>
                </w:tcPr>
                <w:p w14:paraId="3B25B52E">
                  <w:pPr>
                    <w:snapToGrid w:val="0"/>
                    <w:jc w:val="center"/>
                    <w:rPr>
                      <w:rFonts w:hint="default" w:ascii="Times New Roman" w:hAnsi="Times New Roman" w:eastAsia="宋体" w:cs="Times New Roman"/>
                      <w:bCs/>
                      <w:szCs w:val="21"/>
                      <w:highlight w:val="none"/>
                      <w:lang w:eastAsia="zh-CN"/>
                    </w:rPr>
                  </w:pPr>
                  <w:r>
                    <w:rPr>
                      <w:rFonts w:hint="default" w:ascii="Times New Roman" w:hAnsi="Times New Roman" w:eastAsia="宋体" w:cs="Times New Roman"/>
                      <w:bCs/>
                      <w:szCs w:val="21"/>
                      <w:highlight w:val="none"/>
                      <w:lang w:val="en-US" w:eastAsia="zh-CN"/>
                    </w:rPr>
                    <w:t>化粪池处理后</w:t>
                  </w:r>
                  <w:r>
                    <w:rPr>
                      <w:rFonts w:hint="default" w:ascii="Times New Roman" w:hAnsi="Times New Roman" w:eastAsia="宋体" w:cs="Times New Roman"/>
                      <w:bCs/>
                      <w:szCs w:val="21"/>
                      <w:highlight w:val="none"/>
                    </w:rPr>
                    <w:t>，经市政管网排入</w:t>
                  </w:r>
                  <w:r>
                    <w:rPr>
                      <w:rFonts w:hint="default" w:ascii="Times New Roman" w:hAnsi="Times New Roman" w:eastAsia="宋体" w:cs="Times New Roman"/>
                      <w:szCs w:val="21"/>
                      <w:highlight w:val="none"/>
                      <w:lang w:eastAsia="zh-CN"/>
                    </w:rPr>
                    <w:t>北京亦庄环境科技集团有限公司经开污水处理厂。</w:t>
                  </w:r>
                </w:p>
              </w:tc>
            </w:tr>
            <w:tr w14:paraId="2809259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62" w:type="dxa"/>
                  <w:tcBorders>
                    <w:tl2br w:val="nil"/>
                    <w:tr2bl w:val="nil"/>
                  </w:tcBorders>
                  <w:tcMar>
                    <w:top w:w="0" w:type="dxa"/>
                    <w:left w:w="0" w:type="dxa"/>
                    <w:bottom w:w="0" w:type="dxa"/>
                    <w:right w:w="0" w:type="dxa"/>
                  </w:tcMar>
                  <w:vAlign w:val="center"/>
                </w:tcPr>
                <w:p w14:paraId="1EB9AD6D">
                  <w:pPr>
                    <w:snapToGrid w:val="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自行监测计划</w:t>
                  </w:r>
                </w:p>
              </w:tc>
              <w:tc>
                <w:tcPr>
                  <w:tcW w:w="3087" w:type="dxa"/>
                  <w:tcBorders>
                    <w:tl2br w:val="nil"/>
                    <w:tr2bl w:val="nil"/>
                  </w:tcBorders>
                  <w:tcMar>
                    <w:top w:w="0" w:type="dxa"/>
                    <w:left w:w="0" w:type="dxa"/>
                    <w:bottom w:w="0" w:type="dxa"/>
                    <w:right w:w="0" w:type="dxa"/>
                  </w:tcMar>
                  <w:vAlign w:val="center"/>
                </w:tcPr>
                <w:p w14:paraId="0DCFA3D4">
                  <w:pPr>
                    <w:snapToGrid w:val="0"/>
                    <w:jc w:val="center"/>
                    <w:rPr>
                      <w:rFonts w:hint="default" w:ascii="Times New Roman" w:hAnsi="Times New Roman" w:eastAsia="宋体" w:cs="Times New Roman"/>
                      <w:bCs/>
                      <w:szCs w:val="21"/>
                      <w:highlight w:val="none"/>
                      <w:lang w:eastAsia="zh-CN"/>
                    </w:rPr>
                  </w:pPr>
                  <w:r>
                    <w:rPr>
                      <w:rFonts w:hint="default" w:ascii="Times New Roman" w:hAnsi="Times New Roman" w:eastAsia="宋体" w:cs="Times New Roman"/>
                      <w:bCs/>
                      <w:szCs w:val="21"/>
                      <w:highlight w:val="none"/>
                    </w:rPr>
                    <w:t>非甲烷总烃</w:t>
                  </w:r>
                  <w:r>
                    <w:rPr>
                      <w:rFonts w:hint="default" w:ascii="Times New Roman" w:hAnsi="Times New Roman" w:eastAsia="宋体" w:cs="Times New Roman"/>
                      <w:bCs/>
                      <w:szCs w:val="21"/>
                      <w:highlight w:val="none"/>
                      <w:lang w:eastAsia="zh-CN"/>
                    </w:rPr>
                    <w:t>、</w:t>
                  </w:r>
                  <w:r>
                    <w:rPr>
                      <w:rFonts w:hint="default" w:ascii="Times New Roman" w:hAnsi="Times New Roman" w:eastAsia="宋体" w:cs="Times New Roman"/>
                      <w:bCs/>
                      <w:szCs w:val="21"/>
                      <w:highlight w:val="none"/>
                      <w:lang w:val="en-US" w:eastAsia="zh-CN"/>
                    </w:rPr>
                    <w:t>颗粒物、镍及其化合物、氯化氢、氮氧化物、</w:t>
                  </w:r>
                  <w:r>
                    <w:rPr>
                      <w:rFonts w:hint="default" w:ascii="Times New Roman" w:hAnsi="Times New Roman" w:eastAsia="宋体" w:cs="Times New Roman"/>
                      <w:bCs/>
                      <w:szCs w:val="21"/>
                      <w:highlight w:val="none"/>
                    </w:rPr>
                    <w:t>氨</w:t>
                  </w:r>
                  <w:r>
                    <w:rPr>
                      <w:rFonts w:hint="eastAsia" w:cs="Times New Roman"/>
                      <w:bCs/>
                      <w:szCs w:val="21"/>
                      <w:highlight w:val="none"/>
                      <w:lang w:eastAsia="zh-CN"/>
                    </w:rPr>
                    <w:t>、</w:t>
                  </w:r>
                  <w:r>
                    <w:rPr>
                      <w:rFonts w:hint="eastAsia" w:cs="Times New Roman"/>
                      <w:bCs/>
                      <w:szCs w:val="21"/>
                      <w:highlight w:val="none"/>
                      <w:lang w:val="en-US" w:eastAsia="zh-CN"/>
                    </w:rPr>
                    <w:t>氟化物（以F计）</w:t>
                  </w:r>
                  <w:r>
                    <w:rPr>
                      <w:rFonts w:hint="default" w:ascii="Times New Roman" w:hAnsi="Times New Roman" w:eastAsia="宋体" w:cs="Times New Roman"/>
                      <w:bCs/>
                      <w:szCs w:val="21"/>
                      <w:highlight w:val="none"/>
                    </w:rPr>
                    <w:t>每年1次</w:t>
                  </w:r>
                </w:p>
              </w:tc>
              <w:tc>
                <w:tcPr>
                  <w:tcW w:w="3109" w:type="dxa"/>
                  <w:tcBorders>
                    <w:tl2br w:val="nil"/>
                    <w:tr2bl w:val="nil"/>
                  </w:tcBorders>
                  <w:shd w:val="clear" w:color="auto" w:fill="auto"/>
                  <w:tcMar>
                    <w:top w:w="0" w:type="dxa"/>
                    <w:left w:w="0" w:type="dxa"/>
                    <w:bottom w:w="0" w:type="dxa"/>
                    <w:right w:w="0" w:type="dxa"/>
                  </w:tcMar>
                  <w:vAlign w:val="center"/>
                </w:tcPr>
                <w:p w14:paraId="216DFA2B">
                  <w:pPr>
                    <w:snapToGrid w:val="0"/>
                    <w:jc w:val="center"/>
                    <w:rPr>
                      <w:rFonts w:hint="default" w:ascii="Times New Roman" w:hAnsi="Times New Roman" w:eastAsia="宋体" w:cs="Times New Roman"/>
                      <w:bCs/>
                      <w:szCs w:val="21"/>
                      <w:highlight w:val="none"/>
                      <w:lang w:eastAsia="zh-CN"/>
                    </w:rPr>
                  </w:pPr>
                  <w:r>
                    <w:rPr>
                      <w:rFonts w:hint="default" w:ascii="Times New Roman" w:hAnsi="Times New Roman" w:eastAsia="宋体" w:cs="Times New Roman"/>
                      <w:szCs w:val="21"/>
                      <w:highlight w:val="none"/>
                    </w:rPr>
                    <w:t>COD</w:t>
                  </w:r>
                  <w:r>
                    <w:rPr>
                      <w:rFonts w:hint="default" w:ascii="Times New Roman" w:hAnsi="Times New Roman" w:eastAsia="宋体" w:cs="Times New Roman"/>
                      <w:szCs w:val="21"/>
                      <w:highlight w:val="none"/>
                      <w:vertAlign w:val="subscript"/>
                    </w:rPr>
                    <w:t>Cr</w:t>
                  </w:r>
                  <w:r>
                    <w:rPr>
                      <w:rFonts w:hint="default" w:ascii="Times New Roman" w:hAnsi="Times New Roman" w:eastAsia="宋体" w:cs="Times New Roman"/>
                      <w:szCs w:val="21"/>
                      <w:highlight w:val="none"/>
                    </w:rPr>
                    <w:t>、BOD</w:t>
                  </w:r>
                  <w:r>
                    <w:rPr>
                      <w:rFonts w:hint="default" w:ascii="Times New Roman" w:hAnsi="Times New Roman" w:eastAsia="宋体" w:cs="Times New Roman"/>
                      <w:szCs w:val="21"/>
                      <w:highlight w:val="none"/>
                      <w:vertAlign w:val="subscript"/>
                    </w:rPr>
                    <w:t>5</w:t>
                  </w:r>
                  <w:r>
                    <w:rPr>
                      <w:rFonts w:hint="default" w:ascii="Times New Roman" w:hAnsi="Times New Roman" w:eastAsia="宋体" w:cs="Times New Roman"/>
                      <w:szCs w:val="21"/>
                      <w:highlight w:val="none"/>
                    </w:rPr>
                    <w:t>、SS、NH</w:t>
                  </w:r>
                  <w:r>
                    <w:rPr>
                      <w:rFonts w:hint="default" w:ascii="Times New Roman" w:hAnsi="Times New Roman" w:eastAsia="宋体" w:cs="Times New Roman"/>
                      <w:szCs w:val="21"/>
                      <w:highlight w:val="none"/>
                      <w:vertAlign w:val="subscript"/>
                    </w:rPr>
                    <w:t>3</w:t>
                  </w:r>
                  <w:r>
                    <w:rPr>
                      <w:rFonts w:hint="default" w:ascii="Times New Roman" w:hAnsi="Times New Roman" w:eastAsia="宋体" w:cs="Times New Roman"/>
                      <w:szCs w:val="21"/>
                      <w:highlight w:val="none"/>
                    </w:rPr>
                    <w:t>-N</w:t>
                  </w:r>
                  <w:r>
                    <w:rPr>
                      <w:rFonts w:hint="default" w:ascii="Times New Roman" w:hAnsi="Times New Roman" w:eastAsia="宋体" w:cs="Times New Roman"/>
                      <w:bCs/>
                      <w:szCs w:val="21"/>
                      <w:highlight w:val="none"/>
                    </w:rPr>
                    <w:t>每季度</w:t>
                  </w:r>
                  <w:r>
                    <w:rPr>
                      <w:rFonts w:hint="default" w:ascii="Times New Roman" w:hAnsi="Times New Roman" w:eastAsia="宋体" w:cs="Times New Roman"/>
                      <w:bCs/>
                      <w:szCs w:val="21"/>
                      <w:highlight w:val="none"/>
                      <w:lang w:val="en-US" w:eastAsia="zh-CN"/>
                    </w:rPr>
                    <w:t>检测</w:t>
                  </w:r>
                  <w:r>
                    <w:rPr>
                      <w:rFonts w:hint="default" w:ascii="Times New Roman" w:hAnsi="Times New Roman" w:eastAsia="宋体" w:cs="Times New Roman"/>
                      <w:bCs/>
                      <w:szCs w:val="21"/>
                      <w:highlight w:val="none"/>
                    </w:rPr>
                    <w:t>1次</w:t>
                  </w:r>
                  <w:r>
                    <w:rPr>
                      <w:rFonts w:hint="default" w:ascii="Times New Roman" w:hAnsi="Times New Roman" w:eastAsia="宋体" w:cs="Times New Roman"/>
                      <w:bCs/>
                      <w:szCs w:val="21"/>
                      <w:highlight w:val="none"/>
                      <w:lang w:eastAsia="zh-CN"/>
                    </w:rPr>
                    <w:t>；pH、</w:t>
                  </w:r>
                  <w:r>
                    <w:rPr>
                      <w:rFonts w:hint="default" w:ascii="Times New Roman" w:hAnsi="Times New Roman" w:eastAsia="宋体" w:cs="Times New Roman"/>
                      <w:bCs/>
                      <w:szCs w:val="21"/>
                      <w:highlight w:val="none"/>
                    </w:rPr>
                    <w:t>可溶性固体总量每</w:t>
                  </w:r>
                  <w:r>
                    <w:rPr>
                      <w:rFonts w:hint="default" w:ascii="Times New Roman" w:hAnsi="Times New Roman" w:eastAsia="宋体" w:cs="Times New Roman"/>
                      <w:bCs/>
                      <w:szCs w:val="21"/>
                      <w:highlight w:val="none"/>
                      <w:lang w:val="en-US" w:eastAsia="zh-CN"/>
                    </w:rPr>
                    <w:t>年</w:t>
                  </w:r>
                  <w:r>
                    <w:rPr>
                      <w:rFonts w:hint="default" w:ascii="Times New Roman" w:hAnsi="Times New Roman" w:eastAsia="宋体" w:cs="Times New Roman"/>
                      <w:bCs/>
                      <w:szCs w:val="21"/>
                      <w:highlight w:val="none"/>
                    </w:rPr>
                    <w:t>度</w:t>
                  </w:r>
                  <w:r>
                    <w:rPr>
                      <w:rFonts w:hint="default" w:ascii="Times New Roman" w:hAnsi="Times New Roman" w:eastAsia="宋体" w:cs="Times New Roman"/>
                      <w:bCs/>
                      <w:szCs w:val="21"/>
                      <w:highlight w:val="none"/>
                      <w:lang w:val="en-US" w:eastAsia="zh-CN"/>
                    </w:rPr>
                    <w:t>检测</w:t>
                  </w:r>
                  <w:r>
                    <w:rPr>
                      <w:rFonts w:hint="default" w:ascii="Times New Roman" w:hAnsi="Times New Roman" w:eastAsia="宋体" w:cs="Times New Roman"/>
                      <w:bCs/>
                      <w:szCs w:val="21"/>
                      <w:highlight w:val="none"/>
                    </w:rPr>
                    <w:t>1次</w:t>
                  </w:r>
                  <w:r>
                    <w:rPr>
                      <w:rFonts w:hint="default" w:ascii="Times New Roman" w:hAnsi="Times New Roman" w:eastAsia="宋体" w:cs="Times New Roman"/>
                      <w:szCs w:val="21"/>
                      <w:highlight w:val="none"/>
                      <w:lang w:eastAsia="zh-CN"/>
                    </w:rPr>
                    <w:t>。</w:t>
                  </w:r>
                </w:p>
              </w:tc>
            </w:tr>
          </w:tbl>
          <w:p w14:paraId="63148C5B">
            <w:pPr>
              <w:snapToGrid w:val="0"/>
              <w:spacing w:before="120" w:beforeLines="50" w:line="360" w:lineRule="auto"/>
              <w:ind w:firstLine="480" w:firstLineChars="200"/>
              <w:rPr>
                <w:rFonts w:hint="default" w:ascii="Times New Roman" w:hAnsi="Times New Roman" w:eastAsia="宋体" w:cs="Times New Roman"/>
                <w:b w:val="0"/>
                <w:bCs/>
                <w:sz w:val="24"/>
                <w:highlight w:val="none"/>
              </w:rPr>
            </w:pPr>
            <w:r>
              <w:rPr>
                <w:rFonts w:hint="default" w:ascii="Times New Roman" w:hAnsi="Times New Roman" w:eastAsia="宋体" w:cs="Times New Roman"/>
                <w:b w:val="0"/>
                <w:bCs/>
                <w:sz w:val="24"/>
                <w:highlight w:val="none"/>
              </w:rPr>
              <w:t>（2）污染源标志牌设置</w:t>
            </w:r>
          </w:p>
          <w:p w14:paraId="7238DFC3">
            <w:pPr>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本项目排污口主要为废气排口</w:t>
            </w:r>
            <w:r>
              <w:rPr>
                <w:rFonts w:hint="eastAsia" w:cs="Times New Roman"/>
                <w:sz w:val="24"/>
                <w:highlight w:val="none"/>
                <w:lang w:val="en-US" w:eastAsia="zh-CN"/>
              </w:rPr>
              <w:t>8</w:t>
            </w:r>
            <w:r>
              <w:rPr>
                <w:rFonts w:hint="default" w:ascii="Times New Roman" w:hAnsi="Times New Roman" w:eastAsia="宋体" w:cs="Times New Roman"/>
                <w:color w:val="auto"/>
                <w:sz w:val="24"/>
                <w:highlight w:val="none"/>
              </w:rPr>
              <w:t>个（楼顶）和</w:t>
            </w:r>
            <w:r>
              <w:rPr>
                <w:rFonts w:hint="default" w:ascii="Times New Roman" w:hAnsi="Times New Roman" w:eastAsia="宋体" w:cs="Times New Roman"/>
                <w:sz w:val="24"/>
                <w:highlight w:val="none"/>
              </w:rPr>
              <w:t>污水总排口1个（</w:t>
            </w:r>
            <w:r>
              <w:rPr>
                <w:rFonts w:hint="default" w:ascii="Times New Roman" w:hAnsi="Times New Roman" w:eastAsia="宋体" w:cs="Times New Roman"/>
                <w:sz w:val="24"/>
                <w:highlight w:val="none"/>
                <w:lang w:val="en-US" w:eastAsia="zh-CN"/>
              </w:rPr>
              <w:t>7</w:t>
            </w:r>
            <w:r>
              <w:rPr>
                <w:rFonts w:hint="default" w:ascii="Times New Roman" w:hAnsi="Times New Roman" w:eastAsia="宋体" w:cs="Times New Roman"/>
                <w:sz w:val="24"/>
                <w:highlight w:val="none"/>
              </w:rPr>
              <w:t>号楼</w:t>
            </w:r>
            <w:r>
              <w:rPr>
                <w:rFonts w:hint="default" w:ascii="Times New Roman" w:hAnsi="Times New Roman" w:eastAsia="宋体" w:cs="Times New Roman"/>
                <w:sz w:val="24"/>
                <w:highlight w:val="none"/>
                <w:lang w:val="en-US" w:eastAsia="zh-CN"/>
              </w:rPr>
              <w:t>南</w:t>
            </w:r>
            <w:r>
              <w:rPr>
                <w:rFonts w:hint="default" w:ascii="Times New Roman" w:hAnsi="Times New Roman" w:eastAsia="宋体" w:cs="Times New Roman"/>
                <w:sz w:val="24"/>
                <w:highlight w:val="none"/>
              </w:rPr>
              <w:t>侧）。建设项目设置排污口应符合</w:t>
            </w:r>
            <w:r>
              <w:rPr>
                <w:rFonts w:hint="eastAsia"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一明显、二合理、三便于</w:t>
            </w:r>
            <w:r>
              <w:rPr>
                <w:rFonts w:hint="eastAsia"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的要求，即环保标志明显；排污口设置合理，排污去向合理；便于采集样品、便于监测计算、便于公众参与监督管理。</w:t>
            </w:r>
          </w:p>
          <w:p w14:paraId="181CBF96">
            <w:pPr>
              <w:spacing w:line="360" w:lineRule="auto"/>
              <w:ind w:firstLine="480" w:firstLineChars="200"/>
              <w:rPr>
                <w:rFonts w:hint="default" w:ascii="Times New Roman" w:hAnsi="Times New Roman" w:eastAsia="宋体" w:cs="Times New Roman"/>
                <w:b/>
                <w:sz w:val="24"/>
                <w:highlight w:val="none"/>
              </w:rPr>
            </w:pPr>
            <w:r>
              <w:rPr>
                <w:rFonts w:hint="default" w:ascii="Times New Roman" w:hAnsi="Times New Roman" w:eastAsia="宋体" w:cs="Times New Roman"/>
                <w:sz w:val="24"/>
                <w:highlight w:val="none"/>
              </w:rPr>
              <w:t>污染源排放口应设置专项图标，执行《环境图形标准排污口（源）》（GB15563.1-1995）、《环境保护图形标志—固体废物贮存（处置）场》（GB15562.2-1995）及北京市《固定污染源监测点位设置技术规范》（DB11/1195-2015）的相关要求。要求规定各排污口（源）提示标志形状采用正方形边框，背景颜色采用绿色，图形颜色采用白色。标志牌应设在与之功能相应的醒目处，并保持清晰、完整。具体标志牌示意图详见下表。</w:t>
            </w:r>
          </w:p>
          <w:p w14:paraId="0EF5FEB5">
            <w:pPr>
              <w:numPr>
                <w:ilvl w:val="0"/>
                <w:numId w:val="0"/>
              </w:numPr>
              <w:adjustRightInd w:val="0"/>
              <w:spacing w:line="360" w:lineRule="auto"/>
              <w:ind w:leftChars="0"/>
              <w:jc w:val="center"/>
              <w:rPr>
                <w:rFonts w:hint="default" w:ascii="Times New Roman" w:hAnsi="Times New Roman" w:eastAsia="宋体" w:cs="Times New Roman"/>
                <w:b/>
                <w:spacing w:val="-4"/>
                <w:kern w:val="0"/>
                <w:sz w:val="24"/>
                <w:highlight w:val="none"/>
              </w:rPr>
            </w:pPr>
            <w:r>
              <w:rPr>
                <w:rFonts w:hint="default" w:ascii="Times New Roman" w:hAnsi="Times New Roman" w:eastAsia="宋体" w:cs="Times New Roman"/>
                <w:b/>
                <w:spacing w:val="-4"/>
                <w:kern w:val="0"/>
                <w:sz w:val="24"/>
                <w:highlight w:val="none"/>
                <w:lang w:val="en-US" w:eastAsia="zh-CN"/>
              </w:rPr>
              <w:t xml:space="preserve">表5-2  </w:t>
            </w:r>
            <w:r>
              <w:rPr>
                <w:rFonts w:hint="default" w:ascii="Times New Roman" w:hAnsi="Times New Roman" w:eastAsia="宋体" w:cs="Times New Roman"/>
                <w:b/>
                <w:spacing w:val="-4"/>
                <w:kern w:val="0"/>
                <w:sz w:val="24"/>
                <w:highlight w:val="none"/>
              </w:rPr>
              <w:t>环境</w:t>
            </w:r>
            <w:r>
              <w:rPr>
                <w:rFonts w:hint="default" w:ascii="Times New Roman" w:hAnsi="Times New Roman" w:eastAsia="宋体" w:cs="Times New Roman"/>
                <w:b/>
                <w:color w:val="auto"/>
                <w:sz w:val="24"/>
                <w:highlight w:val="none"/>
              </w:rPr>
              <w:t>保护</w:t>
            </w:r>
            <w:r>
              <w:rPr>
                <w:rFonts w:hint="default" w:ascii="Times New Roman" w:hAnsi="Times New Roman" w:eastAsia="宋体" w:cs="Times New Roman"/>
                <w:b/>
                <w:spacing w:val="-4"/>
                <w:kern w:val="0"/>
                <w:sz w:val="24"/>
                <w:highlight w:val="none"/>
              </w:rPr>
              <w:t>图形符号一览表</w:t>
            </w:r>
          </w:p>
          <w:tbl>
            <w:tblPr>
              <w:tblStyle w:val="17"/>
              <w:tblW w:w="7617" w:type="dxa"/>
              <w:tblInd w:w="0" w:type="dxa"/>
              <w:tblBorders>
                <w:top w:val="single" w:color="auto" w:sz="8" w:space="0"/>
                <w:left w:val="none" w:color="auto" w:sz="0" w:space="0"/>
                <w:bottom w:val="single" w:color="auto" w:sz="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02"/>
              <w:gridCol w:w="1297"/>
              <w:gridCol w:w="1438"/>
              <w:gridCol w:w="1431"/>
              <w:gridCol w:w="1386"/>
              <w:gridCol w:w="1363"/>
            </w:tblGrid>
            <w:tr w14:paraId="113F4B25">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02" w:type="dxa"/>
                  <w:tcBorders>
                    <w:tl2br w:val="nil"/>
                    <w:tr2bl w:val="nil"/>
                  </w:tcBorders>
                  <w:vAlign w:val="center"/>
                </w:tcPr>
                <w:p w14:paraId="72E7B369">
                  <w:pPr>
                    <w:pStyle w:val="14"/>
                    <w:widowControl w:val="0"/>
                    <w:snapToGrid w:val="0"/>
                    <w:spacing w:before="0" w:beforeAutospacing="0" w:after="0" w:afterAutospacing="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名称</w:t>
                  </w:r>
                </w:p>
              </w:tc>
              <w:tc>
                <w:tcPr>
                  <w:tcW w:w="1297" w:type="dxa"/>
                  <w:tcBorders>
                    <w:tl2br w:val="nil"/>
                    <w:tr2bl w:val="nil"/>
                  </w:tcBorders>
                  <w:vAlign w:val="center"/>
                </w:tcPr>
                <w:p w14:paraId="6F8B2FC3">
                  <w:pPr>
                    <w:pStyle w:val="14"/>
                    <w:widowControl w:val="0"/>
                    <w:snapToGrid w:val="0"/>
                    <w:spacing w:before="0" w:beforeAutospacing="0" w:after="0" w:afterAutospacing="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废气排放口</w:t>
                  </w:r>
                </w:p>
              </w:tc>
              <w:tc>
                <w:tcPr>
                  <w:tcW w:w="1438" w:type="dxa"/>
                  <w:tcBorders>
                    <w:tl2br w:val="nil"/>
                    <w:tr2bl w:val="nil"/>
                  </w:tcBorders>
                  <w:vAlign w:val="center"/>
                </w:tcPr>
                <w:p w14:paraId="4320B9C9">
                  <w:pPr>
                    <w:pStyle w:val="14"/>
                    <w:widowControl w:val="0"/>
                    <w:snapToGrid w:val="0"/>
                    <w:spacing w:before="0" w:beforeAutospacing="0" w:after="0" w:afterAutospacing="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废水排放口</w:t>
                  </w:r>
                </w:p>
              </w:tc>
              <w:tc>
                <w:tcPr>
                  <w:tcW w:w="1431" w:type="dxa"/>
                  <w:tcBorders>
                    <w:tl2br w:val="nil"/>
                    <w:tr2bl w:val="nil"/>
                  </w:tcBorders>
                  <w:vAlign w:val="center"/>
                </w:tcPr>
                <w:p w14:paraId="2D8CEE4A">
                  <w:pPr>
                    <w:pStyle w:val="14"/>
                    <w:widowControl w:val="0"/>
                    <w:snapToGrid w:val="0"/>
                    <w:spacing w:before="0" w:beforeAutospacing="0" w:after="0" w:afterAutospacing="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噪声排放源</w:t>
                  </w:r>
                </w:p>
              </w:tc>
              <w:tc>
                <w:tcPr>
                  <w:tcW w:w="1386" w:type="dxa"/>
                  <w:tcBorders>
                    <w:tl2br w:val="nil"/>
                    <w:tr2bl w:val="nil"/>
                  </w:tcBorders>
                  <w:vAlign w:val="center"/>
                </w:tcPr>
                <w:p w14:paraId="091453B4">
                  <w:pPr>
                    <w:pStyle w:val="14"/>
                    <w:widowControl w:val="0"/>
                    <w:snapToGrid w:val="0"/>
                    <w:spacing w:before="0" w:beforeAutospacing="0" w:after="0" w:afterAutospacing="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一般工业固体废物</w:t>
                  </w:r>
                </w:p>
              </w:tc>
              <w:tc>
                <w:tcPr>
                  <w:tcW w:w="1363" w:type="dxa"/>
                  <w:tcBorders>
                    <w:tl2br w:val="nil"/>
                    <w:tr2bl w:val="nil"/>
                  </w:tcBorders>
                  <w:vAlign w:val="center"/>
                </w:tcPr>
                <w:p w14:paraId="11E0E6D0">
                  <w:pPr>
                    <w:pStyle w:val="14"/>
                    <w:widowControl w:val="0"/>
                    <w:snapToGrid w:val="0"/>
                    <w:spacing w:before="0" w:beforeAutospacing="0" w:after="0" w:afterAutospacing="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危险废物</w:t>
                  </w:r>
                </w:p>
              </w:tc>
            </w:tr>
            <w:tr w14:paraId="3CF99057">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55" w:hRule="atLeast"/>
              </w:trPr>
              <w:tc>
                <w:tcPr>
                  <w:tcW w:w="702" w:type="dxa"/>
                  <w:tcBorders>
                    <w:tl2br w:val="nil"/>
                    <w:tr2bl w:val="nil"/>
                  </w:tcBorders>
                  <w:vAlign w:val="center"/>
                </w:tcPr>
                <w:p w14:paraId="71CB0DCD">
                  <w:pPr>
                    <w:pStyle w:val="14"/>
                    <w:widowControl w:val="0"/>
                    <w:snapToGrid w:val="0"/>
                    <w:spacing w:before="0" w:beforeAutospacing="0" w:after="0" w:afterAutospacing="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提示图形符号</w:t>
                  </w:r>
                </w:p>
              </w:tc>
              <w:tc>
                <w:tcPr>
                  <w:tcW w:w="1297" w:type="dxa"/>
                  <w:tcBorders>
                    <w:tl2br w:val="nil"/>
                    <w:tr2bl w:val="nil"/>
                  </w:tcBorders>
                  <w:vAlign w:val="center"/>
                </w:tcPr>
                <w:p w14:paraId="6134326D">
                  <w:pPr>
                    <w:pStyle w:val="14"/>
                    <w:widowControl w:val="0"/>
                    <w:snapToGrid w:val="0"/>
                    <w:spacing w:before="0" w:beforeAutospacing="0" w:after="0" w:afterAutospacing="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drawing>
                      <wp:inline distT="0" distB="0" distL="0" distR="0">
                        <wp:extent cx="729615" cy="736600"/>
                        <wp:effectExtent l="0" t="0" r="1905" b="10160"/>
                        <wp:docPr id="63"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35"/>
                                <pic:cNvPicPr>
                                  <a:picLocks noChangeAspect="1" noChangeArrowheads="1"/>
                                </pic:cNvPicPr>
                              </pic:nvPicPr>
                              <pic:blipFill>
                                <a:blip r:embed="rId32"/>
                                <a:srcRect/>
                                <a:stretch>
                                  <a:fillRect/>
                                </a:stretch>
                              </pic:blipFill>
                              <pic:spPr>
                                <a:xfrm>
                                  <a:off x="0" y="0"/>
                                  <a:ext cx="732129" cy="739102"/>
                                </a:xfrm>
                                <a:prstGeom prst="rect">
                                  <a:avLst/>
                                </a:prstGeom>
                                <a:noFill/>
                                <a:ln w="9525">
                                  <a:noFill/>
                                  <a:miter lim="800000"/>
                                  <a:headEnd/>
                                  <a:tailEnd/>
                                </a:ln>
                              </pic:spPr>
                            </pic:pic>
                          </a:graphicData>
                        </a:graphic>
                      </wp:inline>
                    </w:drawing>
                  </w:r>
                </w:p>
              </w:tc>
              <w:tc>
                <w:tcPr>
                  <w:tcW w:w="1438" w:type="dxa"/>
                  <w:tcBorders>
                    <w:tl2br w:val="nil"/>
                    <w:tr2bl w:val="nil"/>
                  </w:tcBorders>
                  <w:vAlign w:val="center"/>
                </w:tcPr>
                <w:p w14:paraId="3D8BA9D5">
                  <w:pPr>
                    <w:pStyle w:val="14"/>
                    <w:widowControl w:val="0"/>
                    <w:snapToGrid w:val="0"/>
                    <w:spacing w:before="0" w:beforeAutospacing="0" w:after="0" w:afterAutospacing="0"/>
                    <w:jc w:val="center"/>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sz w:val="21"/>
                      <w:szCs w:val="21"/>
                      <w:highlight w:val="none"/>
                    </w:rPr>
                    <w:drawing>
                      <wp:inline distT="0" distB="0" distL="0" distR="0">
                        <wp:extent cx="737870" cy="709295"/>
                        <wp:effectExtent l="0" t="0" r="8890" b="6985"/>
                        <wp:docPr id="6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9"/>
                                <pic:cNvPicPr>
                                  <a:picLocks noChangeAspect="1" noChangeArrowheads="1"/>
                                </pic:cNvPicPr>
                              </pic:nvPicPr>
                              <pic:blipFill>
                                <a:blip r:embed="rId33"/>
                                <a:srcRect/>
                                <a:stretch>
                                  <a:fillRect/>
                                </a:stretch>
                              </pic:blipFill>
                              <pic:spPr>
                                <a:xfrm>
                                  <a:off x="0" y="0"/>
                                  <a:ext cx="740105" cy="711911"/>
                                </a:xfrm>
                                <a:prstGeom prst="rect">
                                  <a:avLst/>
                                </a:prstGeom>
                                <a:noFill/>
                                <a:ln w="9525">
                                  <a:noFill/>
                                  <a:miter lim="800000"/>
                                  <a:headEnd/>
                                  <a:tailEnd/>
                                </a:ln>
                              </pic:spPr>
                            </pic:pic>
                          </a:graphicData>
                        </a:graphic>
                      </wp:inline>
                    </w:drawing>
                  </w:r>
                </w:p>
              </w:tc>
              <w:tc>
                <w:tcPr>
                  <w:tcW w:w="1431" w:type="dxa"/>
                  <w:tcBorders>
                    <w:tl2br w:val="nil"/>
                    <w:tr2bl w:val="nil"/>
                  </w:tcBorders>
                  <w:vAlign w:val="center"/>
                </w:tcPr>
                <w:p w14:paraId="41F7D188">
                  <w:pPr>
                    <w:pStyle w:val="14"/>
                    <w:widowControl w:val="0"/>
                    <w:snapToGrid w:val="0"/>
                    <w:spacing w:before="0" w:beforeAutospacing="0" w:after="0" w:afterAutospacing="0"/>
                    <w:jc w:val="center"/>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sz w:val="21"/>
                      <w:szCs w:val="21"/>
                      <w:highlight w:val="none"/>
                    </w:rPr>
                    <w:drawing>
                      <wp:inline distT="0" distB="0" distL="0" distR="0">
                        <wp:extent cx="753745" cy="746125"/>
                        <wp:effectExtent l="0" t="0" r="8255" b="635"/>
                        <wp:docPr id="6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3"/>
                                <pic:cNvPicPr>
                                  <a:picLocks noChangeAspect="1" noChangeArrowheads="1"/>
                                </pic:cNvPicPr>
                              </pic:nvPicPr>
                              <pic:blipFill>
                                <a:blip r:embed="rId34"/>
                                <a:srcRect/>
                                <a:stretch>
                                  <a:fillRect/>
                                </a:stretch>
                              </pic:blipFill>
                              <pic:spPr>
                                <a:xfrm>
                                  <a:off x="0" y="0"/>
                                  <a:ext cx="756054" cy="748854"/>
                                </a:xfrm>
                                <a:prstGeom prst="rect">
                                  <a:avLst/>
                                </a:prstGeom>
                                <a:noFill/>
                                <a:ln w="9525">
                                  <a:noFill/>
                                  <a:miter lim="800000"/>
                                  <a:headEnd/>
                                  <a:tailEnd/>
                                </a:ln>
                              </pic:spPr>
                            </pic:pic>
                          </a:graphicData>
                        </a:graphic>
                      </wp:inline>
                    </w:drawing>
                  </w:r>
                </w:p>
              </w:tc>
              <w:tc>
                <w:tcPr>
                  <w:tcW w:w="1386" w:type="dxa"/>
                  <w:tcBorders>
                    <w:tl2br w:val="nil"/>
                    <w:tr2bl w:val="nil"/>
                  </w:tcBorders>
                  <w:vAlign w:val="center"/>
                </w:tcPr>
                <w:p w14:paraId="7F370956">
                  <w:pPr>
                    <w:pStyle w:val="14"/>
                    <w:widowControl w:val="0"/>
                    <w:snapToGrid w:val="0"/>
                    <w:spacing w:before="0" w:beforeAutospacing="0" w:after="0" w:afterAutospacing="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drawing>
                      <wp:inline distT="0" distB="0" distL="0" distR="0">
                        <wp:extent cx="675640" cy="716280"/>
                        <wp:effectExtent l="0" t="0" r="10160" b="0"/>
                        <wp:docPr id="6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24"/>
                                <pic:cNvPicPr>
                                  <a:picLocks noChangeAspect="1" noChangeArrowheads="1"/>
                                </pic:cNvPicPr>
                              </pic:nvPicPr>
                              <pic:blipFill>
                                <a:blip r:embed="rId35"/>
                                <a:srcRect/>
                                <a:stretch>
                                  <a:fillRect/>
                                </a:stretch>
                              </pic:blipFill>
                              <pic:spPr>
                                <a:xfrm>
                                  <a:off x="0" y="0"/>
                                  <a:ext cx="678262" cy="719370"/>
                                </a:xfrm>
                                <a:prstGeom prst="rect">
                                  <a:avLst/>
                                </a:prstGeom>
                                <a:noFill/>
                                <a:ln w="9525">
                                  <a:noFill/>
                                  <a:miter lim="800000"/>
                                  <a:headEnd/>
                                  <a:tailEnd/>
                                </a:ln>
                              </pic:spPr>
                            </pic:pic>
                          </a:graphicData>
                        </a:graphic>
                      </wp:inline>
                    </w:drawing>
                  </w:r>
                </w:p>
              </w:tc>
              <w:tc>
                <w:tcPr>
                  <w:tcW w:w="1363" w:type="dxa"/>
                  <w:tcBorders>
                    <w:tl2br w:val="nil"/>
                    <w:tr2bl w:val="nil"/>
                  </w:tcBorders>
                  <w:vAlign w:val="center"/>
                </w:tcPr>
                <w:p w14:paraId="220E8D3A">
                  <w:pPr>
                    <w:pStyle w:val="14"/>
                    <w:widowControl w:val="0"/>
                    <w:snapToGrid w:val="0"/>
                    <w:spacing w:before="0" w:beforeAutospacing="0" w:after="0" w:afterAutospacing="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w:t>
                  </w:r>
                </w:p>
              </w:tc>
            </w:tr>
            <w:tr w14:paraId="5B442A8D">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02" w:type="dxa"/>
                  <w:tcBorders>
                    <w:tl2br w:val="nil"/>
                    <w:tr2bl w:val="nil"/>
                  </w:tcBorders>
                  <w:vAlign w:val="center"/>
                </w:tcPr>
                <w:p w14:paraId="77A24C64">
                  <w:pPr>
                    <w:pStyle w:val="14"/>
                    <w:widowControl w:val="0"/>
                    <w:snapToGrid w:val="0"/>
                    <w:spacing w:before="0" w:beforeAutospacing="0" w:after="0" w:afterAutospacing="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警告图形符号</w:t>
                  </w:r>
                </w:p>
              </w:tc>
              <w:tc>
                <w:tcPr>
                  <w:tcW w:w="1297" w:type="dxa"/>
                  <w:tcBorders>
                    <w:tl2br w:val="nil"/>
                    <w:tr2bl w:val="nil"/>
                  </w:tcBorders>
                  <w:vAlign w:val="center"/>
                </w:tcPr>
                <w:p w14:paraId="3118B41C">
                  <w:pPr>
                    <w:pStyle w:val="14"/>
                    <w:widowControl w:val="0"/>
                    <w:snapToGrid w:val="0"/>
                    <w:spacing w:before="0" w:beforeAutospacing="0" w:after="0" w:afterAutospacing="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drawing>
                      <wp:inline distT="0" distB="0" distL="0" distR="0">
                        <wp:extent cx="808990" cy="747395"/>
                        <wp:effectExtent l="0" t="0" r="13970" b="14605"/>
                        <wp:docPr id="65"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29"/>
                                <pic:cNvPicPr>
                                  <a:picLocks noChangeAspect="1" noChangeArrowheads="1"/>
                                </pic:cNvPicPr>
                              </pic:nvPicPr>
                              <pic:blipFill>
                                <a:blip r:embed="rId36"/>
                                <a:srcRect/>
                                <a:stretch>
                                  <a:fillRect/>
                                </a:stretch>
                              </pic:blipFill>
                              <pic:spPr>
                                <a:xfrm>
                                  <a:off x="0" y="0"/>
                                  <a:ext cx="811881" cy="750023"/>
                                </a:xfrm>
                                <a:prstGeom prst="rect">
                                  <a:avLst/>
                                </a:prstGeom>
                                <a:noFill/>
                                <a:ln w="9525">
                                  <a:noFill/>
                                  <a:miter lim="800000"/>
                                  <a:headEnd/>
                                  <a:tailEnd/>
                                </a:ln>
                              </pic:spPr>
                            </pic:pic>
                          </a:graphicData>
                        </a:graphic>
                      </wp:inline>
                    </w:drawing>
                  </w:r>
                </w:p>
              </w:tc>
              <w:tc>
                <w:tcPr>
                  <w:tcW w:w="1438" w:type="dxa"/>
                  <w:tcBorders>
                    <w:tl2br w:val="nil"/>
                    <w:tr2bl w:val="nil"/>
                  </w:tcBorders>
                  <w:vAlign w:val="center"/>
                </w:tcPr>
                <w:p w14:paraId="0752DCA7">
                  <w:pPr>
                    <w:pStyle w:val="14"/>
                    <w:widowControl w:val="0"/>
                    <w:snapToGrid w:val="0"/>
                    <w:spacing w:before="0" w:beforeAutospacing="0" w:after="0" w:afterAutospacing="0"/>
                    <w:jc w:val="center"/>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sz w:val="21"/>
                      <w:szCs w:val="21"/>
                      <w:highlight w:val="none"/>
                    </w:rPr>
                    <w:drawing>
                      <wp:inline distT="0" distB="0" distL="0" distR="0">
                        <wp:extent cx="833120" cy="745490"/>
                        <wp:effectExtent l="0" t="0" r="5080" b="1270"/>
                        <wp:docPr id="6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28"/>
                                <pic:cNvPicPr>
                                  <a:picLocks noChangeAspect="1" noChangeArrowheads="1"/>
                                </pic:cNvPicPr>
                              </pic:nvPicPr>
                              <pic:blipFill>
                                <a:blip r:embed="rId37"/>
                                <a:srcRect/>
                                <a:stretch>
                                  <a:fillRect/>
                                </a:stretch>
                              </pic:blipFill>
                              <pic:spPr>
                                <a:xfrm>
                                  <a:off x="0" y="0"/>
                                  <a:ext cx="835805" cy="748244"/>
                                </a:xfrm>
                                <a:prstGeom prst="rect">
                                  <a:avLst/>
                                </a:prstGeom>
                                <a:noFill/>
                                <a:ln w="9525">
                                  <a:noFill/>
                                  <a:miter lim="800000"/>
                                  <a:headEnd/>
                                  <a:tailEnd/>
                                </a:ln>
                              </pic:spPr>
                            </pic:pic>
                          </a:graphicData>
                        </a:graphic>
                      </wp:inline>
                    </w:drawing>
                  </w:r>
                </w:p>
              </w:tc>
              <w:tc>
                <w:tcPr>
                  <w:tcW w:w="1431" w:type="dxa"/>
                  <w:tcBorders>
                    <w:tl2br w:val="nil"/>
                    <w:tr2bl w:val="nil"/>
                  </w:tcBorders>
                  <w:vAlign w:val="center"/>
                </w:tcPr>
                <w:p w14:paraId="67A56C1D">
                  <w:pPr>
                    <w:pStyle w:val="14"/>
                    <w:widowControl w:val="0"/>
                    <w:snapToGrid w:val="0"/>
                    <w:spacing w:before="0" w:beforeAutospacing="0" w:after="0" w:afterAutospacing="0"/>
                    <w:jc w:val="center"/>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sz w:val="21"/>
                      <w:szCs w:val="21"/>
                      <w:highlight w:val="none"/>
                    </w:rPr>
                    <w:drawing>
                      <wp:inline distT="0" distB="0" distL="0" distR="0">
                        <wp:extent cx="808990" cy="739775"/>
                        <wp:effectExtent l="0" t="0" r="13970" b="6985"/>
                        <wp:docPr id="6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30"/>
                                <pic:cNvPicPr>
                                  <a:picLocks noChangeAspect="1" noChangeArrowheads="1"/>
                                </pic:cNvPicPr>
                              </pic:nvPicPr>
                              <pic:blipFill>
                                <a:blip r:embed="rId38"/>
                                <a:srcRect/>
                                <a:stretch>
                                  <a:fillRect/>
                                </a:stretch>
                              </pic:blipFill>
                              <pic:spPr>
                                <a:xfrm>
                                  <a:off x="0" y="0"/>
                                  <a:ext cx="811880" cy="742290"/>
                                </a:xfrm>
                                <a:prstGeom prst="rect">
                                  <a:avLst/>
                                </a:prstGeom>
                                <a:noFill/>
                                <a:ln w="9525">
                                  <a:noFill/>
                                  <a:miter lim="800000"/>
                                  <a:headEnd/>
                                  <a:tailEnd/>
                                </a:ln>
                              </pic:spPr>
                            </pic:pic>
                          </a:graphicData>
                        </a:graphic>
                      </wp:inline>
                    </w:drawing>
                  </w:r>
                </w:p>
              </w:tc>
              <w:tc>
                <w:tcPr>
                  <w:tcW w:w="1386" w:type="dxa"/>
                  <w:tcBorders>
                    <w:tl2br w:val="nil"/>
                    <w:tr2bl w:val="nil"/>
                  </w:tcBorders>
                  <w:vAlign w:val="center"/>
                </w:tcPr>
                <w:p w14:paraId="3DE641E2">
                  <w:pPr>
                    <w:pStyle w:val="14"/>
                    <w:widowControl w:val="0"/>
                    <w:snapToGrid w:val="0"/>
                    <w:spacing w:before="0" w:beforeAutospacing="0" w:after="0" w:afterAutospacing="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drawing>
                      <wp:inline distT="0" distB="0" distL="0" distR="0">
                        <wp:extent cx="758190" cy="796925"/>
                        <wp:effectExtent l="0" t="0" r="3810" b="10795"/>
                        <wp:docPr id="6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31"/>
                                <pic:cNvPicPr>
                                  <a:picLocks noChangeAspect="1" noChangeArrowheads="1"/>
                                </pic:cNvPicPr>
                              </pic:nvPicPr>
                              <pic:blipFill>
                                <a:blip r:embed="rId39"/>
                                <a:srcRect/>
                                <a:stretch>
                                  <a:fillRect/>
                                </a:stretch>
                              </pic:blipFill>
                              <pic:spPr>
                                <a:xfrm>
                                  <a:off x="0" y="0"/>
                                  <a:ext cx="761130" cy="799963"/>
                                </a:xfrm>
                                <a:prstGeom prst="rect">
                                  <a:avLst/>
                                </a:prstGeom>
                                <a:noFill/>
                                <a:ln w="9525">
                                  <a:noFill/>
                                  <a:miter lim="800000"/>
                                  <a:headEnd/>
                                  <a:tailEnd/>
                                </a:ln>
                              </pic:spPr>
                            </pic:pic>
                          </a:graphicData>
                        </a:graphic>
                      </wp:inline>
                    </w:drawing>
                  </w:r>
                </w:p>
              </w:tc>
              <w:tc>
                <w:tcPr>
                  <w:tcW w:w="1363" w:type="dxa"/>
                  <w:tcBorders>
                    <w:tl2br w:val="nil"/>
                    <w:tr2bl w:val="nil"/>
                  </w:tcBorders>
                  <w:vAlign w:val="center"/>
                </w:tcPr>
                <w:p w14:paraId="79970F82">
                  <w:pPr>
                    <w:pStyle w:val="14"/>
                    <w:widowControl w:val="0"/>
                    <w:snapToGrid w:val="0"/>
                    <w:spacing w:before="0" w:beforeAutospacing="0" w:after="0" w:afterAutospacing="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32"/>
                      <w:szCs w:val="22"/>
                      <w:highlight w:val="none"/>
                    </w:rPr>
                    <w:drawing>
                      <wp:inline distT="0" distB="0" distL="114300" distR="114300">
                        <wp:extent cx="728345" cy="608330"/>
                        <wp:effectExtent l="0" t="0" r="3175" b="1270"/>
                        <wp:docPr id="6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2"/>
                                <pic:cNvPicPr>
                                  <a:picLocks noChangeAspect="1"/>
                                </pic:cNvPicPr>
                              </pic:nvPicPr>
                              <pic:blipFill>
                                <a:blip r:embed="rId40"/>
                                <a:stretch>
                                  <a:fillRect/>
                                </a:stretch>
                              </pic:blipFill>
                              <pic:spPr>
                                <a:xfrm>
                                  <a:off x="0" y="0"/>
                                  <a:ext cx="728345" cy="608330"/>
                                </a:xfrm>
                                <a:prstGeom prst="rect">
                                  <a:avLst/>
                                </a:prstGeom>
                                <a:noFill/>
                                <a:ln>
                                  <a:noFill/>
                                </a:ln>
                              </pic:spPr>
                            </pic:pic>
                          </a:graphicData>
                        </a:graphic>
                      </wp:inline>
                    </w:drawing>
                  </w:r>
                </w:p>
              </w:tc>
            </w:tr>
            <w:tr w14:paraId="722FC71E">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02" w:type="dxa"/>
                  <w:tcBorders>
                    <w:tl2br w:val="nil"/>
                    <w:tr2bl w:val="nil"/>
                  </w:tcBorders>
                  <w:vAlign w:val="center"/>
                </w:tcPr>
                <w:p w14:paraId="238EAAA8">
                  <w:pPr>
                    <w:pStyle w:val="14"/>
                    <w:widowControl w:val="0"/>
                    <w:snapToGrid w:val="0"/>
                    <w:spacing w:before="0" w:beforeAutospacing="0" w:after="0" w:afterAutospacing="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功能</w:t>
                  </w:r>
                </w:p>
              </w:tc>
              <w:tc>
                <w:tcPr>
                  <w:tcW w:w="1297" w:type="dxa"/>
                  <w:tcBorders>
                    <w:tl2br w:val="nil"/>
                    <w:tr2bl w:val="nil"/>
                  </w:tcBorders>
                  <w:vAlign w:val="center"/>
                </w:tcPr>
                <w:p w14:paraId="50656E12">
                  <w:pPr>
                    <w:pStyle w:val="14"/>
                    <w:widowControl w:val="0"/>
                    <w:snapToGrid w:val="0"/>
                    <w:spacing w:before="0" w:beforeAutospacing="0" w:after="0" w:afterAutospacing="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废气向大气环境排放</w:t>
                  </w:r>
                </w:p>
              </w:tc>
              <w:tc>
                <w:tcPr>
                  <w:tcW w:w="1438" w:type="dxa"/>
                  <w:tcBorders>
                    <w:tl2br w:val="nil"/>
                    <w:tr2bl w:val="nil"/>
                  </w:tcBorders>
                  <w:vAlign w:val="center"/>
                </w:tcPr>
                <w:p w14:paraId="356E6998">
                  <w:pPr>
                    <w:pStyle w:val="14"/>
                    <w:widowControl w:val="0"/>
                    <w:snapToGrid w:val="0"/>
                    <w:spacing w:before="0" w:beforeAutospacing="0" w:after="0" w:afterAutospacing="0"/>
                    <w:jc w:val="center"/>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rPr>
                    <w:t>表示污水向水体排放表示</w:t>
                  </w:r>
                </w:p>
              </w:tc>
              <w:tc>
                <w:tcPr>
                  <w:tcW w:w="1431" w:type="dxa"/>
                  <w:tcBorders>
                    <w:tl2br w:val="nil"/>
                    <w:tr2bl w:val="nil"/>
                  </w:tcBorders>
                  <w:vAlign w:val="center"/>
                </w:tcPr>
                <w:p w14:paraId="5EFEAF72">
                  <w:pPr>
                    <w:pStyle w:val="14"/>
                    <w:widowControl w:val="0"/>
                    <w:snapToGrid w:val="0"/>
                    <w:spacing w:before="0" w:beforeAutospacing="0" w:after="0" w:afterAutospacing="0"/>
                    <w:jc w:val="center"/>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rPr>
                    <w:t>表示噪声向外环境排放</w:t>
                  </w:r>
                </w:p>
              </w:tc>
              <w:tc>
                <w:tcPr>
                  <w:tcW w:w="1386" w:type="dxa"/>
                  <w:tcBorders>
                    <w:tl2br w:val="nil"/>
                    <w:tr2bl w:val="nil"/>
                  </w:tcBorders>
                  <w:vAlign w:val="center"/>
                </w:tcPr>
                <w:p w14:paraId="3CB406D8">
                  <w:pPr>
                    <w:pStyle w:val="14"/>
                    <w:widowControl w:val="0"/>
                    <w:snapToGrid w:val="0"/>
                    <w:spacing w:before="0" w:beforeAutospacing="0" w:after="0" w:afterAutospacing="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表示一般工业固体废物贮存、处置场所</w:t>
                  </w:r>
                </w:p>
              </w:tc>
              <w:tc>
                <w:tcPr>
                  <w:tcW w:w="1363" w:type="dxa"/>
                  <w:tcBorders>
                    <w:tl2br w:val="nil"/>
                    <w:tr2bl w:val="nil"/>
                  </w:tcBorders>
                  <w:vAlign w:val="center"/>
                </w:tcPr>
                <w:p w14:paraId="3A3882E0">
                  <w:pPr>
                    <w:pStyle w:val="14"/>
                    <w:widowControl w:val="0"/>
                    <w:snapToGrid w:val="0"/>
                    <w:spacing w:before="0" w:beforeAutospacing="0" w:after="0" w:afterAutospacing="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表示危险废物贮存、处置场所</w:t>
                  </w:r>
                </w:p>
              </w:tc>
            </w:tr>
          </w:tbl>
          <w:p w14:paraId="19B39F64">
            <w:pPr>
              <w:snapToGrid w:val="0"/>
              <w:spacing w:before="120" w:beforeLines="50" w:line="360" w:lineRule="auto"/>
              <w:ind w:firstLine="470" w:firstLineChars="196"/>
              <w:rPr>
                <w:rFonts w:hint="default" w:ascii="Times New Roman" w:hAnsi="Times New Roman" w:eastAsia="宋体" w:cs="Times New Roman"/>
                <w:b w:val="0"/>
                <w:bCs w:val="0"/>
                <w:sz w:val="24"/>
                <w:highlight w:val="none"/>
              </w:rPr>
            </w:pPr>
            <w:r>
              <w:rPr>
                <w:rFonts w:hint="default" w:ascii="Times New Roman" w:hAnsi="Times New Roman" w:eastAsia="宋体" w:cs="Times New Roman"/>
                <w:b w:val="0"/>
                <w:bCs w:val="0"/>
                <w:sz w:val="24"/>
                <w:highlight w:val="none"/>
              </w:rPr>
              <w:t>（3）</w:t>
            </w:r>
            <w:r>
              <w:rPr>
                <w:rFonts w:hint="default" w:ascii="Times New Roman" w:hAnsi="Times New Roman" w:eastAsia="宋体" w:cs="Times New Roman"/>
                <w:b w:val="0"/>
                <w:bCs w:val="0"/>
                <w:sz w:val="24"/>
                <w:highlight w:val="none"/>
                <w:lang w:val="en-US" w:eastAsia="zh-CN"/>
              </w:rPr>
              <w:t>监测点位</w:t>
            </w:r>
            <w:r>
              <w:rPr>
                <w:rFonts w:hint="default" w:ascii="Times New Roman" w:hAnsi="Times New Roman" w:eastAsia="宋体" w:cs="Times New Roman"/>
                <w:b w:val="0"/>
                <w:bCs w:val="0"/>
                <w:sz w:val="24"/>
                <w:highlight w:val="none"/>
              </w:rPr>
              <w:t>设置</w:t>
            </w:r>
          </w:p>
          <w:p w14:paraId="085544FA">
            <w:pPr>
              <w:spacing w:line="360" w:lineRule="auto"/>
              <w:ind w:firstLine="480" w:firstLineChars="200"/>
              <w:rPr>
                <w:rFonts w:hint="default" w:ascii="Times New Roman" w:hAnsi="Times New Roman" w:eastAsia="宋体" w:cs="Times New Roman"/>
                <w:bCs/>
                <w:sz w:val="24"/>
                <w:highlight w:val="none"/>
                <w:lang w:val="en-US" w:eastAsia="zh-CN"/>
              </w:rPr>
            </w:pPr>
            <w:r>
              <w:rPr>
                <w:rFonts w:hint="default" w:ascii="Times New Roman" w:hAnsi="Times New Roman" w:eastAsia="宋体" w:cs="Times New Roman"/>
                <w:bCs/>
                <w:sz w:val="24"/>
                <w:highlight w:val="none"/>
              </w:rPr>
              <w:t>按照</w:t>
            </w:r>
            <w:r>
              <w:rPr>
                <w:rFonts w:hint="default" w:ascii="Times New Roman" w:hAnsi="Times New Roman" w:eastAsia="宋体" w:cs="Times New Roman"/>
                <w:b w:val="0"/>
                <w:bCs w:val="0"/>
                <w:color w:val="auto"/>
                <w:sz w:val="24"/>
                <w:szCs w:val="24"/>
                <w:highlight w:val="none"/>
                <w:lang w:val="en-US" w:eastAsia="zh-CN"/>
              </w:rPr>
              <w:t>《排污单位污染物排放口监测点位设置技术规范》（HJ1405-2024）</w:t>
            </w: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rPr>
              <w:t>《固定污染源监测点位设置技术规范》（DB11/1195-2015）要求</w:t>
            </w:r>
            <w:r>
              <w:rPr>
                <w:rFonts w:hint="default" w:ascii="Times New Roman" w:hAnsi="Times New Roman" w:eastAsia="宋体" w:cs="Times New Roman"/>
                <w:bCs/>
                <w:sz w:val="24"/>
                <w:highlight w:val="none"/>
                <w:lang w:eastAsia="zh-CN"/>
              </w:rPr>
              <w:t>，</w:t>
            </w:r>
            <w:r>
              <w:rPr>
                <w:rFonts w:hint="default" w:ascii="Times New Roman" w:hAnsi="Times New Roman" w:eastAsia="宋体" w:cs="Times New Roman"/>
                <w:bCs/>
                <w:sz w:val="24"/>
                <w:highlight w:val="none"/>
              </w:rPr>
              <w:t>本项目</w:t>
            </w:r>
            <w:r>
              <w:rPr>
                <w:rFonts w:hint="default" w:ascii="Times New Roman" w:hAnsi="Times New Roman" w:eastAsia="宋体" w:cs="Times New Roman"/>
                <w:bCs/>
                <w:sz w:val="24"/>
                <w:highlight w:val="none"/>
                <w:lang w:val="en-US" w:eastAsia="zh-CN"/>
              </w:rPr>
              <w:t>设置</w:t>
            </w:r>
            <w:r>
              <w:rPr>
                <w:rFonts w:hint="eastAsia" w:cs="Times New Roman"/>
                <w:bCs/>
                <w:sz w:val="24"/>
                <w:highlight w:val="none"/>
                <w:lang w:val="en-US" w:eastAsia="zh-CN"/>
              </w:rPr>
              <w:t>8</w:t>
            </w:r>
            <w:r>
              <w:rPr>
                <w:rFonts w:hint="default" w:ascii="Times New Roman" w:hAnsi="Times New Roman" w:eastAsia="宋体" w:cs="Times New Roman"/>
                <w:bCs/>
                <w:sz w:val="24"/>
                <w:highlight w:val="none"/>
                <w:lang w:val="en-US" w:eastAsia="zh-CN"/>
              </w:rPr>
              <w:t>个废气排放口（DA001</w:t>
            </w:r>
            <w:r>
              <w:rPr>
                <w:rFonts w:hint="eastAsia" w:cs="Times New Roman"/>
                <w:bCs/>
                <w:sz w:val="24"/>
                <w:highlight w:val="none"/>
                <w:lang w:val="en-US" w:eastAsia="zh-CN"/>
              </w:rPr>
              <w:t>-DA008</w:t>
            </w:r>
            <w:r>
              <w:rPr>
                <w:rFonts w:hint="default" w:ascii="Times New Roman" w:hAnsi="Times New Roman" w:eastAsia="宋体" w:cs="Times New Roman"/>
                <w:bCs/>
                <w:sz w:val="24"/>
                <w:highlight w:val="none"/>
                <w:lang w:val="en-US" w:eastAsia="zh-CN"/>
              </w:rPr>
              <w:t>）、一个废水排放口（DW001）。</w:t>
            </w:r>
          </w:p>
          <w:p w14:paraId="607F5BB8">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在排放口设立监测点位标志牌，建立排放口监测点位档案，档案内容应包含监测点位二维码涵盖的信息，以及对监测点位的管理记录，包括对标志牌的标识是否清晰完整，工作平台、梯架、自动监测系统是否能正常使用，安全防护装置是否过期失效，防护设施有无破损现象，排放口附近有无堆积物等方面的检查和维修清理记录，记录周期不少于每半年一次。</w:t>
            </w:r>
          </w:p>
          <w:p w14:paraId="4EDE109D">
            <w:pPr>
              <w:spacing w:line="360" w:lineRule="auto"/>
              <w:ind w:firstLine="480" w:firstLineChars="200"/>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监测点位标志牌示例图见下图。</w:t>
            </w:r>
          </w:p>
          <w:tbl>
            <w:tblPr>
              <w:tblStyle w:val="18"/>
              <w:tblW w:w="0" w:type="auto"/>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677"/>
              <w:gridCol w:w="3678"/>
            </w:tblGrid>
            <w:tr w14:paraId="4B4A0CF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77" w:type="dxa"/>
                  <w:tcBorders>
                    <w:tl2br w:val="nil"/>
                    <w:tr2bl w:val="nil"/>
                  </w:tcBorders>
                  <w:vAlign w:val="center"/>
                </w:tcPr>
                <w:p w14:paraId="58EB92E7">
                  <w:pPr>
                    <w:spacing w:line="360" w:lineRule="auto"/>
                    <w:jc w:val="center"/>
                    <w:rPr>
                      <w:rFonts w:hint="default" w:ascii="Times New Roman" w:hAnsi="Times New Roman" w:eastAsia="宋体" w:cs="Times New Roman"/>
                      <w:b w:val="0"/>
                      <w:bCs w:val="0"/>
                      <w:color w:val="auto"/>
                      <w:sz w:val="24"/>
                      <w:szCs w:val="24"/>
                      <w:highlight w:val="none"/>
                      <w:vertAlign w:val="baseline"/>
                      <w:lang w:val="en-US" w:eastAsia="zh-CN"/>
                    </w:rPr>
                  </w:pPr>
                  <w:r>
                    <w:rPr>
                      <w:rFonts w:hint="default" w:ascii="Times New Roman" w:hAnsi="Times New Roman" w:eastAsia="宋体" w:cs="Times New Roman"/>
                    </w:rPr>
                    <w:drawing>
                      <wp:inline distT="0" distB="0" distL="114300" distR="114300">
                        <wp:extent cx="1965325" cy="1692275"/>
                        <wp:effectExtent l="0" t="0" r="635" b="14605"/>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r:embed="rId41"/>
                                <a:stretch>
                                  <a:fillRect/>
                                </a:stretch>
                              </pic:blipFill>
                              <pic:spPr>
                                <a:xfrm>
                                  <a:off x="0" y="0"/>
                                  <a:ext cx="1965325" cy="1692275"/>
                                </a:xfrm>
                                <a:prstGeom prst="rect">
                                  <a:avLst/>
                                </a:prstGeom>
                                <a:noFill/>
                                <a:ln>
                                  <a:noFill/>
                                </a:ln>
                              </pic:spPr>
                            </pic:pic>
                          </a:graphicData>
                        </a:graphic>
                      </wp:inline>
                    </w:drawing>
                  </w:r>
                </w:p>
              </w:tc>
              <w:tc>
                <w:tcPr>
                  <w:tcW w:w="3678" w:type="dxa"/>
                  <w:tcBorders>
                    <w:tl2br w:val="nil"/>
                    <w:tr2bl w:val="nil"/>
                  </w:tcBorders>
                  <w:vAlign w:val="center"/>
                </w:tcPr>
                <w:p w14:paraId="45365E60">
                  <w:pPr>
                    <w:spacing w:line="360" w:lineRule="auto"/>
                    <w:jc w:val="center"/>
                    <w:rPr>
                      <w:rFonts w:hint="default" w:ascii="Times New Roman" w:hAnsi="Times New Roman" w:eastAsia="宋体" w:cs="Times New Roman"/>
                      <w:b w:val="0"/>
                      <w:bCs w:val="0"/>
                      <w:color w:val="auto"/>
                      <w:sz w:val="24"/>
                      <w:szCs w:val="24"/>
                      <w:highlight w:val="none"/>
                      <w:vertAlign w:val="baseline"/>
                      <w:lang w:val="en-US" w:eastAsia="zh-CN"/>
                    </w:rPr>
                  </w:pPr>
                  <w:r>
                    <w:rPr>
                      <w:rFonts w:hint="default" w:ascii="Times New Roman" w:hAnsi="Times New Roman" w:eastAsia="宋体" w:cs="Times New Roman"/>
                    </w:rPr>
                    <w:drawing>
                      <wp:inline distT="0" distB="0" distL="114300" distR="114300">
                        <wp:extent cx="2138045" cy="1718310"/>
                        <wp:effectExtent l="0" t="0" r="10795" b="3810"/>
                        <wp:docPr id="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1"/>
                                </pic:cNvPicPr>
                              </pic:nvPicPr>
                              <pic:blipFill>
                                <a:blip r:embed="rId42"/>
                                <a:stretch>
                                  <a:fillRect/>
                                </a:stretch>
                              </pic:blipFill>
                              <pic:spPr>
                                <a:xfrm>
                                  <a:off x="0" y="0"/>
                                  <a:ext cx="2138045" cy="1718310"/>
                                </a:xfrm>
                                <a:prstGeom prst="rect">
                                  <a:avLst/>
                                </a:prstGeom>
                                <a:noFill/>
                                <a:ln>
                                  <a:noFill/>
                                </a:ln>
                              </pic:spPr>
                            </pic:pic>
                          </a:graphicData>
                        </a:graphic>
                      </wp:inline>
                    </w:drawing>
                  </w:r>
                </w:p>
              </w:tc>
            </w:tr>
          </w:tbl>
          <w:p w14:paraId="43D4BC0D">
            <w:pPr>
              <w:spacing w:line="360" w:lineRule="auto"/>
              <w:ind w:firstLine="2409" w:firstLineChars="10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图5-1 监测点位标志牌示意图</w:t>
            </w:r>
          </w:p>
          <w:p w14:paraId="7B190984">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（4）项目竣工环境保护验收</w:t>
            </w:r>
          </w:p>
          <w:p w14:paraId="0A8F1746">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根据《关于发布&lt;建设项目竣工环境保护验收暂行办法&gt;的公告》（国环规环评[2017]4号）、《关于发布&lt;建设项目竣工环境保护验收技术指南 污染影响类&gt;的公告》（公告2018年第9号），本项目需开展竣工环境保护自主验收工作。本次评价项目竣工环保</w:t>
            </w: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三同时</w:t>
            </w: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验收内容详见下表。</w:t>
            </w:r>
          </w:p>
          <w:p w14:paraId="2E7C97E5">
            <w:pPr>
              <w:numPr>
                <w:ilvl w:val="0"/>
                <w:numId w:val="0"/>
              </w:numPr>
              <w:adjustRightInd w:val="0"/>
              <w:spacing w:line="360" w:lineRule="auto"/>
              <w:ind w:leftChars="0"/>
              <w:jc w:val="center"/>
              <w:rPr>
                <w:rFonts w:hint="default" w:ascii="Times New Roman" w:hAnsi="Times New Roman" w:eastAsia="宋体" w:cs="Times New Roman"/>
                <w:b/>
                <w:spacing w:val="-4"/>
                <w:kern w:val="0"/>
                <w:sz w:val="24"/>
                <w:highlight w:val="none"/>
                <w:lang w:val="en-US" w:eastAsia="zh-CN"/>
              </w:rPr>
            </w:pPr>
            <w:r>
              <w:rPr>
                <w:rFonts w:hint="default" w:ascii="Times New Roman" w:hAnsi="Times New Roman" w:eastAsia="宋体" w:cs="Times New Roman"/>
                <w:b/>
                <w:spacing w:val="-4"/>
                <w:kern w:val="0"/>
                <w:sz w:val="24"/>
                <w:highlight w:val="none"/>
                <w:lang w:val="en-US" w:eastAsia="zh-CN"/>
              </w:rPr>
              <w:t>表5-3  本项目竣工环保</w:t>
            </w:r>
            <w:r>
              <w:rPr>
                <w:rFonts w:hint="eastAsia" w:ascii="Times New Roman" w:hAnsi="Times New Roman" w:eastAsia="宋体" w:cs="Times New Roman"/>
                <w:b/>
                <w:spacing w:val="-4"/>
                <w:kern w:val="0"/>
                <w:sz w:val="24"/>
                <w:highlight w:val="none"/>
                <w:lang w:val="en-US" w:eastAsia="zh-CN"/>
              </w:rPr>
              <w:t>“</w:t>
            </w:r>
            <w:r>
              <w:rPr>
                <w:rFonts w:hint="default" w:ascii="Times New Roman" w:hAnsi="Times New Roman" w:eastAsia="宋体" w:cs="Times New Roman"/>
                <w:b/>
                <w:spacing w:val="-4"/>
                <w:kern w:val="0"/>
                <w:sz w:val="24"/>
                <w:highlight w:val="none"/>
                <w:lang w:val="en-US" w:eastAsia="zh-CN"/>
              </w:rPr>
              <w:t>三同时</w:t>
            </w:r>
            <w:r>
              <w:rPr>
                <w:rFonts w:hint="eastAsia" w:ascii="Times New Roman" w:hAnsi="Times New Roman" w:eastAsia="宋体" w:cs="Times New Roman"/>
                <w:b/>
                <w:spacing w:val="-4"/>
                <w:kern w:val="0"/>
                <w:sz w:val="24"/>
                <w:highlight w:val="none"/>
                <w:lang w:val="en-US" w:eastAsia="zh-CN"/>
              </w:rPr>
              <w:t>”</w:t>
            </w:r>
            <w:r>
              <w:rPr>
                <w:rFonts w:hint="default" w:ascii="Times New Roman" w:hAnsi="Times New Roman" w:eastAsia="宋体" w:cs="Times New Roman"/>
                <w:b/>
                <w:spacing w:val="-4"/>
                <w:kern w:val="0"/>
                <w:sz w:val="24"/>
                <w:highlight w:val="none"/>
                <w:lang w:val="en-US" w:eastAsia="zh-CN"/>
              </w:rPr>
              <w:t>验收内容一览表</w:t>
            </w:r>
          </w:p>
          <w:tbl>
            <w:tblPr>
              <w:tblStyle w:val="17"/>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43"/>
              <w:gridCol w:w="958"/>
              <w:gridCol w:w="1619"/>
              <w:gridCol w:w="1942"/>
              <w:gridCol w:w="2393"/>
            </w:tblGrid>
            <w:tr w14:paraId="67759AD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1" w:type="pct"/>
                  <w:tcBorders>
                    <w:tl2br w:val="nil"/>
                    <w:tr2bl w:val="nil"/>
                  </w:tcBorders>
                  <w:vAlign w:val="center"/>
                </w:tcPr>
                <w:p w14:paraId="7CDC0042">
                  <w:pPr>
                    <w:adjustRightIn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项目</w:t>
                  </w:r>
                </w:p>
              </w:tc>
              <w:tc>
                <w:tcPr>
                  <w:tcW w:w="651" w:type="pct"/>
                  <w:tcBorders>
                    <w:tl2br w:val="nil"/>
                    <w:tr2bl w:val="nil"/>
                  </w:tcBorders>
                  <w:vAlign w:val="center"/>
                </w:tcPr>
                <w:p w14:paraId="1F02DC8A">
                  <w:pPr>
                    <w:adjustRightIn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污染源</w:t>
                  </w:r>
                </w:p>
              </w:tc>
              <w:tc>
                <w:tcPr>
                  <w:tcW w:w="1100" w:type="pct"/>
                  <w:tcBorders>
                    <w:tl2br w:val="nil"/>
                    <w:tr2bl w:val="nil"/>
                  </w:tcBorders>
                  <w:vAlign w:val="center"/>
                </w:tcPr>
                <w:p w14:paraId="4BD357A6">
                  <w:pPr>
                    <w:adjustRightIn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污染物</w:t>
                  </w:r>
                </w:p>
              </w:tc>
              <w:tc>
                <w:tcPr>
                  <w:tcW w:w="1320" w:type="pct"/>
                  <w:tcBorders>
                    <w:tl2br w:val="nil"/>
                    <w:tr2bl w:val="nil"/>
                  </w:tcBorders>
                  <w:vAlign w:val="center"/>
                </w:tcPr>
                <w:p w14:paraId="05D65A05">
                  <w:pPr>
                    <w:adjustRightIn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验收设施</w:t>
                  </w:r>
                </w:p>
              </w:tc>
              <w:tc>
                <w:tcPr>
                  <w:tcW w:w="1626" w:type="pct"/>
                  <w:tcBorders>
                    <w:tl2br w:val="nil"/>
                    <w:tr2bl w:val="nil"/>
                  </w:tcBorders>
                  <w:vAlign w:val="center"/>
                </w:tcPr>
                <w:p w14:paraId="0B4815B6">
                  <w:pPr>
                    <w:adjustRightIn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验收标准要求</w:t>
                  </w:r>
                </w:p>
              </w:tc>
            </w:tr>
            <w:tr w14:paraId="76351A0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1" w:type="pct"/>
                  <w:vMerge w:val="restart"/>
                  <w:tcBorders>
                    <w:tl2br w:val="nil"/>
                    <w:tr2bl w:val="nil"/>
                  </w:tcBorders>
                  <w:vAlign w:val="center"/>
                </w:tcPr>
                <w:p w14:paraId="3ADD35AF">
                  <w:pPr>
                    <w:adjustRightIn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废气</w:t>
                  </w:r>
                </w:p>
              </w:tc>
              <w:tc>
                <w:tcPr>
                  <w:tcW w:w="651" w:type="pct"/>
                  <w:tcBorders>
                    <w:tl2br w:val="nil"/>
                    <w:tr2bl w:val="nil"/>
                  </w:tcBorders>
                  <w:vAlign w:val="center"/>
                </w:tcPr>
                <w:p w14:paraId="4DE06CA2">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szCs w:val="21"/>
                      <w:highlight w:val="none"/>
                    </w:rPr>
                    <w:t>DA00</w:t>
                  </w:r>
                  <w:r>
                    <w:rPr>
                      <w:rFonts w:hint="default" w:ascii="Times New Roman" w:hAnsi="Times New Roman" w:eastAsia="宋体" w:cs="Times New Roman"/>
                      <w:szCs w:val="21"/>
                      <w:highlight w:val="none"/>
                      <w:lang w:val="en-US" w:eastAsia="zh-CN"/>
                    </w:rPr>
                    <w:t>1</w:t>
                  </w:r>
                </w:p>
              </w:tc>
              <w:tc>
                <w:tcPr>
                  <w:tcW w:w="1100" w:type="pct"/>
                  <w:tcBorders>
                    <w:tl2br w:val="nil"/>
                    <w:tr2bl w:val="nil"/>
                  </w:tcBorders>
                  <w:vAlign w:val="center"/>
                </w:tcPr>
                <w:p w14:paraId="765AAF66">
                  <w:pPr>
                    <w:jc w:val="center"/>
                    <w:rPr>
                      <w:rFonts w:hint="default" w:ascii="Times New Roman" w:hAnsi="Times New Roman" w:eastAsia="宋体" w:cs="Times New Roman"/>
                      <w:bCs/>
                      <w:szCs w:val="21"/>
                      <w:highlight w:val="none"/>
                      <w:lang w:val="en-US" w:eastAsia="zh-CN"/>
                    </w:rPr>
                  </w:pPr>
                  <w:r>
                    <w:rPr>
                      <w:rFonts w:hint="eastAsia" w:ascii="Times New Roman" w:hAnsi="Times New Roman" w:eastAsia="宋体" w:cs="Times New Roman"/>
                      <w:color w:val="000000"/>
                      <w:kern w:val="0"/>
                      <w:sz w:val="21"/>
                      <w:szCs w:val="21"/>
                      <w:lang w:val="en-US" w:eastAsia="zh-CN" w:bidi="ar"/>
                    </w:rPr>
                    <w:t>颗粒物、</w:t>
                  </w:r>
                  <w:r>
                    <w:rPr>
                      <w:rFonts w:hint="default" w:ascii="Times New Roman" w:hAnsi="Times New Roman" w:eastAsia="宋体" w:cs="Times New Roman"/>
                      <w:color w:val="000000"/>
                      <w:kern w:val="0"/>
                      <w:sz w:val="21"/>
                      <w:szCs w:val="21"/>
                      <w:lang w:val="en-US" w:eastAsia="zh-CN" w:bidi="ar"/>
                    </w:rPr>
                    <w:t>镍及其化合物</w:t>
                  </w:r>
                </w:p>
              </w:tc>
              <w:tc>
                <w:tcPr>
                  <w:tcW w:w="1320" w:type="pct"/>
                  <w:tcBorders>
                    <w:tl2br w:val="nil"/>
                    <w:tr2bl w:val="nil"/>
                  </w:tcBorders>
                  <w:vAlign w:val="center"/>
                </w:tcPr>
                <w:p w14:paraId="0DF5D273">
                  <w:pPr>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color w:val="000000"/>
                      <w:kern w:val="0"/>
                      <w:sz w:val="21"/>
                      <w:szCs w:val="21"/>
                      <w:lang w:val="en-US" w:eastAsia="zh-CN" w:bidi="ar"/>
                    </w:rPr>
                    <w:t>集气罩</w:t>
                  </w:r>
                  <w:r>
                    <w:rPr>
                      <w:rFonts w:hint="eastAsia" w:ascii="Times New Roman" w:hAnsi="Times New Roman" w:eastAsia="宋体" w:cs="Times New Roman"/>
                      <w:color w:val="000000"/>
                      <w:kern w:val="0"/>
                      <w:sz w:val="21"/>
                      <w:szCs w:val="21"/>
                      <w:lang w:val="en-US" w:eastAsia="zh-CN" w:bidi="ar"/>
                    </w:rPr>
                    <w:t>、</w:t>
                  </w:r>
                  <w:r>
                    <w:rPr>
                      <w:rFonts w:hint="eastAsia" w:cs="Times New Roman"/>
                      <w:color w:val="000000"/>
                      <w:kern w:val="0"/>
                      <w:sz w:val="21"/>
                      <w:szCs w:val="21"/>
                      <w:lang w:val="en-US" w:eastAsia="zh-CN" w:bidi="ar"/>
                    </w:rPr>
                    <w:t>袋式除尘器、采样平台、排气筒、标志</w:t>
                  </w:r>
                </w:p>
              </w:tc>
              <w:tc>
                <w:tcPr>
                  <w:tcW w:w="1626" w:type="pct"/>
                  <w:vMerge w:val="restart"/>
                  <w:tcBorders>
                    <w:tl2br w:val="nil"/>
                    <w:tr2bl w:val="nil"/>
                  </w:tcBorders>
                  <w:vAlign w:val="center"/>
                </w:tcPr>
                <w:p w14:paraId="69709AEE">
                  <w:pPr>
                    <w:adjustRightInd w:val="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szCs w:val="21"/>
                      <w:highlight w:val="none"/>
                      <w:lang w:val="zh-CN"/>
                    </w:rPr>
                    <w:t>北京市《大气污染物综合排放标准》（DB11/501-2017）中表3</w:t>
                  </w:r>
                  <w:r>
                    <w:rPr>
                      <w:rFonts w:hint="default" w:ascii="Times New Roman" w:hAnsi="Times New Roman" w:eastAsia="宋体" w:cs="Times New Roman"/>
                      <w:szCs w:val="21"/>
                      <w:highlight w:val="none"/>
                    </w:rPr>
                    <w:t xml:space="preserve"> </w:t>
                  </w:r>
                  <w:r>
                    <w:rPr>
                      <w:rFonts w:hint="default" w:ascii="Times New Roman" w:hAnsi="Times New Roman" w:eastAsia="宋体" w:cs="Times New Roman"/>
                      <w:szCs w:val="21"/>
                      <w:highlight w:val="none"/>
                      <w:lang w:val="zh-CN"/>
                    </w:rPr>
                    <w:t>Ⅱ时段的最高允许排放浓度限值要求</w:t>
                  </w:r>
                </w:p>
              </w:tc>
            </w:tr>
            <w:tr w14:paraId="5BFBCF4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1" w:type="pct"/>
                  <w:vMerge w:val="continue"/>
                  <w:tcBorders>
                    <w:tl2br w:val="nil"/>
                    <w:tr2bl w:val="nil"/>
                  </w:tcBorders>
                  <w:vAlign w:val="center"/>
                </w:tcPr>
                <w:p w14:paraId="773A202A">
                  <w:pPr>
                    <w:adjustRightInd w:val="0"/>
                    <w:jc w:val="center"/>
                    <w:rPr>
                      <w:rFonts w:hint="default" w:ascii="Times New Roman" w:hAnsi="Times New Roman" w:eastAsia="宋体" w:cs="Times New Roman"/>
                      <w:bCs/>
                      <w:szCs w:val="21"/>
                      <w:highlight w:val="none"/>
                      <w:lang w:val="en-US" w:eastAsia="zh-CN"/>
                    </w:rPr>
                  </w:pPr>
                </w:p>
              </w:tc>
              <w:tc>
                <w:tcPr>
                  <w:tcW w:w="651" w:type="pct"/>
                  <w:tcBorders>
                    <w:tl2br w:val="nil"/>
                    <w:tr2bl w:val="nil"/>
                  </w:tcBorders>
                  <w:vAlign w:val="center"/>
                </w:tcPr>
                <w:p w14:paraId="2D0A2A36">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szCs w:val="21"/>
                      <w:highlight w:val="none"/>
                      <w:lang w:val="en-US" w:eastAsia="zh-CN"/>
                    </w:rPr>
                    <w:t>DA002</w:t>
                  </w:r>
                </w:p>
              </w:tc>
              <w:tc>
                <w:tcPr>
                  <w:tcW w:w="1100" w:type="pct"/>
                  <w:tcBorders>
                    <w:tl2br w:val="nil"/>
                    <w:tr2bl w:val="nil"/>
                  </w:tcBorders>
                  <w:vAlign w:val="center"/>
                </w:tcPr>
                <w:p w14:paraId="2376C43D">
                  <w:pPr>
                    <w:jc w:val="center"/>
                    <w:rPr>
                      <w:rFonts w:hint="default" w:ascii="Times New Roman" w:hAnsi="Times New Roman" w:eastAsia="宋体" w:cs="Times New Roman"/>
                      <w:bCs/>
                      <w:szCs w:val="21"/>
                      <w:highlight w:val="none"/>
                      <w:lang w:val="en-US" w:eastAsia="zh-CN"/>
                    </w:rPr>
                  </w:pPr>
                  <w:r>
                    <w:rPr>
                      <w:rFonts w:hint="eastAsia" w:ascii="Times New Roman" w:hAnsi="Times New Roman" w:eastAsia="宋体" w:cs="Times New Roman"/>
                      <w:color w:val="000000"/>
                      <w:kern w:val="0"/>
                      <w:sz w:val="21"/>
                      <w:szCs w:val="21"/>
                      <w:lang w:val="en-US" w:eastAsia="zh-CN" w:bidi="ar"/>
                    </w:rPr>
                    <w:t>非甲烷总烃、</w:t>
                  </w:r>
                  <w:r>
                    <w:rPr>
                      <w:rFonts w:hint="default" w:ascii="Times New Roman" w:hAnsi="Times New Roman" w:eastAsia="宋体" w:cs="Times New Roman"/>
                      <w:color w:val="000000"/>
                      <w:kern w:val="0"/>
                      <w:sz w:val="21"/>
                      <w:szCs w:val="21"/>
                      <w:lang w:val="en-US" w:eastAsia="zh-CN" w:bidi="ar"/>
                    </w:rPr>
                    <w:t>氮氧化物</w:t>
                  </w:r>
                </w:p>
              </w:tc>
              <w:tc>
                <w:tcPr>
                  <w:tcW w:w="1320" w:type="pct"/>
                  <w:tcBorders>
                    <w:tl2br w:val="nil"/>
                    <w:tr2bl w:val="nil"/>
                  </w:tcBorders>
                  <w:vAlign w:val="center"/>
                </w:tcPr>
                <w:p w14:paraId="6988B6D0">
                  <w:pPr>
                    <w:jc w:val="center"/>
                    <w:rPr>
                      <w:rFonts w:hint="default" w:ascii="Times New Roman" w:hAnsi="Times New Roman" w:eastAsia="宋体" w:cs="Times New Roman"/>
                      <w:bCs/>
                      <w:szCs w:val="21"/>
                      <w:highlight w:val="none"/>
                      <w:lang w:val="en-US" w:eastAsia="zh-CN"/>
                    </w:rPr>
                  </w:pPr>
                  <w:r>
                    <w:rPr>
                      <w:rFonts w:hint="eastAsia" w:ascii="Times New Roman" w:hAnsi="Times New Roman" w:eastAsia="宋体" w:cs="Times New Roman"/>
                      <w:color w:val="000000"/>
                      <w:kern w:val="0"/>
                      <w:sz w:val="21"/>
                      <w:szCs w:val="21"/>
                      <w:lang w:val="en-US" w:eastAsia="zh-CN" w:bidi="ar"/>
                    </w:rPr>
                    <w:t>通风橱、</w:t>
                  </w:r>
                  <w:r>
                    <w:rPr>
                      <w:rFonts w:hint="eastAsia" w:cs="Times New Roman"/>
                      <w:color w:val="000000"/>
                      <w:kern w:val="0"/>
                      <w:sz w:val="21"/>
                      <w:szCs w:val="21"/>
                      <w:lang w:val="en-US" w:eastAsia="zh-CN" w:bidi="ar"/>
                    </w:rPr>
                    <w:t>干式过滤器</w:t>
                  </w:r>
                  <w:r>
                    <w:rPr>
                      <w:rFonts w:hint="eastAsia" w:ascii="Times New Roman" w:hAnsi="Times New Roman" w:eastAsia="宋体" w:cs="Times New Roman"/>
                      <w:color w:val="000000"/>
                      <w:kern w:val="0"/>
                      <w:sz w:val="21"/>
                      <w:szCs w:val="21"/>
                      <w:lang w:val="en-US" w:eastAsia="zh-CN" w:bidi="ar"/>
                    </w:rPr>
                    <w:t>、标志</w:t>
                  </w:r>
                </w:p>
              </w:tc>
              <w:tc>
                <w:tcPr>
                  <w:tcW w:w="1626" w:type="pct"/>
                  <w:vMerge w:val="continue"/>
                  <w:tcBorders>
                    <w:tl2br w:val="nil"/>
                    <w:tr2bl w:val="nil"/>
                  </w:tcBorders>
                  <w:vAlign w:val="center"/>
                </w:tcPr>
                <w:p w14:paraId="6F2B9FE8">
                  <w:pPr>
                    <w:adjustRightInd w:val="0"/>
                    <w:jc w:val="center"/>
                    <w:rPr>
                      <w:rFonts w:hint="default" w:ascii="Times New Roman" w:hAnsi="Times New Roman" w:eastAsia="宋体" w:cs="Times New Roman"/>
                      <w:szCs w:val="21"/>
                      <w:highlight w:val="none"/>
                      <w:lang w:val="zh-CN"/>
                    </w:rPr>
                  </w:pPr>
                </w:p>
              </w:tc>
            </w:tr>
            <w:tr w14:paraId="2B0E6DD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1" w:type="pct"/>
                  <w:vMerge w:val="continue"/>
                  <w:tcBorders>
                    <w:tl2br w:val="nil"/>
                    <w:tr2bl w:val="nil"/>
                  </w:tcBorders>
                  <w:vAlign w:val="center"/>
                </w:tcPr>
                <w:p w14:paraId="22EC735B">
                  <w:pPr>
                    <w:adjustRightInd w:val="0"/>
                    <w:jc w:val="center"/>
                    <w:rPr>
                      <w:rFonts w:hint="default" w:ascii="Times New Roman" w:hAnsi="Times New Roman" w:eastAsia="宋体" w:cs="Times New Roman"/>
                      <w:bCs/>
                      <w:szCs w:val="21"/>
                      <w:highlight w:val="none"/>
                      <w:lang w:val="en-US" w:eastAsia="zh-CN"/>
                    </w:rPr>
                  </w:pPr>
                </w:p>
              </w:tc>
              <w:tc>
                <w:tcPr>
                  <w:tcW w:w="651" w:type="pct"/>
                  <w:tcBorders>
                    <w:tl2br w:val="nil"/>
                    <w:tr2bl w:val="nil"/>
                  </w:tcBorders>
                  <w:vAlign w:val="center"/>
                </w:tcPr>
                <w:p w14:paraId="74E00126">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szCs w:val="21"/>
                      <w:highlight w:val="none"/>
                      <w:lang w:val="en-US" w:eastAsia="zh-CN"/>
                    </w:rPr>
                    <w:t>DA00</w:t>
                  </w:r>
                  <w:r>
                    <w:rPr>
                      <w:rFonts w:hint="eastAsia" w:ascii="Times New Roman" w:hAnsi="Times New Roman" w:eastAsia="宋体" w:cs="Times New Roman"/>
                      <w:szCs w:val="21"/>
                      <w:highlight w:val="none"/>
                      <w:lang w:val="en-US" w:eastAsia="zh-CN"/>
                    </w:rPr>
                    <w:t>3</w:t>
                  </w:r>
                </w:p>
              </w:tc>
              <w:tc>
                <w:tcPr>
                  <w:tcW w:w="1100" w:type="pct"/>
                  <w:tcBorders>
                    <w:tl2br w:val="nil"/>
                    <w:tr2bl w:val="nil"/>
                  </w:tcBorders>
                  <w:vAlign w:val="center"/>
                </w:tcPr>
                <w:p w14:paraId="4B597244">
                  <w:pPr>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color w:val="000000"/>
                      <w:kern w:val="0"/>
                      <w:sz w:val="21"/>
                      <w:szCs w:val="21"/>
                      <w:lang w:val="en-US" w:eastAsia="zh-CN" w:bidi="ar"/>
                    </w:rPr>
                    <w:t>氯化氢</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氮氧化物</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氨</w:t>
                  </w:r>
                  <w:r>
                    <w:rPr>
                      <w:rFonts w:hint="eastAsia" w:ascii="Times New Roman" w:hAnsi="Times New Roman" w:eastAsia="宋体" w:cs="Times New Roman"/>
                      <w:color w:val="000000"/>
                      <w:kern w:val="0"/>
                      <w:sz w:val="21"/>
                      <w:szCs w:val="21"/>
                      <w:lang w:val="en-US" w:eastAsia="zh-CN" w:bidi="ar"/>
                    </w:rPr>
                    <w:t>、氟</w:t>
                  </w:r>
                </w:p>
              </w:tc>
              <w:tc>
                <w:tcPr>
                  <w:tcW w:w="1320" w:type="pct"/>
                  <w:tcBorders>
                    <w:tl2br w:val="nil"/>
                    <w:tr2bl w:val="nil"/>
                  </w:tcBorders>
                  <w:vAlign w:val="center"/>
                </w:tcPr>
                <w:p w14:paraId="13C385E6">
                  <w:pPr>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color w:val="000000"/>
                      <w:kern w:val="0"/>
                      <w:sz w:val="21"/>
                      <w:szCs w:val="21"/>
                      <w:lang w:val="en-US" w:eastAsia="zh-CN" w:bidi="ar"/>
                    </w:rPr>
                    <w:t>集气罩</w:t>
                  </w:r>
                  <w:r>
                    <w:rPr>
                      <w:rFonts w:hint="eastAsia" w:ascii="Times New Roman" w:hAnsi="Times New Roman" w:eastAsia="宋体" w:cs="Times New Roman"/>
                      <w:color w:val="000000"/>
                      <w:kern w:val="0"/>
                      <w:sz w:val="21"/>
                      <w:szCs w:val="21"/>
                      <w:lang w:val="en-US" w:eastAsia="zh-CN" w:bidi="ar"/>
                    </w:rPr>
                    <w:t>、</w:t>
                  </w:r>
                  <w:r>
                    <w:rPr>
                      <w:rFonts w:hint="eastAsia" w:cs="Times New Roman"/>
                      <w:color w:val="000000"/>
                      <w:kern w:val="0"/>
                      <w:sz w:val="21"/>
                      <w:szCs w:val="21"/>
                      <w:lang w:val="en-US" w:eastAsia="zh-CN" w:bidi="ar"/>
                    </w:rPr>
                    <w:t>喷淋塔</w:t>
                  </w:r>
                  <w:r>
                    <w:rPr>
                      <w:rFonts w:hint="eastAsia" w:ascii="Times New Roman" w:hAnsi="Times New Roman" w:eastAsia="宋体" w:cs="Times New Roman"/>
                      <w:color w:val="000000"/>
                      <w:kern w:val="0"/>
                      <w:sz w:val="21"/>
                      <w:szCs w:val="21"/>
                      <w:lang w:val="en-US" w:eastAsia="zh-CN" w:bidi="ar"/>
                    </w:rPr>
                    <w:t>、</w:t>
                  </w:r>
                  <w:r>
                    <w:rPr>
                      <w:rFonts w:hint="eastAsia" w:cs="Times New Roman"/>
                      <w:color w:val="000000"/>
                      <w:kern w:val="0"/>
                      <w:sz w:val="21"/>
                      <w:szCs w:val="21"/>
                      <w:lang w:val="en-US" w:eastAsia="zh-CN" w:bidi="ar"/>
                    </w:rPr>
                    <w:t>采样平台、排气筒、</w:t>
                  </w:r>
                  <w:r>
                    <w:rPr>
                      <w:rFonts w:hint="eastAsia" w:ascii="Times New Roman" w:hAnsi="Times New Roman" w:eastAsia="宋体" w:cs="Times New Roman"/>
                      <w:color w:val="000000"/>
                      <w:kern w:val="0"/>
                      <w:sz w:val="21"/>
                      <w:szCs w:val="21"/>
                      <w:lang w:val="en-US" w:eastAsia="zh-CN" w:bidi="ar"/>
                    </w:rPr>
                    <w:t>标志</w:t>
                  </w:r>
                </w:p>
              </w:tc>
              <w:tc>
                <w:tcPr>
                  <w:tcW w:w="1626" w:type="pct"/>
                  <w:vMerge w:val="continue"/>
                  <w:tcBorders>
                    <w:tl2br w:val="nil"/>
                    <w:tr2bl w:val="nil"/>
                  </w:tcBorders>
                  <w:vAlign w:val="center"/>
                </w:tcPr>
                <w:p w14:paraId="5BF6B377">
                  <w:pPr>
                    <w:adjustRightInd w:val="0"/>
                    <w:jc w:val="center"/>
                    <w:rPr>
                      <w:rFonts w:hint="default" w:ascii="Times New Roman" w:hAnsi="Times New Roman" w:eastAsia="宋体" w:cs="Times New Roman"/>
                      <w:szCs w:val="21"/>
                      <w:highlight w:val="none"/>
                      <w:lang w:val="zh-CN"/>
                    </w:rPr>
                  </w:pPr>
                </w:p>
              </w:tc>
            </w:tr>
            <w:tr w14:paraId="4DF5ADD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1" w:type="pct"/>
                  <w:vMerge w:val="continue"/>
                  <w:tcBorders>
                    <w:tl2br w:val="nil"/>
                    <w:tr2bl w:val="nil"/>
                  </w:tcBorders>
                  <w:vAlign w:val="center"/>
                </w:tcPr>
                <w:p w14:paraId="3285FEC2">
                  <w:pPr>
                    <w:adjustRightInd w:val="0"/>
                    <w:jc w:val="center"/>
                    <w:rPr>
                      <w:rFonts w:hint="default" w:ascii="Times New Roman" w:hAnsi="Times New Roman" w:eastAsia="宋体" w:cs="Times New Roman"/>
                      <w:bCs/>
                      <w:szCs w:val="21"/>
                      <w:highlight w:val="none"/>
                      <w:lang w:val="en-US" w:eastAsia="zh-CN"/>
                    </w:rPr>
                  </w:pPr>
                </w:p>
              </w:tc>
              <w:tc>
                <w:tcPr>
                  <w:tcW w:w="651" w:type="pct"/>
                  <w:tcBorders>
                    <w:tl2br w:val="nil"/>
                    <w:tr2bl w:val="nil"/>
                  </w:tcBorders>
                  <w:vAlign w:val="center"/>
                </w:tcPr>
                <w:p w14:paraId="48348DCB">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szCs w:val="21"/>
                      <w:highlight w:val="none"/>
                      <w:lang w:val="en-US" w:eastAsia="zh-CN"/>
                    </w:rPr>
                    <w:t>DA00</w:t>
                  </w:r>
                  <w:r>
                    <w:rPr>
                      <w:rFonts w:hint="eastAsia" w:ascii="Times New Roman" w:hAnsi="Times New Roman" w:eastAsia="宋体" w:cs="Times New Roman"/>
                      <w:szCs w:val="21"/>
                      <w:highlight w:val="none"/>
                      <w:lang w:val="en-US" w:eastAsia="zh-CN"/>
                    </w:rPr>
                    <w:t>4</w:t>
                  </w:r>
                </w:p>
              </w:tc>
              <w:tc>
                <w:tcPr>
                  <w:tcW w:w="1100" w:type="pct"/>
                  <w:tcBorders>
                    <w:tl2br w:val="nil"/>
                    <w:tr2bl w:val="nil"/>
                  </w:tcBorders>
                  <w:vAlign w:val="center"/>
                </w:tcPr>
                <w:p w14:paraId="1AF0E1E0">
                  <w:pPr>
                    <w:jc w:val="center"/>
                    <w:rPr>
                      <w:rFonts w:hint="default" w:ascii="Times New Roman" w:hAnsi="Times New Roman" w:eastAsia="宋体" w:cs="Times New Roman"/>
                      <w:bCs/>
                      <w:szCs w:val="21"/>
                      <w:highlight w:val="none"/>
                      <w:lang w:val="en-US" w:eastAsia="zh-CN"/>
                    </w:rPr>
                  </w:pPr>
                  <w:r>
                    <w:rPr>
                      <w:rFonts w:hint="eastAsia" w:ascii="Times New Roman" w:hAnsi="Times New Roman" w:eastAsia="宋体" w:cs="Times New Roman"/>
                      <w:color w:val="000000"/>
                      <w:kern w:val="0"/>
                      <w:sz w:val="21"/>
                      <w:szCs w:val="21"/>
                      <w:lang w:val="en-US" w:eastAsia="zh-CN" w:bidi="ar"/>
                    </w:rPr>
                    <w:t>非甲烷总烃</w:t>
                  </w:r>
                </w:p>
              </w:tc>
              <w:tc>
                <w:tcPr>
                  <w:tcW w:w="1320" w:type="pct"/>
                  <w:tcBorders>
                    <w:tl2br w:val="nil"/>
                    <w:tr2bl w:val="nil"/>
                  </w:tcBorders>
                  <w:vAlign w:val="center"/>
                </w:tcPr>
                <w:p w14:paraId="4EDD607B">
                  <w:pPr>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color w:val="000000"/>
                      <w:kern w:val="0"/>
                      <w:sz w:val="21"/>
                      <w:szCs w:val="21"/>
                      <w:lang w:val="en-US" w:eastAsia="zh-CN" w:bidi="ar"/>
                    </w:rPr>
                    <w:t>集气罩</w:t>
                  </w:r>
                  <w:r>
                    <w:rPr>
                      <w:rFonts w:hint="eastAsia" w:ascii="Times New Roman" w:hAnsi="Times New Roman" w:eastAsia="宋体" w:cs="Times New Roman"/>
                      <w:color w:val="000000"/>
                      <w:kern w:val="0"/>
                      <w:sz w:val="21"/>
                      <w:szCs w:val="21"/>
                      <w:lang w:val="en-US" w:eastAsia="zh-CN" w:bidi="ar"/>
                    </w:rPr>
                    <w:t>、</w:t>
                  </w:r>
                  <w:r>
                    <w:rPr>
                      <w:rFonts w:hint="eastAsia" w:cs="Times New Roman"/>
                      <w:color w:val="000000"/>
                      <w:kern w:val="0"/>
                      <w:sz w:val="21"/>
                      <w:szCs w:val="21"/>
                      <w:lang w:val="en-US" w:eastAsia="zh-CN" w:bidi="ar"/>
                    </w:rPr>
                    <w:t>干式过滤器</w:t>
                  </w:r>
                  <w:r>
                    <w:rPr>
                      <w:rFonts w:hint="eastAsia" w:ascii="Times New Roman" w:hAnsi="Times New Roman" w:eastAsia="宋体" w:cs="Times New Roman"/>
                      <w:color w:val="000000"/>
                      <w:kern w:val="0"/>
                      <w:sz w:val="21"/>
                      <w:szCs w:val="21"/>
                      <w:lang w:val="en-US" w:eastAsia="zh-CN" w:bidi="ar"/>
                    </w:rPr>
                    <w:t>、</w:t>
                  </w:r>
                  <w:r>
                    <w:rPr>
                      <w:rFonts w:hint="eastAsia" w:cs="Times New Roman"/>
                      <w:color w:val="000000"/>
                      <w:kern w:val="0"/>
                      <w:sz w:val="21"/>
                      <w:szCs w:val="21"/>
                      <w:lang w:val="en-US" w:eastAsia="zh-CN" w:bidi="ar"/>
                    </w:rPr>
                    <w:t>采样平台、排气筒、</w:t>
                  </w:r>
                  <w:r>
                    <w:rPr>
                      <w:rFonts w:hint="eastAsia" w:ascii="Times New Roman" w:hAnsi="Times New Roman" w:eastAsia="宋体" w:cs="Times New Roman"/>
                      <w:color w:val="000000"/>
                      <w:kern w:val="0"/>
                      <w:sz w:val="21"/>
                      <w:szCs w:val="21"/>
                      <w:lang w:val="en-US" w:eastAsia="zh-CN" w:bidi="ar"/>
                    </w:rPr>
                    <w:t>标志</w:t>
                  </w:r>
                </w:p>
              </w:tc>
              <w:tc>
                <w:tcPr>
                  <w:tcW w:w="1626" w:type="pct"/>
                  <w:vMerge w:val="continue"/>
                  <w:tcBorders>
                    <w:tl2br w:val="nil"/>
                    <w:tr2bl w:val="nil"/>
                  </w:tcBorders>
                  <w:vAlign w:val="center"/>
                </w:tcPr>
                <w:p w14:paraId="52388D06">
                  <w:pPr>
                    <w:adjustRightInd w:val="0"/>
                    <w:jc w:val="center"/>
                    <w:rPr>
                      <w:rFonts w:hint="default" w:ascii="Times New Roman" w:hAnsi="Times New Roman" w:eastAsia="宋体" w:cs="Times New Roman"/>
                      <w:szCs w:val="21"/>
                      <w:highlight w:val="none"/>
                      <w:lang w:val="zh-CN"/>
                    </w:rPr>
                  </w:pPr>
                </w:p>
              </w:tc>
            </w:tr>
            <w:tr w14:paraId="38D8490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1" w:type="pct"/>
                  <w:vMerge w:val="continue"/>
                  <w:tcBorders>
                    <w:tl2br w:val="nil"/>
                    <w:tr2bl w:val="nil"/>
                  </w:tcBorders>
                  <w:vAlign w:val="center"/>
                </w:tcPr>
                <w:p w14:paraId="2B782276">
                  <w:pPr>
                    <w:adjustRightInd w:val="0"/>
                    <w:jc w:val="center"/>
                    <w:rPr>
                      <w:rFonts w:hint="default" w:ascii="Times New Roman" w:hAnsi="Times New Roman" w:eastAsia="宋体" w:cs="Times New Roman"/>
                      <w:bCs/>
                      <w:szCs w:val="21"/>
                      <w:highlight w:val="none"/>
                      <w:lang w:val="en-US" w:eastAsia="zh-CN"/>
                    </w:rPr>
                  </w:pPr>
                </w:p>
              </w:tc>
              <w:tc>
                <w:tcPr>
                  <w:tcW w:w="651" w:type="pct"/>
                  <w:tcBorders>
                    <w:tl2br w:val="nil"/>
                    <w:tr2bl w:val="nil"/>
                  </w:tcBorders>
                  <w:vAlign w:val="center"/>
                </w:tcPr>
                <w:p w14:paraId="5218CFAF">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szCs w:val="21"/>
                      <w:highlight w:val="none"/>
                      <w:lang w:val="en-US" w:eastAsia="zh-CN"/>
                    </w:rPr>
                    <w:t>DA00</w:t>
                  </w:r>
                  <w:r>
                    <w:rPr>
                      <w:rFonts w:hint="eastAsia" w:ascii="Times New Roman" w:hAnsi="Times New Roman" w:eastAsia="宋体" w:cs="Times New Roman"/>
                      <w:szCs w:val="21"/>
                      <w:highlight w:val="none"/>
                      <w:lang w:val="en-US" w:eastAsia="zh-CN"/>
                    </w:rPr>
                    <w:t>5</w:t>
                  </w:r>
                </w:p>
              </w:tc>
              <w:tc>
                <w:tcPr>
                  <w:tcW w:w="1100" w:type="pct"/>
                  <w:tcBorders>
                    <w:tl2br w:val="nil"/>
                    <w:tr2bl w:val="nil"/>
                  </w:tcBorders>
                  <w:vAlign w:val="center"/>
                </w:tcPr>
                <w:p w14:paraId="32EF1FF0">
                  <w:pPr>
                    <w:jc w:val="center"/>
                    <w:rPr>
                      <w:rFonts w:hint="default" w:ascii="Times New Roman" w:hAnsi="Times New Roman" w:eastAsia="宋体" w:cs="Times New Roman"/>
                      <w:bCs/>
                      <w:szCs w:val="21"/>
                      <w:highlight w:val="none"/>
                      <w:lang w:val="en-US" w:eastAsia="zh-CN"/>
                    </w:rPr>
                  </w:pPr>
                  <w:r>
                    <w:rPr>
                      <w:rFonts w:hint="eastAsia" w:ascii="Times New Roman" w:hAnsi="Times New Roman" w:eastAsia="宋体" w:cs="Times New Roman"/>
                      <w:color w:val="000000"/>
                      <w:kern w:val="0"/>
                      <w:sz w:val="21"/>
                      <w:szCs w:val="21"/>
                      <w:lang w:val="en-US" w:eastAsia="zh-CN" w:bidi="ar"/>
                    </w:rPr>
                    <w:t>非甲烷总烃</w:t>
                  </w:r>
                </w:p>
              </w:tc>
              <w:tc>
                <w:tcPr>
                  <w:tcW w:w="1320" w:type="pct"/>
                  <w:tcBorders>
                    <w:tl2br w:val="nil"/>
                    <w:tr2bl w:val="nil"/>
                  </w:tcBorders>
                  <w:vAlign w:val="center"/>
                </w:tcPr>
                <w:p w14:paraId="3124E38D">
                  <w:pPr>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color w:val="000000"/>
                      <w:kern w:val="0"/>
                      <w:sz w:val="21"/>
                      <w:szCs w:val="21"/>
                      <w:lang w:val="en-US" w:eastAsia="zh-CN" w:bidi="ar"/>
                    </w:rPr>
                    <w:t>集气罩</w:t>
                  </w:r>
                  <w:r>
                    <w:rPr>
                      <w:rFonts w:hint="eastAsia" w:ascii="Times New Roman" w:hAnsi="Times New Roman" w:eastAsia="宋体" w:cs="Times New Roman"/>
                      <w:color w:val="000000"/>
                      <w:kern w:val="0"/>
                      <w:sz w:val="21"/>
                      <w:szCs w:val="21"/>
                      <w:lang w:val="en-US" w:eastAsia="zh-CN" w:bidi="ar"/>
                    </w:rPr>
                    <w:t>、</w:t>
                  </w:r>
                  <w:r>
                    <w:rPr>
                      <w:rFonts w:hint="eastAsia" w:cs="Times New Roman"/>
                      <w:color w:val="000000"/>
                      <w:kern w:val="0"/>
                      <w:sz w:val="21"/>
                      <w:szCs w:val="21"/>
                      <w:lang w:val="en-US" w:eastAsia="zh-CN" w:bidi="ar"/>
                    </w:rPr>
                    <w:t>干式过滤器</w:t>
                  </w:r>
                  <w:r>
                    <w:rPr>
                      <w:rFonts w:hint="eastAsia" w:ascii="Times New Roman" w:hAnsi="Times New Roman" w:eastAsia="宋体" w:cs="Times New Roman"/>
                      <w:color w:val="000000"/>
                      <w:kern w:val="0"/>
                      <w:sz w:val="21"/>
                      <w:szCs w:val="21"/>
                      <w:lang w:val="en-US" w:eastAsia="zh-CN" w:bidi="ar"/>
                    </w:rPr>
                    <w:t>、</w:t>
                  </w:r>
                  <w:r>
                    <w:rPr>
                      <w:rFonts w:hint="eastAsia" w:cs="Times New Roman"/>
                      <w:color w:val="000000"/>
                      <w:kern w:val="0"/>
                      <w:sz w:val="21"/>
                      <w:szCs w:val="21"/>
                      <w:lang w:val="en-US" w:eastAsia="zh-CN" w:bidi="ar"/>
                    </w:rPr>
                    <w:t>采样平台、排气筒、</w:t>
                  </w:r>
                  <w:r>
                    <w:rPr>
                      <w:rFonts w:hint="eastAsia" w:ascii="Times New Roman" w:hAnsi="Times New Roman" w:eastAsia="宋体" w:cs="Times New Roman"/>
                      <w:color w:val="000000"/>
                      <w:kern w:val="0"/>
                      <w:sz w:val="21"/>
                      <w:szCs w:val="21"/>
                      <w:lang w:val="en-US" w:eastAsia="zh-CN" w:bidi="ar"/>
                    </w:rPr>
                    <w:t>标志</w:t>
                  </w:r>
                </w:p>
              </w:tc>
              <w:tc>
                <w:tcPr>
                  <w:tcW w:w="1626" w:type="pct"/>
                  <w:vMerge w:val="continue"/>
                  <w:tcBorders>
                    <w:tl2br w:val="nil"/>
                    <w:tr2bl w:val="nil"/>
                  </w:tcBorders>
                  <w:vAlign w:val="center"/>
                </w:tcPr>
                <w:p w14:paraId="3F314C23">
                  <w:pPr>
                    <w:adjustRightInd w:val="0"/>
                    <w:jc w:val="center"/>
                    <w:rPr>
                      <w:rFonts w:hint="default" w:ascii="Times New Roman" w:hAnsi="Times New Roman" w:eastAsia="宋体" w:cs="Times New Roman"/>
                      <w:szCs w:val="21"/>
                      <w:highlight w:val="none"/>
                      <w:lang w:val="zh-CN"/>
                    </w:rPr>
                  </w:pPr>
                </w:p>
              </w:tc>
            </w:tr>
            <w:tr w14:paraId="0801BDF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1" w:type="pct"/>
                  <w:vMerge w:val="continue"/>
                  <w:tcBorders>
                    <w:tl2br w:val="nil"/>
                    <w:tr2bl w:val="nil"/>
                  </w:tcBorders>
                  <w:vAlign w:val="center"/>
                </w:tcPr>
                <w:p w14:paraId="64AAB447">
                  <w:pPr>
                    <w:adjustRightInd w:val="0"/>
                    <w:jc w:val="center"/>
                    <w:rPr>
                      <w:rFonts w:hint="default" w:ascii="Times New Roman" w:hAnsi="Times New Roman" w:eastAsia="宋体" w:cs="Times New Roman"/>
                      <w:bCs/>
                      <w:szCs w:val="21"/>
                      <w:highlight w:val="none"/>
                      <w:lang w:val="en-US" w:eastAsia="zh-CN"/>
                    </w:rPr>
                  </w:pPr>
                </w:p>
              </w:tc>
              <w:tc>
                <w:tcPr>
                  <w:tcW w:w="651" w:type="pct"/>
                  <w:tcBorders>
                    <w:tl2br w:val="nil"/>
                    <w:tr2bl w:val="nil"/>
                  </w:tcBorders>
                  <w:vAlign w:val="center"/>
                </w:tcPr>
                <w:p w14:paraId="3F828962">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szCs w:val="21"/>
                      <w:highlight w:val="none"/>
                      <w:lang w:val="en-US" w:eastAsia="zh-CN"/>
                    </w:rPr>
                    <w:t>DA00</w:t>
                  </w:r>
                  <w:r>
                    <w:rPr>
                      <w:rFonts w:hint="eastAsia" w:ascii="Times New Roman" w:hAnsi="Times New Roman" w:eastAsia="宋体" w:cs="Times New Roman"/>
                      <w:szCs w:val="21"/>
                      <w:highlight w:val="none"/>
                      <w:lang w:val="en-US" w:eastAsia="zh-CN"/>
                    </w:rPr>
                    <w:t>6</w:t>
                  </w:r>
                </w:p>
              </w:tc>
              <w:tc>
                <w:tcPr>
                  <w:tcW w:w="1100" w:type="pct"/>
                  <w:tcBorders>
                    <w:tl2br w:val="nil"/>
                    <w:tr2bl w:val="nil"/>
                  </w:tcBorders>
                  <w:vAlign w:val="center"/>
                </w:tcPr>
                <w:p w14:paraId="07B6ABC5">
                  <w:pPr>
                    <w:jc w:val="center"/>
                    <w:rPr>
                      <w:rFonts w:hint="default" w:ascii="Times New Roman" w:hAnsi="Times New Roman" w:eastAsia="宋体" w:cs="Times New Roman"/>
                      <w:bCs/>
                      <w:szCs w:val="21"/>
                      <w:highlight w:val="none"/>
                      <w:lang w:val="en-US" w:eastAsia="zh-CN"/>
                    </w:rPr>
                  </w:pPr>
                  <w:r>
                    <w:rPr>
                      <w:rFonts w:hint="eastAsia" w:ascii="Times New Roman" w:hAnsi="Times New Roman" w:eastAsia="宋体" w:cs="Times New Roman"/>
                      <w:color w:val="000000"/>
                      <w:kern w:val="0"/>
                      <w:sz w:val="21"/>
                      <w:szCs w:val="21"/>
                      <w:lang w:val="en-US" w:eastAsia="zh-CN" w:bidi="ar"/>
                    </w:rPr>
                    <w:t>非甲烷总烃</w:t>
                  </w:r>
                </w:p>
              </w:tc>
              <w:tc>
                <w:tcPr>
                  <w:tcW w:w="1320" w:type="pct"/>
                  <w:tcBorders>
                    <w:tl2br w:val="nil"/>
                    <w:tr2bl w:val="nil"/>
                  </w:tcBorders>
                  <w:vAlign w:val="center"/>
                </w:tcPr>
                <w:p w14:paraId="52ED9D82">
                  <w:pPr>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color w:val="000000"/>
                      <w:kern w:val="0"/>
                      <w:sz w:val="21"/>
                      <w:szCs w:val="21"/>
                      <w:lang w:val="en-US" w:eastAsia="zh-CN" w:bidi="ar"/>
                    </w:rPr>
                    <w:t>集气罩</w:t>
                  </w:r>
                  <w:r>
                    <w:rPr>
                      <w:rFonts w:hint="eastAsia" w:ascii="Times New Roman" w:hAnsi="Times New Roman" w:eastAsia="宋体" w:cs="Times New Roman"/>
                      <w:color w:val="000000"/>
                      <w:kern w:val="0"/>
                      <w:sz w:val="21"/>
                      <w:szCs w:val="21"/>
                      <w:lang w:val="en-US" w:eastAsia="zh-CN" w:bidi="ar"/>
                    </w:rPr>
                    <w:t>、</w:t>
                  </w:r>
                  <w:r>
                    <w:rPr>
                      <w:rFonts w:hint="eastAsia" w:cs="Times New Roman"/>
                      <w:color w:val="000000"/>
                      <w:kern w:val="0"/>
                      <w:sz w:val="21"/>
                      <w:szCs w:val="21"/>
                      <w:lang w:val="en-US" w:eastAsia="zh-CN" w:bidi="ar"/>
                    </w:rPr>
                    <w:t>干式过滤器</w:t>
                  </w:r>
                  <w:r>
                    <w:rPr>
                      <w:rFonts w:hint="eastAsia" w:ascii="Times New Roman" w:hAnsi="Times New Roman" w:eastAsia="宋体" w:cs="Times New Roman"/>
                      <w:color w:val="000000"/>
                      <w:kern w:val="0"/>
                      <w:sz w:val="21"/>
                      <w:szCs w:val="21"/>
                      <w:lang w:val="en-US" w:eastAsia="zh-CN" w:bidi="ar"/>
                    </w:rPr>
                    <w:t>、</w:t>
                  </w:r>
                  <w:r>
                    <w:rPr>
                      <w:rFonts w:hint="eastAsia" w:cs="Times New Roman"/>
                      <w:color w:val="000000"/>
                      <w:kern w:val="0"/>
                      <w:sz w:val="21"/>
                      <w:szCs w:val="21"/>
                      <w:lang w:val="en-US" w:eastAsia="zh-CN" w:bidi="ar"/>
                    </w:rPr>
                    <w:t>采样平台、排气筒、</w:t>
                  </w:r>
                  <w:r>
                    <w:rPr>
                      <w:rFonts w:hint="eastAsia" w:ascii="Times New Roman" w:hAnsi="Times New Roman" w:eastAsia="宋体" w:cs="Times New Roman"/>
                      <w:color w:val="000000"/>
                      <w:kern w:val="0"/>
                      <w:sz w:val="21"/>
                      <w:szCs w:val="21"/>
                      <w:lang w:val="en-US" w:eastAsia="zh-CN" w:bidi="ar"/>
                    </w:rPr>
                    <w:t>标志</w:t>
                  </w:r>
                </w:p>
              </w:tc>
              <w:tc>
                <w:tcPr>
                  <w:tcW w:w="1626" w:type="pct"/>
                  <w:vMerge w:val="continue"/>
                  <w:tcBorders>
                    <w:tl2br w:val="nil"/>
                    <w:tr2bl w:val="nil"/>
                  </w:tcBorders>
                  <w:vAlign w:val="center"/>
                </w:tcPr>
                <w:p w14:paraId="5CE0B4AB">
                  <w:pPr>
                    <w:adjustRightInd w:val="0"/>
                    <w:jc w:val="center"/>
                    <w:rPr>
                      <w:rFonts w:hint="default" w:ascii="Times New Roman" w:hAnsi="Times New Roman" w:eastAsia="宋体" w:cs="Times New Roman"/>
                      <w:szCs w:val="21"/>
                      <w:highlight w:val="none"/>
                      <w:lang w:val="zh-CN"/>
                    </w:rPr>
                  </w:pPr>
                </w:p>
              </w:tc>
            </w:tr>
            <w:tr w14:paraId="7FC9B67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1" w:type="pct"/>
                  <w:vMerge w:val="continue"/>
                  <w:tcBorders>
                    <w:tl2br w:val="nil"/>
                    <w:tr2bl w:val="nil"/>
                  </w:tcBorders>
                  <w:vAlign w:val="center"/>
                </w:tcPr>
                <w:p w14:paraId="0B303AA7">
                  <w:pPr>
                    <w:adjustRightInd w:val="0"/>
                    <w:jc w:val="center"/>
                    <w:rPr>
                      <w:rFonts w:hint="default" w:ascii="Times New Roman" w:hAnsi="Times New Roman" w:eastAsia="宋体" w:cs="Times New Roman"/>
                      <w:bCs/>
                      <w:szCs w:val="21"/>
                      <w:highlight w:val="none"/>
                      <w:lang w:val="en-US" w:eastAsia="zh-CN"/>
                    </w:rPr>
                  </w:pPr>
                </w:p>
              </w:tc>
              <w:tc>
                <w:tcPr>
                  <w:tcW w:w="651" w:type="pct"/>
                  <w:tcBorders>
                    <w:tl2br w:val="nil"/>
                    <w:tr2bl w:val="nil"/>
                  </w:tcBorders>
                  <w:vAlign w:val="center"/>
                </w:tcPr>
                <w:p w14:paraId="62652628">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szCs w:val="21"/>
                      <w:highlight w:val="none"/>
                      <w:lang w:val="en-US" w:eastAsia="zh-CN"/>
                    </w:rPr>
                    <w:t>DA00</w:t>
                  </w:r>
                  <w:r>
                    <w:rPr>
                      <w:rFonts w:hint="eastAsia" w:ascii="Times New Roman" w:hAnsi="Times New Roman" w:eastAsia="宋体" w:cs="Times New Roman"/>
                      <w:szCs w:val="21"/>
                      <w:highlight w:val="none"/>
                      <w:lang w:val="en-US" w:eastAsia="zh-CN"/>
                    </w:rPr>
                    <w:t>7</w:t>
                  </w:r>
                </w:p>
              </w:tc>
              <w:tc>
                <w:tcPr>
                  <w:tcW w:w="1100" w:type="pct"/>
                  <w:tcBorders>
                    <w:tl2br w:val="nil"/>
                    <w:tr2bl w:val="nil"/>
                  </w:tcBorders>
                  <w:vAlign w:val="center"/>
                </w:tcPr>
                <w:p w14:paraId="299B1B3F">
                  <w:pPr>
                    <w:jc w:val="center"/>
                    <w:rPr>
                      <w:rFonts w:hint="default" w:ascii="Times New Roman" w:hAnsi="Times New Roman" w:eastAsia="宋体" w:cs="Times New Roman"/>
                      <w:bCs/>
                      <w:szCs w:val="21"/>
                      <w:highlight w:val="none"/>
                      <w:lang w:val="en-US" w:eastAsia="zh-CN"/>
                    </w:rPr>
                  </w:pPr>
                  <w:r>
                    <w:rPr>
                      <w:rFonts w:hint="eastAsia" w:ascii="Times New Roman" w:hAnsi="Times New Roman" w:eastAsia="宋体" w:cs="Times New Roman"/>
                      <w:color w:val="000000"/>
                      <w:kern w:val="0"/>
                      <w:sz w:val="21"/>
                      <w:szCs w:val="21"/>
                      <w:lang w:val="en-US" w:eastAsia="zh-CN" w:bidi="ar"/>
                    </w:rPr>
                    <w:t>非甲烷总烃</w:t>
                  </w:r>
                </w:p>
              </w:tc>
              <w:tc>
                <w:tcPr>
                  <w:tcW w:w="1320" w:type="pct"/>
                  <w:tcBorders>
                    <w:tl2br w:val="nil"/>
                    <w:tr2bl w:val="nil"/>
                  </w:tcBorders>
                  <w:vAlign w:val="center"/>
                </w:tcPr>
                <w:p w14:paraId="3E2481F5">
                  <w:pPr>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color w:val="000000"/>
                      <w:kern w:val="0"/>
                      <w:sz w:val="21"/>
                      <w:szCs w:val="21"/>
                      <w:lang w:val="en-US" w:eastAsia="zh-CN" w:bidi="ar"/>
                    </w:rPr>
                    <w:t>集气罩</w:t>
                  </w:r>
                  <w:r>
                    <w:rPr>
                      <w:rFonts w:hint="eastAsia" w:ascii="Times New Roman" w:hAnsi="Times New Roman" w:eastAsia="宋体" w:cs="Times New Roman"/>
                      <w:color w:val="000000"/>
                      <w:kern w:val="0"/>
                      <w:sz w:val="21"/>
                      <w:szCs w:val="21"/>
                      <w:lang w:val="en-US" w:eastAsia="zh-CN" w:bidi="ar"/>
                    </w:rPr>
                    <w:t>、</w:t>
                  </w:r>
                  <w:r>
                    <w:rPr>
                      <w:rFonts w:hint="eastAsia" w:cs="Times New Roman"/>
                      <w:color w:val="000000"/>
                      <w:kern w:val="0"/>
                      <w:sz w:val="21"/>
                      <w:szCs w:val="21"/>
                      <w:lang w:val="en-US" w:eastAsia="zh-CN" w:bidi="ar"/>
                    </w:rPr>
                    <w:t>干式过滤器</w:t>
                  </w:r>
                  <w:r>
                    <w:rPr>
                      <w:rFonts w:hint="eastAsia" w:ascii="Times New Roman" w:hAnsi="Times New Roman" w:eastAsia="宋体" w:cs="Times New Roman"/>
                      <w:color w:val="000000"/>
                      <w:kern w:val="0"/>
                      <w:sz w:val="21"/>
                      <w:szCs w:val="21"/>
                      <w:lang w:val="en-US" w:eastAsia="zh-CN" w:bidi="ar"/>
                    </w:rPr>
                    <w:t>、</w:t>
                  </w:r>
                  <w:r>
                    <w:rPr>
                      <w:rFonts w:hint="eastAsia" w:cs="Times New Roman"/>
                      <w:color w:val="000000"/>
                      <w:kern w:val="0"/>
                      <w:sz w:val="21"/>
                      <w:szCs w:val="21"/>
                      <w:lang w:val="en-US" w:eastAsia="zh-CN" w:bidi="ar"/>
                    </w:rPr>
                    <w:t>采样平台、排气筒、</w:t>
                  </w:r>
                  <w:r>
                    <w:rPr>
                      <w:rFonts w:hint="eastAsia" w:ascii="Times New Roman" w:hAnsi="Times New Roman" w:eastAsia="宋体" w:cs="Times New Roman"/>
                      <w:color w:val="000000"/>
                      <w:kern w:val="0"/>
                      <w:sz w:val="21"/>
                      <w:szCs w:val="21"/>
                      <w:lang w:val="en-US" w:eastAsia="zh-CN" w:bidi="ar"/>
                    </w:rPr>
                    <w:t>标志</w:t>
                  </w:r>
                </w:p>
              </w:tc>
              <w:tc>
                <w:tcPr>
                  <w:tcW w:w="1626" w:type="pct"/>
                  <w:vMerge w:val="continue"/>
                  <w:tcBorders>
                    <w:tl2br w:val="nil"/>
                    <w:tr2bl w:val="nil"/>
                  </w:tcBorders>
                  <w:vAlign w:val="center"/>
                </w:tcPr>
                <w:p w14:paraId="11936AB4">
                  <w:pPr>
                    <w:adjustRightInd w:val="0"/>
                    <w:jc w:val="center"/>
                    <w:rPr>
                      <w:rFonts w:hint="default" w:ascii="Times New Roman" w:hAnsi="Times New Roman" w:eastAsia="宋体" w:cs="Times New Roman"/>
                      <w:szCs w:val="21"/>
                      <w:highlight w:val="none"/>
                      <w:lang w:val="zh-CN"/>
                    </w:rPr>
                  </w:pPr>
                </w:p>
              </w:tc>
            </w:tr>
            <w:tr w14:paraId="2F44903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1" w:type="pct"/>
                  <w:vMerge w:val="continue"/>
                  <w:tcBorders>
                    <w:tl2br w:val="nil"/>
                    <w:tr2bl w:val="nil"/>
                  </w:tcBorders>
                  <w:vAlign w:val="center"/>
                </w:tcPr>
                <w:p w14:paraId="1EE7965D">
                  <w:pPr>
                    <w:adjustRightInd w:val="0"/>
                    <w:jc w:val="center"/>
                    <w:rPr>
                      <w:rFonts w:hint="default" w:ascii="Times New Roman" w:hAnsi="Times New Roman" w:eastAsia="宋体" w:cs="Times New Roman"/>
                      <w:bCs/>
                      <w:szCs w:val="21"/>
                      <w:highlight w:val="none"/>
                      <w:lang w:val="en-US" w:eastAsia="zh-CN"/>
                    </w:rPr>
                  </w:pPr>
                </w:p>
              </w:tc>
              <w:tc>
                <w:tcPr>
                  <w:tcW w:w="651" w:type="pct"/>
                  <w:tcBorders>
                    <w:tl2br w:val="nil"/>
                    <w:tr2bl w:val="nil"/>
                  </w:tcBorders>
                  <w:vAlign w:val="center"/>
                </w:tcPr>
                <w:p w14:paraId="2EC6E05F">
                  <w:pPr>
                    <w:adjustRightInd w:val="0"/>
                    <w:snapToGri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szCs w:val="21"/>
                      <w:highlight w:val="none"/>
                      <w:lang w:val="en-US" w:eastAsia="zh-CN"/>
                    </w:rPr>
                    <w:t>DA00</w:t>
                  </w:r>
                  <w:r>
                    <w:rPr>
                      <w:rFonts w:hint="eastAsia" w:ascii="Times New Roman" w:hAnsi="Times New Roman" w:eastAsia="宋体" w:cs="Times New Roman"/>
                      <w:szCs w:val="21"/>
                      <w:highlight w:val="none"/>
                      <w:lang w:val="en-US" w:eastAsia="zh-CN"/>
                    </w:rPr>
                    <w:t>8</w:t>
                  </w:r>
                </w:p>
              </w:tc>
              <w:tc>
                <w:tcPr>
                  <w:tcW w:w="1100" w:type="pct"/>
                  <w:tcBorders>
                    <w:tl2br w:val="nil"/>
                    <w:tr2bl w:val="nil"/>
                  </w:tcBorders>
                  <w:vAlign w:val="center"/>
                </w:tcPr>
                <w:p w14:paraId="64C845C5">
                  <w:pPr>
                    <w:adjustRightInd w:val="0"/>
                    <w:jc w:val="center"/>
                    <w:rPr>
                      <w:rFonts w:hint="default" w:ascii="Times New Roman" w:hAnsi="Times New Roman" w:eastAsia="宋体" w:cs="Times New Roman"/>
                      <w:bCs/>
                      <w:szCs w:val="21"/>
                      <w:highlight w:val="none"/>
                      <w:lang w:val="en-US" w:eastAsia="zh-CN"/>
                    </w:rPr>
                  </w:pPr>
                  <w:r>
                    <w:rPr>
                      <w:rFonts w:hint="eastAsia" w:ascii="Times New Roman" w:hAnsi="Times New Roman" w:eastAsia="宋体" w:cs="Times New Roman"/>
                      <w:color w:val="000000"/>
                      <w:kern w:val="0"/>
                      <w:sz w:val="21"/>
                      <w:szCs w:val="21"/>
                      <w:lang w:val="en-US" w:eastAsia="zh-CN" w:bidi="ar"/>
                    </w:rPr>
                    <w:t>非甲烷总烃</w:t>
                  </w:r>
                </w:p>
              </w:tc>
              <w:tc>
                <w:tcPr>
                  <w:tcW w:w="1320" w:type="pct"/>
                  <w:tcBorders>
                    <w:tl2br w:val="nil"/>
                    <w:tr2bl w:val="nil"/>
                  </w:tcBorders>
                  <w:vAlign w:val="center"/>
                </w:tcPr>
                <w:p w14:paraId="7DF16EDF">
                  <w:pPr>
                    <w:adjustRightIn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color w:val="000000"/>
                      <w:kern w:val="0"/>
                      <w:sz w:val="21"/>
                      <w:szCs w:val="21"/>
                      <w:lang w:val="en-US" w:eastAsia="zh-CN" w:bidi="ar"/>
                    </w:rPr>
                    <w:t>集气罩</w:t>
                  </w:r>
                  <w:r>
                    <w:rPr>
                      <w:rFonts w:hint="eastAsia" w:ascii="Times New Roman" w:hAnsi="Times New Roman" w:eastAsia="宋体" w:cs="Times New Roman"/>
                      <w:color w:val="000000"/>
                      <w:kern w:val="0"/>
                      <w:sz w:val="21"/>
                      <w:szCs w:val="21"/>
                      <w:lang w:val="en-US" w:eastAsia="zh-CN" w:bidi="ar"/>
                    </w:rPr>
                    <w:t>、</w:t>
                  </w:r>
                  <w:r>
                    <w:rPr>
                      <w:rFonts w:hint="eastAsia" w:cs="Times New Roman"/>
                      <w:color w:val="000000"/>
                      <w:kern w:val="0"/>
                      <w:sz w:val="21"/>
                      <w:szCs w:val="21"/>
                      <w:lang w:val="en-US" w:eastAsia="zh-CN" w:bidi="ar"/>
                    </w:rPr>
                    <w:t>干式过滤器</w:t>
                  </w:r>
                  <w:r>
                    <w:rPr>
                      <w:rFonts w:hint="eastAsia" w:ascii="Times New Roman" w:hAnsi="Times New Roman" w:eastAsia="宋体" w:cs="Times New Roman"/>
                      <w:color w:val="000000"/>
                      <w:kern w:val="0"/>
                      <w:sz w:val="21"/>
                      <w:szCs w:val="21"/>
                      <w:lang w:val="en-US" w:eastAsia="zh-CN" w:bidi="ar"/>
                    </w:rPr>
                    <w:t>、</w:t>
                  </w:r>
                  <w:r>
                    <w:rPr>
                      <w:rFonts w:hint="eastAsia" w:cs="Times New Roman"/>
                      <w:color w:val="000000"/>
                      <w:kern w:val="0"/>
                      <w:sz w:val="21"/>
                      <w:szCs w:val="21"/>
                      <w:lang w:val="en-US" w:eastAsia="zh-CN" w:bidi="ar"/>
                    </w:rPr>
                    <w:t>采样平台、排气筒、</w:t>
                  </w:r>
                  <w:r>
                    <w:rPr>
                      <w:rFonts w:hint="eastAsia" w:ascii="Times New Roman" w:hAnsi="Times New Roman" w:eastAsia="宋体" w:cs="Times New Roman"/>
                      <w:color w:val="000000"/>
                      <w:kern w:val="0"/>
                      <w:sz w:val="21"/>
                      <w:szCs w:val="21"/>
                      <w:lang w:val="en-US" w:eastAsia="zh-CN" w:bidi="ar"/>
                    </w:rPr>
                    <w:t>标志</w:t>
                  </w:r>
                </w:p>
              </w:tc>
              <w:tc>
                <w:tcPr>
                  <w:tcW w:w="1626" w:type="pct"/>
                  <w:vMerge w:val="continue"/>
                  <w:tcBorders>
                    <w:tl2br w:val="nil"/>
                    <w:tr2bl w:val="nil"/>
                  </w:tcBorders>
                  <w:vAlign w:val="center"/>
                </w:tcPr>
                <w:p w14:paraId="303145A9">
                  <w:pPr>
                    <w:adjustRightInd w:val="0"/>
                    <w:jc w:val="center"/>
                    <w:rPr>
                      <w:rFonts w:hint="default" w:ascii="Times New Roman" w:hAnsi="Times New Roman" w:eastAsia="宋体" w:cs="Times New Roman"/>
                      <w:b/>
                      <w:bCs/>
                      <w:szCs w:val="21"/>
                      <w:highlight w:val="none"/>
                    </w:rPr>
                  </w:pPr>
                </w:p>
              </w:tc>
            </w:tr>
            <w:tr w14:paraId="2F64125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1" w:type="pct"/>
                  <w:tcBorders>
                    <w:tl2br w:val="nil"/>
                    <w:tr2bl w:val="nil"/>
                  </w:tcBorders>
                  <w:vAlign w:val="center"/>
                </w:tcPr>
                <w:p w14:paraId="1388F498">
                  <w:pPr>
                    <w:pStyle w:val="14"/>
                    <w:adjustRightInd w:val="0"/>
                    <w:spacing w:before="0" w:beforeAutospacing="0" w:after="0" w:afterAutospacing="0"/>
                    <w:jc w:val="center"/>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rPr>
                    <w:t>废水</w:t>
                  </w:r>
                </w:p>
              </w:tc>
              <w:tc>
                <w:tcPr>
                  <w:tcW w:w="651" w:type="pct"/>
                  <w:tcBorders>
                    <w:tl2br w:val="nil"/>
                    <w:tr2bl w:val="nil"/>
                  </w:tcBorders>
                  <w:vAlign w:val="center"/>
                </w:tcPr>
                <w:p w14:paraId="081C14A8">
                  <w:pPr>
                    <w:adjustRightIn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纯水制备、超声波清洗、设备清洗、员工生活</w:t>
                  </w:r>
                  <w:r>
                    <w:rPr>
                      <w:rFonts w:hint="eastAsia" w:cs="Times New Roman"/>
                      <w:bCs/>
                      <w:szCs w:val="21"/>
                      <w:highlight w:val="none"/>
                      <w:lang w:val="en-US" w:eastAsia="zh-CN"/>
                    </w:rPr>
                    <w:t>污水</w:t>
                  </w:r>
                </w:p>
              </w:tc>
              <w:tc>
                <w:tcPr>
                  <w:tcW w:w="1100" w:type="pct"/>
                  <w:tcBorders>
                    <w:tl2br w:val="nil"/>
                    <w:tr2bl w:val="nil"/>
                  </w:tcBorders>
                  <w:vAlign w:val="center"/>
                </w:tcPr>
                <w:p w14:paraId="7CB7112A">
                  <w:pPr>
                    <w:adjustRightIn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pH、COD</w:t>
                  </w:r>
                  <w:r>
                    <w:rPr>
                      <w:rFonts w:hint="default" w:ascii="Times New Roman" w:hAnsi="Times New Roman" w:eastAsia="宋体" w:cs="Times New Roman"/>
                      <w:bCs/>
                      <w:szCs w:val="21"/>
                      <w:highlight w:val="none"/>
                      <w:vertAlign w:val="subscript"/>
                      <w:lang w:val="en-US" w:eastAsia="zh-CN"/>
                    </w:rPr>
                    <w:t>Cr</w:t>
                  </w:r>
                  <w:r>
                    <w:rPr>
                      <w:rFonts w:hint="default" w:ascii="Times New Roman" w:hAnsi="Times New Roman" w:eastAsia="宋体" w:cs="Times New Roman"/>
                      <w:bCs/>
                      <w:szCs w:val="21"/>
                      <w:highlight w:val="none"/>
                      <w:lang w:val="en-US" w:eastAsia="zh-CN"/>
                    </w:rPr>
                    <w:t>、</w:t>
                  </w:r>
                </w:p>
                <w:p w14:paraId="385135AB">
                  <w:pPr>
                    <w:adjustRightIn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BOD</w:t>
                  </w:r>
                  <w:r>
                    <w:rPr>
                      <w:rFonts w:hint="default" w:ascii="Times New Roman" w:hAnsi="Times New Roman" w:eastAsia="宋体" w:cs="Times New Roman"/>
                      <w:bCs/>
                      <w:szCs w:val="21"/>
                      <w:highlight w:val="none"/>
                      <w:vertAlign w:val="subscript"/>
                      <w:lang w:val="en-US" w:eastAsia="zh-CN"/>
                    </w:rPr>
                    <w:t>5</w:t>
                  </w:r>
                  <w:r>
                    <w:rPr>
                      <w:rFonts w:hint="default" w:ascii="Times New Roman" w:hAnsi="Times New Roman" w:eastAsia="宋体" w:cs="Times New Roman"/>
                      <w:bCs/>
                      <w:szCs w:val="21"/>
                      <w:highlight w:val="none"/>
                      <w:lang w:val="en-US" w:eastAsia="zh-CN"/>
                    </w:rPr>
                    <w:t>、SS、氨氮、可溶性固体总量</w:t>
                  </w:r>
                </w:p>
              </w:tc>
              <w:tc>
                <w:tcPr>
                  <w:tcW w:w="1320" w:type="pct"/>
                  <w:tcBorders>
                    <w:tl2br w:val="nil"/>
                    <w:tr2bl w:val="nil"/>
                  </w:tcBorders>
                  <w:shd w:val="clear" w:color="auto" w:fill="auto"/>
                  <w:vAlign w:val="center"/>
                </w:tcPr>
                <w:p w14:paraId="6178E9E7">
                  <w:pPr>
                    <w:adjustRightIn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化粪池、污水收集管</w:t>
                  </w:r>
                  <w:r>
                    <w:rPr>
                      <w:rFonts w:hint="eastAsia" w:ascii="Times New Roman" w:hAnsi="Times New Roman" w:eastAsia="宋体" w:cs="Times New Roman"/>
                      <w:bCs/>
                      <w:szCs w:val="21"/>
                      <w:highlight w:val="none"/>
                      <w:lang w:val="en-US" w:eastAsia="zh-CN"/>
                    </w:rPr>
                    <w:t>道</w:t>
                  </w:r>
                  <w:r>
                    <w:rPr>
                      <w:rFonts w:hint="default" w:ascii="Times New Roman" w:hAnsi="Times New Roman" w:eastAsia="宋体" w:cs="Times New Roman"/>
                      <w:bCs/>
                      <w:szCs w:val="21"/>
                      <w:highlight w:val="none"/>
                      <w:lang w:val="en-US" w:eastAsia="zh-CN"/>
                    </w:rPr>
                    <w:t>、排放标志</w:t>
                  </w:r>
                </w:p>
              </w:tc>
              <w:tc>
                <w:tcPr>
                  <w:tcW w:w="1626" w:type="pct"/>
                  <w:tcBorders>
                    <w:tl2br w:val="nil"/>
                    <w:tr2bl w:val="nil"/>
                  </w:tcBorders>
                  <w:vAlign w:val="center"/>
                </w:tcPr>
                <w:p w14:paraId="76B24092">
                  <w:pPr>
                    <w:adjustRightIn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北京市《水污染物综合排放标准》（DB11/307-2013）</w:t>
                  </w:r>
                  <w:r>
                    <w:rPr>
                      <w:rFonts w:hint="eastAsia" w:ascii="Times New Roman" w:hAnsi="Times New Roman" w:eastAsia="宋体" w:cs="Times New Roman"/>
                      <w:bCs/>
                      <w:szCs w:val="21"/>
                      <w:highlight w:val="none"/>
                      <w:lang w:val="en-US" w:eastAsia="zh-CN"/>
                    </w:rPr>
                    <w:t>“</w:t>
                  </w:r>
                  <w:r>
                    <w:rPr>
                      <w:rFonts w:hint="default" w:ascii="Times New Roman" w:hAnsi="Times New Roman" w:eastAsia="宋体" w:cs="Times New Roman"/>
                      <w:bCs/>
                      <w:szCs w:val="21"/>
                      <w:highlight w:val="none"/>
                      <w:lang w:val="en-US" w:eastAsia="zh-CN"/>
                    </w:rPr>
                    <w:t>排入公共污水处理系统的水污染物排放限值</w:t>
                  </w:r>
                  <w:r>
                    <w:rPr>
                      <w:rFonts w:hint="eastAsia" w:ascii="Times New Roman" w:hAnsi="Times New Roman" w:eastAsia="宋体" w:cs="Times New Roman"/>
                      <w:bCs/>
                      <w:szCs w:val="21"/>
                      <w:highlight w:val="none"/>
                      <w:lang w:val="en-US" w:eastAsia="zh-CN"/>
                    </w:rPr>
                    <w:t>”</w:t>
                  </w:r>
                </w:p>
              </w:tc>
            </w:tr>
            <w:tr w14:paraId="27B1489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1" w:type="pct"/>
                  <w:tcBorders>
                    <w:tl2br w:val="nil"/>
                    <w:tr2bl w:val="nil"/>
                  </w:tcBorders>
                  <w:vAlign w:val="center"/>
                </w:tcPr>
                <w:p w14:paraId="2D2012EF">
                  <w:pPr>
                    <w:pStyle w:val="14"/>
                    <w:adjustRightInd w:val="0"/>
                    <w:spacing w:before="0" w:beforeAutospacing="0" w:after="0" w:afterAutospacing="0"/>
                    <w:jc w:val="center"/>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rPr>
                    <w:t>噪声</w:t>
                  </w:r>
                </w:p>
              </w:tc>
              <w:tc>
                <w:tcPr>
                  <w:tcW w:w="651" w:type="pct"/>
                  <w:tcBorders>
                    <w:tl2br w:val="nil"/>
                    <w:tr2bl w:val="nil"/>
                  </w:tcBorders>
                  <w:vAlign w:val="center"/>
                </w:tcPr>
                <w:p w14:paraId="42831C50">
                  <w:pPr>
                    <w:adjustRightIn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实验</w:t>
                  </w:r>
                  <w:r>
                    <w:rPr>
                      <w:rFonts w:hint="eastAsia" w:cs="Times New Roman"/>
                      <w:bCs/>
                      <w:szCs w:val="21"/>
                      <w:highlight w:val="none"/>
                      <w:lang w:val="en-US" w:eastAsia="zh-CN"/>
                    </w:rPr>
                    <w:t>及公用工程设施</w:t>
                  </w:r>
                </w:p>
              </w:tc>
              <w:tc>
                <w:tcPr>
                  <w:tcW w:w="1100" w:type="pct"/>
                  <w:tcBorders>
                    <w:tl2br w:val="nil"/>
                    <w:tr2bl w:val="nil"/>
                  </w:tcBorders>
                  <w:vAlign w:val="center"/>
                </w:tcPr>
                <w:p w14:paraId="3AE1F976">
                  <w:pPr>
                    <w:adjustRightIn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厂界噪声</w:t>
                  </w:r>
                </w:p>
              </w:tc>
              <w:tc>
                <w:tcPr>
                  <w:tcW w:w="1320" w:type="pct"/>
                  <w:tcBorders>
                    <w:tl2br w:val="nil"/>
                    <w:tr2bl w:val="nil"/>
                  </w:tcBorders>
                  <w:vAlign w:val="center"/>
                </w:tcPr>
                <w:p w14:paraId="0A2BF9E3">
                  <w:pPr>
                    <w:adjustRightIn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减震、隔声、布局</w:t>
                  </w:r>
                </w:p>
              </w:tc>
              <w:tc>
                <w:tcPr>
                  <w:tcW w:w="1626" w:type="pct"/>
                  <w:tcBorders>
                    <w:tl2br w:val="nil"/>
                    <w:tr2bl w:val="nil"/>
                  </w:tcBorders>
                  <w:vAlign w:val="center"/>
                </w:tcPr>
                <w:p w14:paraId="541E4105">
                  <w:pPr>
                    <w:adjustRightInd w:val="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《工业企业厂界环境噪声排放标准》（GB12348-2008）中的3类标准</w:t>
                  </w:r>
                </w:p>
              </w:tc>
            </w:tr>
            <w:tr w14:paraId="363143A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1" w:type="pct"/>
                  <w:tcBorders>
                    <w:tl2br w:val="nil"/>
                    <w:tr2bl w:val="nil"/>
                  </w:tcBorders>
                  <w:vAlign w:val="center"/>
                </w:tcPr>
                <w:p w14:paraId="57399DCB">
                  <w:pPr>
                    <w:pStyle w:val="14"/>
                    <w:adjustRightInd w:val="0"/>
                    <w:spacing w:before="0" w:beforeAutospacing="0" w:after="0" w:afterAutospacing="0"/>
                    <w:jc w:val="center"/>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rPr>
                    <w:t>一般</w:t>
                  </w:r>
                  <w:r>
                    <w:rPr>
                      <w:rFonts w:hint="default" w:ascii="Times New Roman" w:hAnsi="Times New Roman" w:eastAsia="宋体" w:cs="Times New Roman"/>
                      <w:kern w:val="2"/>
                      <w:sz w:val="21"/>
                      <w:szCs w:val="21"/>
                      <w:highlight w:val="none"/>
                    </w:rPr>
                    <w:t>固体废物</w:t>
                  </w:r>
                </w:p>
              </w:tc>
              <w:tc>
                <w:tcPr>
                  <w:tcW w:w="651" w:type="pct"/>
                  <w:tcBorders>
                    <w:tl2br w:val="nil"/>
                    <w:tr2bl w:val="nil"/>
                  </w:tcBorders>
                  <w:vAlign w:val="center"/>
                </w:tcPr>
                <w:p w14:paraId="4508C071">
                  <w:pPr>
                    <w:pStyle w:val="14"/>
                    <w:adjustRightInd w:val="0"/>
                    <w:spacing w:before="0" w:beforeAutospacing="0" w:after="0" w:afterAutospacing="0"/>
                    <w:jc w:val="center"/>
                    <w:rPr>
                      <w:rFonts w:hint="default" w:ascii="Times New Roman" w:hAnsi="Times New Roman" w:eastAsia="宋体" w:cs="Times New Roman"/>
                      <w:kern w:val="2"/>
                      <w:sz w:val="21"/>
                      <w:szCs w:val="21"/>
                      <w:highlight w:val="none"/>
                      <w:lang w:val="en-US" w:eastAsia="zh-CN"/>
                    </w:rPr>
                  </w:pPr>
                  <w:r>
                    <w:rPr>
                      <w:rFonts w:hint="default" w:ascii="Times New Roman" w:hAnsi="Times New Roman" w:eastAsia="宋体" w:cs="Times New Roman"/>
                      <w:kern w:val="2"/>
                      <w:sz w:val="21"/>
                      <w:szCs w:val="21"/>
                      <w:highlight w:val="none"/>
                      <w:lang w:val="en-US" w:eastAsia="zh-CN"/>
                    </w:rPr>
                    <w:t>实验过程</w:t>
                  </w:r>
                </w:p>
                <w:p w14:paraId="58675AA6">
                  <w:pPr>
                    <w:pStyle w:val="14"/>
                    <w:adjustRightInd w:val="0"/>
                    <w:spacing w:before="0" w:beforeAutospacing="0" w:after="0" w:afterAutospacing="0"/>
                    <w:jc w:val="center"/>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rPr>
                    <w:t>员工生活</w:t>
                  </w:r>
                </w:p>
              </w:tc>
              <w:tc>
                <w:tcPr>
                  <w:tcW w:w="1100" w:type="pct"/>
                  <w:tcBorders>
                    <w:tl2br w:val="nil"/>
                    <w:tr2bl w:val="nil"/>
                  </w:tcBorders>
                  <w:vAlign w:val="center"/>
                </w:tcPr>
                <w:p w14:paraId="100D6D59">
                  <w:pPr>
                    <w:pStyle w:val="14"/>
                    <w:adjustRightInd w:val="0"/>
                    <w:spacing w:before="0" w:beforeAutospacing="0" w:after="0" w:afterAutospacing="0"/>
                    <w:jc w:val="center"/>
                    <w:rPr>
                      <w:rFonts w:hint="default" w:ascii="Times New Roman" w:hAnsi="Times New Roman" w:eastAsia="宋体" w:cs="Times New Roman"/>
                      <w:kern w:val="2"/>
                      <w:sz w:val="21"/>
                      <w:szCs w:val="21"/>
                      <w:highlight w:val="none"/>
                      <w:lang w:val="en-US" w:eastAsia="zh-CN"/>
                    </w:rPr>
                  </w:pPr>
                  <w:r>
                    <w:rPr>
                      <w:rFonts w:hint="default" w:ascii="Times New Roman" w:hAnsi="Times New Roman" w:eastAsia="宋体" w:cs="Times New Roman"/>
                      <w:bCs/>
                      <w:sz w:val="21"/>
                      <w:szCs w:val="21"/>
                      <w:highlight w:val="none"/>
                      <w:lang w:val="en-US" w:eastAsia="zh-CN"/>
                    </w:rPr>
                    <w:t>未沾染化学试剂的</w:t>
                  </w:r>
                  <w:r>
                    <w:rPr>
                      <w:rFonts w:hint="default" w:ascii="Times New Roman" w:hAnsi="Times New Roman" w:eastAsia="宋体" w:cs="Times New Roman"/>
                      <w:bCs/>
                      <w:sz w:val="21"/>
                      <w:szCs w:val="21"/>
                      <w:highlight w:val="none"/>
                    </w:rPr>
                    <w:t>废包装材料</w:t>
                  </w:r>
                  <w:r>
                    <w:rPr>
                      <w:rFonts w:hint="default" w:ascii="Times New Roman" w:hAnsi="Times New Roman" w:eastAsia="宋体" w:cs="Times New Roman"/>
                      <w:bCs/>
                      <w:sz w:val="21"/>
                      <w:szCs w:val="21"/>
                      <w:highlight w:val="none"/>
                      <w:lang w:eastAsia="zh-CN"/>
                    </w:rPr>
                    <w:t>、</w:t>
                  </w:r>
                  <w:r>
                    <w:rPr>
                      <w:rFonts w:hint="default" w:ascii="Times New Roman" w:hAnsi="Times New Roman" w:eastAsia="宋体" w:cs="Times New Roman"/>
                      <w:bCs/>
                      <w:sz w:val="21"/>
                      <w:szCs w:val="21"/>
                      <w:highlight w:val="none"/>
                      <w:lang w:val="en-US" w:eastAsia="zh-CN"/>
                    </w:rPr>
                    <w:t>废金属实验件、废金属边角料、废护盒、废铜线、废铁芯由物资回收部门回收；废空气滤芯、纯水制备废滤芯、废分子筛</w:t>
                  </w:r>
                </w:p>
              </w:tc>
              <w:tc>
                <w:tcPr>
                  <w:tcW w:w="1320" w:type="pct"/>
                  <w:tcBorders>
                    <w:tl2br w:val="nil"/>
                    <w:tr2bl w:val="nil"/>
                  </w:tcBorders>
                  <w:vAlign w:val="center"/>
                </w:tcPr>
                <w:p w14:paraId="6E28970B">
                  <w:pPr>
                    <w:pStyle w:val="14"/>
                    <w:adjustRightInd w:val="0"/>
                    <w:spacing w:before="0" w:beforeAutospacing="0" w:after="0" w:afterAutospacing="0"/>
                    <w:jc w:val="center"/>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rPr>
                    <w:t>一般固废间、管理台账、管理制度</w:t>
                  </w:r>
                </w:p>
              </w:tc>
              <w:tc>
                <w:tcPr>
                  <w:tcW w:w="1626" w:type="pct"/>
                  <w:tcBorders>
                    <w:tl2br w:val="nil"/>
                    <w:tr2bl w:val="nil"/>
                  </w:tcBorders>
                  <w:vAlign w:val="center"/>
                </w:tcPr>
                <w:p w14:paraId="2637652D">
                  <w:pPr>
                    <w:pStyle w:val="14"/>
                    <w:adjustRightInd w:val="0"/>
                    <w:jc w:val="center"/>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bCs/>
                      <w:sz w:val="21"/>
                      <w:szCs w:val="21"/>
                      <w:highlight w:val="none"/>
                    </w:rPr>
                    <w:t>《中华人民共和国固体废物污染环境防治法》（2020年版）及《北京市生活垃圾管理条例》（2020年5月1日起施行，2020年9月25日第二次修正）中的有关规定</w:t>
                  </w:r>
                </w:p>
              </w:tc>
            </w:tr>
            <w:tr w14:paraId="458248A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1" w:type="pct"/>
                  <w:tcBorders>
                    <w:tl2br w:val="nil"/>
                    <w:tr2bl w:val="nil"/>
                  </w:tcBorders>
                  <w:vAlign w:val="center"/>
                </w:tcPr>
                <w:p w14:paraId="126DCFC6">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危险废物</w:t>
                  </w:r>
                </w:p>
              </w:tc>
              <w:tc>
                <w:tcPr>
                  <w:tcW w:w="651" w:type="pct"/>
                  <w:tcBorders>
                    <w:tl2br w:val="nil"/>
                    <w:tr2bl w:val="nil"/>
                  </w:tcBorders>
                  <w:vAlign w:val="center"/>
                </w:tcPr>
                <w:p w14:paraId="19C89E66">
                  <w:pPr>
                    <w:pStyle w:val="14"/>
                    <w:adjustRightInd w:val="0"/>
                    <w:jc w:val="center"/>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rPr>
                    <w:t>实验过程</w:t>
                  </w:r>
                </w:p>
              </w:tc>
              <w:tc>
                <w:tcPr>
                  <w:tcW w:w="1100" w:type="pct"/>
                  <w:tcBorders>
                    <w:tl2br w:val="nil"/>
                    <w:tr2bl w:val="nil"/>
                  </w:tcBorders>
                  <w:vAlign w:val="center"/>
                </w:tcPr>
                <w:p w14:paraId="40715CC3">
                  <w:pPr>
                    <w:pStyle w:val="14"/>
                    <w:adjustRightInd w:val="0"/>
                    <w:spacing w:before="0" w:beforeAutospacing="0" w:after="0" w:afterAutospacing="0"/>
                    <w:jc w:val="center"/>
                    <w:rPr>
                      <w:rFonts w:hint="default" w:ascii="Times New Roman" w:hAnsi="Times New Roman" w:eastAsia="宋体" w:cs="Times New Roman"/>
                      <w:kern w:val="2"/>
                      <w:sz w:val="21"/>
                      <w:szCs w:val="21"/>
                      <w:highlight w:val="none"/>
                      <w:lang w:val="en-US" w:eastAsia="zh-CN"/>
                    </w:rPr>
                  </w:pPr>
                  <w:r>
                    <w:rPr>
                      <w:rFonts w:hint="default" w:ascii="Times New Roman" w:hAnsi="Times New Roman" w:eastAsia="宋体" w:cs="Times New Roman"/>
                      <w:sz w:val="21"/>
                      <w:szCs w:val="21"/>
                      <w:highlight w:val="none"/>
                      <w:lang w:val="en-US" w:eastAsia="zh-CN"/>
                    </w:rPr>
                    <w:t>废切削液、废树脂、检测废液、废电池、电池材料实验废液、</w:t>
                  </w:r>
                  <w:r>
                    <w:rPr>
                      <w:rFonts w:hint="eastAsia" w:ascii="Times New Roman" w:hAnsi="Times New Roman" w:eastAsia="宋体" w:cs="Times New Roman"/>
                      <w:sz w:val="21"/>
                      <w:szCs w:val="21"/>
                      <w:highlight w:val="none"/>
                      <w:lang w:val="en-US" w:eastAsia="zh-CN"/>
                    </w:rPr>
                    <w:t>含氟废液、</w:t>
                  </w:r>
                  <w:r>
                    <w:rPr>
                      <w:rFonts w:hint="default" w:ascii="Times New Roman" w:hAnsi="Times New Roman" w:eastAsia="宋体" w:cs="Times New Roman"/>
                      <w:sz w:val="21"/>
                      <w:szCs w:val="21"/>
                      <w:highlight w:val="none"/>
                      <w:lang w:val="en-US" w:eastAsia="zh-CN"/>
                    </w:rPr>
                    <w:t>电池材料设备清洗废液、</w:t>
                  </w:r>
                  <w:r>
                    <w:rPr>
                      <w:rFonts w:hint="eastAsia" w:ascii="Times New Roman" w:hAnsi="Times New Roman" w:eastAsia="宋体" w:cs="Times New Roman"/>
                      <w:sz w:val="21"/>
                      <w:szCs w:val="21"/>
                      <w:highlight w:val="none"/>
                      <w:lang w:val="en-US" w:eastAsia="zh-CN"/>
                    </w:rPr>
                    <w:t>其他设备清洗废液、</w:t>
                  </w:r>
                  <w:r>
                    <w:rPr>
                      <w:rFonts w:hint="default" w:ascii="Times New Roman" w:hAnsi="Times New Roman" w:eastAsia="宋体" w:cs="Times New Roman"/>
                      <w:sz w:val="21"/>
                      <w:szCs w:val="21"/>
                      <w:highlight w:val="none"/>
                      <w:lang w:val="en-US" w:eastAsia="zh-CN"/>
                    </w:rPr>
                    <w:t>废活性炭、</w:t>
                  </w:r>
                  <w:r>
                    <w:rPr>
                      <w:rFonts w:hint="eastAsia" w:ascii="Times New Roman" w:hAnsi="Times New Roman" w:eastAsia="宋体" w:cs="Times New Roman"/>
                      <w:sz w:val="21"/>
                      <w:szCs w:val="21"/>
                      <w:highlight w:val="none"/>
                      <w:lang w:val="en-US" w:eastAsia="zh-CN"/>
                    </w:rPr>
                    <w:t>废吸附剂、废布袋、</w:t>
                  </w:r>
                  <w:r>
                    <w:rPr>
                      <w:rFonts w:hint="default" w:ascii="Times New Roman" w:hAnsi="Times New Roman" w:eastAsia="宋体" w:cs="Times New Roman"/>
                      <w:sz w:val="21"/>
                      <w:szCs w:val="21"/>
                      <w:highlight w:val="none"/>
                      <w:lang w:val="en-US" w:eastAsia="zh-CN"/>
                    </w:rPr>
                    <w:t>喷淋废水、废包装物、废润滑油、废油桶。</w:t>
                  </w:r>
                </w:p>
              </w:tc>
              <w:tc>
                <w:tcPr>
                  <w:tcW w:w="1320" w:type="pct"/>
                  <w:tcBorders>
                    <w:tl2br w:val="nil"/>
                    <w:tr2bl w:val="nil"/>
                  </w:tcBorders>
                  <w:shd w:val="clear" w:color="auto" w:fill="auto"/>
                  <w:vAlign w:val="center"/>
                </w:tcPr>
                <w:p w14:paraId="58007709">
                  <w:pPr>
                    <w:pStyle w:val="14"/>
                    <w:adjustRightInd w:val="0"/>
                    <w:spacing w:before="0" w:beforeAutospacing="0" w:after="0" w:afterAutospacing="0"/>
                    <w:jc w:val="center"/>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rPr>
                    <w:t>危险废物暂存间、管理台账、管理制度</w:t>
                  </w:r>
                </w:p>
              </w:tc>
              <w:tc>
                <w:tcPr>
                  <w:tcW w:w="1626" w:type="pct"/>
                  <w:tcBorders>
                    <w:tl2br w:val="nil"/>
                    <w:tr2bl w:val="nil"/>
                  </w:tcBorders>
                  <w:vAlign w:val="center"/>
                </w:tcPr>
                <w:p w14:paraId="24E37813">
                  <w:pPr>
                    <w:pStyle w:val="14"/>
                    <w:adjustRightInd w:val="0"/>
                    <w:jc w:val="center"/>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bCs/>
                      <w:sz w:val="21"/>
                      <w:szCs w:val="21"/>
                      <w:highlight w:val="none"/>
                    </w:rPr>
                    <w:t>《危险废物贮存污染控制标准》（GB18597-2023）、</w:t>
                  </w:r>
                  <w:r>
                    <w:rPr>
                      <w:rFonts w:hint="default" w:ascii="Times New Roman" w:hAnsi="Times New Roman" w:eastAsia="宋体" w:cs="Times New Roman"/>
                      <w:sz w:val="21"/>
                      <w:szCs w:val="21"/>
                      <w:highlight w:val="none"/>
                    </w:rPr>
                    <w:t>《危险废物转移管理办法》（2022年1月1日施行）、</w:t>
                  </w:r>
                  <w:r>
                    <w:rPr>
                      <w:rFonts w:hint="default" w:ascii="Times New Roman" w:hAnsi="Times New Roman" w:eastAsia="宋体" w:cs="Times New Roman"/>
                      <w:sz w:val="21"/>
                      <w:szCs w:val="24"/>
                      <w:highlight w:val="none"/>
                    </w:rPr>
                    <w:t>《实验室危险废物污染防治技术规范》（DB11/T 1368-2016）</w:t>
                  </w:r>
                  <w:r>
                    <w:rPr>
                      <w:rFonts w:hint="default" w:ascii="Times New Roman" w:hAnsi="Times New Roman" w:eastAsia="宋体" w:cs="Times New Roman"/>
                      <w:kern w:val="2"/>
                      <w:sz w:val="21"/>
                      <w:szCs w:val="21"/>
                      <w:highlight w:val="none"/>
                    </w:rPr>
                    <w:t>中的相关规定</w:t>
                  </w:r>
                </w:p>
              </w:tc>
            </w:tr>
          </w:tbl>
          <w:p w14:paraId="414FD574">
            <w:pPr>
              <w:adjustRightInd w:val="0"/>
              <w:snapToGrid w:val="0"/>
              <w:rPr>
                <w:rFonts w:hint="default" w:ascii="Times New Roman" w:hAnsi="Times New Roman" w:eastAsia="宋体" w:cs="Times New Roman"/>
                <w:sz w:val="24"/>
                <w:highlight w:val="none"/>
              </w:rPr>
            </w:pPr>
          </w:p>
        </w:tc>
      </w:tr>
    </w:tbl>
    <w:p w14:paraId="225E5BA3">
      <w:pPr>
        <w:pStyle w:val="14"/>
        <w:jc w:val="center"/>
        <w:outlineLvl w:val="0"/>
        <w:rPr>
          <w:rFonts w:hint="default" w:ascii="Times New Roman" w:hAnsi="Times New Roman" w:eastAsia="宋体" w:cs="Times New Roman"/>
          <w:snapToGrid w:val="0"/>
          <w:sz w:val="36"/>
          <w:szCs w:val="36"/>
          <w:highlight w:val="none"/>
        </w:rPr>
      </w:pPr>
      <w:r>
        <w:rPr>
          <w:rFonts w:hint="default" w:ascii="Times New Roman" w:hAnsi="Times New Roman" w:eastAsia="宋体" w:cs="Times New Roman"/>
          <w:snapToGrid w:val="0"/>
          <w:sz w:val="32"/>
          <w:szCs w:val="22"/>
          <w:highlight w:val="none"/>
        </w:rPr>
        <w:br w:type="page"/>
      </w:r>
      <w:r>
        <w:rPr>
          <w:rStyle w:val="37"/>
          <w:rFonts w:hint="default" w:ascii="Times New Roman" w:hAnsi="Times New Roman" w:eastAsia="宋体" w:cs="Times New Roman"/>
          <w:b w:val="0"/>
          <w:bCs w:val="0"/>
          <w:color w:val="auto"/>
          <w:sz w:val="36"/>
          <w:szCs w:val="36"/>
          <w:highlight w:val="none"/>
        </w:rPr>
        <w:t>六、结论</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18B7B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18EE377C">
            <w:pPr>
              <w:spacing w:line="360" w:lineRule="auto"/>
              <w:ind w:firstLine="480" w:firstLineChars="200"/>
              <w:rPr>
                <w:rFonts w:hint="default" w:ascii="Times New Roman" w:hAnsi="Times New Roman" w:eastAsia="宋体" w:cs="Times New Roman"/>
                <w:sz w:val="24"/>
                <w:szCs w:val="32"/>
                <w:highlight w:val="none"/>
              </w:rPr>
            </w:pPr>
            <w:r>
              <w:rPr>
                <w:rFonts w:hint="default" w:ascii="Times New Roman" w:hAnsi="Times New Roman" w:eastAsia="宋体" w:cs="Times New Roman"/>
                <w:sz w:val="24"/>
                <w:szCs w:val="32"/>
                <w:highlight w:val="none"/>
              </w:rPr>
              <w:t>本项目的建设符合产业政策及相关规划，符合</w:t>
            </w:r>
            <w:r>
              <w:rPr>
                <w:rFonts w:hint="eastAsia" w:ascii="Times New Roman" w:hAnsi="Times New Roman" w:eastAsia="宋体" w:cs="Times New Roman"/>
                <w:sz w:val="24"/>
                <w:szCs w:val="32"/>
                <w:highlight w:val="none"/>
                <w:lang w:eastAsia="zh-CN"/>
              </w:rPr>
              <w:t>“</w:t>
            </w:r>
            <w:r>
              <w:rPr>
                <w:rFonts w:hint="default" w:ascii="Times New Roman" w:hAnsi="Times New Roman" w:eastAsia="宋体" w:cs="Times New Roman"/>
                <w:sz w:val="24"/>
                <w:szCs w:val="32"/>
                <w:highlight w:val="none"/>
              </w:rPr>
              <w:t>三线一单</w:t>
            </w:r>
            <w:r>
              <w:rPr>
                <w:rFonts w:hint="eastAsia" w:ascii="Times New Roman" w:hAnsi="Times New Roman" w:eastAsia="宋体" w:cs="Times New Roman"/>
                <w:sz w:val="24"/>
                <w:szCs w:val="32"/>
                <w:highlight w:val="none"/>
                <w:lang w:eastAsia="zh-CN"/>
              </w:rPr>
              <w:t>”</w:t>
            </w:r>
            <w:r>
              <w:rPr>
                <w:rFonts w:hint="default" w:ascii="Times New Roman" w:hAnsi="Times New Roman" w:eastAsia="宋体" w:cs="Times New Roman"/>
                <w:sz w:val="24"/>
                <w:szCs w:val="32"/>
                <w:highlight w:val="none"/>
              </w:rPr>
              <w:t>管理要求，选址合理；污染防治措施切实可行；各污染物经环保设施治理后能够达标排放，对区域环境质量的影响较小；环境风险可控。建设单位在严格落实本报告表和项目设计方案提出的各项环保措施的前提下，从环境保护角度分析，本项目建设是可行的。</w:t>
            </w:r>
          </w:p>
          <w:p w14:paraId="05D35D87">
            <w:pPr>
              <w:spacing w:line="360" w:lineRule="auto"/>
              <w:rPr>
                <w:rFonts w:hint="default" w:ascii="Times New Roman" w:hAnsi="Times New Roman" w:eastAsia="宋体" w:cs="Times New Roman"/>
                <w:sz w:val="32"/>
                <w:szCs w:val="32"/>
                <w:highlight w:val="none"/>
              </w:rPr>
            </w:pPr>
          </w:p>
        </w:tc>
      </w:tr>
    </w:tbl>
    <w:p w14:paraId="59FA0725">
      <w:pPr>
        <w:pStyle w:val="14"/>
        <w:adjustRightInd w:val="0"/>
        <w:snapToGrid w:val="0"/>
        <w:spacing w:before="0" w:beforeAutospacing="0" w:after="0" w:afterAutospacing="0"/>
        <w:jc w:val="both"/>
        <w:outlineLvl w:val="0"/>
        <w:rPr>
          <w:rFonts w:hint="default" w:ascii="Times New Roman" w:hAnsi="Times New Roman" w:eastAsia="宋体" w:cs="Times New Roman"/>
          <w:snapToGrid w:val="0"/>
          <w:sz w:val="32"/>
          <w:szCs w:val="22"/>
          <w:highlight w:val="none"/>
        </w:rPr>
        <w:sectPr>
          <w:pgSz w:w="11906" w:h="16838"/>
          <w:pgMar w:top="1701" w:right="1531" w:bottom="1860"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67F0F393">
      <w:pPr>
        <w:jc w:val="center"/>
        <w:rPr>
          <w:rFonts w:hint="default" w:ascii="Times New Roman" w:hAnsi="Times New Roman" w:eastAsia="宋体" w:cs="Times New Roman"/>
          <w:b/>
          <w:bCs/>
          <w:color w:val="auto"/>
          <w:sz w:val="18"/>
          <w:szCs w:val="21"/>
          <w:highlight w:val="none"/>
        </w:rPr>
      </w:pPr>
      <w:r>
        <w:rPr>
          <w:rFonts w:hint="default" w:ascii="Times New Roman" w:hAnsi="Times New Roman" w:eastAsia="宋体" w:cs="Times New Roman"/>
          <w:snapToGrid w:val="0"/>
          <w:color w:val="auto"/>
          <w:sz w:val="44"/>
          <w:szCs w:val="44"/>
          <w:highlight w:val="none"/>
        </w:rPr>
        <w:t xml:space="preserve">建设项目污染物排放量汇总表 </w:t>
      </w:r>
      <w:r>
        <w:rPr>
          <w:rFonts w:hint="default" w:ascii="Times New Roman" w:hAnsi="Times New Roman" w:eastAsia="宋体" w:cs="Times New Roman"/>
          <w:b/>
          <w:bCs/>
          <w:snapToGrid w:val="0"/>
          <w:color w:val="auto"/>
          <w:sz w:val="28"/>
          <w:szCs w:val="28"/>
          <w:highlight w:val="none"/>
        </w:rPr>
        <w:t>单位：t/a</w:t>
      </w:r>
    </w:p>
    <w:tbl>
      <w:tblPr>
        <w:tblStyle w:val="17"/>
        <w:tblW w:w="13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12"/>
        <w:gridCol w:w="2906"/>
        <w:gridCol w:w="1407"/>
        <w:gridCol w:w="1101"/>
        <w:gridCol w:w="1469"/>
        <w:gridCol w:w="1458"/>
        <w:gridCol w:w="1264"/>
        <w:gridCol w:w="1642"/>
        <w:gridCol w:w="1396"/>
      </w:tblGrid>
      <w:tr w14:paraId="312F09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tcBorders>
              <w:tl2br w:val="single" w:color="auto" w:sz="4" w:space="0"/>
            </w:tcBorders>
            <w:tcMar>
              <w:left w:w="28" w:type="dxa"/>
              <w:right w:w="28" w:type="dxa"/>
            </w:tcMar>
            <w:vAlign w:val="center"/>
          </w:tcPr>
          <w:p w14:paraId="21BD4624">
            <w:pPr>
              <w:pStyle w:val="38"/>
              <w:spacing w:beforeLines="0" w:afterLines="0" w:line="240" w:lineRule="auto"/>
              <w:rPr>
                <w:rFonts w:hint="default" w:ascii="Times New Roman" w:hAnsi="Times New Roman" w:eastAsia="宋体" w:cs="Times New Roman"/>
                <w:b/>
                <w:bCs/>
                <w:snapToGrid w:val="0"/>
                <w:color w:val="auto"/>
                <w:spacing w:val="-6"/>
                <w:kern w:val="21"/>
                <w:sz w:val="22"/>
                <w:highlight w:val="none"/>
              </w:rPr>
            </w:pPr>
            <w:r>
              <w:rPr>
                <w:rFonts w:hint="default" w:ascii="Times New Roman" w:hAnsi="Times New Roman" w:eastAsia="宋体" w:cs="Times New Roman"/>
                <w:b/>
                <w:bCs/>
                <w:snapToGrid w:val="0"/>
                <w:color w:val="auto"/>
                <w:spacing w:val="-6"/>
                <w:kern w:val="21"/>
                <w:sz w:val="22"/>
                <w:highlight w:val="none"/>
              </w:rPr>
              <w:t>项目</w:t>
            </w:r>
          </w:p>
          <w:p w14:paraId="75389097">
            <w:pPr>
              <w:snapToGrid w:val="0"/>
              <w:spacing w:line="240" w:lineRule="auto"/>
              <w:rPr>
                <w:rFonts w:hint="default" w:ascii="Times New Roman" w:hAnsi="Times New Roman" w:eastAsia="宋体" w:cs="Times New Roman"/>
                <w:color w:val="auto"/>
                <w:sz w:val="22"/>
                <w:szCs w:val="22"/>
                <w:highlight w:val="none"/>
              </w:rPr>
            </w:pPr>
          </w:p>
          <w:p w14:paraId="160FF5EE">
            <w:pPr>
              <w:pStyle w:val="38"/>
              <w:spacing w:beforeLines="0" w:afterLines="0" w:line="240" w:lineRule="auto"/>
              <w:rPr>
                <w:rFonts w:hint="default" w:ascii="Times New Roman" w:hAnsi="Times New Roman" w:eastAsia="宋体" w:cs="Times New Roman"/>
                <w:b/>
                <w:bCs/>
                <w:snapToGrid w:val="0"/>
                <w:color w:val="auto"/>
                <w:spacing w:val="-6"/>
                <w:kern w:val="21"/>
                <w:sz w:val="22"/>
                <w:highlight w:val="none"/>
              </w:rPr>
            </w:pPr>
            <w:r>
              <w:rPr>
                <w:rFonts w:hint="default" w:ascii="Times New Roman" w:hAnsi="Times New Roman" w:eastAsia="宋体" w:cs="Times New Roman"/>
                <w:b/>
                <w:bCs/>
                <w:snapToGrid w:val="0"/>
                <w:color w:val="auto"/>
                <w:spacing w:val="-6"/>
                <w:kern w:val="21"/>
                <w:sz w:val="22"/>
                <w:highlight w:val="none"/>
              </w:rPr>
              <w:t>分类</w:t>
            </w:r>
          </w:p>
        </w:tc>
        <w:tc>
          <w:tcPr>
            <w:tcW w:w="2906" w:type="dxa"/>
            <w:tcMar>
              <w:left w:w="28" w:type="dxa"/>
              <w:right w:w="28" w:type="dxa"/>
            </w:tcMar>
            <w:vAlign w:val="center"/>
          </w:tcPr>
          <w:p w14:paraId="7D5A75B6">
            <w:pPr>
              <w:pStyle w:val="38"/>
              <w:spacing w:beforeLines="0" w:afterLines="0" w:line="240" w:lineRule="auto"/>
              <w:rPr>
                <w:rFonts w:hint="default" w:ascii="Times New Roman" w:hAnsi="Times New Roman" w:eastAsia="宋体" w:cs="Times New Roman"/>
                <w:b/>
                <w:bCs/>
                <w:snapToGrid w:val="0"/>
                <w:color w:val="auto"/>
                <w:spacing w:val="-6"/>
                <w:kern w:val="21"/>
                <w:sz w:val="22"/>
                <w:highlight w:val="none"/>
              </w:rPr>
            </w:pPr>
            <w:r>
              <w:rPr>
                <w:rFonts w:hint="default" w:ascii="Times New Roman" w:hAnsi="Times New Roman" w:eastAsia="宋体" w:cs="Times New Roman"/>
                <w:b/>
                <w:bCs/>
                <w:snapToGrid w:val="0"/>
                <w:color w:val="auto"/>
                <w:spacing w:val="-6"/>
                <w:kern w:val="21"/>
                <w:sz w:val="22"/>
                <w:highlight w:val="none"/>
              </w:rPr>
              <w:t>污染物名称</w:t>
            </w:r>
          </w:p>
        </w:tc>
        <w:tc>
          <w:tcPr>
            <w:tcW w:w="1407" w:type="dxa"/>
            <w:tcMar>
              <w:left w:w="28" w:type="dxa"/>
              <w:right w:w="28" w:type="dxa"/>
            </w:tcMar>
            <w:vAlign w:val="center"/>
          </w:tcPr>
          <w:p w14:paraId="1262C78C">
            <w:pPr>
              <w:pStyle w:val="38"/>
              <w:spacing w:beforeLines="0" w:afterLines="0" w:line="240" w:lineRule="auto"/>
              <w:rPr>
                <w:rFonts w:hint="default" w:ascii="Times New Roman" w:hAnsi="Times New Roman" w:eastAsia="宋体" w:cs="Times New Roman"/>
                <w:b/>
                <w:bCs/>
                <w:snapToGrid w:val="0"/>
                <w:color w:val="auto"/>
                <w:spacing w:val="-6"/>
                <w:kern w:val="21"/>
                <w:sz w:val="22"/>
                <w:highlight w:val="none"/>
              </w:rPr>
            </w:pPr>
            <w:r>
              <w:rPr>
                <w:rFonts w:hint="default" w:ascii="Times New Roman" w:hAnsi="Times New Roman" w:eastAsia="宋体" w:cs="Times New Roman"/>
                <w:b/>
                <w:bCs/>
                <w:snapToGrid w:val="0"/>
                <w:color w:val="auto"/>
                <w:spacing w:val="-6"/>
                <w:kern w:val="21"/>
                <w:sz w:val="22"/>
                <w:highlight w:val="none"/>
              </w:rPr>
              <w:t>现有工程排放量（固体废物产生量）</w:t>
            </w:r>
            <w:r>
              <w:rPr>
                <w:rFonts w:hint="default" w:ascii="Times New Roman" w:hAnsi="Times New Roman" w:eastAsia="宋体" w:cs="Times New Roman"/>
                <w:b/>
                <w:bCs/>
                <w:snapToGrid w:val="0"/>
                <w:color w:val="auto"/>
                <w:spacing w:val="-6"/>
                <w:kern w:val="21"/>
                <w:sz w:val="22"/>
                <w:highlight w:val="none"/>
              </w:rPr>
              <w:fldChar w:fldCharType="begin"/>
            </w:r>
            <w:r>
              <w:rPr>
                <w:rFonts w:hint="default" w:ascii="Times New Roman" w:hAnsi="Times New Roman" w:eastAsia="宋体" w:cs="Times New Roman"/>
                <w:b/>
                <w:bCs/>
                <w:snapToGrid w:val="0"/>
                <w:color w:val="auto"/>
                <w:spacing w:val="-6"/>
                <w:kern w:val="21"/>
                <w:sz w:val="22"/>
                <w:highlight w:val="none"/>
              </w:rPr>
              <w:instrText xml:space="preserve"> = 1 \* GB3 \* MERGEFORMAT </w:instrText>
            </w:r>
            <w:r>
              <w:rPr>
                <w:rFonts w:hint="default" w:ascii="Times New Roman" w:hAnsi="Times New Roman" w:eastAsia="宋体" w:cs="Times New Roman"/>
                <w:b/>
                <w:bCs/>
                <w:snapToGrid w:val="0"/>
                <w:color w:val="auto"/>
                <w:spacing w:val="-6"/>
                <w:kern w:val="21"/>
                <w:sz w:val="22"/>
                <w:highlight w:val="none"/>
              </w:rPr>
              <w:fldChar w:fldCharType="separate"/>
            </w:r>
            <w:r>
              <w:rPr>
                <w:rFonts w:hint="default" w:ascii="Times New Roman" w:hAnsi="Times New Roman" w:eastAsia="宋体" w:cs="Times New Roman"/>
                <w:b/>
                <w:bCs/>
                <w:color w:val="auto"/>
                <w:sz w:val="22"/>
                <w:highlight w:val="none"/>
              </w:rPr>
              <w:t>①</w:t>
            </w:r>
            <w:r>
              <w:rPr>
                <w:rFonts w:hint="default" w:ascii="Times New Roman" w:hAnsi="Times New Roman" w:eastAsia="宋体" w:cs="Times New Roman"/>
                <w:b/>
                <w:bCs/>
                <w:snapToGrid w:val="0"/>
                <w:color w:val="auto"/>
                <w:spacing w:val="-6"/>
                <w:kern w:val="21"/>
                <w:sz w:val="22"/>
                <w:highlight w:val="none"/>
              </w:rPr>
              <w:fldChar w:fldCharType="end"/>
            </w:r>
          </w:p>
        </w:tc>
        <w:tc>
          <w:tcPr>
            <w:tcW w:w="1101" w:type="dxa"/>
            <w:tcMar>
              <w:left w:w="28" w:type="dxa"/>
              <w:right w:w="28" w:type="dxa"/>
            </w:tcMar>
            <w:vAlign w:val="center"/>
          </w:tcPr>
          <w:p w14:paraId="728E0638">
            <w:pPr>
              <w:pStyle w:val="38"/>
              <w:spacing w:beforeLines="0" w:afterLines="0" w:line="240" w:lineRule="auto"/>
              <w:rPr>
                <w:rFonts w:hint="default" w:ascii="Times New Roman" w:hAnsi="Times New Roman" w:eastAsia="宋体" w:cs="Times New Roman"/>
                <w:b/>
                <w:bCs/>
                <w:snapToGrid w:val="0"/>
                <w:color w:val="auto"/>
                <w:spacing w:val="-6"/>
                <w:kern w:val="21"/>
                <w:sz w:val="22"/>
                <w:highlight w:val="none"/>
              </w:rPr>
            </w:pPr>
            <w:r>
              <w:rPr>
                <w:rFonts w:hint="default" w:ascii="Times New Roman" w:hAnsi="Times New Roman" w:eastAsia="宋体" w:cs="Times New Roman"/>
                <w:b/>
                <w:bCs/>
                <w:snapToGrid w:val="0"/>
                <w:color w:val="auto"/>
                <w:spacing w:val="-6"/>
                <w:kern w:val="21"/>
                <w:sz w:val="22"/>
                <w:highlight w:val="none"/>
              </w:rPr>
              <w:t>现有工程许可排放量</w:t>
            </w:r>
            <w:r>
              <w:rPr>
                <w:rFonts w:hint="default" w:ascii="Times New Roman" w:hAnsi="Times New Roman" w:eastAsia="宋体" w:cs="Times New Roman"/>
                <w:b/>
                <w:bCs/>
                <w:snapToGrid w:val="0"/>
                <w:color w:val="auto"/>
                <w:spacing w:val="-6"/>
                <w:kern w:val="21"/>
                <w:sz w:val="22"/>
                <w:highlight w:val="none"/>
              </w:rPr>
              <w:fldChar w:fldCharType="begin"/>
            </w:r>
            <w:r>
              <w:rPr>
                <w:rFonts w:hint="default" w:ascii="Times New Roman" w:hAnsi="Times New Roman" w:eastAsia="宋体" w:cs="Times New Roman"/>
                <w:b/>
                <w:bCs/>
                <w:snapToGrid w:val="0"/>
                <w:color w:val="auto"/>
                <w:spacing w:val="-6"/>
                <w:kern w:val="21"/>
                <w:sz w:val="22"/>
                <w:highlight w:val="none"/>
              </w:rPr>
              <w:instrText xml:space="preserve"> = 2 \* GB3 \* MERGEFORMAT </w:instrText>
            </w:r>
            <w:r>
              <w:rPr>
                <w:rFonts w:hint="default" w:ascii="Times New Roman" w:hAnsi="Times New Roman" w:eastAsia="宋体" w:cs="Times New Roman"/>
                <w:b/>
                <w:bCs/>
                <w:snapToGrid w:val="0"/>
                <w:color w:val="auto"/>
                <w:spacing w:val="-6"/>
                <w:kern w:val="21"/>
                <w:sz w:val="22"/>
                <w:highlight w:val="none"/>
              </w:rPr>
              <w:fldChar w:fldCharType="separate"/>
            </w:r>
            <w:r>
              <w:rPr>
                <w:rFonts w:hint="default" w:ascii="Times New Roman" w:hAnsi="Times New Roman" w:eastAsia="宋体" w:cs="Times New Roman"/>
                <w:b/>
                <w:bCs/>
                <w:snapToGrid w:val="0"/>
                <w:color w:val="auto"/>
                <w:spacing w:val="-6"/>
                <w:kern w:val="21"/>
                <w:sz w:val="22"/>
                <w:highlight w:val="none"/>
              </w:rPr>
              <w:t>②</w:t>
            </w:r>
            <w:r>
              <w:rPr>
                <w:rFonts w:hint="default" w:ascii="Times New Roman" w:hAnsi="Times New Roman" w:eastAsia="宋体" w:cs="Times New Roman"/>
                <w:b/>
                <w:bCs/>
                <w:snapToGrid w:val="0"/>
                <w:color w:val="auto"/>
                <w:spacing w:val="-6"/>
                <w:kern w:val="21"/>
                <w:sz w:val="22"/>
                <w:highlight w:val="none"/>
              </w:rPr>
              <w:fldChar w:fldCharType="end"/>
            </w:r>
          </w:p>
        </w:tc>
        <w:tc>
          <w:tcPr>
            <w:tcW w:w="1469" w:type="dxa"/>
            <w:tcMar>
              <w:left w:w="28" w:type="dxa"/>
              <w:right w:w="28" w:type="dxa"/>
            </w:tcMar>
            <w:vAlign w:val="center"/>
          </w:tcPr>
          <w:p w14:paraId="4D9193AB">
            <w:pPr>
              <w:pStyle w:val="38"/>
              <w:spacing w:beforeLines="0" w:afterLines="0" w:line="240" w:lineRule="auto"/>
              <w:rPr>
                <w:rFonts w:hint="default" w:ascii="Times New Roman" w:hAnsi="Times New Roman" w:eastAsia="宋体" w:cs="Times New Roman"/>
                <w:b/>
                <w:bCs/>
                <w:snapToGrid w:val="0"/>
                <w:color w:val="auto"/>
                <w:spacing w:val="-6"/>
                <w:kern w:val="21"/>
                <w:sz w:val="22"/>
                <w:highlight w:val="none"/>
              </w:rPr>
            </w:pPr>
            <w:r>
              <w:rPr>
                <w:rFonts w:hint="default" w:ascii="Times New Roman" w:hAnsi="Times New Roman" w:eastAsia="宋体" w:cs="Times New Roman"/>
                <w:b/>
                <w:bCs/>
                <w:snapToGrid w:val="0"/>
                <w:color w:val="auto"/>
                <w:spacing w:val="-6"/>
                <w:kern w:val="21"/>
                <w:sz w:val="22"/>
                <w:highlight w:val="none"/>
              </w:rPr>
              <w:t>在建工程排放量（固体废物产生量）</w:t>
            </w:r>
            <w:r>
              <w:rPr>
                <w:rFonts w:hint="default" w:ascii="Times New Roman" w:hAnsi="Times New Roman" w:eastAsia="宋体" w:cs="Times New Roman"/>
                <w:b/>
                <w:bCs/>
                <w:snapToGrid w:val="0"/>
                <w:color w:val="auto"/>
                <w:spacing w:val="-6"/>
                <w:kern w:val="21"/>
                <w:sz w:val="22"/>
                <w:highlight w:val="none"/>
              </w:rPr>
              <w:fldChar w:fldCharType="begin"/>
            </w:r>
            <w:r>
              <w:rPr>
                <w:rFonts w:hint="default" w:ascii="Times New Roman" w:hAnsi="Times New Roman" w:eastAsia="宋体" w:cs="Times New Roman"/>
                <w:b/>
                <w:bCs/>
                <w:snapToGrid w:val="0"/>
                <w:color w:val="auto"/>
                <w:spacing w:val="-6"/>
                <w:kern w:val="21"/>
                <w:sz w:val="22"/>
                <w:highlight w:val="none"/>
              </w:rPr>
              <w:instrText xml:space="preserve"> = 3 \* GB3 \* MERGEFORMAT </w:instrText>
            </w:r>
            <w:r>
              <w:rPr>
                <w:rFonts w:hint="default" w:ascii="Times New Roman" w:hAnsi="Times New Roman" w:eastAsia="宋体" w:cs="Times New Roman"/>
                <w:b/>
                <w:bCs/>
                <w:snapToGrid w:val="0"/>
                <w:color w:val="auto"/>
                <w:spacing w:val="-6"/>
                <w:kern w:val="21"/>
                <w:sz w:val="22"/>
                <w:highlight w:val="none"/>
              </w:rPr>
              <w:fldChar w:fldCharType="separate"/>
            </w:r>
            <w:r>
              <w:rPr>
                <w:rFonts w:hint="default" w:ascii="Times New Roman" w:hAnsi="Times New Roman" w:eastAsia="宋体" w:cs="Times New Roman"/>
                <w:b/>
                <w:bCs/>
                <w:color w:val="auto"/>
                <w:sz w:val="22"/>
                <w:highlight w:val="none"/>
              </w:rPr>
              <w:t>③</w:t>
            </w:r>
            <w:r>
              <w:rPr>
                <w:rFonts w:hint="default" w:ascii="Times New Roman" w:hAnsi="Times New Roman" w:eastAsia="宋体" w:cs="Times New Roman"/>
                <w:b/>
                <w:bCs/>
                <w:snapToGrid w:val="0"/>
                <w:color w:val="auto"/>
                <w:spacing w:val="-6"/>
                <w:kern w:val="21"/>
                <w:sz w:val="22"/>
                <w:highlight w:val="none"/>
              </w:rPr>
              <w:fldChar w:fldCharType="end"/>
            </w:r>
          </w:p>
        </w:tc>
        <w:tc>
          <w:tcPr>
            <w:tcW w:w="1458" w:type="dxa"/>
            <w:tcMar>
              <w:left w:w="28" w:type="dxa"/>
              <w:right w:w="28" w:type="dxa"/>
            </w:tcMar>
            <w:vAlign w:val="center"/>
          </w:tcPr>
          <w:p w14:paraId="64DAF4BD">
            <w:pPr>
              <w:pStyle w:val="38"/>
              <w:spacing w:beforeLines="0" w:afterLines="0" w:line="240" w:lineRule="auto"/>
              <w:rPr>
                <w:rFonts w:hint="default" w:ascii="Times New Roman" w:hAnsi="Times New Roman" w:eastAsia="宋体" w:cs="Times New Roman"/>
                <w:b/>
                <w:bCs/>
                <w:snapToGrid w:val="0"/>
                <w:color w:val="auto"/>
                <w:spacing w:val="-6"/>
                <w:kern w:val="21"/>
                <w:sz w:val="22"/>
                <w:highlight w:val="none"/>
              </w:rPr>
            </w:pPr>
            <w:r>
              <w:rPr>
                <w:rFonts w:hint="default" w:ascii="Times New Roman" w:hAnsi="Times New Roman" w:eastAsia="宋体" w:cs="Times New Roman"/>
                <w:b/>
                <w:bCs/>
                <w:snapToGrid w:val="0"/>
                <w:color w:val="auto"/>
                <w:spacing w:val="-6"/>
                <w:kern w:val="21"/>
                <w:sz w:val="22"/>
                <w:highlight w:val="none"/>
              </w:rPr>
              <w:t>本项目排放量（固体废物产生量）</w:t>
            </w:r>
            <w:r>
              <w:rPr>
                <w:rFonts w:hint="default" w:ascii="Times New Roman" w:hAnsi="Times New Roman" w:eastAsia="宋体" w:cs="Times New Roman"/>
                <w:b/>
                <w:bCs/>
                <w:snapToGrid w:val="0"/>
                <w:color w:val="auto"/>
                <w:spacing w:val="-6"/>
                <w:kern w:val="21"/>
                <w:sz w:val="22"/>
                <w:highlight w:val="none"/>
              </w:rPr>
              <w:fldChar w:fldCharType="begin"/>
            </w:r>
            <w:r>
              <w:rPr>
                <w:rFonts w:hint="default" w:ascii="Times New Roman" w:hAnsi="Times New Roman" w:eastAsia="宋体" w:cs="Times New Roman"/>
                <w:b/>
                <w:bCs/>
                <w:snapToGrid w:val="0"/>
                <w:color w:val="auto"/>
                <w:spacing w:val="-6"/>
                <w:kern w:val="21"/>
                <w:sz w:val="22"/>
                <w:highlight w:val="none"/>
              </w:rPr>
              <w:instrText xml:space="preserve"> = 4 \* GB3 \* MERGEFORMAT </w:instrText>
            </w:r>
            <w:r>
              <w:rPr>
                <w:rFonts w:hint="default" w:ascii="Times New Roman" w:hAnsi="Times New Roman" w:eastAsia="宋体" w:cs="Times New Roman"/>
                <w:b/>
                <w:bCs/>
                <w:snapToGrid w:val="0"/>
                <w:color w:val="auto"/>
                <w:spacing w:val="-6"/>
                <w:kern w:val="21"/>
                <w:sz w:val="22"/>
                <w:highlight w:val="none"/>
              </w:rPr>
              <w:fldChar w:fldCharType="separate"/>
            </w:r>
            <w:r>
              <w:rPr>
                <w:rFonts w:hint="default" w:ascii="Times New Roman" w:hAnsi="Times New Roman" w:eastAsia="宋体" w:cs="Times New Roman"/>
                <w:b/>
                <w:bCs/>
                <w:color w:val="auto"/>
                <w:sz w:val="22"/>
                <w:highlight w:val="none"/>
              </w:rPr>
              <w:t>④</w:t>
            </w:r>
            <w:r>
              <w:rPr>
                <w:rFonts w:hint="default" w:ascii="Times New Roman" w:hAnsi="Times New Roman" w:eastAsia="宋体" w:cs="Times New Roman"/>
                <w:b/>
                <w:bCs/>
                <w:snapToGrid w:val="0"/>
                <w:color w:val="auto"/>
                <w:spacing w:val="-6"/>
                <w:kern w:val="21"/>
                <w:sz w:val="22"/>
                <w:highlight w:val="none"/>
              </w:rPr>
              <w:fldChar w:fldCharType="end"/>
            </w:r>
          </w:p>
        </w:tc>
        <w:tc>
          <w:tcPr>
            <w:tcW w:w="1264" w:type="dxa"/>
            <w:tcMar>
              <w:left w:w="28" w:type="dxa"/>
              <w:right w:w="28" w:type="dxa"/>
            </w:tcMar>
            <w:vAlign w:val="center"/>
          </w:tcPr>
          <w:p w14:paraId="3EEBECE6">
            <w:pPr>
              <w:pStyle w:val="38"/>
              <w:spacing w:beforeLines="0" w:afterLines="0" w:line="240" w:lineRule="auto"/>
              <w:rPr>
                <w:rFonts w:hint="default" w:ascii="Times New Roman" w:hAnsi="Times New Roman" w:eastAsia="宋体" w:cs="Times New Roman"/>
                <w:b/>
                <w:bCs/>
                <w:snapToGrid w:val="0"/>
                <w:color w:val="auto"/>
                <w:spacing w:val="-16"/>
                <w:kern w:val="21"/>
                <w:sz w:val="22"/>
                <w:highlight w:val="none"/>
              </w:rPr>
            </w:pPr>
            <w:r>
              <w:rPr>
                <w:rFonts w:hint="default" w:ascii="Times New Roman" w:hAnsi="Times New Roman" w:eastAsia="宋体" w:cs="Times New Roman"/>
                <w:b/>
                <w:bCs/>
                <w:snapToGrid w:val="0"/>
                <w:color w:val="auto"/>
                <w:spacing w:val="-16"/>
                <w:kern w:val="21"/>
                <w:sz w:val="22"/>
                <w:highlight w:val="none"/>
              </w:rPr>
              <w:t>以新带老削减量（新建项目不填）</w:t>
            </w:r>
            <w:r>
              <w:rPr>
                <w:rFonts w:hint="default" w:ascii="Times New Roman" w:hAnsi="Times New Roman" w:eastAsia="宋体" w:cs="Times New Roman"/>
                <w:b/>
                <w:bCs/>
                <w:snapToGrid w:val="0"/>
                <w:color w:val="auto"/>
                <w:spacing w:val="-16"/>
                <w:kern w:val="21"/>
                <w:sz w:val="22"/>
                <w:highlight w:val="none"/>
              </w:rPr>
              <w:fldChar w:fldCharType="begin"/>
            </w:r>
            <w:r>
              <w:rPr>
                <w:rFonts w:hint="default" w:ascii="Times New Roman" w:hAnsi="Times New Roman" w:eastAsia="宋体" w:cs="Times New Roman"/>
                <w:b/>
                <w:bCs/>
                <w:snapToGrid w:val="0"/>
                <w:color w:val="auto"/>
                <w:spacing w:val="-16"/>
                <w:kern w:val="21"/>
                <w:sz w:val="22"/>
                <w:highlight w:val="none"/>
              </w:rPr>
              <w:instrText xml:space="preserve"> = 5 \* GB3 \* MERGEFORMAT </w:instrText>
            </w:r>
            <w:r>
              <w:rPr>
                <w:rFonts w:hint="default" w:ascii="Times New Roman" w:hAnsi="Times New Roman" w:eastAsia="宋体" w:cs="Times New Roman"/>
                <w:b/>
                <w:bCs/>
                <w:snapToGrid w:val="0"/>
                <w:color w:val="auto"/>
                <w:spacing w:val="-16"/>
                <w:kern w:val="21"/>
                <w:sz w:val="22"/>
                <w:highlight w:val="none"/>
              </w:rPr>
              <w:fldChar w:fldCharType="separate"/>
            </w:r>
            <w:r>
              <w:rPr>
                <w:rFonts w:hint="default" w:ascii="Times New Roman" w:hAnsi="Times New Roman" w:eastAsia="宋体" w:cs="Times New Roman"/>
                <w:b/>
                <w:bCs/>
                <w:color w:val="auto"/>
                <w:sz w:val="22"/>
                <w:highlight w:val="none"/>
              </w:rPr>
              <w:t>⑤</w:t>
            </w:r>
            <w:r>
              <w:rPr>
                <w:rFonts w:hint="default" w:ascii="Times New Roman" w:hAnsi="Times New Roman" w:eastAsia="宋体" w:cs="Times New Roman"/>
                <w:b/>
                <w:bCs/>
                <w:snapToGrid w:val="0"/>
                <w:color w:val="auto"/>
                <w:spacing w:val="-16"/>
                <w:kern w:val="21"/>
                <w:sz w:val="22"/>
                <w:highlight w:val="none"/>
              </w:rPr>
              <w:fldChar w:fldCharType="end"/>
            </w:r>
          </w:p>
        </w:tc>
        <w:tc>
          <w:tcPr>
            <w:tcW w:w="1642" w:type="dxa"/>
            <w:tcMar>
              <w:left w:w="28" w:type="dxa"/>
              <w:right w:w="28" w:type="dxa"/>
            </w:tcMar>
            <w:vAlign w:val="center"/>
          </w:tcPr>
          <w:p w14:paraId="7BEBFF27">
            <w:pPr>
              <w:pStyle w:val="38"/>
              <w:spacing w:beforeLines="0" w:afterLines="0" w:line="240" w:lineRule="auto"/>
              <w:rPr>
                <w:rFonts w:hint="default" w:ascii="Times New Roman" w:hAnsi="Times New Roman" w:eastAsia="宋体" w:cs="Times New Roman"/>
                <w:b/>
                <w:bCs/>
                <w:snapToGrid w:val="0"/>
                <w:color w:val="auto"/>
                <w:spacing w:val="-16"/>
                <w:kern w:val="21"/>
                <w:sz w:val="22"/>
                <w:highlight w:val="none"/>
              </w:rPr>
            </w:pPr>
            <w:r>
              <w:rPr>
                <w:rFonts w:hint="default" w:ascii="Times New Roman" w:hAnsi="Times New Roman" w:eastAsia="宋体" w:cs="Times New Roman"/>
                <w:b/>
                <w:bCs/>
                <w:snapToGrid w:val="0"/>
                <w:color w:val="auto"/>
                <w:spacing w:val="-16"/>
                <w:kern w:val="21"/>
                <w:sz w:val="22"/>
                <w:highlight w:val="none"/>
              </w:rPr>
              <w:t>本项目建成后</w:t>
            </w:r>
          </w:p>
          <w:p w14:paraId="27A885F0">
            <w:pPr>
              <w:pStyle w:val="38"/>
              <w:spacing w:beforeLines="0" w:afterLines="0" w:line="240" w:lineRule="auto"/>
              <w:rPr>
                <w:rFonts w:hint="default" w:ascii="Times New Roman" w:hAnsi="Times New Roman" w:eastAsia="宋体" w:cs="Times New Roman"/>
                <w:b/>
                <w:bCs/>
                <w:snapToGrid w:val="0"/>
                <w:color w:val="auto"/>
                <w:spacing w:val="-16"/>
                <w:kern w:val="21"/>
                <w:sz w:val="22"/>
                <w:highlight w:val="none"/>
              </w:rPr>
            </w:pPr>
            <w:r>
              <w:rPr>
                <w:rFonts w:hint="default" w:ascii="Times New Roman" w:hAnsi="Times New Roman" w:eastAsia="宋体" w:cs="Times New Roman"/>
                <w:b/>
                <w:bCs/>
                <w:snapToGrid w:val="0"/>
                <w:color w:val="auto"/>
                <w:spacing w:val="-16"/>
                <w:kern w:val="21"/>
                <w:sz w:val="22"/>
                <w:highlight w:val="none"/>
              </w:rPr>
              <w:t>全厂排放量（固体废物产生量）</w:t>
            </w:r>
            <w:r>
              <w:rPr>
                <w:rFonts w:hint="default" w:ascii="Times New Roman" w:hAnsi="Times New Roman" w:eastAsia="宋体" w:cs="Times New Roman"/>
                <w:b/>
                <w:bCs/>
                <w:snapToGrid w:val="0"/>
                <w:color w:val="auto"/>
                <w:spacing w:val="-16"/>
                <w:kern w:val="21"/>
                <w:sz w:val="22"/>
                <w:highlight w:val="none"/>
              </w:rPr>
              <w:fldChar w:fldCharType="begin"/>
            </w:r>
            <w:r>
              <w:rPr>
                <w:rFonts w:hint="default" w:ascii="Times New Roman" w:hAnsi="Times New Roman" w:eastAsia="宋体" w:cs="Times New Roman"/>
                <w:b/>
                <w:bCs/>
                <w:snapToGrid w:val="0"/>
                <w:color w:val="auto"/>
                <w:spacing w:val="-16"/>
                <w:kern w:val="21"/>
                <w:sz w:val="22"/>
                <w:highlight w:val="none"/>
              </w:rPr>
              <w:instrText xml:space="preserve"> = 6 \* GB3 \* MERGEFORMAT </w:instrText>
            </w:r>
            <w:r>
              <w:rPr>
                <w:rFonts w:hint="default" w:ascii="Times New Roman" w:hAnsi="Times New Roman" w:eastAsia="宋体" w:cs="Times New Roman"/>
                <w:b/>
                <w:bCs/>
                <w:snapToGrid w:val="0"/>
                <w:color w:val="auto"/>
                <w:spacing w:val="-16"/>
                <w:kern w:val="21"/>
                <w:sz w:val="22"/>
                <w:highlight w:val="none"/>
              </w:rPr>
              <w:fldChar w:fldCharType="separate"/>
            </w:r>
            <w:r>
              <w:rPr>
                <w:rFonts w:hint="default" w:ascii="Times New Roman" w:hAnsi="Times New Roman" w:eastAsia="宋体" w:cs="Times New Roman"/>
                <w:b/>
                <w:bCs/>
                <w:color w:val="auto"/>
                <w:sz w:val="22"/>
                <w:highlight w:val="none"/>
              </w:rPr>
              <w:t>⑥</w:t>
            </w:r>
            <w:r>
              <w:rPr>
                <w:rFonts w:hint="default" w:ascii="Times New Roman" w:hAnsi="Times New Roman" w:eastAsia="宋体" w:cs="Times New Roman"/>
                <w:b/>
                <w:bCs/>
                <w:snapToGrid w:val="0"/>
                <w:color w:val="auto"/>
                <w:spacing w:val="-16"/>
                <w:kern w:val="21"/>
                <w:sz w:val="22"/>
                <w:highlight w:val="none"/>
              </w:rPr>
              <w:fldChar w:fldCharType="end"/>
            </w:r>
          </w:p>
        </w:tc>
        <w:tc>
          <w:tcPr>
            <w:tcW w:w="1396" w:type="dxa"/>
            <w:tcMar>
              <w:left w:w="28" w:type="dxa"/>
              <w:right w:w="28" w:type="dxa"/>
            </w:tcMar>
            <w:vAlign w:val="center"/>
          </w:tcPr>
          <w:p w14:paraId="07270AF4">
            <w:pPr>
              <w:pStyle w:val="38"/>
              <w:spacing w:beforeLines="0" w:afterLines="0" w:line="240" w:lineRule="auto"/>
              <w:rPr>
                <w:rFonts w:hint="default" w:ascii="Times New Roman" w:hAnsi="Times New Roman" w:eastAsia="宋体" w:cs="Times New Roman"/>
                <w:b/>
                <w:bCs/>
                <w:snapToGrid w:val="0"/>
                <w:color w:val="auto"/>
                <w:spacing w:val="-6"/>
                <w:kern w:val="21"/>
                <w:sz w:val="22"/>
                <w:highlight w:val="none"/>
              </w:rPr>
            </w:pPr>
            <w:r>
              <w:rPr>
                <w:rFonts w:hint="default" w:ascii="Times New Roman" w:hAnsi="Times New Roman" w:eastAsia="宋体" w:cs="Times New Roman"/>
                <w:b/>
                <w:bCs/>
                <w:snapToGrid w:val="0"/>
                <w:color w:val="auto"/>
                <w:spacing w:val="-6"/>
                <w:kern w:val="21"/>
                <w:sz w:val="22"/>
                <w:highlight w:val="none"/>
              </w:rPr>
              <w:t>变化量</w:t>
            </w:r>
          </w:p>
          <w:p w14:paraId="7FDBE00B">
            <w:pPr>
              <w:pStyle w:val="38"/>
              <w:spacing w:beforeLines="0" w:afterLines="0" w:line="240" w:lineRule="auto"/>
              <w:rPr>
                <w:rFonts w:hint="default" w:ascii="Times New Roman" w:hAnsi="Times New Roman" w:eastAsia="宋体" w:cs="Times New Roman"/>
                <w:b/>
                <w:bCs/>
                <w:snapToGrid w:val="0"/>
                <w:color w:val="auto"/>
                <w:spacing w:val="-6"/>
                <w:kern w:val="21"/>
                <w:sz w:val="22"/>
                <w:highlight w:val="none"/>
              </w:rPr>
            </w:pPr>
            <w:r>
              <w:rPr>
                <w:rFonts w:hint="default" w:ascii="Times New Roman" w:hAnsi="Times New Roman" w:eastAsia="宋体" w:cs="Times New Roman"/>
                <w:b/>
                <w:bCs/>
                <w:snapToGrid w:val="0"/>
                <w:color w:val="auto"/>
                <w:spacing w:val="-6"/>
                <w:kern w:val="21"/>
                <w:sz w:val="22"/>
                <w:highlight w:val="none"/>
              </w:rPr>
              <w:fldChar w:fldCharType="begin"/>
            </w:r>
            <w:r>
              <w:rPr>
                <w:rFonts w:hint="default" w:ascii="Times New Roman" w:hAnsi="Times New Roman" w:eastAsia="宋体" w:cs="Times New Roman"/>
                <w:b/>
                <w:bCs/>
                <w:snapToGrid w:val="0"/>
                <w:color w:val="auto"/>
                <w:spacing w:val="-6"/>
                <w:kern w:val="21"/>
                <w:sz w:val="22"/>
                <w:highlight w:val="none"/>
              </w:rPr>
              <w:instrText xml:space="preserve"> = 7 \* GB3 \* MERGEFORMAT </w:instrText>
            </w:r>
            <w:r>
              <w:rPr>
                <w:rFonts w:hint="default" w:ascii="Times New Roman" w:hAnsi="Times New Roman" w:eastAsia="宋体" w:cs="Times New Roman"/>
                <w:b/>
                <w:bCs/>
                <w:snapToGrid w:val="0"/>
                <w:color w:val="auto"/>
                <w:spacing w:val="-6"/>
                <w:kern w:val="21"/>
                <w:sz w:val="22"/>
                <w:highlight w:val="none"/>
              </w:rPr>
              <w:fldChar w:fldCharType="separate"/>
            </w:r>
            <w:r>
              <w:rPr>
                <w:rFonts w:hint="default" w:ascii="Times New Roman" w:hAnsi="Times New Roman" w:eastAsia="宋体" w:cs="Times New Roman"/>
                <w:b/>
                <w:bCs/>
                <w:color w:val="auto"/>
                <w:sz w:val="22"/>
                <w:highlight w:val="none"/>
              </w:rPr>
              <w:t>⑦</w:t>
            </w:r>
            <w:r>
              <w:rPr>
                <w:rFonts w:hint="default" w:ascii="Times New Roman" w:hAnsi="Times New Roman" w:eastAsia="宋体" w:cs="Times New Roman"/>
                <w:b/>
                <w:bCs/>
                <w:snapToGrid w:val="0"/>
                <w:color w:val="auto"/>
                <w:spacing w:val="-6"/>
                <w:kern w:val="21"/>
                <w:sz w:val="22"/>
                <w:highlight w:val="none"/>
              </w:rPr>
              <w:fldChar w:fldCharType="end"/>
            </w:r>
          </w:p>
        </w:tc>
      </w:tr>
      <w:tr w14:paraId="555EC7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restart"/>
            <w:vAlign w:val="center"/>
          </w:tcPr>
          <w:p w14:paraId="747ADF5B">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废气</w:t>
            </w:r>
          </w:p>
        </w:tc>
        <w:tc>
          <w:tcPr>
            <w:tcW w:w="2906" w:type="dxa"/>
            <w:shd w:val="clear" w:color="auto" w:fill="auto"/>
            <w:vAlign w:val="center"/>
          </w:tcPr>
          <w:p w14:paraId="28D7A9A2">
            <w:pPr>
              <w:widowControl/>
              <w:adjustRightInd w:val="0"/>
              <w:snapToGrid w:val="0"/>
              <w:spacing w:line="240" w:lineRule="auto"/>
              <w:jc w:val="center"/>
              <w:rPr>
                <w:rFonts w:hint="default" w:ascii="Times New Roman" w:hAnsi="Times New Roman" w:eastAsia="宋体" w:cs="Times New Roman"/>
                <w:color w:val="auto"/>
                <w:sz w:val="22"/>
                <w:szCs w:val="22"/>
                <w:highlight w:val="none"/>
                <w:lang w:eastAsia="en-US"/>
              </w:rPr>
            </w:pPr>
            <w:r>
              <w:rPr>
                <w:rFonts w:hint="default" w:ascii="Times New Roman" w:hAnsi="Times New Roman" w:eastAsia="宋体" w:cs="Times New Roman"/>
                <w:color w:val="auto"/>
                <w:sz w:val="22"/>
                <w:szCs w:val="22"/>
                <w:highlight w:val="none"/>
              </w:rPr>
              <w:t>非甲烷总烃</w:t>
            </w:r>
          </w:p>
        </w:tc>
        <w:tc>
          <w:tcPr>
            <w:tcW w:w="1407" w:type="dxa"/>
            <w:vAlign w:val="center"/>
          </w:tcPr>
          <w:p w14:paraId="74938430">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p>
        </w:tc>
        <w:tc>
          <w:tcPr>
            <w:tcW w:w="1101" w:type="dxa"/>
            <w:vAlign w:val="center"/>
          </w:tcPr>
          <w:p w14:paraId="5A432B8F">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469" w:type="dxa"/>
            <w:vAlign w:val="center"/>
          </w:tcPr>
          <w:p w14:paraId="5DEAEC2E">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458" w:type="dxa"/>
            <w:vAlign w:val="center"/>
          </w:tcPr>
          <w:p w14:paraId="18739BBF">
            <w:pPr>
              <w:adjustRightIn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0.0037540</w:t>
            </w:r>
            <w:r>
              <w:rPr>
                <w:rFonts w:hint="eastAsia" w:ascii="Times New Roman" w:hAnsi="Times New Roman" w:eastAsia="宋体" w:cs="Times New Roman"/>
                <w:color w:val="auto"/>
                <w:kern w:val="2"/>
                <w:sz w:val="21"/>
                <w:szCs w:val="21"/>
                <w:highlight w:val="none"/>
                <w:lang w:val="en-US" w:eastAsia="zh-CN" w:bidi="ar-SA"/>
              </w:rPr>
              <w:t>3</w:t>
            </w:r>
          </w:p>
        </w:tc>
        <w:tc>
          <w:tcPr>
            <w:tcW w:w="1264" w:type="dxa"/>
            <w:vAlign w:val="center"/>
          </w:tcPr>
          <w:p w14:paraId="262AAB9B">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642" w:type="dxa"/>
            <w:shd w:val="clear" w:color="auto" w:fill="auto"/>
            <w:vAlign w:val="center"/>
          </w:tcPr>
          <w:p w14:paraId="4E061C25">
            <w:pPr>
              <w:adjustRightInd w:val="0"/>
              <w:spacing w:line="240" w:lineRule="auto"/>
              <w:jc w:val="center"/>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2"/>
                <w:sz w:val="21"/>
                <w:szCs w:val="21"/>
                <w:highlight w:val="none"/>
                <w:lang w:val="en-US" w:eastAsia="zh-CN" w:bidi="ar-SA"/>
              </w:rPr>
              <w:t>0.0037540</w:t>
            </w:r>
            <w:r>
              <w:rPr>
                <w:rFonts w:hint="eastAsia" w:ascii="Times New Roman" w:hAnsi="Times New Roman" w:eastAsia="宋体" w:cs="Times New Roman"/>
                <w:color w:val="auto"/>
                <w:kern w:val="2"/>
                <w:sz w:val="21"/>
                <w:szCs w:val="21"/>
                <w:highlight w:val="none"/>
                <w:lang w:val="en-US" w:eastAsia="zh-CN" w:bidi="ar-SA"/>
              </w:rPr>
              <w:t>3</w:t>
            </w:r>
          </w:p>
        </w:tc>
        <w:tc>
          <w:tcPr>
            <w:tcW w:w="1396" w:type="dxa"/>
            <w:shd w:val="clear" w:color="auto" w:fill="auto"/>
            <w:vAlign w:val="center"/>
          </w:tcPr>
          <w:p w14:paraId="5B72922E">
            <w:pPr>
              <w:adjustRightIn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color w:val="auto"/>
                <w:kern w:val="2"/>
                <w:sz w:val="21"/>
                <w:szCs w:val="21"/>
                <w:highlight w:val="none"/>
                <w:lang w:val="en-US" w:eastAsia="zh-CN" w:bidi="ar-SA"/>
              </w:rPr>
              <w:t>0.0037540</w:t>
            </w:r>
            <w:r>
              <w:rPr>
                <w:rFonts w:hint="eastAsia" w:ascii="Times New Roman" w:hAnsi="Times New Roman" w:eastAsia="宋体" w:cs="Times New Roman"/>
                <w:color w:val="auto"/>
                <w:kern w:val="2"/>
                <w:sz w:val="21"/>
                <w:szCs w:val="21"/>
                <w:highlight w:val="none"/>
                <w:lang w:val="en-US" w:eastAsia="zh-CN" w:bidi="ar-SA"/>
              </w:rPr>
              <w:t>3</w:t>
            </w:r>
          </w:p>
        </w:tc>
      </w:tr>
      <w:tr w14:paraId="1D363A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300FBD18">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66D61470">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氮氧化物</w:t>
            </w:r>
          </w:p>
        </w:tc>
        <w:tc>
          <w:tcPr>
            <w:tcW w:w="1407" w:type="dxa"/>
            <w:vAlign w:val="center"/>
          </w:tcPr>
          <w:p w14:paraId="3DDAFAE8">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p>
        </w:tc>
        <w:tc>
          <w:tcPr>
            <w:tcW w:w="1101" w:type="dxa"/>
            <w:vAlign w:val="center"/>
          </w:tcPr>
          <w:p w14:paraId="14D8778B">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469" w:type="dxa"/>
            <w:vAlign w:val="center"/>
          </w:tcPr>
          <w:p w14:paraId="4F6EBA21">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458" w:type="dxa"/>
            <w:vAlign w:val="center"/>
          </w:tcPr>
          <w:p w14:paraId="65E76B63">
            <w:pPr>
              <w:adjustRightIn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0.0000093</w:t>
            </w:r>
          </w:p>
        </w:tc>
        <w:tc>
          <w:tcPr>
            <w:tcW w:w="1264" w:type="dxa"/>
            <w:vAlign w:val="center"/>
          </w:tcPr>
          <w:p w14:paraId="7A0FA847">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642" w:type="dxa"/>
            <w:shd w:val="clear" w:color="auto" w:fill="auto"/>
            <w:vAlign w:val="center"/>
          </w:tcPr>
          <w:p w14:paraId="45B79A89">
            <w:pPr>
              <w:adjustRightInd w:val="0"/>
              <w:spacing w:line="240" w:lineRule="auto"/>
              <w:jc w:val="center"/>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kern w:val="2"/>
                <w:sz w:val="21"/>
                <w:szCs w:val="21"/>
                <w:highlight w:val="none"/>
                <w:lang w:val="en-US" w:eastAsia="zh-CN" w:bidi="ar-SA"/>
              </w:rPr>
              <w:t>0.0000093</w:t>
            </w:r>
          </w:p>
        </w:tc>
        <w:tc>
          <w:tcPr>
            <w:tcW w:w="1396" w:type="dxa"/>
            <w:shd w:val="clear" w:color="auto" w:fill="auto"/>
            <w:vAlign w:val="center"/>
          </w:tcPr>
          <w:p w14:paraId="2FB06598">
            <w:pPr>
              <w:adjustRightIn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color w:val="auto"/>
                <w:kern w:val="2"/>
                <w:sz w:val="21"/>
                <w:szCs w:val="21"/>
                <w:highlight w:val="none"/>
                <w:lang w:val="en-US" w:eastAsia="zh-CN" w:bidi="ar-SA"/>
              </w:rPr>
              <w:t>0.0000093</w:t>
            </w:r>
          </w:p>
        </w:tc>
      </w:tr>
      <w:tr w14:paraId="45A3EB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536F46A4">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60836530">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lang w:val="en-US" w:eastAsia="zh-CN"/>
              </w:rPr>
              <w:t>颗粒物</w:t>
            </w:r>
          </w:p>
        </w:tc>
        <w:tc>
          <w:tcPr>
            <w:tcW w:w="1407" w:type="dxa"/>
            <w:vAlign w:val="center"/>
          </w:tcPr>
          <w:p w14:paraId="6409829D">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p>
        </w:tc>
        <w:tc>
          <w:tcPr>
            <w:tcW w:w="1101" w:type="dxa"/>
            <w:vAlign w:val="center"/>
          </w:tcPr>
          <w:p w14:paraId="5126349B">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469" w:type="dxa"/>
            <w:vAlign w:val="center"/>
          </w:tcPr>
          <w:p w14:paraId="1EF71601">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458" w:type="dxa"/>
            <w:vAlign w:val="center"/>
          </w:tcPr>
          <w:p w14:paraId="7FA22978">
            <w:pPr>
              <w:adjustRightIn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0.0007821</w:t>
            </w:r>
          </w:p>
        </w:tc>
        <w:tc>
          <w:tcPr>
            <w:tcW w:w="1264" w:type="dxa"/>
            <w:vAlign w:val="center"/>
          </w:tcPr>
          <w:p w14:paraId="7909B595">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642" w:type="dxa"/>
            <w:shd w:val="clear" w:color="auto" w:fill="auto"/>
            <w:vAlign w:val="center"/>
          </w:tcPr>
          <w:p w14:paraId="719BC017">
            <w:pPr>
              <w:adjustRightIn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0.0007821</w:t>
            </w:r>
          </w:p>
        </w:tc>
        <w:tc>
          <w:tcPr>
            <w:tcW w:w="1396" w:type="dxa"/>
            <w:shd w:val="clear" w:color="auto" w:fill="auto"/>
            <w:vAlign w:val="center"/>
          </w:tcPr>
          <w:p w14:paraId="539EDC46">
            <w:pPr>
              <w:adjustRightIn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color w:val="auto"/>
                <w:kern w:val="2"/>
                <w:sz w:val="21"/>
                <w:szCs w:val="21"/>
                <w:highlight w:val="none"/>
                <w:lang w:val="en-US" w:eastAsia="zh-CN" w:bidi="ar-SA"/>
              </w:rPr>
              <w:t>0.0007821</w:t>
            </w:r>
          </w:p>
        </w:tc>
      </w:tr>
      <w:tr w14:paraId="261EBC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5B392CA0">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5FC85370">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氯化氢</w:t>
            </w:r>
          </w:p>
        </w:tc>
        <w:tc>
          <w:tcPr>
            <w:tcW w:w="1407" w:type="dxa"/>
            <w:vAlign w:val="center"/>
          </w:tcPr>
          <w:p w14:paraId="1DD50EF9">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p>
        </w:tc>
        <w:tc>
          <w:tcPr>
            <w:tcW w:w="1101" w:type="dxa"/>
            <w:vAlign w:val="center"/>
          </w:tcPr>
          <w:p w14:paraId="20B1A5FF">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469" w:type="dxa"/>
            <w:vAlign w:val="center"/>
          </w:tcPr>
          <w:p w14:paraId="45E6C709">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458" w:type="dxa"/>
            <w:vAlign w:val="center"/>
          </w:tcPr>
          <w:p w14:paraId="5A2D9FC6">
            <w:pPr>
              <w:adjustRightIn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0.000003993</w:t>
            </w:r>
          </w:p>
        </w:tc>
        <w:tc>
          <w:tcPr>
            <w:tcW w:w="1264" w:type="dxa"/>
            <w:vAlign w:val="center"/>
          </w:tcPr>
          <w:p w14:paraId="034A2087">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642" w:type="dxa"/>
            <w:shd w:val="clear" w:color="auto" w:fill="auto"/>
            <w:vAlign w:val="center"/>
          </w:tcPr>
          <w:p w14:paraId="4631C041">
            <w:pPr>
              <w:adjustRightIn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0.000003993</w:t>
            </w:r>
          </w:p>
        </w:tc>
        <w:tc>
          <w:tcPr>
            <w:tcW w:w="1396" w:type="dxa"/>
            <w:shd w:val="clear" w:color="auto" w:fill="auto"/>
            <w:vAlign w:val="center"/>
          </w:tcPr>
          <w:p w14:paraId="3924D601">
            <w:pPr>
              <w:adjustRightIn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color w:val="auto"/>
                <w:kern w:val="2"/>
                <w:sz w:val="21"/>
                <w:szCs w:val="21"/>
                <w:highlight w:val="none"/>
                <w:lang w:val="en-US" w:eastAsia="zh-CN" w:bidi="ar-SA"/>
              </w:rPr>
              <w:t>0.00000399</w:t>
            </w:r>
          </w:p>
        </w:tc>
      </w:tr>
      <w:tr w14:paraId="6AA2CF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1C337FA0">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67A8D38E">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镍及其化合物</w:t>
            </w:r>
          </w:p>
        </w:tc>
        <w:tc>
          <w:tcPr>
            <w:tcW w:w="1407" w:type="dxa"/>
            <w:vAlign w:val="center"/>
          </w:tcPr>
          <w:p w14:paraId="014A3525">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p>
        </w:tc>
        <w:tc>
          <w:tcPr>
            <w:tcW w:w="1101" w:type="dxa"/>
            <w:vAlign w:val="center"/>
          </w:tcPr>
          <w:p w14:paraId="7BD312C6">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469" w:type="dxa"/>
            <w:vAlign w:val="center"/>
          </w:tcPr>
          <w:p w14:paraId="5DC55CDB">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458" w:type="dxa"/>
            <w:vAlign w:val="center"/>
          </w:tcPr>
          <w:p w14:paraId="5317BD9C">
            <w:pPr>
              <w:adjustRightIn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0.0000111</w:t>
            </w:r>
          </w:p>
        </w:tc>
        <w:tc>
          <w:tcPr>
            <w:tcW w:w="1264" w:type="dxa"/>
            <w:vAlign w:val="center"/>
          </w:tcPr>
          <w:p w14:paraId="3C14AFDC">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642" w:type="dxa"/>
            <w:shd w:val="clear" w:color="auto" w:fill="auto"/>
            <w:vAlign w:val="center"/>
          </w:tcPr>
          <w:p w14:paraId="026F70DF">
            <w:pPr>
              <w:adjustRightIn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0.0000111</w:t>
            </w:r>
          </w:p>
        </w:tc>
        <w:tc>
          <w:tcPr>
            <w:tcW w:w="1396" w:type="dxa"/>
            <w:shd w:val="clear" w:color="auto" w:fill="auto"/>
            <w:vAlign w:val="center"/>
          </w:tcPr>
          <w:p w14:paraId="1A7E60A7">
            <w:pPr>
              <w:adjustRightIn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color w:val="auto"/>
                <w:kern w:val="2"/>
                <w:sz w:val="21"/>
                <w:szCs w:val="21"/>
                <w:highlight w:val="none"/>
                <w:lang w:val="en-US" w:eastAsia="zh-CN" w:bidi="ar-SA"/>
              </w:rPr>
              <w:t>0.0000111</w:t>
            </w:r>
          </w:p>
        </w:tc>
      </w:tr>
      <w:tr w14:paraId="2A18B3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0F225F1F">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19FCD393">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color w:val="auto"/>
                <w:sz w:val="22"/>
                <w:szCs w:val="22"/>
                <w:highlight w:val="none"/>
              </w:rPr>
              <w:t>氨</w:t>
            </w:r>
          </w:p>
        </w:tc>
        <w:tc>
          <w:tcPr>
            <w:tcW w:w="1407" w:type="dxa"/>
            <w:shd w:val="clear" w:color="auto" w:fill="auto"/>
            <w:vAlign w:val="center"/>
          </w:tcPr>
          <w:p w14:paraId="378CAE3E">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101" w:type="dxa"/>
            <w:shd w:val="clear" w:color="auto" w:fill="auto"/>
            <w:vAlign w:val="center"/>
          </w:tcPr>
          <w:p w14:paraId="7EA75D8E">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469" w:type="dxa"/>
            <w:shd w:val="clear" w:color="auto" w:fill="auto"/>
            <w:vAlign w:val="center"/>
          </w:tcPr>
          <w:p w14:paraId="5EFDA89B">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458" w:type="dxa"/>
            <w:shd w:val="clear" w:color="auto" w:fill="auto"/>
            <w:vAlign w:val="center"/>
          </w:tcPr>
          <w:p w14:paraId="3204CC17">
            <w:pPr>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0.0004262</w:t>
            </w:r>
          </w:p>
        </w:tc>
        <w:tc>
          <w:tcPr>
            <w:tcW w:w="1264" w:type="dxa"/>
            <w:shd w:val="clear" w:color="auto" w:fill="auto"/>
            <w:vAlign w:val="center"/>
          </w:tcPr>
          <w:p w14:paraId="5069D8E7">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p>
        </w:tc>
        <w:tc>
          <w:tcPr>
            <w:tcW w:w="1642" w:type="dxa"/>
            <w:shd w:val="clear" w:color="auto" w:fill="auto"/>
            <w:vAlign w:val="center"/>
          </w:tcPr>
          <w:p w14:paraId="133266CC">
            <w:pPr>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0.0004262</w:t>
            </w:r>
          </w:p>
        </w:tc>
        <w:tc>
          <w:tcPr>
            <w:tcW w:w="1396" w:type="dxa"/>
            <w:shd w:val="clear" w:color="auto" w:fill="auto"/>
            <w:vAlign w:val="center"/>
          </w:tcPr>
          <w:p w14:paraId="3FC5119F">
            <w:pPr>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kern w:val="2"/>
                <w:sz w:val="21"/>
                <w:szCs w:val="21"/>
                <w:highlight w:val="none"/>
                <w:lang w:val="en-US" w:eastAsia="zh-CN" w:bidi="ar-SA"/>
              </w:rPr>
              <w:t>0.0004262</w:t>
            </w:r>
          </w:p>
        </w:tc>
      </w:tr>
      <w:tr w14:paraId="4F27B8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78888732">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570FEE4F">
            <w:pPr>
              <w:widowControl/>
              <w:adjustRightInd w:val="0"/>
              <w:snapToGrid w:val="0"/>
              <w:spacing w:line="240" w:lineRule="auto"/>
              <w:jc w:val="center"/>
              <w:rPr>
                <w:rFonts w:hint="eastAsia" w:ascii="Times New Roman" w:hAnsi="Times New Roman" w:eastAsia="宋体" w:cs="Times New Roman"/>
                <w:color w:val="auto"/>
                <w:sz w:val="22"/>
                <w:szCs w:val="22"/>
                <w:highlight w:val="none"/>
                <w:lang w:val="en-US" w:eastAsia="zh-CN"/>
              </w:rPr>
            </w:pPr>
            <w:r>
              <w:rPr>
                <w:rFonts w:hint="eastAsia" w:cs="Times New Roman"/>
                <w:color w:val="auto"/>
                <w:sz w:val="22"/>
                <w:szCs w:val="22"/>
                <w:highlight w:val="none"/>
                <w:lang w:val="en-US" w:eastAsia="zh-CN"/>
              </w:rPr>
              <w:t>氟化物（以F计）</w:t>
            </w:r>
          </w:p>
        </w:tc>
        <w:tc>
          <w:tcPr>
            <w:tcW w:w="1407" w:type="dxa"/>
            <w:shd w:val="clear" w:color="auto" w:fill="auto"/>
            <w:vAlign w:val="center"/>
          </w:tcPr>
          <w:p w14:paraId="19363D9E">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101" w:type="dxa"/>
            <w:shd w:val="clear" w:color="auto" w:fill="auto"/>
            <w:vAlign w:val="center"/>
          </w:tcPr>
          <w:p w14:paraId="50E6A5F9">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469" w:type="dxa"/>
            <w:shd w:val="clear" w:color="auto" w:fill="auto"/>
            <w:vAlign w:val="center"/>
          </w:tcPr>
          <w:p w14:paraId="3B7A178D">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458" w:type="dxa"/>
            <w:vAlign w:val="center"/>
          </w:tcPr>
          <w:p w14:paraId="55E64ABF">
            <w:pPr>
              <w:adjustRightInd w:val="0"/>
              <w:snapToGrid w:val="0"/>
              <w:spacing w:line="240" w:lineRule="auto"/>
              <w:jc w:val="center"/>
              <w:rPr>
                <w:rFonts w:hint="default" w:ascii="Times New Roman" w:hAnsi="Times New Roman" w:eastAsia="宋体" w:cs="Times New Roman"/>
                <w:color w:val="auto"/>
                <w:sz w:val="22"/>
                <w:szCs w:val="22"/>
                <w:highlight w:val="none"/>
              </w:rPr>
            </w:pPr>
            <w:r>
              <w:rPr>
                <w:rFonts w:hint="eastAsia" w:cs="Times New Roman"/>
                <w:kern w:val="2"/>
                <w:sz w:val="21"/>
                <w:szCs w:val="21"/>
                <w:highlight w:val="none"/>
                <w:lang w:val="en-US" w:eastAsia="zh-CN" w:bidi="ar-SA"/>
              </w:rPr>
              <w:t>0.00004113</w:t>
            </w:r>
          </w:p>
        </w:tc>
        <w:tc>
          <w:tcPr>
            <w:tcW w:w="1264" w:type="dxa"/>
            <w:vAlign w:val="center"/>
          </w:tcPr>
          <w:p w14:paraId="7ECE6902">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642" w:type="dxa"/>
            <w:shd w:val="clear" w:color="auto" w:fill="auto"/>
            <w:vAlign w:val="center"/>
          </w:tcPr>
          <w:p w14:paraId="4F9F79F2">
            <w:pPr>
              <w:adjustRightInd w:val="0"/>
              <w:snapToGrid w:val="0"/>
              <w:spacing w:line="240" w:lineRule="auto"/>
              <w:jc w:val="center"/>
              <w:rPr>
                <w:rFonts w:hint="default" w:ascii="Times New Roman" w:hAnsi="Times New Roman" w:eastAsia="宋体" w:cs="Times New Roman"/>
                <w:color w:val="auto"/>
                <w:sz w:val="22"/>
                <w:szCs w:val="22"/>
                <w:highlight w:val="none"/>
              </w:rPr>
            </w:pPr>
            <w:r>
              <w:rPr>
                <w:rFonts w:hint="eastAsia" w:cs="Times New Roman"/>
                <w:kern w:val="2"/>
                <w:sz w:val="21"/>
                <w:szCs w:val="21"/>
                <w:highlight w:val="none"/>
                <w:lang w:val="en-US" w:eastAsia="zh-CN" w:bidi="ar-SA"/>
              </w:rPr>
              <w:t>0.00004113</w:t>
            </w:r>
          </w:p>
        </w:tc>
        <w:tc>
          <w:tcPr>
            <w:tcW w:w="1396" w:type="dxa"/>
            <w:shd w:val="clear" w:color="auto" w:fill="auto"/>
            <w:vAlign w:val="center"/>
          </w:tcPr>
          <w:p w14:paraId="34161B72">
            <w:pPr>
              <w:adjustRightInd w:val="0"/>
              <w:snapToGrid w:val="0"/>
              <w:spacing w:line="240" w:lineRule="auto"/>
              <w:jc w:val="center"/>
              <w:rPr>
                <w:rFonts w:hint="default" w:ascii="Times New Roman" w:hAnsi="Times New Roman" w:eastAsia="宋体" w:cs="Times New Roman"/>
                <w:color w:val="auto"/>
                <w:sz w:val="22"/>
                <w:szCs w:val="22"/>
                <w:highlight w:val="none"/>
              </w:rPr>
            </w:pPr>
            <w:r>
              <w:rPr>
                <w:rFonts w:hint="eastAsia" w:cs="Times New Roman"/>
                <w:kern w:val="2"/>
                <w:sz w:val="21"/>
                <w:szCs w:val="21"/>
                <w:highlight w:val="none"/>
                <w:lang w:val="en-US" w:eastAsia="zh-CN" w:bidi="ar-SA"/>
              </w:rPr>
              <w:t>+0.00004113</w:t>
            </w:r>
          </w:p>
        </w:tc>
      </w:tr>
      <w:tr w14:paraId="3590EE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restart"/>
            <w:vAlign w:val="center"/>
          </w:tcPr>
          <w:p w14:paraId="41E8BEBA">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废水</w:t>
            </w:r>
          </w:p>
        </w:tc>
        <w:tc>
          <w:tcPr>
            <w:tcW w:w="2906" w:type="dxa"/>
            <w:shd w:val="clear" w:color="auto" w:fill="auto"/>
            <w:vAlign w:val="center"/>
          </w:tcPr>
          <w:p w14:paraId="18E9B8E5">
            <w:pPr>
              <w:widowControl/>
              <w:adjustRightInd w:val="0"/>
              <w:snapToGrid w:val="0"/>
              <w:spacing w:line="240" w:lineRule="auto"/>
              <w:jc w:val="center"/>
              <w:rPr>
                <w:rFonts w:hint="default" w:ascii="Times New Roman" w:hAnsi="Times New Roman" w:eastAsia="宋体" w:cs="Times New Roman"/>
                <w:color w:val="auto"/>
                <w:sz w:val="22"/>
                <w:szCs w:val="22"/>
                <w:highlight w:val="none"/>
                <w:lang w:eastAsia="en-US"/>
              </w:rPr>
            </w:pPr>
            <w:r>
              <w:rPr>
                <w:rFonts w:hint="default" w:ascii="Times New Roman" w:hAnsi="Times New Roman" w:eastAsia="宋体" w:cs="Times New Roman"/>
                <w:color w:val="auto"/>
                <w:sz w:val="22"/>
                <w:szCs w:val="22"/>
                <w:highlight w:val="none"/>
              </w:rPr>
              <w:t>COD</w:t>
            </w:r>
          </w:p>
        </w:tc>
        <w:tc>
          <w:tcPr>
            <w:tcW w:w="1407" w:type="dxa"/>
            <w:shd w:val="clear" w:color="auto" w:fill="auto"/>
            <w:vAlign w:val="center"/>
          </w:tcPr>
          <w:p w14:paraId="5966DC11">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101" w:type="dxa"/>
            <w:shd w:val="clear" w:color="auto" w:fill="auto"/>
            <w:vAlign w:val="center"/>
          </w:tcPr>
          <w:p w14:paraId="5A155ED4">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469" w:type="dxa"/>
            <w:shd w:val="clear" w:color="auto" w:fill="auto"/>
            <w:vAlign w:val="center"/>
          </w:tcPr>
          <w:p w14:paraId="00E3BF04">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458" w:type="dxa"/>
            <w:vAlign w:val="center"/>
          </w:tcPr>
          <w:p w14:paraId="3C23A152">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0.16303</w:t>
            </w:r>
          </w:p>
        </w:tc>
        <w:tc>
          <w:tcPr>
            <w:tcW w:w="1264" w:type="dxa"/>
            <w:vAlign w:val="center"/>
          </w:tcPr>
          <w:p w14:paraId="3DF0885A">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642" w:type="dxa"/>
            <w:shd w:val="clear" w:color="auto" w:fill="auto"/>
            <w:vAlign w:val="center"/>
          </w:tcPr>
          <w:p w14:paraId="4FABC786">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0.16303 </w:t>
            </w:r>
          </w:p>
        </w:tc>
        <w:tc>
          <w:tcPr>
            <w:tcW w:w="1396" w:type="dxa"/>
            <w:shd w:val="clear" w:color="auto" w:fill="auto"/>
            <w:vAlign w:val="center"/>
          </w:tcPr>
          <w:p w14:paraId="0C124FED">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0.16303</w:t>
            </w:r>
          </w:p>
        </w:tc>
      </w:tr>
      <w:tr w14:paraId="7CAE1F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6D359DC9">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2A6735C4">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BOD5</w:t>
            </w:r>
          </w:p>
        </w:tc>
        <w:tc>
          <w:tcPr>
            <w:tcW w:w="1407" w:type="dxa"/>
            <w:shd w:val="clear" w:color="auto" w:fill="auto"/>
            <w:vAlign w:val="center"/>
          </w:tcPr>
          <w:p w14:paraId="01957B1F">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101" w:type="dxa"/>
            <w:shd w:val="clear" w:color="auto" w:fill="auto"/>
            <w:vAlign w:val="center"/>
          </w:tcPr>
          <w:p w14:paraId="77702A70">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469" w:type="dxa"/>
            <w:shd w:val="clear" w:color="auto" w:fill="auto"/>
            <w:vAlign w:val="center"/>
          </w:tcPr>
          <w:p w14:paraId="62100E83">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458" w:type="dxa"/>
            <w:vAlign w:val="center"/>
          </w:tcPr>
          <w:p w14:paraId="32118367">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0.09722</w:t>
            </w:r>
          </w:p>
        </w:tc>
        <w:tc>
          <w:tcPr>
            <w:tcW w:w="1264" w:type="dxa"/>
            <w:vAlign w:val="center"/>
          </w:tcPr>
          <w:p w14:paraId="4B603D19">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642" w:type="dxa"/>
            <w:shd w:val="clear" w:color="auto" w:fill="auto"/>
            <w:vAlign w:val="center"/>
          </w:tcPr>
          <w:p w14:paraId="5A39EE87">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0.09722 </w:t>
            </w:r>
          </w:p>
        </w:tc>
        <w:tc>
          <w:tcPr>
            <w:tcW w:w="1396" w:type="dxa"/>
            <w:shd w:val="clear" w:color="auto" w:fill="auto"/>
            <w:vAlign w:val="center"/>
          </w:tcPr>
          <w:p w14:paraId="24C21EF3">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0.09722</w:t>
            </w:r>
          </w:p>
        </w:tc>
      </w:tr>
      <w:tr w14:paraId="7B6737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3F8A11ED">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5155DA26">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SS</w:t>
            </w:r>
          </w:p>
        </w:tc>
        <w:tc>
          <w:tcPr>
            <w:tcW w:w="1407" w:type="dxa"/>
            <w:shd w:val="clear" w:color="auto" w:fill="auto"/>
            <w:vAlign w:val="center"/>
          </w:tcPr>
          <w:p w14:paraId="2C0749E0">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101" w:type="dxa"/>
            <w:shd w:val="clear" w:color="auto" w:fill="auto"/>
            <w:vAlign w:val="center"/>
          </w:tcPr>
          <w:p w14:paraId="0590BE09">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469" w:type="dxa"/>
            <w:shd w:val="clear" w:color="auto" w:fill="auto"/>
            <w:vAlign w:val="center"/>
          </w:tcPr>
          <w:p w14:paraId="0EA77E39">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458" w:type="dxa"/>
            <w:vAlign w:val="center"/>
          </w:tcPr>
          <w:p w14:paraId="08222F11">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0.09013</w:t>
            </w:r>
          </w:p>
        </w:tc>
        <w:tc>
          <w:tcPr>
            <w:tcW w:w="1264" w:type="dxa"/>
            <w:vAlign w:val="center"/>
          </w:tcPr>
          <w:p w14:paraId="0E2E1A1F">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642" w:type="dxa"/>
            <w:shd w:val="clear" w:color="auto" w:fill="auto"/>
            <w:vAlign w:val="center"/>
          </w:tcPr>
          <w:p w14:paraId="2F44678E">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0.09013</w:t>
            </w:r>
          </w:p>
        </w:tc>
        <w:tc>
          <w:tcPr>
            <w:tcW w:w="1396" w:type="dxa"/>
            <w:shd w:val="clear" w:color="auto" w:fill="auto"/>
            <w:vAlign w:val="center"/>
          </w:tcPr>
          <w:p w14:paraId="341AA00D">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0.09013</w:t>
            </w:r>
          </w:p>
        </w:tc>
      </w:tr>
      <w:tr w14:paraId="1D16A4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60A38E1D">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6AA3A23D">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氨氮</w:t>
            </w:r>
          </w:p>
        </w:tc>
        <w:tc>
          <w:tcPr>
            <w:tcW w:w="1407" w:type="dxa"/>
            <w:shd w:val="clear" w:color="auto" w:fill="auto"/>
            <w:vAlign w:val="center"/>
          </w:tcPr>
          <w:p w14:paraId="3FC8BD48">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101" w:type="dxa"/>
            <w:shd w:val="clear" w:color="auto" w:fill="auto"/>
            <w:vAlign w:val="center"/>
          </w:tcPr>
          <w:p w14:paraId="2E9776E9">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469" w:type="dxa"/>
            <w:shd w:val="clear" w:color="auto" w:fill="auto"/>
            <w:vAlign w:val="center"/>
          </w:tcPr>
          <w:p w14:paraId="3C4A44D2">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458" w:type="dxa"/>
            <w:vAlign w:val="center"/>
          </w:tcPr>
          <w:p w14:paraId="52F5A00D">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0.01662</w:t>
            </w:r>
          </w:p>
        </w:tc>
        <w:tc>
          <w:tcPr>
            <w:tcW w:w="1264" w:type="dxa"/>
            <w:vAlign w:val="center"/>
          </w:tcPr>
          <w:p w14:paraId="1B399D1B">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642" w:type="dxa"/>
            <w:shd w:val="clear" w:color="auto" w:fill="auto"/>
            <w:vAlign w:val="center"/>
          </w:tcPr>
          <w:p w14:paraId="6303B6B6">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0.01662</w:t>
            </w:r>
          </w:p>
        </w:tc>
        <w:tc>
          <w:tcPr>
            <w:tcW w:w="1396" w:type="dxa"/>
            <w:shd w:val="clear" w:color="auto" w:fill="auto"/>
            <w:vAlign w:val="center"/>
          </w:tcPr>
          <w:p w14:paraId="42A1BA3B">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0.01662</w:t>
            </w:r>
          </w:p>
        </w:tc>
      </w:tr>
      <w:tr w14:paraId="3072AF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12" w:type="dxa"/>
            <w:vMerge w:val="continue"/>
            <w:vAlign w:val="center"/>
          </w:tcPr>
          <w:p w14:paraId="69C517AF">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4E38EFD3">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可溶性固体总量</w:t>
            </w:r>
          </w:p>
        </w:tc>
        <w:tc>
          <w:tcPr>
            <w:tcW w:w="1407" w:type="dxa"/>
            <w:shd w:val="clear" w:color="auto" w:fill="auto"/>
            <w:vAlign w:val="center"/>
          </w:tcPr>
          <w:p w14:paraId="7955529B">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101" w:type="dxa"/>
            <w:shd w:val="clear" w:color="auto" w:fill="auto"/>
            <w:vAlign w:val="center"/>
          </w:tcPr>
          <w:p w14:paraId="594F0628">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en-US" w:bidi="ar"/>
              </w:rPr>
            </w:pPr>
          </w:p>
        </w:tc>
        <w:tc>
          <w:tcPr>
            <w:tcW w:w="1469" w:type="dxa"/>
            <w:shd w:val="clear" w:color="auto" w:fill="auto"/>
            <w:vAlign w:val="center"/>
          </w:tcPr>
          <w:p w14:paraId="47AC247E">
            <w:pPr>
              <w:widowControl/>
              <w:adjustRightInd w:val="0"/>
              <w:snapToGrid w:val="0"/>
              <w:spacing w:line="240" w:lineRule="auto"/>
              <w:jc w:val="center"/>
              <w:textAlignment w:val="auto"/>
              <w:rPr>
                <w:rFonts w:hint="default" w:ascii="Times New Roman" w:hAnsi="Times New Roman" w:eastAsia="宋体" w:cs="Times New Roman"/>
                <w:color w:val="auto"/>
                <w:kern w:val="2"/>
                <w:sz w:val="22"/>
                <w:szCs w:val="22"/>
                <w:highlight w:val="none"/>
                <w:lang w:val="en-US" w:eastAsia="zh-CN" w:bidi="ar"/>
              </w:rPr>
            </w:pPr>
          </w:p>
        </w:tc>
        <w:tc>
          <w:tcPr>
            <w:tcW w:w="1458" w:type="dxa"/>
            <w:vAlign w:val="center"/>
          </w:tcPr>
          <w:p w14:paraId="3200C832">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0.01193</w:t>
            </w:r>
          </w:p>
        </w:tc>
        <w:tc>
          <w:tcPr>
            <w:tcW w:w="1264" w:type="dxa"/>
            <w:vAlign w:val="center"/>
          </w:tcPr>
          <w:p w14:paraId="630CF882">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1642" w:type="dxa"/>
            <w:shd w:val="clear" w:color="auto" w:fill="auto"/>
            <w:vAlign w:val="center"/>
          </w:tcPr>
          <w:p w14:paraId="03A684F9">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0.01193</w:t>
            </w:r>
          </w:p>
        </w:tc>
        <w:tc>
          <w:tcPr>
            <w:tcW w:w="1396" w:type="dxa"/>
            <w:shd w:val="clear" w:color="auto" w:fill="auto"/>
            <w:vAlign w:val="center"/>
          </w:tcPr>
          <w:p w14:paraId="2647ED98">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0.01193</w:t>
            </w:r>
          </w:p>
        </w:tc>
      </w:tr>
      <w:tr w14:paraId="5CCD8A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restart"/>
            <w:vAlign w:val="center"/>
          </w:tcPr>
          <w:p w14:paraId="3ABD959E">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一般工业固体废物</w:t>
            </w:r>
          </w:p>
        </w:tc>
        <w:tc>
          <w:tcPr>
            <w:tcW w:w="2906" w:type="dxa"/>
            <w:shd w:val="clear" w:color="auto" w:fill="auto"/>
            <w:vAlign w:val="center"/>
          </w:tcPr>
          <w:p w14:paraId="16218F4A">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未沾染化学试剂的废包装物</w:t>
            </w:r>
          </w:p>
        </w:tc>
        <w:tc>
          <w:tcPr>
            <w:tcW w:w="1407" w:type="dxa"/>
            <w:shd w:val="clear" w:color="auto" w:fill="auto"/>
            <w:vAlign w:val="center"/>
          </w:tcPr>
          <w:p w14:paraId="2082C8E6">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101" w:type="dxa"/>
            <w:shd w:val="clear" w:color="auto" w:fill="auto"/>
            <w:vAlign w:val="center"/>
          </w:tcPr>
          <w:p w14:paraId="5461F02D">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69" w:type="dxa"/>
            <w:shd w:val="clear" w:color="auto" w:fill="auto"/>
            <w:vAlign w:val="center"/>
          </w:tcPr>
          <w:p w14:paraId="4C47D945">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58" w:type="dxa"/>
            <w:shd w:val="clear" w:color="auto" w:fill="auto"/>
            <w:vAlign w:val="center"/>
          </w:tcPr>
          <w:p w14:paraId="7B670D9F">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0.2</w:t>
            </w:r>
          </w:p>
        </w:tc>
        <w:tc>
          <w:tcPr>
            <w:tcW w:w="1264" w:type="dxa"/>
            <w:shd w:val="clear" w:color="auto" w:fill="auto"/>
            <w:vAlign w:val="center"/>
          </w:tcPr>
          <w:p w14:paraId="3B8279A2">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642" w:type="dxa"/>
            <w:shd w:val="clear" w:color="auto" w:fill="auto"/>
            <w:vAlign w:val="center"/>
          </w:tcPr>
          <w:p w14:paraId="178112D9">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0.2</w:t>
            </w:r>
          </w:p>
        </w:tc>
        <w:tc>
          <w:tcPr>
            <w:tcW w:w="1396" w:type="dxa"/>
            <w:shd w:val="clear" w:color="auto" w:fill="auto"/>
            <w:vAlign w:val="center"/>
          </w:tcPr>
          <w:p w14:paraId="4DBCBDE3">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0.2</w:t>
            </w:r>
          </w:p>
        </w:tc>
      </w:tr>
      <w:tr w14:paraId="1FE758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5434085A">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6B31432D">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废金属材料及金属边角料</w:t>
            </w:r>
          </w:p>
        </w:tc>
        <w:tc>
          <w:tcPr>
            <w:tcW w:w="1407" w:type="dxa"/>
            <w:shd w:val="clear" w:color="auto" w:fill="auto"/>
            <w:vAlign w:val="center"/>
          </w:tcPr>
          <w:p w14:paraId="5BEB176C">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101" w:type="dxa"/>
            <w:shd w:val="clear" w:color="auto" w:fill="auto"/>
            <w:vAlign w:val="center"/>
          </w:tcPr>
          <w:p w14:paraId="64EE70A9">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469" w:type="dxa"/>
            <w:shd w:val="clear" w:color="auto" w:fill="auto"/>
            <w:vAlign w:val="center"/>
          </w:tcPr>
          <w:p w14:paraId="2A64E8D9">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458" w:type="dxa"/>
            <w:shd w:val="clear" w:color="auto" w:fill="auto"/>
            <w:vAlign w:val="center"/>
          </w:tcPr>
          <w:p w14:paraId="7C45A46B">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0.8</w:t>
            </w:r>
          </w:p>
        </w:tc>
        <w:tc>
          <w:tcPr>
            <w:tcW w:w="1264" w:type="dxa"/>
            <w:shd w:val="clear" w:color="auto" w:fill="auto"/>
            <w:vAlign w:val="center"/>
          </w:tcPr>
          <w:p w14:paraId="16C1AA0A">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642" w:type="dxa"/>
            <w:shd w:val="clear" w:color="auto" w:fill="auto"/>
            <w:vAlign w:val="center"/>
          </w:tcPr>
          <w:p w14:paraId="1EA4FD34">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0.8</w:t>
            </w:r>
          </w:p>
        </w:tc>
        <w:tc>
          <w:tcPr>
            <w:tcW w:w="1396" w:type="dxa"/>
            <w:shd w:val="clear" w:color="auto" w:fill="auto"/>
            <w:vAlign w:val="center"/>
          </w:tcPr>
          <w:p w14:paraId="3A9276E1">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0.8</w:t>
            </w:r>
          </w:p>
        </w:tc>
      </w:tr>
      <w:tr w14:paraId="300CB2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356BD797">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584A7B7E">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废护盒、废铜线、废铁芯</w:t>
            </w:r>
          </w:p>
        </w:tc>
        <w:tc>
          <w:tcPr>
            <w:tcW w:w="1407" w:type="dxa"/>
            <w:shd w:val="clear" w:color="auto" w:fill="auto"/>
            <w:vAlign w:val="center"/>
          </w:tcPr>
          <w:p w14:paraId="5EF988C9">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101" w:type="dxa"/>
            <w:shd w:val="clear" w:color="auto" w:fill="auto"/>
            <w:vAlign w:val="center"/>
          </w:tcPr>
          <w:p w14:paraId="5194A225">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469" w:type="dxa"/>
            <w:shd w:val="clear" w:color="auto" w:fill="auto"/>
            <w:vAlign w:val="center"/>
          </w:tcPr>
          <w:p w14:paraId="5A2935AB">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458" w:type="dxa"/>
            <w:shd w:val="clear" w:color="auto" w:fill="auto"/>
            <w:vAlign w:val="center"/>
          </w:tcPr>
          <w:p w14:paraId="7ECF1FC6">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0.05</w:t>
            </w:r>
          </w:p>
        </w:tc>
        <w:tc>
          <w:tcPr>
            <w:tcW w:w="1264" w:type="dxa"/>
            <w:shd w:val="clear" w:color="auto" w:fill="auto"/>
            <w:vAlign w:val="center"/>
          </w:tcPr>
          <w:p w14:paraId="50F07DBF">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642" w:type="dxa"/>
            <w:shd w:val="clear" w:color="auto" w:fill="auto"/>
            <w:vAlign w:val="center"/>
          </w:tcPr>
          <w:p w14:paraId="3D77F0D7">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0.05</w:t>
            </w:r>
          </w:p>
        </w:tc>
        <w:tc>
          <w:tcPr>
            <w:tcW w:w="1396" w:type="dxa"/>
            <w:shd w:val="clear" w:color="auto" w:fill="auto"/>
            <w:vAlign w:val="center"/>
          </w:tcPr>
          <w:p w14:paraId="080CB3F7">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0.05</w:t>
            </w:r>
          </w:p>
        </w:tc>
      </w:tr>
      <w:tr w14:paraId="7E6926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530A5ED8">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0CB5C7E4">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纯水制备废滤芯</w:t>
            </w:r>
          </w:p>
        </w:tc>
        <w:tc>
          <w:tcPr>
            <w:tcW w:w="1407" w:type="dxa"/>
            <w:shd w:val="clear" w:color="auto" w:fill="auto"/>
            <w:vAlign w:val="center"/>
          </w:tcPr>
          <w:p w14:paraId="39B38577">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101" w:type="dxa"/>
            <w:shd w:val="clear" w:color="auto" w:fill="auto"/>
            <w:vAlign w:val="center"/>
          </w:tcPr>
          <w:p w14:paraId="160807CD">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469" w:type="dxa"/>
            <w:shd w:val="clear" w:color="auto" w:fill="auto"/>
            <w:vAlign w:val="center"/>
          </w:tcPr>
          <w:p w14:paraId="71881196">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458" w:type="dxa"/>
            <w:shd w:val="clear" w:color="auto" w:fill="auto"/>
            <w:vAlign w:val="center"/>
          </w:tcPr>
          <w:p w14:paraId="28DA022B">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0.02</w:t>
            </w:r>
          </w:p>
        </w:tc>
        <w:tc>
          <w:tcPr>
            <w:tcW w:w="1264" w:type="dxa"/>
            <w:shd w:val="clear" w:color="auto" w:fill="auto"/>
            <w:vAlign w:val="center"/>
          </w:tcPr>
          <w:p w14:paraId="42D5BCB7">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642" w:type="dxa"/>
            <w:shd w:val="clear" w:color="auto" w:fill="auto"/>
            <w:vAlign w:val="center"/>
          </w:tcPr>
          <w:p w14:paraId="05C96E3E">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0.02</w:t>
            </w:r>
          </w:p>
        </w:tc>
        <w:tc>
          <w:tcPr>
            <w:tcW w:w="1396" w:type="dxa"/>
            <w:shd w:val="clear" w:color="auto" w:fill="auto"/>
            <w:vAlign w:val="center"/>
          </w:tcPr>
          <w:p w14:paraId="4E1B2265">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0.02</w:t>
            </w:r>
          </w:p>
        </w:tc>
      </w:tr>
      <w:tr w14:paraId="1BAAAE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4A6335E1">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zh-CN"/>
              </w:rPr>
            </w:pPr>
          </w:p>
        </w:tc>
        <w:tc>
          <w:tcPr>
            <w:tcW w:w="2906" w:type="dxa"/>
            <w:shd w:val="clear" w:color="auto" w:fill="auto"/>
            <w:vAlign w:val="center"/>
          </w:tcPr>
          <w:p w14:paraId="20F98A69">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废空气滤芯</w:t>
            </w:r>
          </w:p>
        </w:tc>
        <w:tc>
          <w:tcPr>
            <w:tcW w:w="1407" w:type="dxa"/>
            <w:shd w:val="clear" w:color="auto" w:fill="auto"/>
            <w:vAlign w:val="center"/>
          </w:tcPr>
          <w:p w14:paraId="203FA9D3">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101" w:type="dxa"/>
            <w:shd w:val="clear" w:color="auto" w:fill="auto"/>
            <w:vAlign w:val="center"/>
          </w:tcPr>
          <w:p w14:paraId="4562C8A9">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469" w:type="dxa"/>
            <w:shd w:val="clear" w:color="auto" w:fill="auto"/>
            <w:vAlign w:val="center"/>
          </w:tcPr>
          <w:p w14:paraId="79B8E065">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458" w:type="dxa"/>
            <w:shd w:val="clear" w:color="auto" w:fill="auto"/>
            <w:vAlign w:val="center"/>
          </w:tcPr>
          <w:p w14:paraId="44857D33">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0.01</w:t>
            </w:r>
          </w:p>
        </w:tc>
        <w:tc>
          <w:tcPr>
            <w:tcW w:w="1264" w:type="dxa"/>
            <w:shd w:val="clear" w:color="auto" w:fill="auto"/>
            <w:vAlign w:val="center"/>
          </w:tcPr>
          <w:p w14:paraId="5020E6C4">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642" w:type="dxa"/>
            <w:shd w:val="clear" w:color="auto" w:fill="auto"/>
            <w:vAlign w:val="center"/>
          </w:tcPr>
          <w:p w14:paraId="1941D3DC">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0.01</w:t>
            </w:r>
          </w:p>
        </w:tc>
        <w:tc>
          <w:tcPr>
            <w:tcW w:w="1396" w:type="dxa"/>
            <w:shd w:val="clear" w:color="auto" w:fill="auto"/>
            <w:vAlign w:val="center"/>
          </w:tcPr>
          <w:p w14:paraId="0D694C8E">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0.01</w:t>
            </w:r>
          </w:p>
        </w:tc>
      </w:tr>
      <w:tr w14:paraId="158A55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47FC3739">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zh-CN"/>
              </w:rPr>
            </w:pPr>
          </w:p>
        </w:tc>
        <w:tc>
          <w:tcPr>
            <w:tcW w:w="2906" w:type="dxa"/>
            <w:shd w:val="clear" w:color="auto" w:fill="auto"/>
            <w:vAlign w:val="center"/>
          </w:tcPr>
          <w:p w14:paraId="2AA6EA7D">
            <w:pPr>
              <w:spacing w:line="240" w:lineRule="auto"/>
              <w:jc w:val="center"/>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sz w:val="21"/>
                <w:szCs w:val="21"/>
                <w:highlight w:val="none"/>
                <w:lang w:val="en-US" w:eastAsia="zh-CN"/>
              </w:rPr>
              <w:t>废分子筛</w:t>
            </w:r>
          </w:p>
        </w:tc>
        <w:tc>
          <w:tcPr>
            <w:tcW w:w="1407" w:type="dxa"/>
            <w:shd w:val="clear" w:color="auto" w:fill="auto"/>
            <w:vAlign w:val="center"/>
          </w:tcPr>
          <w:p w14:paraId="6079F202">
            <w:pPr>
              <w:spacing w:line="240" w:lineRule="auto"/>
              <w:jc w:val="center"/>
              <w:rPr>
                <w:rFonts w:hint="default" w:ascii="Times New Roman" w:hAnsi="Times New Roman" w:eastAsia="宋体" w:cs="Times New Roman"/>
                <w:kern w:val="2"/>
                <w:sz w:val="21"/>
                <w:szCs w:val="21"/>
                <w:highlight w:val="none"/>
                <w:lang w:val="zh-CN" w:eastAsia="zh-CN" w:bidi="ar-SA"/>
              </w:rPr>
            </w:pPr>
          </w:p>
        </w:tc>
        <w:tc>
          <w:tcPr>
            <w:tcW w:w="1101" w:type="dxa"/>
            <w:shd w:val="clear" w:color="auto" w:fill="auto"/>
            <w:vAlign w:val="center"/>
          </w:tcPr>
          <w:p w14:paraId="7803FE18">
            <w:pPr>
              <w:spacing w:line="240" w:lineRule="auto"/>
              <w:jc w:val="center"/>
              <w:rPr>
                <w:rFonts w:hint="default" w:ascii="Times New Roman" w:hAnsi="Times New Roman" w:eastAsia="宋体" w:cs="Times New Roman"/>
                <w:kern w:val="2"/>
                <w:sz w:val="21"/>
                <w:szCs w:val="21"/>
                <w:highlight w:val="none"/>
                <w:lang w:val="zh-CN" w:eastAsia="zh-CN" w:bidi="ar-SA"/>
              </w:rPr>
            </w:pPr>
          </w:p>
        </w:tc>
        <w:tc>
          <w:tcPr>
            <w:tcW w:w="1469" w:type="dxa"/>
            <w:shd w:val="clear" w:color="auto" w:fill="auto"/>
            <w:vAlign w:val="center"/>
          </w:tcPr>
          <w:p w14:paraId="6399EED9">
            <w:pPr>
              <w:spacing w:line="240" w:lineRule="auto"/>
              <w:jc w:val="center"/>
              <w:rPr>
                <w:rFonts w:hint="default" w:ascii="Times New Roman" w:hAnsi="Times New Roman" w:eastAsia="宋体" w:cs="Times New Roman"/>
                <w:kern w:val="2"/>
                <w:sz w:val="21"/>
                <w:szCs w:val="21"/>
                <w:highlight w:val="none"/>
                <w:lang w:val="zh-CN" w:eastAsia="zh-CN" w:bidi="ar-SA"/>
              </w:rPr>
            </w:pPr>
          </w:p>
        </w:tc>
        <w:tc>
          <w:tcPr>
            <w:tcW w:w="1458" w:type="dxa"/>
            <w:shd w:val="clear" w:color="auto" w:fill="auto"/>
            <w:vAlign w:val="center"/>
          </w:tcPr>
          <w:p w14:paraId="70DEF471">
            <w:pPr>
              <w:spacing w:line="240" w:lineRule="auto"/>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0.08</w:t>
            </w:r>
            <w:r>
              <w:rPr>
                <w:rFonts w:hint="eastAsia" w:cs="Times New Roman"/>
                <w:sz w:val="21"/>
                <w:szCs w:val="21"/>
                <w:highlight w:val="none"/>
                <w:lang w:val="en-US" w:eastAsia="zh-CN"/>
              </w:rPr>
              <w:t>（10年）</w:t>
            </w:r>
          </w:p>
        </w:tc>
        <w:tc>
          <w:tcPr>
            <w:tcW w:w="1264" w:type="dxa"/>
            <w:shd w:val="clear" w:color="auto" w:fill="auto"/>
            <w:vAlign w:val="center"/>
          </w:tcPr>
          <w:p w14:paraId="662EAA41">
            <w:pPr>
              <w:spacing w:line="240" w:lineRule="auto"/>
              <w:jc w:val="center"/>
              <w:rPr>
                <w:rFonts w:hint="default" w:ascii="Times New Roman" w:hAnsi="Times New Roman" w:eastAsia="宋体" w:cs="Times New Roman"/>
                <w:kern w:val="2"/>
                <w:sz w:val="21"/>
                <w:szCs w:val="21"/>
                <w:highlight w:val="none"/>
                <w:lang w:val="zh-CN" w:eastAsia="zh-CN" w:bidi="ar-SA"/>
              </w:rPr>
            </w:pPr>
          </w:p>
        </w:tc>
        <w:tc>
          <w:tcPr>
            <w:tcW w:w="1642" w:type="dxa"/>
            <w:shd w:val="clear" w:color="auto" w:fill="auto"/>
            <w:vAlign w:val="center"/>
          </w:tcPr>
          <w:p w14:paraId="708ACFE9">
            <w:pPr>
              <w:spacing w:line="240" w:lineRule="auto"/>
              <w:jc w:val="center"/>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sz w:val="21"/>
                <w:szCs w:val="21"/>
                <w:highlight w:val="none"/>
                <w:lang w:val="en-US" w:eastAsia="zh-CN"/>
              </w:rPr>
              <w:t>0.08</w:t>
            </w:r>
            <w:r>
              <w:rPr>
                <w:rFonts w:hint="eastAsia" w:cs="Times New Roman"/>
                <w:sz w:val="21"/>
                <w:szCs w:val="21"/>
                <w:highlight w:val="none"/>
                <w:lang w:val="en-US" w:eastAsia="zh-CN"/>
              </w:rPr>
              <w:t>（10年）</w:t>
            </w:r>
          </w:p>
        </w:tc>
        <w:tc>
          <w:tcPr>
            <w:tcW w:w="1396" w:type="dxa"/>
            <w:shd w:val="clear" w:color="auto" w:fill="auto"/>
            <w:vAlign w:val="center"/>
          </w:tcPr>
          <w:p w14:paraId="09F8208C">
            <w:pPr>
              <w:spacing w:line="240" w:lineRule="auto"/>
              <w:jc w:val="center"/>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sz w:val="21"/>
                <w:szCs w:val="21"/>
                <w:highlight w:val="none"/>
                <w:lang w:val="en-US" w:eastAsia="zh-CN"/>
              </w:rPr>
              <w:t>0.08</w:t>
            </w:r>
            <w:r>
              <w:rPr>
                <w:rFonts w:hint="eastAsia" w:cs="Times New Roman"/>
                <w:sz w:val="21"/>
                <w:szCs w:val="21"/>
                <w:highlight w:val="none"/>
                <w:lang w:val="en-US" w:eastAsia="zh-CN"/>
              </w:rPr>
              <w:t>（10年）</w:t>
            </w:r>
          </w:p>
        </w:tc>
      </w:tr>
      <w:tr w14:paraId="39513D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12B8D5BD">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zh-CN"/>
              </w:rPr>
            </w:pPr>
          </w:p>
        </w:tc>
        <w:tc>
          <w:tcPr>
            <w:tcW w:w="2906" w:type="dxa"/>
            <w:shd w:val="clear" w:color="auto" w:fill="auto"/>
            <w:vAlign w:val="center"/>
          </w:tcPr>
          <w:p w14:paraId="0C8383BA">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生活垃圾</w:t>
            </w:r>
          </w:p>
        </w:tc>
        <w:tc>
          <w:tcPr>
            <w:tcW w:w="1407" w:type="dxa"/>
            <w:shd w:val="clear" w:color="auto" w:fill="auto"/>
            <w:vAlign w:val="center"/>
          </w:tcPr>
          <w:p w14:paraId="5D2D247E">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101" w:type="dxa"/>
            <w:shd w:val="clear" w:color="auto" w:fill="auto"/>
            <w:vAlign w:val="center"/>
          </w:tcPr>
          <w:p w14:paraId="51D4AAFC">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469" w:type="dxa"/>
            <w:shd w:val="clear" w:color="auto" w:fill="auto"/>
            <w:vAlign w:val="center"/>
          </w:tcPr>
          <w:p w14:paraId="665721DA">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458" w:type="dxa"/>
            <w:shd w:val="clear" w:color="auto" w:fill="auto"/>
            <w:vAlign w:val="center"/>
          </w:tcPr>
          <w:p w14:paraId="30E30E33">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264" w:type="dxa"/>
            <w:shd w:val="clear" w:color="auto" w:fill="auto"/>
            <w:vAlign w:val="center"/>
          </w:tcPr>
          <w:p w14:paraId="60D5E5BD">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zh-CN" w:eastAsia="zh-CN" w:bidi="ar"/>
              </w:rPr>
            </w:pPr>
          </w:p>
        </w:tc>
        <w:tc>
          <w:tcPr>
            <w:tcW w:w="1642" w:type="dxa"/>
            <w:shd w:val="clear" w:color="auto" w:fill="auto"/>
            <w:vAlign w:val="center"/>
          </w:tcPr>
          <w:p w14:paraId="3508C546">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396" w:type="dxa"/>
            <w:shd w:val="clear" w:color="auto" w:fill="auto"/>
            <w:vAlign w:val="center"/>
          </w:tcPr>
          <w:p w14:paraId="7517691B">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color w:val="auto"/>
                <w:sz w:val="22"/>
                <w:szCs w:val="22"/>
                <w:highlight w:val="none"/>
                <w:lang w:val="en-US" w:eastAsia="zh-CN"/>
              </w:rPr>
              <w:t>+5</w:t>
            </w:r>
          </w:p>
        </w:tc>
      </w:tr>
      <w:tr w14:paraId="7A3296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restart"/>
            <w:vAlign w:val="center"/>
          </w:tcPr>
          <w:p w14:paraId="4713A51E">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危险废物</w:t>
            </w:r>
          </w:p>
        </w:tc>
        <w:tc>
          <w:tcPr>
            <w:tcW w:w="2906" w:type="dxa"/>
            <w:shd w:val="clear" w:color="auto" w:fill="auto"/>
            <w:vAlign w:val="center"/>
          </w:tcPr>
          <w:p w14:paraId="57B25414">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废反应液</w:t>
            </w:r>
          </w:p>
        </w:tc>
        <w:tc>
          <w:tcPr>
            <w:tcW w:w="1407" w:type="dxa"/>
            <w:shd w:val="clear" w:color="auto" w:fill="auto"/>
            <w:vAlign w:val="center"/>
          </w:tcPr>
          <w:p w14:paraId="6F50577C">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101" w:type="dxa"/>
            <w:shd w:val="clear" w:color="auto" w:fill="auto"/>
            <w:vAlign w:val="center"/>
          </w:tcPr>
          <w:p w14:paraId="7839102D">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69" w:type="dxa"/>
            <w:shd w:val="clear" w:color="auto" w:fill="auto"/>
            <w:vAlign w:val="center"/>
          </w:tcPr>
          <w:p w14:paraId="402E9059">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58" w:type="dxa"/>
            <w:shd w:val="clear" w:color="auto" w:fill="auto"/>
            <w:vAlign w:val="center"/>
          </w:tcPr>
          <w:p w14:paraId="556485DD">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14.54</w:t>
            </w:r>
          </w:p>
        </w:tc>
        <w:tc>
          <w:tcPr>
            <w:tcW w:w="1264" w:type="dxa"/>
            <w:shd w:val="clear" w:color="auto" w:fill="auto"/>
            <w:vAlign w:val="center"/>
          </w:tcPr>
          <w:p w14:paraId="0C705FD5">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642" w:type="dxa"/>
            <w:shd w:val="clear" w:color="auto" w:fill="auto"/>
            <w:vAlign w:val="center"/>
          </w:tcPr>
          <w:p w14:paraId="4E191B1C">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14.54</w:t>
            </w:r>
          </w:p>
        </w:tc>
        <w:tc>
          <w:tcPr>
            <w:tcW w:w="1396" w:type="dxa"/>
            <w:shd w:val="clear" w:color="auto" w:fill="auto"/>
            <w:vAlign w:val="center"/>
          </w:tcPr>
          <w:p w14:paraId="3431EBDF">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14.54</w:t>
            </w:r>
          </w:p>
        </w:tc>
      </w:tr>
      <w:tr w14:paraId="03AF77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01CACAA2">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5BCC586E">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物性分析废液</w:t>
            </w:r>
          </w:p>
        </w:tc>
        <w:tc>
          <w:tcPr>
            <w:tcW w:w="1407" w:type="dxa"/>
            <w:shd w:val="clear" w:color="auto" w:fill="auto"/>
            <w:vAlign w:val="center"/>
          </w:tcPr>
          <w:p w14:paraId="49695AEA">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101" w:type="dxa"/>
            <w:shd w:val="clear" w:color="auto" w:fill="auto"/>
            <w:vAlign w:val="center"/>
          </w:tcPr>
          <w:p w14:paraId="69D1A383">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69" w:type="dxa"/>
            <w:shd w:val="clear" w:color="auto" w:fill="auto"/>
            <w:vAlign w:val="center"/>
          </w:tcPr>
          <w:p w14:paraId="2A7AD6FF">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58" w:type="dxa"/>
            <w:shd w:val="clear" w:color="auto" w:fill="auto"/>
            <w:vAlign w:val="center"/>
          </w:tcPr>
          <w:p w14:paraId="4596B886">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0.9</w:t>
            </w:r>
          </w:p>
        </w:tc>
        <w:tc>
          <w:tcPr>
            <w:tcW w:w="1264" w:type="dxa"/>
            <w:shd w:val="clear" w:color="auto" w:fill="auto"/>
            <w:vAlign w:val="center"/>
          </w:tcPr>
          <w:p w14:paraId="4231B5E3">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642" w:type="dxa"/>
            <w:shd w:val="clear" w:color="auto" w:fill="auto"/>
            <w:vAlign w:val="center"/>
          </w:tcPr>
          <w:p w14:paraId="081B8AB4">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0.9</w:t>
            </w:r>
          </w:p>
        </w:tc>
        <w:tc>
          <w:tcPr>
            <w:tcW w:w="1396" w:type="dxa"/>
            <w:shd w:val="clear" w:color="auto" w:fill="auto"/>
            <w:vAlign w:val="center"/>
          </w:tcPr>
          <w:p w14:paraId="23A4C893">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0.9</w:t>
            </w:r>
          </w:p>
        </w:tc>
      </w:tr>
      <w:tr w14:paraId="657494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7D7C205C">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1DF264E8">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电池材料设备清洗废液</w:t>
            </w:r>
          </w:p>
        </w:tc>
        <w:tc>
          <w:tcPr>
            <w:tcW w:w="1407" w:type="dxa"/>
            <w:shd w:val="clear" w:color="auto" w:fill="auto"/>
            <w:vAlign w:val="center"/>
          </w:tcPr>
          <w:p w14:paraId="7715D8F1">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101" w:type="dxa"/>
            <w:shd w:val="clear" w:color="auto" w:fill="auto"/>
            <w:vAlign w:val="center"/>
          </w:tcPr>
          <w:p w14:paraId="1C308C64">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69" w:type="dxa"/>
            <w:shd w:val="clear" w:color="auto" w:fill="auto"/>
            <w:vAlign w:val="center"/>
          </w:tcPr>
          <w:p w14:paraId="0D868F1B">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58" w:type="dxa"/>
            <w:shd w:val="clear" w:color="auto" w:fill="auto"/>
            <w:vAlign w:val="center"/>
          </w:tcPr>
          <w:p w14:paraId="7E2CA9D0">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2.7</w:t>
            </w:r>
          </w:p>
        </w:tc>
        <w:tc>
          <w:tcPr>
            <w:tcW w:w="1264" w:type="dxa"/>
            <w:shd w:val="clear" w:color="auto" w:fill="auto"/>
            <w:vAlign w:val="center"/>
          </w:tcPr>
          <w:p w14:paraId="127B9ACF">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642" w:type="dxa"/>
            <w:shd w:val="clear" w:color="auto" w:fill="auto"/>
            <w:vAlign w:val="center"/>
          </w:tcPr>
          <w:p w14:paraId="2AEEAF9F">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2.7</w:t>
            </w:r>
          </w:p>
        </w:tc>
        <w:tc>
          <w:tcPr>
            <w:tcW w:w="1396" w:type="dxa"/>
            <w:shd w:val="clear" w:color="auto" w:fill="auto"/>
            <w:vAlign w:val="center"/>
          </w:tcPr>
          <w:p w14:paraId="21D437FC">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2.7</w:t>
            </w:r>
          </w:p>
        </w:tc>
      </w:tr>
      <w:tr w14:paraId="3E7493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4471665D">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4D70C74A">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废电池</w:t>
            </w:r>
          </w:p>
        </w:tc>
        <w:tc>
          <w:tcPr>
            <w:tcW w:w="1407" w:type="dxa"/>
            <w:shd w:val="clear" w:color="auto" w:fill="auto"/>
            <w:vAlign w:val="center"/>
          </w:tcPr>
          <w:p w14:paraId="7A9A42FD">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101" w:type="dxa"/>
            <w:shd w:val="clear" w:color="auto" w:fill="auto"/>
            <w:vAlign w:val="center"/>
          </w:tcPr>
          <w:p w14:paraId="0B08CD56">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69" w:type="dxa"/>
            <w:shd w:val="clear" w:color="auto" w:fill="auto"/>
            <w:vAlign w:val="center"/>
          </w:tcPr>
          <w:p w14:paraId="6BBA2598">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58" w:type="dxa"/>
            <w:shd w:val="clear" w:color="auto" w:fill="auto"/>
            <w:vAlign w:val="center"/>
          </w:tcPr>
          <w:p w14:paraId="5F4131C0">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0.01</w:t>
            </w:r>
          </w:p>
        </w:tc>
        <w:tc>
          <w:tcPr>
            <w:tcW w:w="1264" w:type="dxa"/>
            <w:shd w:val="clear" w:color="auto" w:fill="auto"/>
            <w:vAlign w:val="center"/>
          </w:tcPr>
          <w:p w14:paraId="631E8490">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642" w:type="dxa"/>
            <w:shd w:val="clear" w:color="auto" w:fill="auto"/>
            <w:vAlign w:val="center"/>
          </w:tcPr>
          <w:p w14:paraId="24D08525">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0.01</w:t>
            </w:r>
          </w:p>
        </w:tc>
        <w:tc>
          <w:tcPr>
            <w:tcW w:w="1396" w:type="dxa"/>
            <w:shd w:val="clear" w:color="auto" w:fill="auto"/>
            <w:vAlign w:val="center"/>
          </w:tcPr>
          <w:p w14:paraId="6E90A771">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0.01</w:t>
            </w:r>
          </w:p>
        </w:tc>
      </w:tr>
      <w:tr w14:paraId="4DD23F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1948ED0E">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1DBB02DC">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设备清洗废液</w:t>
            </w:r>
          </w:p>
        </w:tc>
        <w:tc>
          <w:tcPr>
            <w:tcW w:w="1407" w:type="dxa"/>
            <w:shd w:val="clear" w:color="auto" w:fill="auto"/>
            <w:vAlign w:val="center"/>
          </w:tcPr>
          <w:p w14:paraId="2A69846B">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101" w:type="dxa"/>
            <w:shd w:val="clear" w:color="auto" w:fill="auto"/>
            <w:vAlign w:val="center"/>
          </w:tcPr>
          <w:p w14:paraId="2D09D630">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69" w:type="dxa"/>
            <w:shd w:val="clear" w:color="auto" w:fill="auto"/>
            <w:vAlign w:val="center"/>
          </w:tcPr>
          <w:p w14:paraId="6D6AB6B1">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58" w:type="dxa"/>
            <w:shd w:val="clear" w:color="auto" w:fill="auto"/>
            <w:vAlign w:val="center"/>
          </w:tcPr>
          <w:p w14:paraId="31EF9A8A">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0.5</w:t>
            </w:r>
          </w:p>
        </w:tc>
        <w:tc>
          <w:tcPr>
            <w:tcW w:w="1264" w:type="dxa"/>
            <w:shd w:val="clear" w:color="auto" w:fill="auto"/>
            <w:vAlign w:val="center"/>
          </w:tcPr>
          <w:p w14:paraId="50086BE2">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642" w:type="dxa"/>
            <w:shd w:val="clear" w:color="auto" w:fill="auto"/>
            <w:vAlign w:val="center"/>
          </w:tcPr>
          <w:p w14:paraId="6E1FAF71">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0.5</w:t>
            </w:r>
          </w:p>
        </w:tc>
        <w:tc>
          <w:tcPr>
            <w:tcW w:w="1396" w:type="dxa"/>
            <w:shd w:val="clear" w:color="auto" w:fill="auto"/>
            <w:vAlign w:val="center"/>
          </w:tcPr>
          <w:p w14:paraId="509A62EF">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0.5</w:t>
            </w:r>
          </w:p>
        </w:tc>
      </w:tr>
      <w:tr w14:paraId="71F47C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15D7C87C">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12330402">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废包装材料</w:t>
            </w:r>
          </w:p>
        </w:tc>
        <w:tc>
          <w:tcPr>
            <w:tcW w:w="1407" w:type="dxa"/>
            <w:shd w:val="clear" w:color="auto" w:fill="auto"/>
            <w:vAlign w:val="center"/>
          </w:tcPr>
          <w:p w14:paraId="4A2D74BA">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101" w:type="dxa"/>
            <w:shd w:val="clear" w:color="auto" w:fill="auto"/>
            <w:vAlign w:val="center"/>
          </w:tcPr>
          <w:p w14:paraId="4CE3DFA8">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69" w:type="dxa"/>
            <w:shd w:val="clear" w:color="auto" w:fill="auto"/>
            <w:vAlign w:val="center"/>
          </w:tcPr>
          <w:p w14:paraId="5D0812EF">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58" w:type="dxa"/>
            <w:shd w:val="clear" w:color="auto" w:fill="auto"/>
            <w:vAlign w:val="center"/>
          </w:tcPr>
          <w:p w14:paraId="19CB520A">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0.1</w:t>
            </w:r>
          </w:p>
        </w:tc>
        <w:tc>
          <w:tcPr>
            <w:tcW w:w="1264" w:type="dxa"/>
            <w:shd w:val="clear" w:color="auto" w:fill="auto"/>
            <w:vAlign w:val="center"/>
          </w:tcPr>
          <w:p w14:paraId="2816FCBC">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642" w:type="dxa"/>
            <w:shd w:val="clear" w:color="auto" w:fill="auto"/>
            <w:vAlign w:val="center"/>
          </w:tcPr>
          <w:p w14:paraId="14EA8D7E">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0.1</w:t>
            </w:r>
          </w:p>
        </w:tc>
        <w:tc>
          <w:tcPr>
            <w:tcW w:w="1396" w:type="dxa"/>
            <w:shd w:val="clear" w:color="auto" w:fill="auto"/>
            <w:vAlign w:val="center"/>
          </w:tcPr>
          <w:p w14:paraId="0542E269">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0.1</w:t>
            </w:r>
          </w:p>
        </w:tc>
      </w:tr>
      <w:tr w14:paraId="3BE530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4B4B01B6">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178D898C">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废切削液、废磨液</w:t>
            </w:r>
          </w:p>
        </w:tc>
        <w:tc>
          <w:tcPr>
            <w:tcW w:w="1407" w:type="dxa"/>
            <w:shd w:val="clear" w:color="auto" w:fill="auto"/>
            <w:vAlign w:val="center"/>
          </w:tcPr>
          <w:p w14:paraId="2BE27EF3">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101" w:type="dxa"/>
            <w:shd w:val="clear" w:color="auto" w:fill="auto"/>
            <w:vAlign w:val="center"/>
          </w:tcPr>
          <w:p w14:paraId="2B2D07DF">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69" w:type="dxa"/>
            <w:shd w:val="clear" w:color="auto" w:fill="auto"/>
            <w:vAlign w:val="center"/>
          </w:tcPr>
          <w:p w14:paraId="7993B672">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58" w:type="dxa"/>
            <w:shd w:val="clear" w:color="auto" w:fill="auto"/>
            <w:vAlign w:val="center"/>
          </w:tcPr>
          <w:p w14:paraId="32CB3BB6">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0.03</w:t>
            </w:r>
          </w:p>
        </w:tc>
        <w:tc>
          <w:tcPr>
            <w:tcW w:w="1264" w:type="dxa"/>
            <w:shd w:val="clear" w:color="auto" w:fill="auto"/>
            <w:vAlign w:val="center"/>
          </w:tcPr>
          <w:p w14:paraId="39BE782E">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642" w:type="dxa"/>
            <w:shd w:val="clear" w:color="auto" w:fill="auto"/>
            <w:vAlign w:val="center"/>
          </w:tcPr>
          <w:p w14:paraId="5B1545FD">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0.03</w:t>
            </w:r>
          </w:p>
        </w:tc>
        <w:tc>
          <w:tcPr>
            <w:tcW w:w="1396" w:type="dxa"/>
            <w:shd w:val="clear" w:color="auto" w:fill="auto"/>
            <w:vAlign w:val="center"/>
          </w:tcPr>
          <w:p w14:paraId="5A2AED79">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0.03</w:t>
            </w:r>
          </w:p>
        </w:tc>
      </w:tr>
      <w:tr w14:paraId="35344D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628BD78A">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29D8C644">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废一次性耗材</w:t>
            </w:r>
          </w:p>
        </w:tc>
        <w:tc>
          <w:tcPr>
            <w:tcW w:w="1407" w:type="dxa"/>
            <w:shd w:val="clear" w:color="auto" w:fill="auto"/>
            <w:vAlign w:val="center"/>
          </w:tcPr>
          <w:p w14:paraId="7C3ADF37">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101" w:type="dxa"/>
            <w:shd w:val="clear" w:color="auto" w:fill="auto"/>
            <w:vAlign w:val="center"/>
          </w:tcPr>
          <w:p w14:paraId="799229E0">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69" w:type="dxa"/>
            <w:shd w:val="clear" w:color="auto" w:fill="auto"/>
            <w:vAlign w:val="center"/>
          </w:tcPr>
          <w:p w14:paraId="775D81F7">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58" w:type="dxa"/>
            <w:shd w:val="clear" w:color="auto" w:fill="auto"/>
            <w:vAlign w:val="center"/>
          </w:tcPr>
          <w:p w14:paraId="594FC9DB">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0.01</w:t>
            </w:r>
          </w:p>
        </w:tc>
        <w:tc>
          <w:tcPr>
            <w:tcW w:w="1264" w:type="dxa"/>
            <w:shd w:val="clear" w:color="auto" w:fill="auto"/>
            <w:vAlign w:val="center"/>
          </w:tcPr>
          <w:p w14:paraId="64FFAA67">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642" w:type="dxa"/>
            <w:shd w:val="clear" w:color="auto" w:fill="auto"/>
            <w:vAlign w:val="center"/>
          </w:tcPr>
          <w:p w14:paraId="3F391513">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0.01</w:t>
            </w:r>
          </w:p>
        </w:tc>
        <w:tc>
          <w:tcPr>
            <w:tcW w:w="1396" w:type="dxa"/>
            <w:shd w:val="clear" w:color="auto" w:fill="auto"/>
            <w:vAlign w:val="center"/>
          </w:tcPr>
          <w:p w14:paraId="0BEA43B6">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0.01</w:t>
            </w:r>
          </w:p>
        </w:tc>
      </w:tr>
      <w:tr w14:paraId="4438AD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32890E74">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4EFC42EB">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废树脂</w:t>
            </w:r>
          </w:p>
        </w:tc>
        <w:tc>
          <w:tcPr>
            <w:tcW w:w="1407" w:type="dxa"/>
            <w:shd w:val="clear" w:color="auto" w:fill="auto"/>
            <w:vAlign w:val="center"/>
          </w:tcPr>
          <w:p w14:paraId="3EA015DA">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101" w:type="dxa"/>
            <w:shd w:val="clear" w:color="auto" w:fill="auto"/>
            <w:vAlign w:val="center"/>
          </w:tcPr>
          <w:p w14:paraId="1E7315ED">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69" w:type="dxa"/>
            <w:shd w:val="clear" w:color="auto" w:fill="auto"/>
            <w:vAlign w:val="center"/>
          </w:tcPr>
          <w:p w14:paraId="401CF4BF">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58" w:type="dxa"/>
            <w:shd w:val="clear" w:color="auto" w:fill="auto"/>
            <w:vAlign w:val="center"/>
          </w:tcPr>
          <w:p w14:paraId="31E62073">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0.032</w:t>
            </w:r>
          </w:p>
        </w:tc>
        <w:tc>
          <w:tcPr>
            <w:tcW w:w="1264" w:type="dxa"/>
            <w:shd w:val="clear" w:color="auto" w:fill="auto"/>
            <w:vAlign w:val="center"/>
          </w:tcPr>
          <w:p w14:paraId="6477A62E">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642" w:type="dxa"/>
            <w:shd w:val="clear" w:color="auto" w:fill="auto"/>
            <w:vAlign w:val="center"/>
          </w:tcPr>
          <w:p w14:paraId="5D2F1AB6">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0.032</w:t>
            </w:r>
          </w:p>
        </w:tc>
        <w:tc>
          <w:tcPr>
            <w:tcW w:w="1396" w:type="dxa"/>
            <w:shd w:val="clear" w:color="auto" w:fill="auto"/>
            <w:vAlign w:val="center"/>
          </w:tcPr>
          <w:p w14:paraId="73209673">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0.032</w:t>
            </w:r>
          </w:p>
        </w:tc>
      </w:tr>
      <w:tr w14:paraId="2AE572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4D74D8D4">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16AF094C">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喷淋塔废液</w:t>
            </w:r>
          </w:p>
        </w:tc>
        <w:tc>
          <w:tcPr>
            <w:tcW w:w="1407" w:type="dxa"/>
            <w:shd w:val="clear" w:color="auto" w:fill="auto"/>
            <w:vAlign w:val="center"/>
          </w:tcPr>
          <w:p w14:paraId="540458A3">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101" w:type="dxa"/>
            <w:shd w:val="clear" w:color="auto" w:fill="auto"/>
            <w:vAlign w:val="center"/>
          </w:tcPr>
          <w:p w14:paraId="45C94F9D">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69" w:type="dxa"/>
            <w:shd w:val="clear" w:color="auto" w:fill="auto"/>
            <w:vAlign w:val="center"/>
          </w:tcPr>
          <w:p w14:paraId="5700112D">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58" w:type="dxa"/>
            <w:shd w:val="clear" w:color="auto" w:fill="auto"/>
            <w:vAlign w:val="center"/>
          </w:tcPr>
          <w:p w14:paraId="389FCEB4">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264" w:type="dxa"/>
            <w:shd w:val="clear" w:color="auto" w:fill="auto"/>
            <w:vAlign w:val="center"/>
          </w:tcPr>
          <w:p w14:paraId="65C9A3AF">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642" w:type="dxa"/>
            <w:shd w:val="clear" w:color="auto" w:fill="auto"/>
            <w:vAlign w:val="center"/>
          </w:tcPr>
          <w:p w14:paraId="039957AE">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396" w:type="dxa"/>
            <w:shd w:val="clear" w:color="auto" w:fill="auto"/>
            <w:vAlign w:val="center"/>
          </w:tcPr>
          <w:p w14:paraId="2CC55F4A">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3</w:t>
            </w:r>
          </w:p>
        </w:tc>
      </w:tr>
      <w:tr w14:paraId="38D4D7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3F6FF38F">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44DF9D8D">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废活性炭</w:t>
            </w:r>
          </w:p>
        </w:tc>
        <w:tc>
          <w:tcPr>
            <w:tcW w:w="1407" w:type="dxa"/>
            <w:shd w:val="clear" w:color="auto" w:fill="auto"/>
            <w:vAlign w:val="center"/>
          </w:tcPr>
          <w:p w14:paraId="51ABF394">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101" w:type="dxa"/>
            <w:shd w:val="clear" w:color="auto" w:fill="auto"/>
            <w:vAlign w:val="center"/>
          </w:tcPr>
          <w:p w14:paraId="4CAC47F0">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69" w:type="dxa"/>
            <w:shd w:val="clear" w:color="auto" w:fill="auto"/>
            <w:vAlign w:val="center"/>
          </w:tcPr>
          <w:p w14:paraId="08508D7F">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58" w:type="dxa"/>
            <w:shd w:val="clear" w:color="auto" w:fill="auto"/>
            <w:vAlign w:val="center"/>
          </w:tcPr>
          <w:p w14:paraId="1550E34F">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r>
              <w:rPr>
                <w:rFonts w:hint="eastAsia" w:cs="Times New Roman"/>
                <w:i w:val="0"/>
                <w:iCs w:val="0"/>
                <w:color w:val="000000"/>
                <w:kern w:val="0"/>
                <w:sz w:val="21"/>
                <w:szCs w:val="21"/>
                <w:highlight w:val="none"/>
                <w:u w:val="none"/>
                <w:lang w:val="en-US" w:eastAsia="zh-CN" w:bidi="ar"/>
              </w:rPr>
              <w:t>1226</w:t>
            </w:r>
          </w:p>
        </w:tc>
        <w:tc>
          <w:tcPr>
            <w:tcW w:w="1264" w:type="dxa"/>
            <w:shd w:val="clear" w:color="auto" w:fill="auto"/>
            <w:vAlign w:val="center"/>
          </w:tcPr>
          <w:p w14:paraId="5B2CFA94">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642" w:type="dxa"/>
            <w:shd w:val="clear" w:color="auto" w:fill="auto"/>
            <w:vAlign w:val="center"/>
          </w:tcPr>
          <w:p w14:paraId="6795F866">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r>
              <w:rPr>
                <w:rFonts w:hint="eastAsia" w:cs="Times New Roman"/>
                <w:i w:val="0"/>
                <w:iCs w:val="0"/>
                <w:color w:val="000000"/>
                <w:kern w:val="0"/>
                <w:sz w:val="21"/>
                <w:szCs w:val="21"/>
                <w:highlight w:val="none"/>
                <w:u w:val="none"/>
                <w:lang w:val="en-US" w:eastAsia="zh-CN" w:bidi="ar"/>
              </w:rPr>
              <w:t>1226</w:t>
            </w:r>
          </w:p>
        </w:tc>
        <w:tc>
          <w:tcPr>
            <w:tcW w:w="1396" w:type="dxa"/>
            <w:shd w:val="clear" w:color="auto" w:fill="auto"/>
            <w:vAlign w:val="center"/>
          </w:tcPr>
          <w:p w14:paraId="7F674BD3">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2"/>
                <w:szCs w:val="22"/>
                <w:highlight w:val="none"/>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r>
              <w:rPr>
                <w:rFonts w:hint="eastAsia" w:cs="Times New Roman"/>
                <w:i w:val="0"/>
                <w:iCs w:val="0"/>
                <w:color w:val="000000"/>
                <w:kern w:val="0"/>
                <w:sz w:val="21"/>
                <w:szCs w:val="21"/>
                <w:highlight w:val="none"/>
                <w:u w:val="none"/>
                <w:lang w:val="en-US" w:eastAsia="zh-CN" w:bidi="ar"/>
              </w:rPr>
              <w:t>1226</w:t>
            </w:r>
          </w:p>
        </w:tc>
      </w:tr>
      <w:tr w14:paraId="0CBA58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4EFFD888">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02AF1747">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废吸附剂</w:t>
            </w:r>
          </w:p>
        </w:tc>
        <w:tc>
          <w:tcPr>
            <w:tcW w:w="1407" w:type="dxa"/>
            <w:shd w:val="clear" w:color="auto" w:fill="auto"/>
            <w:vAlign w:val="center"/>
          </w:tcPr>
          <w:p w14:paraId="6781C29A">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101" w:type="dxa"/>
            <w:shd w:val="clear" w:color="auto" w:fill="auto"/>
            <w:vAlign w:val="center"/>
          </w:tcPr>
          <w:p w14:paraId="1DAD0EF7">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69" w:type="dxa"/>
            <w:shd w:val="clear" w:color="auto" w:fill="auto"/>
            <w:vAlign w:val="center"/>
          </w:tcPr>
          <w:p w14:paraId="3940640D">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58" w:type="dxa"/>
            <w:shd w:val="clear" w:color="auto" w:fill="auto"/>
            <w:vAlign w:val="center"/>
          </w:tcPr>
          <w:p w14:paraId="16355657">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0.24</w:t>
            </w:r>
          </w:p>
        </w:tc>
        <w:tc>
          <w:tcPr>
            <w:tcW w:w="1264" w:type="dxa"/>
            <w:shd w:val="clear" w:color="auto" w:fill="auto"/>
            <w:vAlign w:val="center"/>
          </w:tcPr>
          <w:p w14:paraId="722CB77D">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642" w:type="dxa"/>
            <w:shd w:val="clear" w:color="auto" w:fill="auto"/>
            <w:vAlign w:val="center"/>
          </w:tcPr>
          <w:p w14:paraId="1F5A14DE">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0.24</w:t>
            </w:r>
          </w:p>
        </w:tc>
        <w:tc>
          <w:tcPr>
            <w:tcW w:w="1396" w:type="dxa"/>
            <w:shd w:val="clear" w:color="auto" w:fill="auto"/>
            <w:vAlign w:val="center"/>
          </w:tcPr>
          <w:p w14:paraId="3AF3992E">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cs="Times New Roman"/>
                <w:color w:val="auto"/>
                <w:sz w:val="22"/>
                <w:szCs w:val="22"/>
                <w:highlight w:val="none"/>
                <w:lang w:val="en-US" w:eastAsia="zh-CN"/>
              </w:rPr>
              <w:t>+0.24</w:t>
            </w:r>
          </w:p>
        </w:tc>
      </w:tr>
      <w:tr w14:paraId="5944FD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54D4D465">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6A322876">
            <w:pPr>
              <w:widowControl/>
              <w:adjustRightInd w:val="0"/>
              <w:snapToGrid w:val="0"/>
              <w:spacing w:line="240" w:lineRule="auto"/>
              <w:jc w:val="center"/>
              <w:rPr>
                <w:rFonts w:hint="default"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废布袋</w:t>
            </w:r>
          </w:p>
        </w:tc>
        <w:tc>
          <w:tcPr>
            <w:tcW w:w="1407" w:type="dxa"/>
            <w:shd w:val="clear" w:color="auto" w:fill="auto"/>
            <w:vAlign w:val="center"/>
          </w:tcPr>
          <w:p w14:paraId="10F0A8AF">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101" w:type="dxa"/>
            <w:shd w:val="clear" w:color="auto" w:fill="auto"/>
            <w:vAlign w:val="center"/>
          </w:tcPr>
          <w:p w14:paraId="49A90E07">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69" w:type="dxa"/>
            <w:shd w:val="clear" w:color="auto" w:fill="auto"/>
            <w:vAlign w:val="center"/>
          </w:tcPr>
          <w:p w14:paraId="64030D66">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58" w:type="dxa"/>
            <w:shd w:val="clear" w:color="auto" w:fill="auto"/>
            <w:vAlign w:val="center"/>
          </w:tcPr>
          <w:p w14:paraId="010E1675">
            <w:pPr>
              <w:widowControl/>
              <w:adjustRightInd w:val="0"/>
              <w:snapToGrid w:val="0"/>
              <w:spacing w:line="240" w:lineRule="auto"/>
              <w:jc w:val="center"/>
              <w:rPr>
                <w:rFonts w:hint="default"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0.05</w:t>
            </w:r>
          </w:p>
        </w:tc>
        <w:tc>
          <w:tcPr>
            <w:tcW w:w="1264" w:type="dxa"/>
            <w:shd w:val="clear" w:color="auto" w:fill="auto"/>
            <w:vAlign w:val="center"/>
          </w:tcPr>
          <w:p w14:paraId="4C587965">
            <w:pPr>
              <w:widowControl/>
              <w:adjustRightInd w:val="0"/>
              <w:snapToGrid w:val="0"/>
              <w:spacing w:line="240" w:lineRule="auto"/>
              <w:jc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642" w:type="dxa"/>
            <w:shd w:val="clear" w:color="auto" w:fill="auto"/>
            <w:vAlign w:val="center"/>
          </w:tcPr>
          <w:p w14:paraId="6D8DFBD2">
            <w:pPr>
              <w:widowControl/>
              <w:adjustRightInd w:val="0"/>
              <w:snapToGrid w:val="0"/>
              <w:spacing w:line="240" w:lineRule="auto"/>
              <w:jc w:val="center"/>
              <w:rPr>
                <w:rFonts w:hint="default"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0.05</w:t>
            </w:r>
          </w:p>
        </w:tc>
        <w:tc>
          <w:tcPr>
            <w:tcW w:w="1396" w:type="dxa"/>
            <w:shd w:val="clear" w:color="auto" w:fill="auto"/>
            <w:vAlign w:val="center"/>
          </w:tcPr>
          <w:p w14:paraId="08F84046">
            <w:pPr>
              <w:widowControl/>
              <w:adjustRightInd w:val="0"/>
              <w:snapToGrid w:val="0"/>
              <w:spacing w:line="240" w:lineRule="auto"/>
              <w:jc w:val="center"/>
              <w:rPr>
                <w:rFonts w:hint="default" w:cs="Times New Roman"/>
                <w:color w:val="auto"/>
                <w:sz w:val="22"/>
                <w:szCs w:val="22"/>
                <w:highlight w:val="none"/>
                <w:lang w:val="en-US" w:eastAsia="zh-CN"/>
              </w:rPr>
            </w:pPr>
            <w:r>
              <w:rPr>
                <w:rFonts w:hint="eastAsia" w:cs="Times New Roman"/>
                <w:color w:val="auto"/>
                <w:sz w:val="22"/>
                <w:szCs w:val="22"/>
                <w:highlight w:val="none"/>
                <w:lang w:val="en-US" w:eastAsia="zh-CN"/>
              </w:rPr>
              <w:t>+0.05</w:t>
            </w:r>
          </w:p>
        </w:tc>
      </w:tr>
    </w:tbl>
    <w:p w14:paraId="586156F7">
      <w:pPr>
        <w:pStyle w:val="38"/>
        <w:spacing w:before="192" w:beforeLines="80" w:after="24"/>
        <w:jc w:val="left"/>
        <w:rPr>
          <w:rFonts w:hint="default" w:ascii="Times New Roman" w:hAnsi="Times New Roman" w:eastAsia="宋体" w:cs="Times New Roman"/>
          <w:snapToGrid w:val="0"/>
          <w:color w:val="auto"/>
          <w:spacing w:val="-6"/>
          <w:kern w:val="21"/>
          <w:sz w:val="24"/>
          <w:szCs w:val="24"/>
          <w:highlight w:val="none"/>
        </w:rPr>
      </w:pPr>
      <w:r>
        <w:rPr>
          <w:rFonts w:hint="default" w:ascii="Times New Roman" w:hAnsi="Times New Roman" w:eastAsia="宋体" w:cs="Times New Roman"/>
          <w:snapToGrid w:val="0"/>
          <w:color w:val="auto"/>
          <w:kern w:val="21"/>
          <w:sz w:val="24"/>
          <w:szCs w:val="24"/>
          <w:highlight w:val="none"/>
        </w:rPr>
        <w:t>注：</w:t>
      </w:r>
      <w:r>
        <w:rPr>
          <w:rFonts w:hint="default" w:ascii="Times New Roman" w:hAnsi="Times New Roman" w:eastAsia="宋体" w:cs="Times New Roman"/>
          <w:snapToGrid w:val="0"/>
          <w:color w:val="auto"/>
          <w:spacing w:val="-16"/>
          <w:kern w:val="21"/>
          <w:sz w:val="24"/>
          <w:szCs w:val="24"/>
          <w:highlight w:val="none"/>
        </w:rPr>
        <w:fldChar w:fldCharType="begin"/>
      </w:r>
      <w:r>
        <w:rPr>
          <w:rFonts w:hint="default" w:ascii="Times New Roman" w:hAnsi="Times New Roman" w:eastAsia="宋体" w:cs="Times New Roman"/>
          <w:snapToGrid w:val="0"/>
          <w:color w:val="auto"/>
          <w:spacing w:val="-16"/>
          <w:kern w:val="21"/>
          <w:sz w:val="24"/>
          <w:szCs w:val="24"/>
          <w:highlight w:val="none"/>
        </w:rPr>
        <w:instrText xml:space="preserve"> = 6 \* GB3 \* MERGEFORMAT </w:instrText>
      </w:r>
      <w:r>
        <w:rPr>
          <w:rFonts w:hint="default" w:ascii="Times New Roman" w:hAnsi="Times New Roman" w:eastAsia="宋体" w:cs="Times New Roman"/>
          <w:snapToGrid w:val="0"/>
          <w:color w:val="auto"/>
          <w:spacing w:val="-16"/>
          <w:kern w:val="21"/>
          <w:sz w:val="24"/>
          <w:szCs w:val="24"/>
          <w:highlight w:val="none"/>
        </w:rPr>
        <w:fldChar w:fldCharType="separate"/>
      </w:r>
      <w:r>
        <w:rPr>
          <w:rFonts w:hint="default" w:ascii="Times New Roman" w:hAnsi="Times New Roman" w:eastAsia="宋体" w:cs="Times New Roman"/>
          <w:color w:val="auto"/>
          <w:sz w:val="24"/>
          <w:szCs w:val="24"/>
          <w:highlight w:val="none"/>
        </w:rPr>
        <w:t>⑥</w:t>
      </w:r>
      <w:r>
        <w:rPr>
          <w:rFonts w:hint="default" w:ascii="Times New Roman" w:hAnsi="Times New Roman" w:eastAsia="宋体" w:cs="Times New Roman"/>
          <w:snapToGrid w:val="0"/>
          <w:color w:val="auto"/>
          <w:spacing w:val="-16"/>
          <w:kern w:val="21"/>
          <w:sz w:val="24"/>
          <w:szCs w:val="24"/>
          <w:highlight w:val="none"/>
        </w:rPr>
        <w:fldChar w:fldCharType="end"/>
      </w:r>
      <w:r>
        <w:rPr>
          <w:rFonts w:hint="default" w:ascii="Times New Roman" w:hAnsi="Times New Roman" w:eastAsia="宋体" w:cs="Times New Roman"/>
          <w:snapToGrid w:val="0"/>
          <w:color w:val="auto"/>
          <w:spacing w:val="-16"/>
          <w:kern w:val="21"/>
          <w:sz w:val="24"/>
          <w:szCs w:val="24"/>
          <w:highlight w:val="none"/>
        </w:rPr>
        <w:t>=</w:t>
      </w:r>
      <w:r>
        <w:rPr>
          <w:rFonts w:hint="default" w:ascii="Times New Roman" w:hAnsi="Times New Roman" w:eastAsia="宋体" w:cs="Times New Roman"/>
          <w:snapToGrid w:val="0"/>
          <w:color w:val="auto"/>
          <w:spacing w:val="-6"/>
          <w:kern w:val="21"/>
          <w:sz w:val="24"/>
          <w:szCs w:val="24"/>
          <w:highlight w:val="none"/>
        </w:rPr>
        <w:fldChar w:fldCharType="begin"/>
      </w:r>
      <w:r>
        <w:rPr>
          <w:rFonts w:hint="default" w:ascii="Times New Roman" w:hAnsi="Times New Roman" w:eastAsia="宋体" w:cs="Times New Roman"/>
          <w:snapToGrid w:val="0"/>
          <w:color w:val="auto"/>
          <w:spacing w:val="-6"/>
          <w:kern w:val="21"/>
          <w:sz w:val="24"/>
          <w:szCs w:val="24"/>
          <w:highlight w:val="none"/>
        </w:rPr>
        <w:instrText xml:space="preserve"> = 1 \* GB3 \* MERGEFORMAT </w:instrText>
      </w:r>
      <w:r>
        <w:rPr>
          <w:rFonts w:hint="default" w:ascii="Times New Roman" w:hAnsi="Times New Roman" w:eastAsia="宋体" w:cs="Times New Roman"/>
          <w:snapToGrid w:val="0"/>
          <w:color w:val="auto"/>
          <w:spacing w:val="-6"/>
          <w:kern w:val="21"/>
          <w:sz w:val="24"/>
          <w:szCs w:val="24"/>
          <w:highlight w:val="none"/>
        </w:rPr>
        <w:fldChar w:fldCharType="separate"/>
      </w:r>
      <w:r>
        <w:rPr>
          <w:rFonts w:hint="default" w:ascii="Times New Roman" w:hAnsi="Times New Roman" w:eastAsia="宋体" w:cs="Times New Roman"/>
          <w:color w:val="auto"/>
          <w:sz w:val="24"/>
          <w:szCs w:val="24"/>
          <w:highlight w:val="none"/>
        </w:rPr>
        <w:t>①</w:t>
      </w:r>
      <w:r>
        <w:rPr>
          <w:rFonts w:hint="default" w:ascii="Times New Roman" w:hAnsi="Times New Roman" w:eastAsia="宋体" w:cs="Times New Roman"/>
          <w:snapToGrid w:val="0"/>
          <w:color w:val="auto"/>
          <w:spacing w:val="-6"/>
          <w:kern w:val="21"/>
          <w:sz w:val="24"/>
          <w:szCs w:val="24"/>
          <w:highlight w:val="none"/>
        </w:rPr>
        <w:fldChar w:fldCharType="end"/>
      </w:r>
      <w:r>
        <w:rPr>
          <w:rFonts w:hint="default" w:ascii="Times New Roman" w:hAnsi="Times New Roman" w:eastAsia="宋体" w:cs="Times New Roman"/>
          <w:snapToGrid w:val="0"/>
          <w:color w:val="auto"/>
          <w:spacing w:val="-6"/>
          <w:kern w:val="21"/>
          <w:sz w:val="24"/>
          <w:szCs w:val="24"/>
          <w:highlight w:val="none"/>
        </w:rPr>
        <w:t>+</w:t>
      </w:r>
      <w:r>
        <w:rPr>
          <w:rFonts w:hint="default" w:ascii="Times New Roman" w:hAnsi="Times New Roman" w:eastAsia="宋体" w:cs="Times New Roman"/>
          <w:snapToGrid w:val="0"/>
          <w:color w:val="auto"/>
          <w:spacing w:val="-6"/>
          <w:kern w:val="21"/>
          <w:sz w:val="24"/>
          <w:szCs w:val="24"/>
          <w:highlight w:val="none"/>
        </w:rPr>
        <w:fldChar w:fldCharType="begin"/>
      </w:r>
      <w:r>
        <w:rPr>
          <w:rFonts w:hint="default" w:ascii="Times New Roman" w:hAnsi="Times New Roman" w:eastAsia="宋体" w:cs="Times New Roman"/>
          <w:snapToGrid w:val="0"/>
          <w:color w:val="auto"/>
          <w:spacing w:val="-6"/>
          <w:kern w:val="21"/>
          <w:sz w:val="24"/>
          <w:szCs w:val="24"/>
          <w:highlight w:val="none"/>
        </w:rPr>
        <w:instrText xml:space="preserve"> = 3 \* GB3 \* MERGEFORMAT </w:instrText>
      </w:r>
      <w:r>
        <w:rPr>
          <w:rFonts w:hint="default" w:ascii="Times New Roman" w:hAnsi="Times New Roman" w:eastAsia="宋体" w:cs="Times New Roman"/>
          <w:snapToGrid w:val="0"/>
          <w:color w:val="auto"/>
          <w:spacing w:val="-6"/>
          <w:kern w:val="21"/>
          <w:sz w:val="24"/>
          <w:szCs w:val="24"/>
          <w:highlight w:val="none"/>
        </w:rPr>
        <w:fldChar w:fldCharType="separate"/>
      </w:r>
      <w:r>
        <w:rPr>
          <w:rFonts w:hint="default" w:ascii="Times New Roman" w:hAnsi="Times New Roman" w:eastAsia="宋体" w:cs="Times New Roman"/>
          <w:color w:val="auto"/>
          <w:sz w:val="24"/>
          <w:szCs w:val="24"/>
          <w:highlight w:val="none"/>
        </w:rPr>
        <w:t>③</w:t>
      </w:r>
      <w:r>
        <w:rPr>
          <w:rFonts w:hint="default" w:ascii="Times New Roman" w:hAnsi="Times New Roman" w:eastAsia="宋体" w:cs="Times New Roman"/>
          <w:snapToGrid w:val="0"/>
          <w:color w:val="auto"/>
          <w:spacing w:val="-6"/>
          <w:kern w:val="21"/>
          <w:sz w:val="24"/>
          <w:szCs w:val="24"/>
          <w:highlight w:val="none"/>
        </w:rPr>
        <w:fldChar w:fldCharType="end"/>
      </w:r>
      <w:r>
        <w:rPr>
          <w:rFonts w:hint="default" w:ascii="Times New Roman" w:hAnsi="Times New Roman" w:eastAsia="宋体" w:cs="Times New Roman"/>
          <w:snapToGrid w:val="0"/>
          <w:color w:val="auto"/>
          <w:spacing w:val="-6"/>
          <w:kern w:val="21"/>
          <w:sz w:val="24"/>
          <w:szCs w:val="24"/>
          <w:highlight w:val="none"/>
        </w:rPr>
        <w:t>+</w:t>
      </w:r>
      <w:r>
        <w:rPr>
          <w:rFonts w:hint="default" w:ascii="Times New Roman" w:hAnsi="Times New Roman" w:eastAsia="宋体" w:cs="Times New Roman"/>
          <w:snapToGrid w:val="0"/>
          <w:color w:val="auto"/>
          <w:spacing w:val="-6"/>
          <w:kern w:val="21"/>
          <w:sz w:val="24"/>
          <w:szCs w:val="24"/>
          <w:highlight w:val="none"/>
        </w:rPr>
        <w:fldChar w:fldCharType="begin"/>
      </w:r>
      <w:r>
        <w:rPr>
          <w:rFonts w:hint="default" w:ascii="Times New Roman" w:hAnsi="Times New Roman" w:eastAsia="宋体" w:cs="Times New Roman"/>
          <w:snapToGrid w:val="0"/>
          <w:color w:val="auto"/>
          <w:spacing w:val="-6"/>
          <w:kern w:val="21"/>
          <w:sz w:val="24"/>
          <w:szCs w:val="24"/>
          <w:highlight w:val="none"/>
        </w:rPr>
        <w:instrText xml:space="preserve"> = 4 \* GB3 \* MERGEFORMAT </w:instrText>
      </w:r>
      <w:r>
        <w:rPr>
          <w:rFonts w:hint="default" w:ascii="Times New Roman" w:hAnsi="Times New Roman" w:eastAsia="宋体" w:cs="Times New Roman"/>
          <w:snapToGrid w:val="0"/>
          <w:color w:val="auto"/>
          <w:spacing w:val="-6"/>
          <w:kern w:val="21"/>
          <w:sz w:val="24"/>
          <w:szCs w:val="24"/>
          <w:highlight w:val="none"/>
        </w:rPr>
        <w:fldChar w:fldCharType="separate"/>
      </w:r>
      <w:r>
        <w:rPr>
          <w:rFonts w:hint="default" w:ascii="Times New Roman" w:hAnsi="Times New Roman" w:eastAsia="宋体" w:cs="Times New Roman"/>
          <w:color w:val="auto"/>
          <w:sz w:val="24"/>
          <w:szCs w:val="24"/>
          <w:highlight w:val="none"/>
        </w:rPr>
        <w:t>④</w:t>
      </w:r>
      <w:r>
        <w:rPr>
          <w:rFonts w:hint="default" w:ascii="Times New Roman" w:hAnsi="Times New Roman" w:eastAsia="宋体" w:cs="Times New Roman"/>
          <w:snapToGrid w:val="0"/>
          <w:color w:val="auto"/>
          <w:spacing w:val="-6"/>
          <w:kern w:val="21"/>
          <w:sz w:val="24"/>
          <w:szCs w:val="24"/>
          <w:highlight w:val="none"/>
        </w:rPr>
        <w:fldChar w:fldCharType="end"/>
      </w:r>
      <w:r>
        <w:rPr>
          <w:rFonts w:hint="default" w:ascii="Times New Roman" w:hAnsi="Times New Roman" w:eastAsia="宋体" w:cs="Times New Roman"/>
          <w:snapToGrid w:val="0"/>
          <w:color w:val="auto"/>
          <w:spacing w:val="-6"/>
          <w:kern w:val="21"/>
          <w:sz w:val="24"/>
          <w:szCs w:val="24"/>
          <w:highlight w:val="none"/>
        </w:rPr>
        <w:t>-</w:t>
      </w:r>
      <w:r>
        <w:rPr>
          <w:rFonts w:hint="default" w:ascii="Times New Roman" w:hAnsi="Times New Roman" w:eastAsia="宋体" w:cs="Times New Roman"/>
          <w:snapToGrid w:val="0"/>
          <w:color w:val="auto"/>
          <w:spacing w:val="-16"/>
          <w:kern w:val="21"/>
          <w:sz w:val="24"/>
          <w:szCs w:val="24"/>
          <w:highlight w:val="none"/>
        </w:rPr>
        <w:fldChar w:fldCharType="begin"/>
      </w:r>
      <w:r>
        <w:rPr>
          <w:rFonts w:hint="default" w:ascii="Times New Roman" w:hAnsi="Times New Roman" w:eastAsia="宋体" w:cs="Times New Roman"/>
          <w:snapToGrid w:val="0"/>
          <w:color w:val="auto"/>
          <w:spacing w:val="-16"/>
          <w:kern w:val="21"/>
          <w:sz w:val="24"/>
          <w:szCs w:val="24"/>
          <w:highlight w:val="none"/>
        </w:rPr>
        <w:instrText xml:space="preserve"> = 5 \* GB3 \* MERGEFORMAT </w:instrText>
      </w:r>
      <w:r>
        <w:rPr>
          <w:rFonts w:hint="default" w:ascii="Times New Roman" w:hAnsi="Times New Roman" w:eastAsia="宋体" w:cs="Times New Roman"/>
          <w:snapToGrid w:val="0"/>
          <w:color w:val="auto"/>
          <w:spacing w:val="-16"/>
          <w:kern w:val="21"/>
          <w:sz w:val="24"/>
          <w:szCs w:val="24"/>
          <w:highlight w:val="none"/>
        </w:rPr>
        <w:fldChar w:fldCharType="separate"/>
      </w:r>
      <w:r>
        <w:rPr>
          <w:rFonts w:hint="default" w:ascii="Times New Roman" w:hAnsi="Times New Roman" w:eastAsia="宋体" w:cs="Times New Roman"/>
          <w:color w:val="auto"/>
          <w:sz w:val="24"/>
          <w:szCs w:val="24"/>
          <w:highlight w:val="none"/>
        </w:rPr>
        <w:t>⑤</w:t>
      </w:r>
      <w:r>
        <w:rPr>
          <w:rFonts w:hint="default" w:ascii="Times New Roman" w:hAnsi="Times New Roman" w:eastAsia="宋体" w:cs="Times New Roman"/>
          <w:snapToGrid w:val="0"/>
          <w:color w:val="auto"/>
          <w:spacing w:val="-16"/>
          <w:kern w:val="21"/>
          <w:sz w:val="24"/>
          <w:szCs w:val="24"/>
          <w:highlight w:val="none"/>
        </w:rPr>
        <w:fldChar w:fldCharType="end"/>
      </w:r>
      <w:r>
        <w:rPr>
          <w:rFonts w:hint="default" w:ascii="Times New Roman" w:hAnsi="Times New Roman" w:eastAsia="宋体" w:cs="Times New Roman"/>
          <w:snapToGrid w:val="0"/>
          <w:color w:val="auto"/>
          <w:spacing w:val="-16"/>
          <w:kern w:val="21"/>
          <w:sz w:val="24"/>
          <w:szCs w:val="24"/>
          <w:highlight w:val="none"/>
        </w:rPr>
        <w:t>；</w:t>
      </w:r>
      <w:r>
        <w:rPr>
          <w:rFonts w:hint="default" w:ascii="Times New Roman" w:hAnsi="Times New Roman" w:eastAsia="宋体" w:cs="Times New Roman"/>
          <w:snapToGrid w:val="0"/>
          <w:color w:val="auto"/>
          <w:spacing w:val="-6"/>
          <w:kern w:val="21"/>
          <w:sz w:val="24"/>
          <w:szCs w:val="24"/>
          <w:highlight w:val="none"/>
        </w:rPr>
        <w:fldChar w:fldCharType="begin"/>
      </w:r>
      <w:r>
        <w:rPr>
          <w:rFonts w:hint="default" w:ascii="Times New Roman" w:hAnsi="Times New Roman" w:eastAsia="宋体" w:cs="Times New Roman"/>
          <w:snapToGrid w:val="0"/>
          <w:color w:val="auto"/>
          <w:spacing w:val="-6"/>
          <w:kern w:val="21"/>
          <w:sz w:val="24"/>
          <w:szCs w:val="24"/>
          <w:highlight w:val="none"/>
        </w:rPr>
        <w:instrText xml:space="preserve"> = 7 \* GB3 \* MERGEFORMAT </w:instrText>
      </w:r>
      <w:r>
        <w:rPr>
          <w:rFonts w:hint="default" w:ascii="Times New Roman" w:hAnsi="Times New Roman" w:eastAsia="宋体" w:cs="Times New Roman"/>
          <w:snapToGrid w:val="0"/>
          <w:color w:val="auto"/>
          <w:spacing w:val="-6"/>
          <w:kern w:val="21"/>
          <w:sz w:val="24"/>
          <w:szCs w:val="24"/>
          <w:highlight w:val="none"/>
        </w:rPr>
        <w:fldChar w:fldCharType="separate"/>
      </w:r>
      <w:r>
        <w:rPr>
          <w:rFonts w:hint="default" w:ascii="Times New Roman" w:hAnsi="Times New Roman" w:eastAsia="宋体" w:cs="Times New Roman"/>
          <w:color w:val="auto"/>
          <w:sz w:val="24"/>
          <w:szCs w:val="24"/>
          <w:highlight w:val="none"/>
        </w:rPr>
        <w:t>⑦</w:t>
      </w:r>
      <w:r>
        <w:rPr>
          <w:rFonts w:hint="default" w:ascii="Times New Roman" w:hAnsi="Times New Roman" w:eastAsia="宋体" w:cs="Times New Roman"/>
          <w:snapToGrid w:val="0"/>
          <w:color w:val="auto"/>
          <w:spacing w:val="-6"/>
          <w:kern w:val="21"/>
          <w:sz w:val="24"/>
          <w:szCs w:val="24"/>
          <w:highlight w:val="none"/>
        </w:rPr>
        <w:fldChar w:fldCharType="end"/>
      </w:r>
      <w:r>
        <w:rPr>
          <w:rFonts w:hint="default" w:ascii="Times New Roman" w:hAnsi="Times New Roman" w:eastAsia="宋体" w:cs="Times New Roman"/>
          <w:snapToGrid w:val="0"/>
          <w:color w:val="auto"/>
          <w:spacing w:val="-6"/>
          <w:kern w:val="21"/>
          <w:sz w:val="24"/>
          <w:szCs w:val="24"/>
          <w:highlight w:val="none"/>
        </w:rPr>
        <w:t>=</w:t>
      </w:r>
      <w:r>
        <w:rPr>
          <w:rFonts w:hint="default" w:ascii="Times New Roman" w:hAnsi="Times New Roman" w:eastAsia="宋体" w:cs="Times New Roman"/>
          <w:snapToGrid w:val="0"/>
          <w:color w:val="auto"/>
          <w:spacing w:val="-16"/>
          <w:kern w:val="21"/>
          <w:sz w:val="24"/>
          <w:szCs w:val="24"/>
          <w:highlight w:val="none"/>
        </w:rPr>
        <w:fldChar w:fldCharType="begin"/>
      </w:r>
      <w:r>
        <w:rPr>
          <w:rFonts w:hint="default" w:ascii="Times New Roman" w:hAnsi="Times New Roman" w:eastAsia="宋体" w:cs="Times New Roman"/>
          <w:snapToGrid w:val="0"/>
          <w:color w:val="auto"/>
          <w:spacing w:val="-16"/>
          <w:kern w:val="21"/>
          <w:sz w:val="24"/>
          <w:szCs w:val="24"/>
          <w:highlight w:val="none"/>
        </w:rPr>
        <w:instrText xml:space="preserve"> = 6 \* GB3 \* MERGEFORMAT </w:instrText>
      </w:r>
      <w:r>
        <w:rPr>
          <w:rFonts w:hint="default" w:ascii="Times New Roman" w:hAnsi="Times New Roman" w:eastAsia="宋体" w:cs="Times New Roman"/>
          <w:snapToGrid w:val="0"/>
          <w:color w:val="auto"/>
          <w:spacing w:val="-16"/>
          <w:kern w:val="21"/>
          <w:sz w:val="24"/>
          <w:szCs w:val="24"/>
          <w:highlight w:val="none"/>
        </w:rPr>
        <w:fldChar w:fldCharType="separate"/>
      </w:r>
      <w:r>
        <w:rPr>
          <w:rFonts w:hint="default" w:ascii="Times New Roman" w:hAnsi="Times New Roman" w:eastAsia="宋体" w:cs="Times New Roman"/>
          <w:color w:val="auto"/>
          <w:sz w:val="24"/>
          <w:szCs w:val="24"/>
          <w:highlight w:val="none"/>
        </w:rPr>
        <w:t>⑥</w:t>
      </w:r>
      <w:r>
        <w:rPr>
          <w:rFonts w:hint="default" w:ascii="Times New Roman" w:hAnsi="Times New Roman" w:eastAsia="宋体" w:cs="Times New Roman"/>
          <w:snapToGrid w:val="0"/>
          <w:color w:val="auto"/>
          <w:spacing w:val="-16"/>
          <w:kern w:val="21"/>
          <w:sz w:val="24"/>
          <w:szCs w:val="24"/>
          <w:highlight w:val="none"/>
        </w:rPr>
        <w:fldChar w:fldCharType="end"/>
      </w:r>
      <w:r>
        <w:rPr>
          <w:rFonts w:hint="default" w:ascii="Times New Roman" w:hAnsi="Times New Roman" w:eastAsia="宋体" w:cs="Times New Roman"/>
          <w:snapToGrid w:val="0"/>
          <w:color w:val="auto"/>
          <w:spacing w:val="-16"/>
          <w:kern w:val="21"/>
          <w:sz w:val="24"/>
          <w:szCs w:val="24"/>
          <w:highlight w:val="none"/>
        </w:rPr>
        <w:t>-</w:t>
      </w:r>
      <w:r>
        <w:rPr>
          <w:rFonts w:hint="default" w:ascii="Times New Roman" w:hAnsi="Times New Roman" w:eastAsia="宋体" w:cs="Times New Roman"/>
          <w:snapToGrid w:val="0"/>
          <w:color w:val="auto"/>
          <w:spacing w:val="-6"/>
          <w:kern w:val="21"/>
          <w:sz w:val="24"/>
          <w:szCs w:val="24"/>
          <w:highlight w:val="none"/>
        </w:rPr>
        <w:fldChar w:fldCharType="begin"/>
      </w:r>
      <w:r>
        <w:rPr>
          <w:rFonts w:hint="default" w:ascii="Times New Roman" w:hAnsi="Times New Roman" w:eastAsia="宋体" w:cs="Times New Roman"/>
          <w:snapToGrid w:val="0"/>
          <w:color w:val="auto"/>
          <w:spacing w:val="-6"/>
          <w:kern w:val="21"/>
          <w:sz w:val="24"/>
          <w:szCs w:val="24"/>
          <w:highlight w:val="none"/>
        </w:rPr>
        <w:instrText xml:space="preserve"> = 1 \* GB3 \* MERGEFORMAT </w:instrText>
      </w:r>
      <w:r>
        <w:rPr>
          <w:rFonts w:hint="default" w:ascii="Times New Roman" w:hAnsi="Times New Roman" w:eastAsia="宋体" w:cs="Times New Roman"/>
          <w:snapToGrid w:val="0"/>
          <w:color w:val="auto"/>
          <w:spacing w:val="-6"/>
          <w:kern w:val="21"/>
          <w:sz w:val="24"/>
          <w:szCs w:val="24"/>
          <w:highlight w:val="none"/>
        </w:rPr>
        <w:fldChar w:fldCharType="separate"/>
      </w:r>
      <w:r>
        <w:rPr>
          <w:rFonts w:hint="default" w:ascii="Times New Roman" w:hAnsi="Times New Roman" w:eastAsia="宋体" w:cs="Times New Roman"/>
          <w:color w:val="auto"/>
          <w:sz w:val="24"/>
          <w:szCs w:val="24"/>
          <w:highlight w:val="none"/>
        </w:rPr>
        <w:t>①</w:t>
      </w:r>
      <w:r>
        <w:rPr>
          <w:rFonts w:hint="default" w:ascii="Times New Roman" w:hAnsi="Times New Roman" w:eastAsia="宋体" w:cs="Times New Roman"/>
          <w:snapToGrid w:val="0"/>
          <w:color w:val="auto"/>
          <w:spacing w:val="-6"/>
          <w:kern w:val="21"/>
          <w:sz w:val="24"/>
          <w:szCs w:val="24"/>
          <w:highlight w:val="none"/>
        </w:rPr>
        <w:fldChar w:fldCharType="end"/>
      </w:r>
    </w:p>
    <w:p w14:paraId="295217E6">
      <w:pPr>
        <w:pStyle w:val="14"/>
        <w:adjustRightInd w:val="0"/>
        <w:snapToGrid w:val="0"/>
        <w:spacing w:before="0" w:beforeAutospacing="0" w:after="0" w:afterAutospacing="0"/>
        <w:jc w:val="both"/>
        <w:outlineLvl w:val="0"/>
        <w:rPr>
          <w:rFonts w:hint="default" w:ascii="Times New Roman" w:hAnsi="Times New Roman" w:eastAsia="宋体" w:cs="Times New Roman"/>
          <w:b/>
          <w:color w:val="auto"/>
          <w:sz w:val="36"/>
          <w:szCs w:val="36"/>
          <w:highlight w:val="none"/>
          <w:lang w:val="en-US" w:eastAsia="zh-CN"/>
        </w:rPr>
      </w:pPr>
    </w:p>
    <w:p w14:paraId="49D2903D">
      <w:pPr>
        <w:pStyle w:val="14"/>
        <w:adjustRightInd w:val="0"/>
        <w:snapToGrid w:val="0"/>
        <w:spacing w:before="0" w:beforeAutospacing="0" w:after="0" w:afterAutospacing="0"/>
        <w:jc w:val="both"/>
        <w:outlineLvl w:val="0"/>
        <w:rPr>
          <w:rFonts w:hint="default" w:ascii="Times New Roman" w:hAnsi="Times New Roman" w:eastAsia="宋体" w:cs="Times New Roman"/>
          <w:b/>
          <w:color w:val="auto"/>
          <w:sz w:val="36"/>
          <w:szCs w:val="36"/>
          <w:highlight w:val="none"/>
          <w:lang w:val="en-US" w:eastAsia="zh-CN"/>
        </w:rPr>
      </w:pPr>
    </w:p>
    <w:p w14:paraId="1C47F756">
      <w:pPr>
        <w:pStyle w:val="14"/>
        <w:adjustRightInd w:val="0"/>
        <w:snapToGrid w:val="0"/>
        <w:spacing w:before="0" w:beforeAutospacing="0" w:after="0" w:afterAutospacing="0"/>
        <w:jc w:val="both"/>
        <w:outlineLvl w:val="0"/>
        <w:rPr>
          <w:rFonts w:hint="default" w:ascii="Times New Roman" w:hAnsi="Times New Roman" w:eastAsia="宋体" w:cs="Times New Roman"/>
          <w:b/>
          <w:color w:val="auto"/>
          <w:sz w:val="36"/>
          <w:szCs w:val="36"/>
          <w:highlight w:val="none"/>
          <w:lang w:val="en-US" w:eastAsia="zh-CN"/>
        </w:rPr>
      </w:pPr>
    </w:p>
    <w:p w14:paraId="5A07DDD9">
      <w:pPr>
        <w:pStyle w:val="14"/>
        <w:adjustRightInd w:val="0"/>
        <w:snapToGrid w:val="0"/>
        <w:spacing w:before="0" w:beforeAutospacing="0" w:after="0" w:afterAutospacing="0"/>
        <w:jc w:val="both"/>
        <w:outlineLvl w:val="0"/>
        <w:rPr>
          <w:rFonts w:hint="default" w:ascii="Times New Roman" w:hAnsi="Times New Roman" w:eastAsia="宋体" w:cs="Times New Roman"/>
          <w:b/>
          <w:color w:val="auto"/>
          <w:sz w:val="36"/>
          <w:szCs w:val="36"/>
          <w:highlight w:val="none"/>
          <w:lang w:val="en-US" w:eastAsia="zh-CN"/>
        </w:rPr>
      </w:pPr>
    </w:p>
    <w:p w14:paraId="753E3E96">
      <w:pPr>
        <w:pStyle w:val="14"/>
        <w:adjustRightInd w:val="0"/>
        <w:snapToGrid w:val="0"/>
        <w:spacing w:before="0" w:beforeAutospacing="0" w:after="0" w:afterAutospacing="0"/>
        <w:jc w:val="both"/>
        <w:outlineLvl w:val="0"/>
        <w:rPr>
          <w:rFonts w:hint="default" w:ascii="Times New Roman" w:hAnsi="Times New Roman" w:eastAsia="宋体" w:cs="Times New Roman"/>
          <w:b/>
          <w:color w:val="auto"/>
          <w:sz w:val="36"/>
          <w:szCs w:val="36"/>
          <w:highlight w:val="none"/>
          <w:lang w:val="en-US" w:eastAsia="zh-CN"/>
        </w:rPr>
      </w:pPr>
    </w:p>
    <w:p w14:paraId="4E51C447">
      <w:pPr>
        <w:numPr>
          <w:ilvl w:val="0"/>
          <w:numId w:val="0"/>
        </w:numPr>
        <w:adjustRightInd w:val="0"/>
        <w:snapToGrid w:val="0"/>
        <w:spacing w:line="360" w:lineRule="auto"/>
        <w:ind w:leftChars="0"/>
        <w:jc w:val="center"/>
        <w:rPr>
          <w:rFonts w:hint="default" w:ascii="Times New Roman" w:hAnsi="Times New Roman" w:eastAsia="宋体" w:cs="Times New Roman"/>
        </w:rPr>
      </w:pPr>
    </w:p>
    <w:p w14:paraId="76A67553">
      <w:pPr>
        <w:numPr>
          <w:ilvl w:val="0"/>
          <w:numId w:val="0"/>
        </w:numPr>
        <w:adjustRightInd w:val="0"/>
        <w:snapToGrid w:val="0"/>
        <w:spacing w:line="360" w:lineRule="auto"/>
        <w:ind w:leftChars="0"/>
        <w:jc w:val="center"/>
        <w:rPr>
          <w:rFonts w:hint="default" w:ascii="Times New Roman" w:hAnsi="Times New Roman" w:eastAsia="宋体" w:cs="Times New Roman"/>
        </w:rPr>
      </w:pPr>
      <w:r>
        <w:rPr>
          <w:rFonts w:hint="default" w:ascii="Times New Roman" w:hAnsi="Times New Roman" w:eastAsia="宋体" w:cs="Times New Roman"/>
        </w:rPr>
        <w:drawing>
          <wp:anchor distT="0" distB="0" distL="114300" distR="114300" simplePos="0" relativeHeight="251722752" behindDoc="0" locked="0" layoutInCell="1" allowOverlap="1">
            <wp:simplePos x="0" y="0"/>
            <wp:positionH relativeFrom="column">
              <wp:posOffset>7608570</wp:posOffset>
            </wp:positionH>
            <wp:positionV relativeFrom="paragraph">
              <wp:posOffset>22860</wp:posOffset>
            </wp:positionV>
            <wp:extent cx="534035" cy="560070"/>
            <wp:effectExtent l="0" t="0" r="14605" b="3810"/>
            <wp:wrapNone/>
            <wp:docPr id="2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
                    <pic:cNvPicPr>
                      <a:picLocks noChangeAspect="1"/>
                    </pic:cNvPicPr>
                  </pic:nvPicPr>
                  <pic:blipFill>
                    <a:blip r:embed="rId43"/>
                    <a:stretch>
                      <a:fillRect/>
                    </a:stretch>
                  </pic:blipFill>
                  <pic:spPr>
                    <a:xfrm>
                      <a:off x="0" y="0"/>
                      <a:ext cx="534035" cy="560070"/>
                    </a:xfrm>
                    <a:prstGeom prst="rect">
                      <a:avLst/>
                    </a:prstGeom>
                    <a:noFill/>
                    <a:ln>
                      <a:noFill/>
                    </a:ln>
                  </pic:spPr>
                </pic:pic>
              </a:graphicData>
            </a:graphic>
          </wp:anchor>
        </w:drawing>
      </w:r>
      <w:r>
        <w:rPr>
          <w:rFonts w:hint="default" w:ascii="Times New Roman" w:hAnsi="Times New Roman" w:eastAsia="宋体" w:cs="Times New Roman"/>
        </w:rPr>
        <w:drawing>
          <wp:inline distT="0" distB="0" distL="114300" distR="114300">
            <wp:extent cx="7322820" cy="4732020"/>
            <wp:effectExtent l="0" t="0" r="7620" b="762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pic:cNvPicPr>
                  </pic:nvPicPr>
                  <pic:blipFill>
                    <a:blip r:embed="rId44"/>
                    <a:stretch>
                      <a:fillRect/>
                    </a:stretch>
                  </pic:blipFill>
                  <pic:spPr>
                    <a:xfrm>
                      <a:off x="0" y="0"/>
                      <a:ext cx="7322820" cy="4732020"/>
                    </a:xfrm>
                    <a:prstGeom prst="rect">
                      <a:avLst/>
                    </a:prstGeom>
                    <a:noFill/>
                    <a:ln>
                      <a:noFill/>
                    </a:ln>
                  </pic:spPr>
                </pic:pic>
              </a:graphicData>
            </a:graphic>
          </wp:inline>
        </w:drawing>
      </w:r>
      <w:r>
        <w:rPr>
          <w:rFonts w:hint="default" w:ascii="Times New Roman" w:hAnsi="Times New Roman" w:eastAsia="宋体" w:cs="Times New Roman"/>
          <w:sz w:val="21"/>
        </w:rPr>
        <mc:AlternateContent>
          <mc:Choice Requires="wps">
            <w:drawing>
              <wp:anchor distT="0" distB="0" distL="114300" distR="114300" simplePos="0" relativeHeight="251711488" behindDoc="0" locked="0" layoutInCell="1" allowOverlap="1">
                <wp:simplePos x="0" y="0"/>
                <wp:positionH relativeFrom="column">
                  <wp:posOffset>3877945</wp:posOffset>
                </wp:positionH>
                <wp:positionV relativeFrom="paragraph">
                  <wp:posOffset>2275205</wp:posOffset>
                </wp:positionV>
                <wp:extent cx="160655" cy="134620"/>
                <wp:effectExtent l="21590" t="18415" r="31115" b="29845"/>
                <wp:wrapNone/>
                <wp:docPr id="104" name="五角星 104"/>
                <wp:cNvGraphicFramePr/>
                <a:graphic xmlns:a="http://schemas.openxmlformats.org/drawingml/2006/main">
                  <a:graphicData uri="http://schemas.microsoft.com/office/word/2010/wordprocessingShape">
                    <wps:wsp>
                      <wps:cNvSpPr/>
                      <wps:spPr>
                        <a:xfrm>
                          <a:off x="4784090" y="3434715"/>
                          <a:ext cx="160655" cy="134620"/>
                        </a:xfrm>
                        <a:prstGeom prst="star5">
                          <a:avLst/>
                        </a:prstGeom>
                        <a:solidFill>
                          <a:srgbClr val="FF00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05.35pt;margin-top:179.15pt;height:10.6pt;width:12.65pt;z-index:251711488;v-text-anchor:middle;mso-width-relative:page;mso-height-relative:page;" fillcolor="#FF0000" filled="t" stroked="t" coordsize="160655,134620" o:gfxdata="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Ky2E+bbAAAACwEAAA8AAAAAAAAAAQAgAAAAIgAAAGRycy9kb3ducmV2LnhtbFBLAQIU&#10;ABQAAAAIAIdO4kAA3piFmwIAACkFAAAOAAAAAAAAAAEAIAAAACoBAABkcnMvZTJvRG9jLnhtbFBL&#10;BQYAAAAABgAGAFkBAAA3BgAAAAA=&#10;" path="m0,51420l61365,51420,80327,0,99289,51420,160654,51420,111009,83199,129972,134619,80327,102839,30682,134619,49645,83199xe">
                <v:path o:connectlocs="80327,0;0,51420;30682,134619;129972,134619;160654,51420" o:connectangles="247,164,82,82,0"/>
                <v:fill on="t" focussize="0,0"/>
                <v:stroke weight="1pt" color="#2E75B6 [2404]" miterlimit="8" joinstyle="miter"/>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95104" behindDoc="0" locked="0" layoutInCell="1" allowOverlap="1">
                <wp:simplePos x="0" y="0"/>
                <wp:positionH relativeFrom="column">
                  <wp:posOffset>4563745</wp:posOffset>
                </wp:positionH>
                <wp:positionV relativeFrom="paragraph">
                  <wp:posOffset>1839595</wp:posOffset>
                </wp:positionV>
                <wp:extent cx="1167765" cy="270510"/>
                <wp:effectExtent l="0" t="0" r="0" b="0"/>
                <wp:wrapNone/>
                <wp:docPr id="81" name="文本框 81"/>
                <wp:cNvGraphicFramePr/>
                <a:graphic xmlns:a="http://schemas.openxmlformats.org/drawingml/2006/main">
                  <a:graphicData uri="http://schemas.microsoft.com/office/word/2010/wordprocessingShape">
                    <wps:wsp>
                      <wps:cNvSpPr txBox="1"/>
                      <wps:spPr>
                        <a:xfrm>
                          <a:off x="5461000" y="3111500"/>
                          <a:ext cx="1167765" cy="270510"/>
                        </a:xfrm>
                        <a:prstGeom prst="rect">
                          <a:avLst/>
                        </a:prstGeom>
                        <a:ln>
                          <a:noFill/>
                        </a:ln>
                      </wps:spPr>
                      <wps:style>
                        <a:lnRef idx="2">
                          <a:schemeClr val="accent1"/>
                        </a:lnRef>
                        <a:fillRef idx="0">
                          <a:srgbClr val="FFFFFF"/>
                        </a:fillRef>
                        <a:effectRef idx="0">
                          <a:srgbClr val="FFFFFF"/>
                        </a:effectRef>
                        <a:fontRef idx="minor">
                          <a:schemeClr val="tx1"/>
                        </a:fontRef>
                      </wps:style>
                      <wps:txbx>
                        <w:txbxContent>
                          <w:p w14:paraId="72BE2134">
                            <w:pPr>
                              <w:rPr>
                                <w:rFonts w:hint="default" w:eastAsia="宋体"/>
                                <w:color w:val="FF0000"/>
                                <w:lang w:val="en-US" w:eastAsia="zh-CN"/>
                              </w:rPr>
                            </w:pPr>
                            <w:r>
                              <w:rPr>
                                <w:rFonts w:hint="eastAsia"/>
                                <w:color w:val="FF0000"/>
                                <w:lang w:val="en-US" w:eastAsia="zh-CN"/>
                              </w:rPr>
                              <w:t>本项目位置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9.35pt;margin-top:144.85pt;height:21.3pt;width:91.95pt;z-index:251695104;mso-width-relative:page;mso-height-relative:page;" filled="f" stroked="f" coordsize="21600,21600" o:gfxdata="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OtfMB2QAAAAsBAAAPAAAAAAAAAAEAIAAAACIAAABkcnMv&#10;ZG93bnJldi54bWxQSwECFAAUAAAACACHTuJAkFvRPnQCAADGBAAADgAAAAAAAAABACAAAAAoAQAA&#10;ZHJzL2Uyb0RvYy54bWxQSwUGAAAAAAYABgBZAQAADgYAAAAA&#10;">
                <v:fill on="f" focussize="0,0"/>
                <v:stroke on="f" weight="1pt" miterlimit="8" joinstyle="miter"/>
                <v:imagedata o:title=""/>
                <o:lock v:ext="edit" aspectratio="f"/>
                <v:textbox>
                  <w:txbxContent>
                    <w:p w14:paraId="72BE2134">
                      <w:pPr>
                        <w:rPr>
                          <w:rFonts w:hint="default" w:eastAsia="宋体"/>
                          <w:color w:val="FF0000"/>
                          <w:lang w:val="en-US" w:eastAsia="zh-CN"/>
                        </w:rPr>
                      </w:pPr>
                      <w:r>
                        <w:rPr>
                          <w:rFonts w:hint="eastAsia"/>
                          <w:color w:val="FF0000"/>
                          <w:lang w:val="en-US" w:eastAsia="zh-CN"/>
                        </w:rPr>
                        <w:t>本项目位置</w:t>
                      </w:r>
                    </w:p>
                  </w:txbxContent>
                </v:textbox>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94080" behindDoc="0" locked="0" layoutInCell="1" allowOverlap="1">
                <wp:simplePos x="0" y="0"/>
                <wp:positionH relativeFrom="column">
                  <wp:posOffset>4037965</wp:posOffset>
                </wp:positionH>
                <wp:positionV relativeFrom="paragraph">
                  <wp:posOffset>2137410</wp:posOffset>
                </wp:positionV>
                <wp:extent cx="1236980" cy="194945"/>
                <wp:effectExtent l="0" t="6350" r="12700" b="57785"/>
                <wp:wrapNone/>
                <wp:docPr id="80" name="肘形连接符 80"/>
                <wp:cNvGraphicFramePr/>
                <a:graphic xmlns:a="http://schemas.openxmlformats.org/drawingml/2006/main">
                  <a:graphicData uri="http://schemas.microsoft.com/office/word/2010/wordprocessingShape">
                    <wps:wsp>
                      <wps:cNvCnPr/>
                      <wps:spPr>
                        <a:xfrm rot="10800000" flipV="1">
                          <a:off x="4241800" y="2891155"/>
                          <a:ext cx="1236980" cy="194945"/>
                        </a:xfrm>
                        <a:prstGeom prst="bentConnector3">
                          <a:avLst>
                            <a:gd name="adj1" fmla="val 58213"/>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4" type="#_x0000_t34" style="position:absolute;left:0pt;flip:y;margin-left:317.95pt;margin-top:168.3pt;height:15.35pt;width:97.4pt;rotation:11796480f;z-index:251694080;mso-width-relative:page;mso-height-relative:page;" filled="f" stroked="t" coordsize="21600,21600" o:gfxdata="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DyyHj2wAAAAsBAAAPAAAAAAAAAAEAIAAAACIAAABkcnMv&#10;ZG93bnJldi54bWxQSwECFAAUAAAACACHTuJANyxb3TkCAAAuBAAADgAAAAAAAAABACAAAAAqAQAA&#10;ZHJzL2Uyb0RvYy54bWxQSwUGAAAAAAYABgBZAQAA1QUAAAAA&#10;" adj="12574">
                <v:fill on="f" focussize="0,0"/>
                <v:stroke weight="1pt" color="#FF0000 [3204]" miterlimit="8" joinstyle="miter" endarrow="open"/>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93056" behindDoc="0" locked="0" layoutInCell="1" allowOverlap="1">
                <wp:simplePos x="0" y="0"/>
                <wp:positionH relativeFrom="column">
                  <wp:posOffset>753745</wp:posOffset>
                </wp:positionH>
                <wp:positionV relativeFrom="paragraph">
                  <wp:posOffset>-4445</wp:posOffset>
                </wp:positionV>
                <wp:extent cx="7381875" cy="4782820"/>
                <wp:effectExtent l="19050" t="19050" r="20955" b="29210"/>
                <wp:wrapNone/>
                <wp:docPr id="75" name="矩形 75"/>
                <wp:cNvGraphicFramePr/>
                <a:graphic xmlns:a="http://schemas.openxmlformats.org/drawingml/2006/main">
                  <a:graphicData uri="http://schemas.microsoft.com/office/word/2010/wordprocessingShape">
                    <wps:wsp>
                      <wps:cNvSpPr/>
                      <wps:spPr>
                        <a:xfrm>
                          <a:off x="1668145" y="1138555"/>
                          <a:ext cx="7381875" cy="4782820"/>
                        </a:xfrm>
                        <a:prstGeom prst="rect">
                          <a:avLst/>
                        </a:prstGeom>
                        <a:ln w="38100"/>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9.35pt;margin-top:-0.35pt;height:376.6pt;width:581.25pt;z-index:251693056;v-text-anchor:middle;mso-width-relative:page;mso-height-relative:page;" filled="f" stroked="t" coordsize="21600,21600" o:gfxdata="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CX0f8A1wAAAAoBAAAPAAAAAAAAAAEAIAAAACIA&#10;AABkcnMvZG93bnJldi54bWxQSwECFAAUAAAACACHTuJAjZ+OvHwCAADaBAAADgAAAAAAAAABACAA&#10;AAAmAQAAZHJzL2Uyb0RvYy54bWxQSwUGAAAAAAYABgBZAQAAFAYAAAAA&#10;">
                <v:fill on="f" focussize="0,0"/>
                <v:stroke weight="3pt" color="#5B9BD5 [3204]" miterlimit="8" joinstyle="miter"/>
                <v:imagedata o:title=""/>
                <o:lock v:ext="edit" aspectratio="f"/>
              </v:rect>
            </w:pict>
          </mc:Fallback>
        </mc:AlternateContent>
      </w:r>
      <w:r>
        <w:rPr>
          <w:rFonts w:hint="default" w:ascii="Times New Roman" w:hAnsi="Times New Roman" w:eastAsia="宋体" w:cs="Times New Roman"/>
        </w:rPr>
        <w:drawing>
          <wp:anchor distT="0" distB="0" distL="114300" distR="114300" simplePos="0" relativeHeight="251692032" behindDoc="0" locked="0" layoutInCell="1" allowOverlap="1">
            <wp:simplePos x="0" y="0"/>
            <wp:positionH relativeFrom="column">
              <wp:posOffset>7077710</wp:posOffset>
            </wp:positionH>
            <wp:positionV relativeFrom="paragraph">
              <wp:posOffset>4371340</wp:posOffset>
            </wp:positionV>
            <wp:extent cx="1006475" cy="270510"/>
            <wp:effectExtent l="0" t="0" r="14605" b="3810"/>
            <wp:wrapNone/>
            <wp:docPr id="71" name="图片 6" descr="7b0a202020202266696c746572223a202230220a7d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6" descr="7b0a202020202266696c746572223a202230220a7d0a"/>
                    <pic:cNvPicPr>
                      <a:picLocks noChangeAspect="1"/>
                    </pic:cNvPicPr>
                  </pic:nvPicPr>
                  <pic:blipFill>
                    <a:blip r:embed="rId45"/>
                    <a:stretch>
                      <a:fillRect/>
                    </a:stretch>
                  </pic:blipFill>
                  <pic:spPr>
                    <a:xfrm>
                      <a:off x="0" y="0"/>
                      <a:ext cx="1006475" cy="270510"/>
                    </a:xfrm>
                    <a:prstGeom prst="rect">
                      <a:avLst/>
                    </a:prstGeom>
                    <a:noFill/>
                    <a:ln>
                      <a:noFill/>
                    </a:ln>
                  </pic:spPr>
                </pic:pic>
              </a:graphicData>
            </a:graphic>
          </wp:anchor>
        </w:drawing>
      </w:r>
    </w:p>
    <w:p w14:paraId="0659B57C">
      <w:pPr>
        <w:numPr>
          <w:ilvl w:val="0"/>
          <w:numId w:val="59"/>
        </w:numPr>
        <w:adjustRightInd w:val="0"/>
        <w:snapToGrid w:val="0"/>
        <w:spacing w:line="360" w:lineRule="auto"/>
        <w:jc w:val="center"/>
        <w:rPr>
          <w:rFonts w:hint="default" w:ascii="Times New Roman" w:hAnsi="Times New Roman" w:eastAsia="宋体" w:cs="Times New Roman"/>
          <w:b/>
          <w:color w:val="auto"/>
          <w:sz w:val="28"/>
          <w:szCs w:val="28"/>
          <w:highlight w:val="none"/>
        </w:rPr>
      </w:pPr>
      <w:r>
        <w:rPr>
          <w:rFonts w:hint="default" w:ascii="Times New Roman" w:hAnsi="Times New Roman" w:eastAsia="宋体" w:cs="Times New Roman"/>
          <w:b/>
          <w:color w:val="auto"/>
          <w:sz w:val="28"/>
          <w:szCs w:val="28"/>
          <w:highlight w:val="none"/>
          <w:lang w:val="en-US" w:eastAsia="zh-CN"/>
        </w:rPr>
        <w:t xml:space="preserve">  </w:t>
      </w:r>
      <w:r>
        <w:rPr>
          <w:rFonts w:hint="default" w:ascii="Times New Roman" w:hAnsi="Times New Roman" w:eastAsia="宋体" w:cs="Times New Roman"/>
          <w:b/>
          <w:color w:val="auto"/>
          <w:sz w:val="28"/>
          <w:szCs w:val="28"/>
          <w:highlight w:val="none"/>
        </w:rPr>
        <w:t>项目地理位置示意图</w:t>
      </w:r>
    </w:p>
    <w:p w14:paraId="25198CB5">
      <w:pPr>
        <w:numPr>
          <w:ilvl w:val="0"/>
          <w:numId w:val="0"/>
        </w:numPr>
        <w:adjustRightInd w:val="0"/>
        <w:snapToGrid w:val="0"/>
        <w:spacing w:line="360" w:lineRule="auto"/>
        <w:ind w:leftChars="0"/>
        <w:jc w:val="both"/>
        <w:rPr>
          <w:rFonts w:hint="default" w:ascii="Times New Roman" w:hAnsi="Times New Roman" w:eastAsia="宋体" w:cs="Times New Roman"/>
        </w:rPr>
      </w:pPr>
      <w:r>
        <w:rPr>
          <w:rFonts w:hint="default" w:ascii="Times New Roman" w:hAnsi="Times New Roman" w:eastAsia="宋体" w:cs="Times New Roman"/>
          <w:sz w:val="21"/>
        </w:rPr>
        <mc:AlternateContent>
          <mc:Choice Requires="wps">
            <w:drawing>
              <wp:anchor distT="0" distB="0" distL="114300" distR="114300" simplePos="0" relativeHeight="251731968" behindDoc="0" locked="0" layoutInCell="1" allowOverlap="1">
                <wp:simplePos x="0" y="0"/>
                <wp:positionH relativeFrom="column">
                  <wp:posOffset>3368675</wp:posOffset>
                </wp:positionH>
                <wp:positionV relativeFrom="paragraph">
                  <wp:posOffset>2065655</wp:posOffset>
                </wp:positionV>
                <wp:extent cx="76200" cy="79375"/>
                <wp:effectExtent l="6350" t="6350" r="8890" b="20955"/>
                <wp:wrapNone/>
                <wp:docPr id="70" name="椭圆 70"/>
                <wp:cNvGraphicFramePr/>
                <a:graphic xmlns:a="http://schemas.openxmlformats.org/drawingml/2006/main">
                  <a:graphicData uri="http://schemas.microsoft.com/office/word/2010/wordprocessingShape">
                    <wps:wsp>
                      <wps:cNvSpPr/>
                      <wps:spPr>
                        <a:xfrm>
                          <a:off x="0" y="0"/>
                          <a:ext cx="76200" cy="79375"/>
                        </a:xfrm>
                        <a:prstGeom prst="ellipse">
                          <a:avLst/>
                        </a:prstGeom>
                        <a:solidFill>
                          <a:srgbClr val="FF00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65.25pt;margin-top:162.65pt;height:6.25pt;width:6pt;z-index:251731968;v-text-anchor:middle;mso-width-relative:page;mso-height-relative:page;" fillcolor="#FF0000" filled="t" stroked="t" coordsize="21600,21600" o:gfxdata="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XLOeVNkAAAALAQAADwAAAAAA&#10;AAABACAAAAAiAAAAZHJzL2Rvd25yZXYueG1sUEsBAhQAFAAAAAgAh07iQNaGCXaEAgAAGAUAAA4A&#10;AAAAAAAAAQAgAAAAKAEAAGRycy9lMm9Eb2MueG1sUEsFBgAAAAAGAAYAWQEAAB4GAAAAAA==&#10;">
                <v:fill on="t" focussize="0,0"/>
                <v:stroke weight="1pt" color="#2E75B6 [2404]" miterlimit="8" joinstyle="miter"/>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30944" behindDoc="0" locked="0" layoutInCell="1" allowOverlap="1">
                <wp:simplePos x="0" y="0"/>
                <wp:positionH relativeFrom="column">
                  <wp:posOffset>3228975</wp:posOffset>
                </wp:positionH>
                <wp:positionV relativeFrom="paragraph">
                  <wp:posOffset>1899285</wp:posOffset>
                </wp:positionV>
                <wp:extent cx="76200" cy="86360"/>
                <wp:effectExtent l="6350" t="6350" r="8890" b="13970"/>
                <wp:wrapNone/>
                <wp:docPr id="62" name="椭圆 62"/>
                <wp:cNvGraphicFramePr/>
                <a:graphic xmlns:a="http://schemas.openxmlformats.org/drawingml/2006/main">
                  <a:graphicData uri="http://schemas.microsoft.com/office/word/2010/wordprocessingShape">
                    <wps:wsp>
                      <wps:cNvSpPr/>
                      <wps:spPr>
                        <a:xfrm>
                          <a:off x="0" y="0"/>
                          <a:ext cx="76200" cy="86360"/>
                        </a:xfrm>
                        <a:prstGeom prst="ellipse">
                          <a:avLst/>
                        </a:prstGeom>
                        <a:solidFill>
                          <a:srgbClr val="FF00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54.25pt;margin-top:149.55pt;height:6.8pt;width:6pt;z-index:251730944;v-text-anchor:middle;mso-width-relative:page;mso-height-relative:page;" fillcolor="#FF0000" filled="t" stroked="t" coordsize="21600,21600" o:gfxdata="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DTmL5/2QAAAAsBAAAPAAAAAAAA&#10;AAEAIAAAACIAAABkcnMvZG93bnJldi54bWxQSwECFAAUAAAACACHTuJAR12bfoMCAAAYBQAADgAA&#10;AAAAAAABACAAAAAoAQAAZHJzL2Uyb0RvYy54bWxQSwUGAAAAAAYABgBZAQAAHQYAAAAA&#10;">
                <v:fill on="t" focussize="0,0"/>
                <v:stroke weight="1pt" color="#2E75B6 [2404]" miterlimit="8" joinstyle="miter"/>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29920" behindDoc="0" locked="0" layoutInCell="1" allowOverlap="1">
                <wp:simplePos x="0" y="0"/>
                <wp:positionH relativeFrom="column">
                  <wp:posOffset>3472180</wp:posOffset>
                </wp:positionH>
                <wp:positionV relativeFrom="paragraph">
                  <wp:posOffset>1996440</wp:posOffset>
                </wp:positionV>
                <wp:extent cx="76200" cy="79375"/>
                <wp:effectExtent l="6350" t="6350" r="8890" b="20955"/>
                <wp:wrapNone/>
                <wp:docPr id="58" name="椭圆 58"/>
                <wp:cNvGraphicFramePr/>
                <a:graphic xmlns:a="http://schemas.openxmlformats.org/drawingml/2006/main">
                  <a:graphicData uri="http://schemas.microsoft.com/office/word/2010/wordprocessingShape">
                    <wps:wsp>
                      <wps:cNvSpPr/>
                      <wps:spPr>
                        <a:xfrm>
                          <a:off x="0" y="0"/>
                          <a:ext cx="76200" cy="79375"/>
                        </a:xfrm>
                        <a:prstGeom prst="ellipse">
                          <a:avLst/>
                        </a:prstGeom>
                        <a:solidFill>
                          <a:srgbClr val="FF00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73.4pt;margin-top:157.2pt;height:6.25pt;width:6pt;z-index:251729920;v-text-anchor:middle;mso-width-relative:page;mso-height-relative:page;" fillcolor="#FF0000" filled="t" stroked="t" coordsize="21600,21600" o:gfxdata="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D27txC2AAAAAsBAAAPAAAAAAAA&#10;AAEAIAAAACIAAABkcnMvZG93bnJldi54bWxQSwECFAAUAAAACACHTuJAP3H7l4QCAAAYBQAADgAA&#10;AAAAAAABACAAAAAnAQAAZHJzL2Uyb0RvYy54bWxQSwUGAAAAAAYABgBZAQAAHQYAAAAA&#10;">
                <v:fill on="t" focussize="0,0"/>
                <v:stroke weight="1pt" color="#2E75B6 [2404]" miterlimit="8" joinstyle="miter"/>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28896" behindDoc="0" locked="0" layoutInCell="1" allowOverlap="1">
                <wp:simplePos x="0" y="0"/>
                <wp:positionH relativeFrom="column">
                  <wp:posOffset>3319145</wp:posOffset>
                </wp:positionH>
                <wp:positionV relativeFrom="paragraph">
                  <wp:posOffset>1830070</wp:posOffset>
                </wp:positionV>
                <wp:extent cx="76200" cy="86360"/>
                <wp:effectExtent l="6350" t="6350" r="8890" b="13970"/>
                <wp:wrapNone/>
                <wp:docPr id="52" name="椭圆 52"/>
                <wp:cNvGraphicFramePr/>
                <a:graphic xmlns:a="http://schemas.openxmlformats.org/drawingml/2006/main">
                  <a:graphicData uri="http://schemas.microsoft.com/office/word/2010/wordprocessingShape">
                    <wps:wsp>
                      <wps:cNvSpPr/>
                      <wps:spPr>
                        <a:xfrm>
                          <a:off x="0" y="0"/>
                          <a:ext cx="76200" cy="86360"/>
                        </a:xfrm>
                        <a:prstGeom prst="ellipse">
                          <a:avLst/>
                        </a:prstGeom>
                        <a:solidFill>
                          <a:srgbClr val="FF00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61.35pt;margin-top:144.1pt;height:6.8pt;width:6pt;z-index:251728896;v-text-anchor:middle;mso-width-relative:page;mso-height-relative:page;" fillcolor="#FF0000" filled="t" stroked="t" coordsize="21600,21600" o:gfxdata="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B/3X9W2QAAAAsBAAAPAAAAAAAA&#10;AAEAIAAAACIAAABkcnMvZG93bnJldi54bWxQSwECFAAUAAAACACHTuJA3XGsbIMCAAAYBQAADgAA&#10;AAAAAAABACAAAAAoAQAAZHJzL2Uyb0RvYy54bWxQSwUGAAAAAAYABgBZAQAAHQYAAAAA&#10;">
                <v:fill on="t" focussize="0,0"/>
                <v:stroke weight="1pt" color="#2E75B6 [2404]" miterlimit="8" joinstyle="miter"/>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27872" behindDoc="0" locked="0" layoutInCell="1" allowOverlap="1">
                <wp:simplePos x="0" y="0"/>
                <wp:positionH relativeFrom="column">
                  <wp:posOffset>3554730</wp:posOffset>
                </wp:positionH>
                <wp:positionV relativeFrom="paragraph">
                  <wp:posOffset>1920240</wp:posOffset>
                </wp:positionV>
                <wp:extent cx="76200" cy="79375"/>
                <wp:effectExtent l="6350" t="6350" r="8890" b="20955"/>
                <wp:wrapNone/>
                <wp:docPr id="20" name="椭圆 20"/>
                <wp:cNvGraphicFramePr/>
                <a:graphic xmlns:a="http://schemas.openxmlformats.org/drawingml/2006/main">
                  <a:graphicData uri="http://schemas.microsoft.com/office/word/2010/wordprocessingShape">
                    <wps:wsp>
                      <wps:cNvSpPr/>
                      <wps:spPr>
                        <a:xfrm>
                          <a:off x="0" y="0"/>
                          <a:ext cx="76200" cy="79375"/>
                        </a:xfrm>
                        <a:prstGeom prst="ellipse">
                          <a:avLst/>
                        </a:prstGeom>
                        <a:solidFill>
                          <a:srgbClr val="FF00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79.9pt;margin-top:151.2pt;height:6.25pt;width:6pt;z-index:251727872;v-text-anchor:middle;mso-width-relative:page;mso-height-relative:page;" fillcolor="#FF0000" filled="t" stroked="t" coordsize="21600,21600" o:gfxdata="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BkRsqW2AAAAAsBAAAPAAAAAAAA&#10;AAEAIAAAACIAAABkcnMvZG93bnJldi54bWxQSwECFAAUAAAACACHTuJAePNQQIQCAAAYBQAADgAA&#10;AAAAAAABACAAAAAnAQAAZHJzL2Uyb0RvYy54bWxQSwUGAAAAAAYABgBZAQAAHQYAAAAA&#10;">
                <v:fill on="t" focussize="0,0"/>
                <v:stroke weight="1pt" color="#2E75B6 [2404]" miterlimit="8" joinstyle="miter"/>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26848" behindDoc="0" locked="0" layoutInCell="1" allowOverlap="1">
                <wp:simplePos x="0" y="0"/>
                <wp:positionH relativeFrom="column">
                  <wp:posOffset>3416300</wp:posOffset>
                </wp:positionH>
                <wp:positionV relativeFrom="paragraph">
                  <wp:posOffset>1753870</wp:posOffset>
                </wp:positionV>
                <wp:extent cx="76200" cy="86360"/>
                <wp:effectExtent l="6350" t="6350" r="8890" b="13970"/>
                <wp:wrapNone/>
                <wp:docPr id="14" name="椭圆 14"/>
                <wp:cNvGraphicFramePr/>
                <a:graphic xmlns:a="http://schemas.openxmlformats.org/drawingml/2006/main">
                  <a:graphicData uri="http://schemas.microsoft.com/office/word/2010/wordprocessingShape">
                    <wps:wsp>
                      <wps:cNvSpPr/>
                      <wps:spPr>
                        <a:xfrm>
                          <a:off x="0" y="0"/>
                          <a:ext cx="76200" cy="86360"/>
                        </a:xfrm>
                        <a:prstGeom prst="ellipse">
                          <a:avLst/>
                        </a:prstGeom>
                        <a:solidFill>
                          <a:srgbClr val="FF00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69pt;margin-top:138.1pt;height:6.8pt;width:6pt;z-index:251726848;v-text-anchor:middle;mso-width-relative:page;mso-height-relative:page;" fillcolor="#FF0000" filled="t" stroked="t" coordsize="21600,21600" o:gfxdata="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AATZuS2QAAAAsBAAAPAAAAAAAA&#10;AAEAIAAAACIAAABkcnMvZG93bnJldi54bWxQSwECFAAUAAAACACHTuJA9nIdjoMCAAAYBQAADgAA&#10;AAAAAAABACAAAAAoAQAAZHJzL2Uyb0RvYy54bWxQSwUGAAAAAAYABgBZAQAAHQYAAAAA&#10;">
                <v:fill on="t" focussize="0,0"/>
                <v:stroke weight="1pt" color="#2E75B6 [2404]" miterlimit="8" joinstyle="miter"/>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25824" behindDoc="0" locked="0" layoutInCell="1" allowOverlap="1">
                <wp:simplePos x="0" y="0"/>
                <wp:positionH relativeFrom="column">
                  <wp:posOffset>3665220</wp:posOffset>
                </wp:positionH>
                <wp:positionV relativeFrom="paragraph">
                  <wp:posOffset>1844040</wp:posOffset>
                </wp:positionV>
                <wp:extent cx="76200" cy="79375"/>
                <wp:effectExtent l="6350" t="6350" r="8890" b="20955"/>
                <wp:wrapNone/>
                <wp:docPr id="8" name="椭圆 8"/>
                <wp:cNvGraphicFramePr/>
                <a:graphic xmlns:a="http://schemas.openxmlformats.org/drawingml/2006/main">
                  <a:graphicData uri="http://schemas.microsoft.com/office/word/2010/wordprocessingShape">
                    <wps:wsp>
                      <wps:cNvSpPr/>
                      <wps:spPr>
                        <a:xfrm>
                          <a:off x="0" y="0"/>
                          <a:ext cx="76200" cy="79375"/>
                        </a:xfrm>
                        <a:prstGeom prst="ellipse">
                          <a:avLst/>
                        </a:prstGeom>
                        <a:solidFill>
                          <a:srgbClr val="FF00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88.6pt;margin-top:145.2pt;height:6.25pt;width:6pt;z-index:251725824;v-text-anchor:middle;mso-width-relative:page;mso-height-relative:page;" fillcolor="#FF0000" filled="t" stroked="t" coordsize="21600,21600" o:gfxdata="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C3XxoF2QAAAAsBAAAPAAAAAAAA&#10;AAEAIAAAACIAAABkcnMvZG93bnJldi54bWxQSwECFAAUAAAACACHTuJApbZVEIMCAAAWBQAADgAA&#10;AAAAAAABACAAAAAoAQAAZHJzL2Uyb0RvYy54bWxQSwUGAAAAAAYABgBZAQAAHQYAAAAA&#10;">
                <v:fill on="t" focussize="0,0"/>
                <v:stroke weight="1pt" color="#2E75B6 [2404]" miterlimit="8" joinstyle="miter"/>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15584" behindDoc="0" locked="0" layoutInCell="1" allowOverlap="1">
                <wp:simplePos x="0" y="0"/>
                <wp:positionH relativeFrom="column">
                  <wp:posOffset>3561715</wp:posOffset>
                </wp:positionH>
                <wp:positionV relativeFrom="paragraph">
                  <wp:posOffset>1684655</wp:posOffset>
                </wp:positionV>
                <wp:extent cx="76200" cy="86360"/>
                <wp:effectExtent l="6350" t="6350" r="8890" b="13970"/>
                <wp:wrapNone/>
                <wp:docPr id="6" name="椭圆 6"/>
                <wp:cNvGraphicFramePr/>
                <a:graphic xmlns:a="http://schemas.openxmlformats.org/drawingml/2006/main">
                  <a:graphicData uri="http://schemas.microsoft.com/office/word/2010/wordprocessingShape">
                    <wps:wsp>
                      <wps:cNvSpPr/>
                      <wps:spPr>
                        <a:xfrm>
                          <a:off x="4110355" y="3200400"/>
                          <a:ext cx="76200" cy="86360"/>
                        </a:xfrm>
                        <a:prstGeom prst="ellipse">
                          <a:avLst/>
                        </a:prstGeom>
                        <a:solidFill>
                          <a:srgbClr val="FF00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80.45pt;margin-top:132.65pt;height:6.8pt;width:6pt;z-index:251715584;v-text-anchor:middle;mso-width-relative:page;mso-height-relative:page;" fillcolor="#FF0000" filled="t" stroked="t" coordsize="21600,21600" o:gfxdata="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MNHdVzZAAAA&#10;CwEAAA8AAAAAAAAAAQAgAAAAIgAAAGRycy9kb3ducmV2LnhtbFBLAQIUABQAAAAIAIdO4kAOEc6K&#10;jgIAACIFAAAOAAAAAAAAAAEAIAAAACgBAABkcnMvZTJvRG9jLnhtbFBLBQYAAAAABgAGAFkBAAAo&#10;BgAAAAA=&#10;">
                <v:fill on="t" focussize="0,0"/>
                <v:stroke weight="1pt" color="#2E75B6 [2404]" miterlimit="8" joinstyle="miter"/>
                <v:imagedata o:title=""/>
                <o:lock v:ext="edit" aspectratio="f"/>
              </v:shape>
            </w:pict>
          </mc:Fallback>
        </mc:AlternateContent>
      </w:r>
      <w:r>
        <w:rPr>
          <w:rFonts w:hint="default" w:ascii="Times New Roman" w:hAnsi="Times New Roman" w:eastAsia="宋体" w:cs="Times New Roman"/>
        </w:rPr>
        <w:drawing>
          <wp:anchor distT="0" distB="0" distL="114300" distR="114300" simplePos="0" relativeHeight="251723776" behindDoc="0" locked="0" layoutInCell="1" allowOverlap="1">
            <wp:simplePos x="0" y="0"/>
            <wp:positionH relativeFrom="column">
              <wp:posOffset>7625080</wp:posOffset>
            </wp:positionH>
            <wp:positionV relativeFrom="paragraph">
              <wp:posOffset>30480</wp:posOffset>
            </wp:positionV>
            <wp:extent cx="479425" cy="502920"/>
            <wp:effectExtent l="0" t="0" r="8255" b="0"/>
            <wp:wrapNone/>
            <wp:docPr id="3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9"/>
                    <pic:cNvPicPr>
                      <a:picLocks noChangeAspect="1"/>
                    </pic:cNvPicPr>
                  </pic:nvPicPr>
                  <pic:blipFill>
                    <a:blip r:embed="rId43"/>
                    <a:stretch>
                      <a:fillRect/>
                    </a:stretch>
                  </pic:blipFill>
                  <pic:spPr>
                    <a:xfrm>
                      <a:off x="0" y="0"/>
                      <a:ext cx="479425" cy="502920"/>
                    </a:xfrm>
                    <a:prstGeom prst="rect">
                      <a:avLst/>
                    </a:prstGeom>
                    <a:noFill/>
                    <a:ln>
                      <a:noFill/>
                    </a:ln>
                  </pic:spPr>
                </pic:pic>
              </a:graphicData>
            </a:graphic>
          </wp:anchor>
        </w:drawing>
      </w:r>
      <w:r>
        <w:rPr>
          <w:rFonts w:hint="default" w:ascii="Times New Roman" w:hAnsi="Times New Roman" w:eastAsia="宋体" w:cs="Times New Roman"/>
          <w:sz w:val="21"/>
        </w:rPr>
        <mc:AlternateContent>
          <mc:Choice Requires="wps">
            <w:drawing>
              <wp:anchor distT="0" distB="0" distL="114300" distR="114300" simplePos="0" relativeHeight="251718656" behindDoc="0" locked="0" layoutInCell="1" allowOverlap="1">
                <wp:simplePos x="0" y="0"/>
                <wp:positionH relativeFrom="column">
                  <wp:posOffset>224155</wp:posOffset>
                </wp:positionH>
                <wp:positionV relativeFrom="paragraph">
                  <wp:posOffset>4369435</wp:posOffset>
                </wp:positionV>
                <wp:extent cx="177800" cy="151765"/>
                <wp:effectExtent l="6350" t="6350" r="13970" b="9525"/>
                <wp:wrapNone/>
                <wp:docPr id="12" name="流程图: 汇总连接 12"/>
                <wp:cNvGraphicFramePr/>
                <a:graphic xmlns:a="http://schemas.openxmlformats.org/drawingml/2006/main">
                  <a:graphicData uri="http://schemas.microsoft.com/office/word/2010/wordprocessingShape">
                    <wps:wsp>
                      <wps:cNvSpPr/>
                      <wps:spPr>
                        <a:xfrm>
                          <a:off x="0" y="0"/>
                          <a:ext cx="177800" cy="151765"/>
                        </a:xfrm>
                        <a:prstGeom prst="flowChartSummingJunction">
                          <a:avLst/>
                        </a:prstGeom>
                        <a:solidFill>
                          <a:srgbClr val="00B0F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3" type="#_x0000_t123" style="position:absolute;left:0pt;margin-left:17.65pt;margin-top:344.05pt;height:11.95pt;width:14pt;z-index:251718656;v-text-anchor:middle;mso-width-relative:page;mso-height-relative:page;" fillcolor="#00B0F0" filled="t" stroked="t" coordsize="21600,21600" o:gfxdata="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Bid+re2QAAAAkBAAAPAAAAAAAAAAEAIAAAACIAAABk&#10;cnMvZG93bnJldi54bWxQSwECFAAUAAAACACHTuJAY1AQqLACAAA8BQAADgAAAAAAAAABACAAAAAo&#10;AQAAZHJzL2Uyb0RvYy54bWxQSwUGAAAAAAYABgBZAQAASgYAAAAA&#10;">
                <v:fill on="t" focussize="0,0"/>
                <v:stroke weight="1pt" color="#2E75B6 [2404]" miterlimit="8" joinstyle="miter"/>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17632" behindDoc="0" locked="0" layoutInCell="1" allowOverlap="1">
                <wp:simplePos x="0" y="0"/>
                <wp:positionH relativeFrom="column">
                  <wp:posOffset>4643755</wp:posOffset>
                </wp:positionH>
                <wp:positionV relativeFrom="paragraph">
                  <wp:posOffset>2616835</wp:posOffset>
                </wp:positionV>
                <wp:extent cx="177800" cy="151765"/>
                <wp:effectExtent l="6350" t="6350" r="13970" b="9525"/>
                <wp:wrapNone/>
                <wp:docPr id="11" name="流程图: 汇总连接 11"/>
                <wp:cNvGraphicFramePr/>
                <a:graphic xmlns:a="http://schemas.openxmlformats.org/drawingml/2006/main">
                  <a:graphicData uri="http://schemas.microsoft.com/office/word/2010/wordprocessingShape">
                    <wps:wsp>
                      <wps:cNvSpPr/>
                      <wps:spPr>
                        <a:xfrm>
                          <a:off x="5583555" y="3818890"/>
                          <a:ext cx="177800" cy="151765"/>
                        </a:xfrm>
                        <a:prstGeom prst="flowChartSummingJunction">
                          <a:avLst/>
                        </a:prstGeom>
                        <a:solidFill>
                          <a:srgbClr val="00B0F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3" type="#_x0000_t123" style="position:absolute;left:0pt;margin-left:365.65pt;margin-top:206.05pt;height:11.95pt;width:14pt;z-index:251717632;v-text-anchor:middle;mso-width-relative:page;mso-height-relative:page;" fillcolor="#00B0F0" filled="t" stroked="t" coordsize="21600,21600" o:gfxdata="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">
                <v:fill on="t" focussize="0,0"/>
                <v:stroke weight="1pt" color="#2E75B6 [2404]" miterlimit="8" joinstyle="miter"/>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16608" behindDoc="0" locked="0" layoutInCell="1" allowOverlap="1">
                <wp:simplePos x="0" y="0"/>
                <wp:positionH relativeFrom="column">
                  <wp:posOffset>241300</wp:posOffset>
                </wp:positionH>
                <wp:positionV relativeFrom="paragraph">
                  <wp:posOffset>4165600</wp:posOffset>
                </wp:positionV>
                <wp:extent cx="151765" cy="134620"/>
                <wp:effectExtent l="6350" t="6350" r="9525" b="11430"/>
                <wp:wrapNone/>
                <wp:docPr id="9" name="椭圆 9"/>
                <wp:cNvGraphicFramePr/>
                <a:graphic xmlns:a="http://schemas.openxmlformats.org/drawingml/2006/main">
                  <a:graphicData uri="http://schemas.microsoft.com/office/word/2010/wordprocessingShape">
                    <wps:wsp>
                      <wps:cNvSpPr/>
                      <wps:spPr>
                        <a:xfrm>
                          <a:off x="0" y="0"/>
                          <a:ext cx="151765" cy="134620"/>
                        </a:xfrm>
                        <a:prstGeom prst="ellipse">
                          <a:avLst/>
                        </a:prstGeom>
                        <a:solidFill>
                          <a:srgbClr val="FF00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9pt;margin-top:328pt;height:10.6pt;width:11.95pt;z-index:251716608;v-text-anchor:middle;mso-width-relative:page;mso-height-relative:page;" fillcolor="#FF0000" filled="t" stroked="t" coordsize="21600,21600" o:gfxdata="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Gv/oeXYAAAACQEAAA8AAAAA&#10;AAAAAQAgAAAAIgAAAGRycy9kb3ducmV2LnhtbFBLAQIUABQAAAAIAIdO4kBjOJdkhgIAABgFAAAO&#10;AAAAAAAAAAEAIAAAACcBAABkcnMvZTJvRG9jLnhtbFBLBQYAAAAABgAGAFkBAAAfBgAAAAA=&#10;">
                <v:fill on="t" focussize="0,0"/>
                <v:stroke weight="1pt" color="#2E75B6 [2404]" miterlimit="8" joinstyle="miter"/>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14560" behindDoc="0" locked="0" layoutInCell="1" allowOverlap="1">
                <wp:simplePos x="0" y="0"/>
                <wp:positionH relativeFrom="column">
                  <wp:posOffset>208915</wp:posOffset>
                </wp:positionH>
                <wp:positionV relativeFrom="paragraph">
                  <wp:posOffset>4567555</wp:posOffset>
                </wp:positionV>
                <wp:extent cx="153035" cy="115570"/>
                <wp:effectExtent l="6350" t="6350" r="8255" b="15240"/>
                <wp:wrapNone/>
                <wp:docPr id="4" name="矩形 4"/>
                <wp:cNvGraphicFramePr/>
                <a:graphic xmlns:a="http://schemas.openxmlformats.org/drawingml/2006/main">
                  <a:graphicData uri="http://schemas.microsoft.com/office/word/2010/wordprocessingShape">
                    <wps:wsp>
                      <wps:cNvSpPr/>
                      <wps:spPr>
                        <a:xfrm>
                          <a:off x="0" y="0"/>
                          <a:ext cx="153035" cy="115570"/>
                        </a:xfrm>
                        <a:prstGeom prst="rect">
                          <a:avLst/>
                        </a:prstGeom>
                        <a:solidFill>
                          <a:srgbClr val="00B050">
                            <a:alpha val="50000"/>
                          </a:srgbClr>
                        </a:solidFill>
                      </wps:spPr>
                      <wps:style>
                        <a:lnRef idx="2">
                          <a:schemeClr val="accent1">
                            <a:lumMod val="75000"/>
                          </a:schemeClr>
                        </a:lnRef>
                        <a:fillRef idx="1">
                          <a:schemeClr val="accent1"/>
                        </a:fillRef>
                        <a:effectRef idx="0">
                          <a:srgbClr val="FFFFFF"/>
                        </a:effectRef>
                        <a:fontRef idx="minor">
                          <a:schemeClr val="lt1"/>
                        </a:fontRef>
                      </wps:style>
                      <wps:txbx>
                        <w:txbxContent>
                          <w:p w14:paraId="117C672A">
                            <w:pPr>
                              <w:jc w:val="center"/>
                              <w:rPr>
                                <w:rFonts w:hint="default" w:eastAsia="宋体"/>
                                <w:b/>
                                <w:bCs/>
                                <w:color w:val="FF0000"/>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45pt;margin-top:359.65pt;height:9.1pt;width:12.05pt;z-index:251714560;v-text-anchor:middle;mso-width-relative:page;mso-height-relative:page;" fillcolor="#00B050" filled="t" stroked="t" coordsize="21600,21600" o:gfxdata="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ntLX&#10;M9cAAAAJAQAADwAAAAAAAAABACAAAAAiAAAAZHJzL2Rvd25yZXYueG1sUEsBAhQAFAAAAAgAh07i&#10;QFyB75OVAgAAQQUAAA4AAAAAAAAAAQAgAAAAJgEAAGRycy9lMm9Eb2MueG1sUEsFBgAAAAAGAAYA&#10;WQEAAC0GAAAAAA==&#10;">
                <v:fill on="t" opacity="32768f" focussize="0,0"/>
                <v:stroke weight="1pt" color="#2E75B6 [2404]" miterlimit="8" joinstyle="miter"/>
                <v:imagedata o:title=""/>
                <o:lock v:ext="edit" aspectratio="f"/>
                <v:textbox>
                  <w:txbxContent>
                    <w:p w14:paraId="117C672A">
                      <w:pPr>
                        <w:jc w:val="center"/>
                        <w:rPr>
                          <w:rFonts w:hint="default" w:eastAsia="宋体"/>
                          <w:b/>
                          <w:bCs/>
                          <w:color w:val="FF0000"/>
                          <w:lang w:val="en-US" w:eastAsia="zh-CN"/>
                        </w:rPr>
                      </w:pPr>
                    </w:p>
                  </w:txbxContent>
                </v:textbox>
              </v:rect>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13536" behindDoc="0" locked="0" layoutInCell="1" allowOverlap="1">
                <wp:simplePos x="0" y="0"/>
                <wp:positionH relativeFrom="column">
                  <wp:posOffset>230505</wp:posOffset>
                </wp:positionH>
                <wp:positionV relativeFrom="paragraph">
                  <wp:posOffset>3965575</wp:posOffset>
                </wp:positionV>
                <wp:extent cx="184150" cy="140970"/>
                <wp:effectExtent l="6350" t="6350" r="7620" b="20320"/>
                <wp:wrapNone/>
                <wp:docPr id="3" name="矩形 3"/>
                <wp:cNvGraphicFramePr/>
                <a:graphic xmlns:a="http://schemas.openxmlformats.org/drawingml/2006/main">
                  <a:graphicData uri="http://schemas.microsoft.com/office/word/2010/wordprocessingShape">
                    <wps:wsp>
                      <wps:cNvSpPr/>
                      <wps:spPr>
                        <a:xfrm>
                          <a:off x="0" y="0"/>
                          <a:ext cx="184150" cy="140970"/>
                        </a:xfrm>
                        <a:prstGeom prst="rect">
                          <a:avLst/>
                        </a:prstGeom>
                        <a:solidFill>
                          <a:schemeClr val="accent4">
                            <a:alpha val="80000"/>
                          </a:schemeClr>
                        </a:solidFill>
                      </wps:spPr>
                      <wps:style>
                        <a:lnRef idx="2">
                          <a:schemeClr val="accent1">
                            <a:lumMod val="75000"/>
                          </a:schemeClr>
                        </a:lnRef>
                        <a:fillRef idx="1">
                          <a:schemeClr val="accent1"/>
                        </a:fillRef>
                        <a:effectRef idx="0">
                          <a:srgbClr val="FFFFFF"/>
                        </a:effectRef>
                        <a:fontRef idx="minor">
                          <a:schemeClr val="lt1"/>
                        </a:fontRef>
                      </wps:style>
                      <wps:txbx>
                        <w:txbxContent>
                          <w:p w14:paraId="20167A86">
                            <w:pPr>
                              <w:jc w:val="center"/>
                              <w:rPr>
                                <w:rFonts w:hint="default" w:eastAsia="宋体"/>
                                <w:b/>
                                <w:bCs/>
                                <w:color w:val="FF0000"/>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15pt;margin-top:312.25pt;height:11.1pt;width:14.5pt;z-index:251713536;v-text-anchor:middle;mso-width-relative:page;mso-height-relative:page;" fillcolor="#FFC000 [3207]" filled="t" stroked="t" coordsize="21600,21600" o:gfxdata="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6T5iANYA&#10;AAAJAQAADwAAAAAAAAABACAAAAAiAAAAZHJzL2Rvd25yZXYueG1sUEsBAhQAFAAAAAgAh07iQJ+K&#10;APGTAgAAQQUAAA4AAAAAAAAAAQAgAAAAJQEAAGRycy9lMm9Eb2MueG1sUEsFBgAAAAAGAAYAWQEA&#10;ACoGAAAAAA==&#10;">
                <v:fill on="t" opacity="52428f" focussize="0,0"/>
                <v:stroke weight="1pt" color="#2E75B6 [2404]" miterlimit="8" joinstyle="miter"/>
                <v:imagedata o:title=""/>
                <o:lock v:ext="edit" aspectratio="f"/>
                <v:textbox>
                  <w:txbxContent>
                    <w:p w14:paraId="20167A86">
                      <w:pPr>
                        <w:jc w:val="center"/>
                        <w:rPr>
                          <w:rFonts w:hint="default" w:eastAsia="宋体"/>
                          <w:b/>
                          <w:bCs/>
                          <w:color w:val="FF0000"/>
                          <w:lang w:val="en-US" w:eastAsia="zh-CN"/>
                        </w:rPr>
                      </w:pPr>
                    </w:p>
                  </w:txbxContent>
                </v:textbox>
              </v:rect>
            </w:pict>
          </mc:Fallback>
        </mc:AlternateContent>
      </w:r>
      <w:r>
        <w:rPr>
          <w:rFonts w:hint="default" w:ascii="Times New Roman" w:hAnsi="Times New Roman" w:eastAsia="宋体" w:cs="Times New Roman"/>
          <w:sz w:val="36"/>
        </w:rPr>
        <mc:AlternateContent>
          <mc:Choice Requires="wps">
            <w:drawing>
              <wp:anchor distT="0" distB="0" distL="114300" distR="114300" simplePos="0" relativeHeight="251712512" behindDoc="0" locked="0" layoutInCell="1" allowOverlap="1">
                <wp:simplePos x="0" y="0"/>
                <wp:positionH relativeFrom="column">
                  <wp:posOffset>181610</wp:posOffset>
                </wp:positionH>
                <wp:positionV relativeFrom="paragraph">
                  <wp:posOffset>3606800</wp:posOffset>
                </wp:positionV>
                <wp:extent cx="1261745" cy="1253490"/>
                <wp:effectExtent l="6350" t="6350" r="12065" b="20320"/>
                <wp:wrapNone/>
                <wp:docPr id="1" name="矩形 1"/>
                <wp:cNvGraphicFramePr/>
                <a:graphic xmlns:a="http://schemas.openxmlformats.org/drawingml/2006/main">
                  <a:graphicData uri="http://schemas.microsoft.com/office/word/2010/wordprocessingShape">
                    <wps:wsp>
                      <wps:cNvSpPr/>
                      <wps:spPr>
                        <a:xfrm>
                          <a:off x="1096010" y="4749800"/>
                          <a:ext cx="1261745" cy="1253490"/>
                        </a:xfrm>
                        <a:prstGeom prst="rect">
                          <a:avLst/>
                        </a:prstGeom>
                        <a:solidFill>
                          <a:schemeClr val="accent1">
                            <a:alpha val="40000"/>
                          </a:schemeClr>
                        </a:solidFill>
                      </wps:spPr>
                      <wps:style>
                        <a:lnRef idx="2">
                          <a:schemeClr val="accent1">
                            <a:lumMod val="75000"/>
                          </a:schemeClr>
                        </a:lnRef>
                        <a:fillRef idx="1">
                          <a:schemeClr val="accent1"/>
                        </a:fillRef>
                        <a:effectRef idx="0">
                          <a:srgbClr val="FFFFFF"/>
                        </a:effectRef>
                        <a:fontRef idx="minor">
                          <a:schemeClr val="lt1"/>
                        </a:fontRef>
                      </wps:style>
                      <wps:txbx>
                        <w:txbxContent>
                          <w:p w14:paraId="55ACC8DE">
                            <w:pPr>
                              <w:jc w:val="center"/>
                              <w:rPr>
                                <w:rFonts w:hint="eastAsia"/>
                                <w:b/>
                                <w:bCs/>
                                <w:lang w:val="en-US" w:eastAsia="zh-CN"/>
                              </w:rPr>
                            </w:pPr>
                            <w:r>
                              <w:rPr>
                                <w:rFonts w:hint="eastAsia"/>
                                <w:b/>
                                <w:bCs/>
                                <w:lang w:val="en-US" w:eastAsia="zh-CN"/>
                              </w:rPr>
                              <w:t>图  例</w:t>
                            </w:r>
                          </w:p>
                          <w:p w14:paraId="6B759F6D">
                            <w:pPr>
                              <w:ind w:firstLine="422" w:firstLineChars="200"/>
                              <w:jc w:val="both"/>
                              <w:rPr>
                                <w:rFonts w:hint="eastAsia"/>
                                <w:b/>
                                <w:bCs/>
                                <w:lang w:val="en-US" w:eastAsia="zh-CN"/>
                              </w:rPr>
                            </w:pPr>
                            <w:r>
                              <w:rPr>
                                <w:rFonts w:hint="eastAsia"/>
                                <w:b/>
                                <w:bCs/>
                                <w:lang w:val="en-US" w:eastAsia="zh-CN"/>
                              </w:rPr>
                              <w:t>本 项 目</w:t>
                            </w:r>
                          </w:p>
                          <w:p w14:paraId="1C1FBECB">
                            <w:pPr>
                              <w:jc w:val="center"/>
                              <w:rPr>
                                <w:rFonts w:hint="eastAsia"/>
                                <w:b/>
                                <w:bCs/>
                                <w:lang w:val="en-US" w:eastAsia="zh-CN"/>
                              </w:rPr>
                            </w:pPr>
                            <w:r>
                              <w:rPr>
                                <w:rFonts w:hint="eastAsia"/>
                                <w:b/>
                                <w:bCs/>
                                <w:lang w:val="en-US" w:eastAsia="zh-CN"/>
                              </w:rPr>
                              <w:t>排气筒</w:t>
                            </w:r>
                          </w:p>
                          <w:p w14:paraId="1F51C3E4">
                            <w:pPr>
                              <w:ind w:firstLine="422" w:firstLineChars="200"/>
                              <w:jc w:val="both"/>
                              <w:rPr>
                                <w:rFonts w:hint="eastAsia"/>
                                <w:b/>
                                <w:bCs/>
                                <w:lang w:val="en-US" w:eastAsia="zh-CN"/>
                              </w:rPr>
                            </w:pPr>
                            <w:r>
                              <w:rPr>
                                <w:rFonts w:hint="eastAsia"/>
                                <w:b/>
                                <w:bCs/>
                                <w:lang w:val="en-US" w:eastAsia="zh-CN"/>
                              </w:rPr>
                              <w:t>化 粪 池</w:t>
                            </w:r>
                          </w:p>
                          <w:p w14:paraId="7ED0D893">
                            <w:pPr>
                              <w:jc w:val="center"/>
                              <w:rPr>
                                <w:rFonts w:hint="default"/>
                                <w:b/>
                                <w:bCs/>
                                <w:lang w:val="en-US" w:eastAsia="zh-CN"/>
                              </w:rPr>
                            </w:pPr>
                            <w:r>
                              <w:rPr>
                                <w:rFonts w:hint="eastAsia"/>
                                <w:b/>
                                <w:bCs/>
                                <w:lang w:val="en-US" w:eastAsia="zh-CN"/>
                              </w:rPr>
                              <w:t xml:space="preserve"> 园区其他建筑</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3pt;margin-top:284pt;height:98.7pt;width:99.35pt;z-index:251712512;v-text-anchor:middle;mso-width-relative:page;mso-height-relative:page;" fillcolor="#5B9BD5 [3204]" filled="t" stroked="t" coordsize="21600,21600" o:gfxdata="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aFwOltcAAAAKAQAADwAAAAAAAAABACAAAAAiAAAAZHJzL2Rvd25yZXYueG1sUEsBAhQA&#10;FAAAAAgAh07iQCKv/USeAgAATwUAAA4AAAAAAAAAAQAgAAAAJgEAAGRycy9lMm9Eb2MueG1sUEsF&#10;BgAAAAAGAAYAWQEAADYGAAAAAA==&#10;">
                <v:fill on="t" opacity="26214f" focussize="0,0"/>
                <v:stroke weight="1pt" color="#2E75B6 [2404]" miterlimit="8" joinstyle="miter"/>
                <v:imagedata o:title=""/>
                <o:lock v:ext="edit" aspectratio="f"/>
                <v:textbox>
                  <w:txbxContent>
                    <w:p w14:paraId="55ACC8DE">
                      <w:pPr>
                        <w:jc w:val="center"/>
                        <w:rPr>
                          <w:rFonts w:hint="eastAsia"/>
                          <w:b/>
                          <w:bCs/>
                          <w:lang w:val="en-US" w:eastAsia="zh-CN"/>
                        </w:rPr>
                      </w:pPr>
                      <w:r>
                        <w:rPr>
                          <w:rFonts w:hint="eastAsia"/>
                          <w:b/>
                          <w:bCs/>
                          <w:lang w:val="en-US" w:eastAsia="zh-CN"/>
                        </w:rPr>
                        <w:t>图  例</w:t>
                      </w:r>
                    </w:p>
                    <w:p w14:paraId="6B759F6D">
                      <w:pPr>
                        <w:ind w:firstLine="422" w:firstLineChars="200"/>
                        <w:jc w:val="both"/>
                        <w:rPr>
                          <w:rFonts w:hint="eastAsia"/>
                          <w:b/>
                          <w:bCs/>
                          <w:lang w:val="en-US" w:eastAsia="zh-CN"/>
                        </w:rPr>
                      </w:pPr>
                      <w:r>
                        <w:rPr>
                          <w:rFonts w:hint="eastAsia"/>
                          <w:b/>
                          <w:bCs/>
                          <w:lang w:val="en-US" w:eastAsia="zh-CN"/>
                        </w:rPr>
                        <w:t>本 项 目</w:t>
                      </w:r>
                    </w:p>
                    <w:p w14:paraId="1C1FBECB">
                      <w:pPr>
                        <w:jc w:val="center"/>
                        <w:rPr>
                          <w:rFonts w:hint="eastAsia"/>
                          <w:b/>
                          <w:bCs/>
                          <w:lang w:val="en-US" w:eastAsia="zh-CN"/>
                        </w:rPr>
                      </w:pPr>
                      <w:r>
                        <w:rPr>
                          <w:rFonts w:hint="eastAsia"/>
                          <w:b/>
                          <w:bCs/>
                          <w:lang w:val="en-US" w:eastAsia="zh-CN"/>
                        </w:rPr>
                        <w:t>排气筒</w:t>
                      </w:r>
                    </w:p>
                    <w:p w14:paraId="1F51C3E4">
                      <w:pPr>
                        <w:ind w:firstLine="422" w:firstLineChars="200"/>
                        <w:jc w:val="both"/>
                        <w:rPr>
                          <w:rFonts w:hint="eastAsia"/>
                          <w:b/>
                          <w:bCs/>
                          <w:lang w:val="en-US" w:eastAsia="zh-CN"/>
                        </w:rPr>
                      </w:pPr>
                      <w:r>
                        <w:rPr>
                          <w:rFonts w:hint="eastAsia"/>
                          <w:b/>
                          <w:bCs/>
                          <w:lang w:val="en-US" w:eastAsia="zh-CN"/>
                        </w:rPr>
                        <w:t>化 粪 池</w:t>
                      </w:r>
                    </w:p>
                    <w:p w14:paraId="7ED0D893">
                      <w:pPr>
                        <w:jc w:val="center"/>
                        <w:rPr>
                          <w:rFonts w:hint="default"/>
                          <w:b/>
                          <w:bCs/>
                          <w:lang w:val="en-US" w:eastAsia="zh-CN"/>
                        </w:rPr>
                      </w:pPr>
                      <w:r>
                        <w:rPr>
                          <w:rFonts w:hint="eastAsia"/>
                          <w:b/>
                          <w:bCs/>
                          <w:lang w:val="en-US" w:eastAsia="zh-CN"/>
                        </w:rPr>
                        <w:t xml:space="preserve"> 园区其他建筑</w:t>
                      </w:r>
                    </w:p>
                  </w:txbxContent>
                </v:textbox>
              </v:rect>
            </w:pict>
          </mc:Fallback>
        </mc:AlternateContent>
      </w:r>
      <w:r>
        <w:rPr>
          <w:rFonts w:hint="default" w:ascii="Times New Roman" w:hAnsi="Times New Roman" w:eastAsia="宋体" w:cs="Times New Roman"/>
          <w:sz w:val="36"/>
        </w:rPr>
        <mc:AlternateContent>
          <mc:Choice Requires="wps">
            <w:drawing>
              <wp:anchor distT="0" distB="0" distL="114300" distR="114300" simplePos="0" relativeHeight="251709440" behindDoc="0" locked="0" layoutInCell="1" allowOverlap="1">
                <wp:simplePos x="0" y="0"/>
                <wp:positionH relativeFrom="column">
                  <wp:posOffset>127000</wp:posOffset>
                </wp:positionH>
                <wp:positionV relativeFrom="paragraph">
                  <wp:posOffset>-7620</wp:posOffset>
                </wp:positionV>
                <wp:extent cx="8001635" cy="4894580"/>
                <wp:effectExtent l="19050" t="19050" r="26035" b="24130"/>
                <wp:wrapNone/>
                <wp:docPr id="99" name="矩形 99"/>
                <wp:cNvGraphicFramePr/>
                <a:graphic xmlns:a="http://schemas.openxmlformats.org/drawingml/2006/main">
                  <a:graphicData uri="http://schemas.microsoft.com/office/word/2010/wordprocessingShape">
                    <wps:wsp>
                      <wps:cNvSpPr/>
                      <wps:spPr>
                        <a:xfrm>
                          <a:off x="999490" y="1109345"/>
                          <a:ext cx="8001635" cy="4894580"/>
                        </a:xfrm>
                        <a:prstGeom prst="rect">
                          <a:avLst/>
                        </a:prstGeom>
                        <a:ln w="38100" cmpd="sng">
                          <a:solidFill>
                            <a:schemeClr val="accent1">
                              <a:shade val="50000"/>
                            </a:schemeClr>
                          </a:solidFill>
                          <a:prstDash val="solid"/>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pt;margin-top:-0.6pt;height:385.4pt;width:630.05pt;z-index:251709440;v-text-anchor:middle;mso-width-relative:page;mso-height-relative:page;" filled="f" stroked="t" coordsize="21600,21600" o:gfxdata="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E5G6tPYAAAACgEAAA8AAAAA&#10;AAAAAQAgAAAAIgAAAGRycy9kb3ducmV2LnhtbFBLAQIUABQAAAAIAIdO4kBEtcXChgIAAPoEAAAO&#10;AAAAAAAAAAEAIAAAACcBAABkcnMvZTJvRG9jLnhtbFBLBQYAAAAABgAGAFkBAAAfBgAAAAA=&#10;">
                <v:fill on="f" focussize="0,0"/>
                <v:stroke weight="3pt" color="#41719C [3204]" miterlimit="8" joinstyle="miter"/>
                <v:imagedata o:title=""/>
                <o:lock v:ext="edit" aspectratio="f"/>
              </v:rect>
            </w:pict>
          </mc:Fallback>
        </mc:AlternateContent>
      </w:r>
      <w:r>
        <w:rPr>
          <w:rFonts w:hint="default" w:ascii="Times New Roman" w:hAnsi="Times New Roman" w:eastAsia="宋体" w:cs="Times New Roman"/>
        </w:rPr>
        <w:drawing>
          <wp:anchor distT="0" distB="0" distL="114300" distR="114300" simplePos="0" relativeHeight="251710464" behindDoc="0" locked="0" layoutInCell="1" allowOverlap="1">
            <wp:simplePos x="0" y="0"/>
            <wp:positionH relativeFrom="column">
              <wp:posOffset>7440295</wp:posOffset>
            </wp:positionH>
            <wp:positionV relativeFrom="paragraph">
              <wp:posOffset>4634865</wp:posOffset>
            </wp:positionV>
            <wp:extent cx="640080" cy="215900"/>
            <wp:effectExtent l="0" t="0" r="0" b="12700"/>
            <wp:wrapNone/>
            <wp:docPr id="10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1"/>
                    <pic:cNvPicPr>
                      <a:picLocks noChangeAspect="1"/>
                    </pic:cNvPicPr>
                  </pic:nvPicPr>
                  <pic:blipFill>
                    <a:blip r:embed="rId46"/>
                    <a:stretch>
                      <a:fillRect/>
                    </a:stretch>
                  </pic:blipFill>
                  <pic:spPr>
                    <a:xfrm>
                      <a:off x="0" y="0"/>
                      <a:ext cx="640080" cy="215900"/>
                    </a:xfrm>
                    <a:prstGeom prst="rect">
                      <a:avLst/>
                    </a:prstGeom>
                    <a:noFill/>
                    <a:ln>
                      <a:noFill/>
                    </a:ln>
                  </pic:spPr>
                </pic:pic>
              </a:graphicData>
            </a:graphic>
          </wp:anchor>
        </w:drawing>
      </w:r>
      <w:r>
        <w:rPr>
          <w:rFonts w:hint="default" w:ascii="Times New Roman" w:hAnsi="Times New Roman" w:eastAsia="宋体" w:cs="Times New Roman"/>
          <w:sz w:val="36"/>
        </w:rPr>
        <mc:AlternateContent>
          <mc:Choice Requires="wps">
            <w:drawing>
              <wp:anchor distT="0" distB="0" distL="114300" distR="114300" simplePos="0" relativeHeight="251691008" behindDoc="0" locked="0" layoutInCell="1" allowOverlap="1">
                <wp:simplePos x="0" y="0"/>
                <wp:positionH relativeFrom="column">
                  <wp:posOffset>3568700</wp:posOffset>
                </wp:positionH>
                <wp:positionV relativeFrom="paragraph">
                  <wp:posOffset>1186815</wp:posOffset>
                </wp:positionV>
                <wp:extent cx="518795" cy="264160"/>
                <wp:effectExtent l="0" t="0" r="0" b="0"/>
                <wp:wrapNone/>
                <wp:docPr id="56" name="文本框 56"/>
                <wp:cNvGraphicFramePr/>
                <a:graphic xmlns:a="http://schemas.openxmlformats.org/drawingml/2006/main">
                  <a:graphicData uri="http://schemas.microsoft.com/office/word/2010/wordprocessingShape">
                    <wps:wsp>
                      <wps:cNvSpPr txBox="1"/>
                      <wps:spPr>
                        <a:xfrm rot="20040000">
                          <a:off x="0" y="0"/>
                          <a:ext cx="518795" cy="2641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BC7F57">
                            <w:pPr>
                              <w:rPr>
                                <w:rFonts w:hint="default" w:eastAsia="宋体"/>
                                <w:b/>
                                <w:bCs/>
                                <w:color w:val="FF0000"/>
                                <w:lang w:val="en-US" w:eastAsia="zh-CN"/>
                              </w:rPr>
                            </w:pPr>
                            <w:r>
                              <w:rPr>
                                <w:rFonts w:hint="eastAsia"/>
                                <w:b/>
                                <w:bCs/>
                                <w:color w:val="FF0000"/>
                                <w:lang w:val="en-US" w:eastAsia="zh-CN"/>
                              </w:rPr>
                              <w:t>24米</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1pt;margin-top:93.45pt;height:20.8pt;width:40.85pt;rotation:-1703936f;z-index:251691008;mso-width-relative:page;mso-height-relative:page;" filled="f" stroked="f" coordsize="21600,21600" o:gfxdata="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BncJkjaAAAACwEAAA8AAAAAAAAAAQAg&#10;AAAAIgAAAGRycy9kb3ducmV2LnhtbFBLAQIUABQAAAAIAIdO4kB6hFYyRQIAAHYEAAAOAAAAAAAA&#10;AAEAIAAAACkBAABkcnMvZTJvRG9jLnhtbFBLBQYAAAAABgAGAFkBAADgBQAAAAA=&#10;">
                <v:fill on="f" focussize="0,0"/>
                <v:stroke on="f" weight="0.5pt"/>
                <v:imagedata o:title=""/>
                <o:lock v:ext="edit" aspectratio="f"/>
                <v:textbox>
                  <w:txbxContent>
                    <w:p w14:paraId="3BBC7F57">
                      <w:pPr>
                        <w:rPr>
                          <w:rFonts w:hint="default" w:eastAsia="宋体"/>
                          <w:b/>
                          <w:bCs/>
                          <w:color w:val="FF0000"/>
                          <w:lang w:val="en-US" w:eastAsia="zh-CN"/>
                        </w:rPr>
                      </w:pPr>
                      <w:r>
                        <w:rPr>
                          <w:rFonts w:hint="eastAsia"/>
                          <w:b/>
                          <w:bCs/>
                          <w:color w:val="FF0000"/>
                          <w:lang w:val="en-US" w:eastAsia="zh-CN"/>
                        </w:rPr>
                        <w:t>24米</w:t>
                      </w:r>
                    </w:p>
                  </w:txbxContent>
                </v:textbox>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89984" behindDoc="0" locked="0" layoutInCell="1" allowOverlap="1">
                <wp:simplePos x="0" y="0"/>
                <wp:positionH relativeFrom="column">
                  <wp:posOffset>3574415</wp:posOffset>
                </wp:positionH>
                <wp:positionV relativeFrom="paragraph">
                  <wp:posOffset>1247140</wp:posOffset>
                </wp:positionV>
                <wp:extent cx="76835" cy="409575"/>
                <wp:effectExtent l="35560" t="0" r="40005" b="1905"/>
                <wp:wrapNone/>
                <wp:docPr id="50" name="直接箭头连接符 50"/>
                <wp:cNvGraphicFramePr/>
                <a:graphic xmlns:a="http://schemas.openxmlformats.org/drawingml/2006/main">
                  <a:graphicData uri="http://schemas.microsoft.com/office/word/2010/wordprocessingShape">
                    <wps:wsp>
                      <wps:cNvCnPr>
                        <a:stCxn id="23" idx="1"/>
                      </wps:cNvCnPr>
                      <wps:spPr>
                        <a:xfrm flipH="1" flipV="1">
                          <a:off x="0" y="0"/>
                          <a:ext cx="76835" cy="409575"/>
                        </a:xfrm>
                        <a:prstGeom prst="straightConnector1">
                          <a:avLst/>
                        </a:prstGeom>
                        <a:ln>
                          <a:solidFill>
                            <a:srgbClr val="FF0000"/>
                          </a:solidFill>
                          <a:headEnd type="arrow" w="med" len="med"/>
                          <a:tailEnd type="arrow" w="med" len="med"/>
                        </a:ln>
                      </wps:spPr>
                      <wps:style>
                        <a:lnRef idx="3">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281.45pt;margin-top:98.2pt;height:32.25pt;width:6.05pt;z-index:251689984;mso-width-relative:page;mso-height-relative:page;" filled="f" stroked="t" coordsize="21600,21600" o:gfxdata="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TFhT02gAAAAsBAAAPAAAAAAAAAAEAIAAAACIAAABkcnMv&#10;ZG93bnJldi54bWxQSwECFAAUAAAACACHTuJAoycCTDoCAABcBAAADgAAAAAAAAABACAAAAApAQAA&#10;ZHJzL2Uyb0RvYy54bWxQSwUGAAAAAAYABgBZAQAA1QUAAAAA&#10;">
                <v:fill on="f" focussize="0,0"/>
                <v:stroke weight="1.5pt" color="#FF0000 [3204]" miterlimit="8" joinstyle="miter" startarrow="open" endarrow="open"/>
                <v:imagedata o:title=""/>
                <o:lock v:ext="edit" aspectratio="f"/>
              </v:shape>
            </w:pict>
          </mc:Fallback>
        </mc:AlternateContent>
      </w:r>
      <w:r>
        <w:rPr>
          <w:rFonts w:hint="default" w:ascii="Times New Roman" w:hAnsi="Times New Roman" w:eastAsia="宋体" w:cs="Times New Roman"/>
          <w:sz w:val="36"/>
        </w:rPr>
        <mc:AlternateContent>
          <mc:Choice Requires="wps">
            <w:drawing>
              <wp:anchor distT="0" distB="0" distL="114300" distR="114300" simplePos="0" relativeHeight="251688960" behindDoc="0" locked="0" layoutInCell="1" allowOverlap="1">
                <wp:simplePos x="0" y="0"/>
                <wp:positionH relativeFrom="column">
                  <wp:posOffset>2973070</wp:posOffset>
                </wp:positionH>
                <wp:positionV relativeFrom="paragraph">
                  <wp:posOffset>1609090</wp:posOffset>
                </wp:positionV>
                <wp:extent cx="518795" cy="264160"/>
                <wp:effectExtent l="0" t="0" r="0" b="0"/>
                <wp:wrapNone/>
                <wp:docPr id="48" name="文本框 48"/>
                <wp:cNvGraphicFramePr/>
                <a:graphic xmlns:a="http://schemas.openxmlformats.org/drawingml/2006/main">
                  <a:graphicData uri="http://schemas.microsoft.com/office/word/2010/wordprocessingShape">
                    <wps:wsp>
                      <wps:cNvSpPr txBox="1"/>
                      <wps:spPr>
                        <a:xfrm rot="20040000">
                          <a:off x="0" y="0"/>
                          <a:ext cx="518795" cy="2641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D256E8">
                            <w:pPr>
                              <w:rPr>
                                <w:rFonts w:hint="default" w:eastAsia="宋体"/>
                                <w:b/>
                                <w:bCs/>
                                <w:color w:val="FF0000"/>
                                <w:lang w:val="en-US" w:eastAsia="zh-CN"/>
                              </w:rPr>
                            </w:pPr>
                            <w:r>
                              <w:rPr>
                                <w:rFonts w:hint="eastAsia"/>
                                <w:b/>
                                <w:bCs/>
                                <w:color w:val="FF0000"/>
                                <w:lang w:val="en-US" w:eastAsia="zh-CN"/>
                              </w:rPr>
                              <w:t>18米</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4.1pt;margin-top:126.7pt;height:20.8pt;width:40.85pt;rotation:-1703936f;z-index:251688960;mso-width-relative:page;mso-height-relative:page;" filled="f" stroked="f" coordsize="21600,21600" o:gfxdata="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kFbMraAAAACwEAAA8AAAAAAAAAAQAg&#10;AAAAIgAAAGRycy9kb3ducmV2LnhtbFBLAQIUABQAAAAIAIdO4kAY1vPmRQIAAHYEAAAOAAAAAAAA&#10;AAEAIAAAACkBAABkcnMvZTJvRG9jLnhtbFBLBQYAAAAABgAGAFkBAADgBQAAAAA=&#10;">
                <v:fill on="f" focussize="0,0"/>
                <v:stroke on="f" weight="0.5pt"/>
                <v:imagedata o:title=""/>
                <o:lock v:ext="edit" aspectratio="f"/>
                <v:textbox>
                  <w:txbxContent>
                    <w:p w14:paraId="1CD256E8">
                      <w:pPr>
                        <w:rPr>
                          <w:rFonts w:hint="default" w:eastAsia="宋体"/>
                          <w:b/>
                          <w:bCs/>
                          <w:color w:val="FF0000"/>
                          <w:lang w:val="en-US" w:eastAsia="zh-CN"/>
                        </w:rPr>
                      </w:pPr>
                      <w:r>
                        <w:rPr>
                          <w:rFonts w:hint="eastAsia"/>
                          <w:b/>
                          <w:bCs/>
                          <w:color w:val="FF0000"/>
                          <w:lang w:val="en-US" w:eastAsia="zh-CN"/>
                        </w:rPr>
                        <w:t>18米</w:t>
                      </w:r>
                    </w:p>
                  </w:txbxContent>
                </v:textbox>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87936" behindDoc="0" locked="0" layoutInCell="1" allowOverlap="1">
                <wp:simplePos x="0" y="0"/>
                <wp:positionH relativeFrom="column">
                  <wp:posOffset>2847340</wp:posOffset>
                </wp:positionH>
                <wp:positionV relativeFrom="paragraph">
                  <wp:posOffset>1669415</wp:posOffset>
                </wp:positionV>
                <wp:extent cx="200660" cy="285750"/>
                <wp:effectExtent l="0" t="0" r="12700" b="3810"/>
                <wp:wrapNone/>
                <wp:docPr id="45" name="直接箭头连接符 45"/>
                <wp:cNvGraphicFramePr/>
                <a:graphic xmlns:a="http://schemas.openxmlformats.org/drawingml/2006/main">
                  <a:graphicData uri="http://schemas.microsoft.com/office/word/2010/wordprocessingShape">
                    <wps:wsp>
                      <wps:cNvCnPr/>
                      <wps:spPr>
                        <a:xfrm flipH="1" flipV="1">
                          <a:off x="0" y="0"/>
                          <a:ext cx="200660" cy="285750"/>
                        </a:xfrm>
                        <a:prstGeom prst="straightConnector1">
                          <a:avLst/>
                        </a:prstGeom>
                        <a:ln>
                          <a:solidFill>
                            <a:srgbClr val="FF0000"/>
                          </a:solidFill>
                          <a:headEnd type="arrow" w="med" len="med"/>
                          <a:tailEnd type="arrow" w="med" len="med"/>
                        </a:ln>
                      </wps:spPr>
                      <wps:style>
                        <a:lnRef idx="3">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224.2pt;margin-top:131.45pt;height:22.5pt;width:15.8pt;z-index:251687936;mso-width-relative:page;mso-height-relative:page;" filled="f" stroked="t" coordsize="21600,21600" o:gfxdata="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BxjUOPaAAAACwEAAA8AAAAAAAAAAQAgAAAAIgAAAGRycy9kb3ducmV2LnhtbFBLAQIUABQA&#10;AAAIAIdO4kDwZ9x5JwIAADYEAAAOAAAAAAAAAAEAIAAAACkBAABkcnMvZTJvRG9jLnhtbFBLBQYA&#10;AAAABgAGAFkBAADCBQAAAAA=&#10;">
                <v:fill on="f" focussize="0,0"/>
                <v:stroke weight="1.5pt" color="#FF0000 [3204]" miterlimit="8" joinstyle="miter" startarrow="open" endarrow="open"/>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86912" behindDoc="0" locked="0" layoutInCell="1" allowOverlap="1">
                <wp:simplePos x="0" y="0"/>
                <wp:positionH relativeFrom="column">
                  <wp:posOffset>3481705</wp:posOffset>
                </wp:positionH>
                <wp:positionV relativeFrom="paragraph">
                  <wp:posOffset>889635</wp:posOffset>
                </wp:positionV>
                <wp:extent cx="560705" cy="251460"/>
                <wp:effectExtent l="33655" t="135255" r="45720" b="146685"/>
                <wp:wrapNone/>
                <wp:docPr id="35" name="矩形 35"/>
                <wp:cNvGraphicFramePr/>
                <a:graphic xmlns:a="http://schemas.openxmlformats.org/drawingml/2006/main">
                  <a:graphicData uri="http://schemas.microsoft.com/office/word/2010/wordprocessingShape">
                    <wps:wsp>
                      <wps:cNvSpPr/>
                      <wps:spPr>
                        <a:xfrm rot="19740000">
                          <a:off x="0" y="0"/>
                          <a:ext cx="560705" cy="251460"/>
                        </a:xfrm>
                        <a:prstGeom prst="rect">
                          <a:avLst/>
                        </a:prstGeom>
                        <a:solidFill>
                          <a:srgbClr val="00B050">
                            <a:alpha val="50000"/>
                          </a:srgbClr>
                        </a:solidFill>
                        <a:ln>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8969969">
                            <w:pPr>
                              <w:jc w:val="center"/>
                              <w:rPr>
                                <w:rFonts w:hint="eastAsia" w:eastAsia="宋体"/>
                                <w:b/>
                                <w:bCs/>
                                <w:color w:val="FF0000"/>
                                <w:lang w:val="en-US" w:eastAsia="zh-CN"/>
                              </w:rPr>
                            </w:pPr>
                            <w:r>
                              <w:rPr>
                                <w:rFonts w:hint="eastAsia"/>
                                <w:b/>
                                <w:bCs/>
                                <w:color w:val="FF0000"/>
                                <w:lang w:val="en-US" w:eastAsia="zh-CN"/>
                              </w:rPr>
                              <w:t>3号楼</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74.15pt;margin-top:70.05pt;height:19.8pt;width:44.15pt;rotation:-2031616f;z-index:251686912;v-text-anchor:middle;mso-width-relative:page;mso-height-relative:page;" fillcolor="#00B050" filled="t" stroked="t" coordsize="21600,21600" o:gfxdata="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BROROL2gAA&#10;AAsBAAAPAAAAAAAAAAEAIAAAACIAAABkcnMvZG93bnJldi54bWxQSwECFAAUAAAACACHTuJAQiHW&#10;PY4CAAAwBQAADgAAAAAAAAABACAAAAApAQAAZHJzL2Uyb0RvYy54bWxQSwUGAAAAAAYABgBZAQAA&#10;KQYAAAAA&#10;">
                <v:fill on="t" opacity="32768f" focussize="0,0"/>
                <v:stroke weight="1pt" color="#00B050 [2404]" miterlimit="8" joinstyle="miter"/>
                <v:imagedata o:title=""/>
                <o:lock v:ext="edit" aspectratio="f"/>
                <v:textbox>
                  <w:txbxContent>
                    <w:p w14:paraId="78969969">
                      <w:pPr>
                        <w:jc w:val="center"/>
                        <w:rPr>
                          <w:rFonts w:hint="eastAsia" w:eastAsia="宋体"/>
                          <w:b/>
                          <w:bCs/>
                          <w:color w:val="FF0000"/>
                          <w:lang w:val="en-US" w:eastAsia="zh-CN"/>
                        </w:rPr>
                      </w:pPr>
                      <w:r>
                        <w:rPr>
                          <w:rFonts w:hint="eastAsia"/>
                          <w:b/>
                          <w:bCs/>
                          <w:color w:val="FF0000"/>
                          <w:lang w:val="en-US" w:eastAsia="zh-CN"/>
                        </w:rPr>
                        <w:t>3号楼</w:t>
                      </w:r>
                    </w:p>
                  </w:txbxContent>
                </v:textbox>
              </v:rect>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85888" behindDoc="0" locked="0" layoutInCell="1" allowOverlap="1">
                <wp:simplePos x="0" y="0"/>
                <wp:positionH relativeFrom="column">
                  <wp:posOffset>2664460</wp:posOffset>
                </wp:positionH>
                <wp:positionV relativeFrom="paragraph">
                  <wp:posOffset>1346835</wp:posOffset>
                </wp:positionV>
                <wp:extent cx="560705" cy="251460"/>
                <wp:effectExtent l="33655" t="135255" r="45720" b="146685"/>
                <wp:wrapNone/>
                <wp:docPr id="24" name="矩形 24"/>
                <wp:cNvGraphicFramePr/>
                <a:graphic xmlns:a="http://schemas.openxmlformats.org/drawingml/2006/main">
                  <a:graphicData uri="http://schemas.microsoft.com/office/word/2010/wordprocessingShape">
                    <wps:wsp>
                      <wps:cNvSpPr/>
                      <wps:spPr>
                        <a:xfrm rot="19740000">
                          <a:off x="0" y="0"/>
                          <a:ext cx="560705" cy="251460"/>
                        </a:xfrm>
                        <a:prstGeom prst="rect">
                          <a:avLst/>
                        </a:prstGeom>
                        <a:solidFill>
                          <a:srgbClr val="00B050">
                            <a:alpha val="50000"/>
                          </a:srgbClr>
                        </a:solidFill>
                      </wps:spPr>
                      <wps:style>
                        <a:lnRef idx="2">
                          <a:schemeClr val="accent1">
                            <a:lumMod val="75000"/>
                          </a:schemeClr>
                        </a:lnRef>
                        <a:fillRef idx="1">
                          <a:schemeClr val="accent1"/>
                        </a:fillRef>
                        <a:effectRef idx="0">
                          <a:srgbClr val="FFFFFF"/>
                        </a:effectRef>
                        <a:fontRef idx="minor">
                          <a:schemeClr val="lt1"/>
                        </a:fontRef>
                      </wps:style>
                      <wps:txbx>
                        <w:txbxContent>
                          <w:p w14:paraId="57D604FC">
                            <w:pPr>
                              <w:jc w:val="center"/>
                              <w:rPr>
                                <w:rFonts w:hint="eastAsia" w:eastAsia="宋体"/>
                                <w:b/>
                                <w:bCs/>
                                <w:color w:val="FF0000"/>
                                <w:lang w:val="en-US" w:eastAsia="zh-CN"/>
                              </w:rPr>
                            </w:pPr>
                            <w:r>
                              <w:rPr>
                                <w:rFonts w:hint="eastAsia"/>
                                <w:b/>
                                <w:bCs/>
                                <w:color w:val="FF0000"/>
                                <w:lang w:val="en-US" w:eastAsia="zh-CN"/>
                              </w:rPr>
                              <w:t>2号楼</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9.8pt;margin-top:106.05pt;height:19.8pt;width:44.15pt;rotation:-2031616f;z-index:251685888;v-text-anchor:middle;mso-width-relative:page;mso-height-relative:page;" fillcolor="#00B050" filled="t" stroked="t" coordsize="21600,21600" o:gfxdata="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D/NYvF2QAAAAsBAAAPAAAAAAAAAAEAIAAAACIAAABkcnMvZG93bnJldi54bWxQ&#10;SwECFAAUAAAACACHTuJACletPaECAABSBQAADgAAAAAAAAABACAAAAAoAQAAZHJzL2Uyb0RvYy54&#10;bWxQSwUGAAAAAAYABgBZAQAAOwYAAAAA&#10;">
                <v:fill on="t" opacity="32768f" focussize="0,0"/>
                <v:stroke weight="1pt" color="#2E75B6 [2404]" miterlimit="8" joinstyle="miter"/>
                <v:imagedata o:title=""/>
                <o:lock v:ext="edit" aspectratio="f"/>
                <v:textbox>
                  <w:txbxContent>
                    <w:p w14:paraId="57D604FC">
                      <w:pPr>
                        <w:jc w:val="center"/>
                        <w:rPr>
                          <w:rFonts w:hint="eastAsia" w:eastAsia="宋体"/>
                          <w:b/>
                          <w:bCs/>
                          <w:color w:val="FF0000"/>
                          <w:lang w:val="en-US" w:eastAsia="zh-CN"/>
                        </w:rPr>
                      </w:pPr>
                      <w:r>
                        <w:rPr>
                          <w:rFonts w:hint="eastAsia"/>
                          <w:b/>
                          <w:bCs/>
                          <w:color w:val="FF0000"/>
                          <w:lang w:val="en-US" w:eastAsia="zh-CN"/>
                        </w:rPr>
                        <w:t>2号楼</w:t>
                      </w:r>
                    </w:p>
                  </w:txbxContent>
                </v:textbox>
              </v:rect>
            </w:pict>
          </mc:Fallback>
        </mc:AlternateContent>
      </w:r>
      <w:r>
        <w:rPr>
          <w:rFonts w:hint="default" w:ascii="Times New Roman" w:hAnsi="Times New Roman" w:eastAsia="宋体" w:cs="Times New Roman"/>
          <w:sz w:val="36"/>
        </w:rPr>
        <mc:AlternateContent>
          <mc:Choice Requires="wps">
            <w:drawing>
              <wp:anchor distT="0" distB="0" distL="114300" distR="114300" simplePos="0" relativeHeight="251681792" behindDoc="0" locked="0" layoutInCell="1" allowOverlap="1">
                <wp:simplePos x="0" y="0"/>
                <wp:positionH relativeFrom="column">
                  <wp:posOffset>2915285</wp:posOffset>
                </wp:positionH>
                <wp:positionV relativeFrom="paragraph">
                  <wp:posOffset>2694305</wp:posOffset>
                </wp:positionV>
                <wp:extent cx="575945" cy="289560"/>
                <wp:effectExtent l="143510" t="0" r="0" b="0"/>
                <wp:wrapNone/>
                <wp:docPr id="57" name="文本框 57"/>
                <wp:cNvGraphicFramePr/>
                <a:graphic xmlns:a="http://schemas.openxmlformats.org/drawingml/2006/main">
                  <a:graphicData uri="http://schemas.microsoft.com/office/word/2010/wordprocessingShape">
                    <wps:wsp>
                      <wps:cNvSpPr txBox="1"/>
                      <wps:spPr>
                        <a:xfrm rot="3360000">
                          <a:off x="0" y="0"/>
                          <a:ext cx="575945"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000949">
                            <w:pPr>
                              <w:rPr>
                                <w:rFonts w:hint="default" w:eastAsia="宋体"/>
                                <w:b/>
                                <w:bCs/>
                                <w:color w:val="FF0000"/>
                                <w:lang w:val="en-US" w:eastAsia="zh-CN"/>
                              </w:rPr>
                            </w:pPr>
                            <w:r>
                              <w:rPr>
                                <w:rFonts w:hint="eastAsia"/>
                                <w:b/>
                                <w:bCs/>
                                <w:color w:val="FF0000"/>
                                <w:lang w:val="en-US" w:eastAsia="zh-CN"/>
                              </w:rPr>
                              <w:t>102米米</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9.55pt;margin-top:212.15pt;height:22.8pt;width:45.35pt;rotation:3670016f;z-index:251681792;mso-width-relative:page;mso-height-relative:page;" filled="f" stroked="f" coordsize="21600,21600" o:gfxdata="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BrdgevZAAAACwEAAA8AAAAAAAAAAQAg&#10;AAAAIgAAAGRycy9kb3ducmV2LnhtbFBLAQIUABQAAAAIAIdO4kCDzSVORgIAAHUEAAAOAAAAAAAA&#10;AAEAIAAAACgBAABkcnMvZTJvRG9jLnhtbFBLBQYAAAAABgAGAFkBAADgBQAAAAA=&#10;">
                <v:fill on="f" focussize="0,0"/>
                <v:stroke on="f" weight="0.5pt"/>
                <v:imagedata o:title=""/>
                <o:lock v:ext="edit" aspectratio="f"/>
                <v:textbox>
                  <w:txbxContent>
                    <w:p w14:paraId="41000949">
                      <w:pPr>
                        <w:rPr>
                          <w:rFonts w:hint="default" w:eastAsia="宋体"/>
                          <w:b/>
                          <w:bCs/>
                          <w:color w:val="FF0000"/>
                          <w:lang w:val="en-US" w:eastAsia="zh-CN"/>
                        </w:rPr>
                      </w:pPr>
                      <w:r>
                        <w:rPr>
                          <w:rFonts w:hint="eastAsia"/>
                          <w:b/>
                          <w:bCs/>
                          <w:color w:val="FF0000"/>
                          <w:lang w:val="en-US" w:eastAsia="zh-CN"/>
                        </w:rPr>
                        <w:t>102米米</w:t>
                      </w:r>
                    </w:p>
                  </w:txbxContent>
                </v:textbox>
              </v:shape>
            </w:pict>
          </mc:Fallback>
        </mc:AlternateContent>
      </w:r>
      <w:r>
        <w:rPr>
          <w:rFonts w:hint="default" w:ascii="Times New Roman" w:hAnsi="Times New Roman" w:eastAsia="宋体" w:cs="Times New Roman"/>
          <w:sz w:val="36"/>
        </w:rPr>
        <mc:AlternateContent>
          <mc:Choice Requires="wps">
            <w:drawing>
              <wp:anchor distT="0" distB="0" distL="114300" distR="114300" simplePos="0" relativeHeight="251684864" behindDoc="0" locked="0" layoutInCell="1" allowOverlap="1">
                <wp:simplePos x="0" y="0"/>
                <wp:positionH relativeFrom="column">
                  <wp:posOffset>3613785</wp:posOffset>
                </wp:positionH>
                <wp:positionV relativeFrom="paragraph">
                  <wp:posOffset>1345565</wp:posOffset>
                </wp:positionV>
                <wp:extent cx="739140" cy="297815"/>
                <wp:effectExtent l="0" t="0" r="0" b="0"/>
                <wp:wrapNone/>
                <wp:docPr id="23" name="文本框 23"/>
                <wp:cNvGraphicFramePr/>
                <a:graphic xmlns:a="http://schemas.openxmlformats.org/drawingml/2006/main">
                  <a:graphicData uri="http://schemas.microsoft.com/office/word/2010/wordprocessingShape">
                    <wps:wsp>
                      <wps:cNvSpPr txBox="1"/>
                      <wps:spPr>
                        <a:xfrm rot="20040000">
                          <a:off x="0" y="0"/>
                          <a:ext cx="739140" cy="2978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BCB82E">
                            <w:pPr>
                              <w:rPr>
                                <w:rFonts w:hint="default" w:eastAsia="宋体"/>
                                <w:b/>
                                <w:bCs/>
                                <w:color w:val="FF0000"/>
                                <w:lang w:val="en-US" w:eastAsia="zh-CN"/>
                              </w:rPr>
                            </w:pPr>
                            <w:r>
                              <w:rPr>
                                <w:rFonts w:hint="eastAsia"/>
                                <w:b/>
                                <w:bCs/>
                                <w:color w:val="FF0000"/>
                                <w:lang w:val="en-US" w:eastAsia="zh-CN"/>
                              </w:rPr>
                              <w:t>13米</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5pt;margin-top:105.95pt;height:23.45pt;width:58.2pt;rotation:-1703936f;z-index:251684864;mso-width-relative:page;mso-height-relative:page;" filled="f" stroked="f" coordsize="21600,21600" o:gfxdata="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yyyx/aAAAACwEAAA8AAAAAAAAAAQAgAAAA&#10;IgAAAGRycy9kb3ducmV2LnhtbFBLAQIUABQAAAAIAIdO4kAhFCErQgIAAHYEAAAOAAAAAAAAAAEA&#10;IAAAACkBAABkcnMvZTJvRG9jLnhtbFBLBQYAAAAABgAGAFkBAADdBQAAAAA=&#10;">
                <v:fill on="f" focussize="0,0"/>
                <v:stroke on="f" weight="0.5pt"/>
                <v:imagedata o:title=""/>
                <o:lock v:ext="edit" aspectratio="f"/>
                <v:textbox>
                  <w:txbxContent>
                    <w:p w14:paraId="1FBCB82E">
                      <w:pPr>
                        <w:rPr>
                          <w:rFonts w:hint="default" w:eastAsia="宋体"/>
                          <w:b/>
                          <w:bCs/>
                          <w:color w:val="FF0000"/>
                          <w:lang w:val="en-US" w:eastAsia="zh-CN"/>
                        </w:rPr>
                      </w:pPr>
                      <w:r>
                        <w:rPr>
                          <w:rFonts w:hint="eastAsia"/>
                          <w:b/>
                          <w:bCs/>
                          <w:color w:val="FF0000"/>
                          <w:lang w:val="en-US" w:eastAsia="zh-CN"/>
                        </w:rPr>
                        <w:t>13米</w:t>
                      </w:r>
                    </w:p>
                  </w:txbxContent>
                </v:textbox>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83840" behindDoc="0" locked="0" layoutInCell="1" allowOverlap="1">
                <wp:simplePos x="0" y="0"/>
                <wp:positionH relativeFrom="column">
                  <wp:posOffset>3810000</wp:posOffset>
                </wp:positionH>
                <wp:positionV relativeFrom="paragraph">
                  <wp:posOffset>1706245</wp:posOffset>
                </wp:positionV>
                <wp:extent cx="187325" cy="130175"/>
                <wp:effectExtent l="0" t="0" r="10795" b="6985"/>
                <wp:wrapNone/>
                <wp:docPr id="22" name="直接箭头连接符 22"/>
                <wp:cNvGraphicFramePr/>
                <a:graphic xmlns:a="http://schemas.openxmlformats.org/drawingml/2006/main">
                  <a:graphicData uri="http://schemas.microsoft.com/office/word/2010/wordprocessingShape">
                    <wps:wsp>
                      <wps:cNvCnPr/>
                      <wps:spPr>
                        <a:xfrm flipV="1">
                          <a:off x="0" y="0"/>
                          <a:ext cx="187325" cy="130175"/>
                        </a:xfrm>
                        <a:prstGeom prst="straightConnector1">
                          <a:avLst/>
                        </a:prstGeom>
                        <a:ln>
                          <a:solidFill>
                            <a:srgbClr val="FF0000"/>
                          </a:solidFill>
                          <a:headEnd type="arrow" w="med" len="med"/>
                          <a:tailEnd type="arrow" w="med" len="med"/>
                        </a:ln>
                      </wps:spPr>
                      <wps:style>
                        <a:lnRef idx="3">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300pt;margin-top:134.35pt;height:10.25pt;width:14.75pt;z-index:251683840;mso-width-relative:page;mso-height-relative:page;" filled="f" stroked="t" coordsize="21600,21600" o:gfxdata="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Deu5+bZAAAACwEAAA8AAAAAAAAAAQAgAAAAIgAAAGRycy9kb3ducmV2LnhtbFBLAQIUABQAAAAI&#10;AIdO4kA1krrHJQIAACwEAAAOAAAAAAAAAAEAIAAAACgBAABkcnMvZTJvRG9jLnhtbFBLBQYAAAAA&#10;BgAGAFkBAAC/BQAAAAA=&#10;">
                <v:fill on="f" focussize="0,0"/>
                <v:stroke weight="1.5pt" color="#FF0000 [3204]" miterlimit="8" joinstyle="miter" startarrow="open" endarrow="open"/>
                <v:imagedata o:title=""/>
                <o:lock v:ext="edit" aspectratio="f"/>
              </v:shape>
            </w:pict>
          </mc:Fallback>
        </mc:AlternateContent>
      </w:r>
      <w:r>
        <w:rPr>
          <w:rFonts w:hint="default" w:ascii="Times New Roman" w:hAnsi="Times New Roman" w:eastAsia="宋体" w:cs="Times New Roman"/>
          <w:sz w:val="36"/>
        </w:rPr>
        <mc:AlternateContent>
          <mc:Choice Requires="wps">
            <w:drawing>
              <wp:anchor distT="0" distB="0" distL="114300" distR="114300" simplePos="0" relativeHeight="251682816" behindDoc="0" locked="0" layoutInCell="1" allowOverlap="1">
                <wp:simplePos x="0" y="0"/>
                <wp:positionH relativeFrom="column">
                  <wp:posOffset>2743200</wp:posOffset>
                </wp:positionH>
                <wp:positionV relativeFrom="paragraph">
                  <wp:posOffset>1456690</wp:posOffset>
                </wp:positionV>
                <wp:extent cx="4634230" cy="2660015"/>
                <wp:effectExtent l="3175" t="5715" r="10795" b="16510"/>
                <wp:wrapNone/>
                <wp:docPr id="59" name="直接连接符 59"/>
                <wp:cNvGraphicFramePr/>
                <a:graphic xmlns:a="http://schemas.openxmlformats.org/drawingml/2006/main">
                  <a:graphicData uri="http://schemas.microsoft.com/office/word/2010/wordprocessingShape">
                    <wps:wsp>
                      <wps:cNvCnPr/>
                      <wps:spPr>
                        <a:xfrm flipV="1">
                          <a:off x="3657600" y="2599690"/>
                          <a:ext cx="4634230" cy="2660015"/>
                        </a:xfrm>
                        <a:prstGeom prst="line">
                          <a:avLst/>
                        </a:prstGeom>
                        <a:ln>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216pt;margin-top:114.7pt;height:209.45pt;width:364.9pt;z-index:251682816;mso-width-relative:page;mso-height-relative:page;" filled="f" stroked="t" coordsize="21600,21600" o:gfxdata="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ovkErdoAAAAMAQAADwAAAAAAAAABACAAAAAiAAAAZHJz&#10;L2Rvd25yZXYueG1sUEsBAhQAFAAAAAgAh07iQE+vhCwCAgAA0AMAAA4AAAAAAAAAAQAgAAAAKQEA&#10;AGRycy9lMm9Eb2MueG1sUEsFBgAAAAAGAAYAWQEAAJ0FAAAAAA==&#10;">
                <v:fill on="f" focussize="0,0"/>
                <v:stroke weight="1pt" color="#FF0000 [3204]" miterlimit="8" joinstyle="miter"/>
                <v:imagedata o:title=""/>
                <o:lock v:ext="edit" aspectratio="f"/>
              </v:line>
            </w:pict>
          </mc:Fallback>
        </mc:AlternateContent>
      </w:r>
      <w:r>
        <w:rPr>
          <w:rFonts w:hint="default" w:ascii="Times New Roman" w:hAnsi="Times New Roman" w:eastAsia="宋体" w:cs="Times New Roman"/>
          <w:sz w:val="36"/>
        </w:rPr>
        <mc:AlternateContent>
          <mc:Choice Requires="wps">
            <w:drawing>
              <wp:anchor distT="0" distB="0" distL="114300" distR="114300" simplePos="0" relativeHeight="251680768" behindDoc="0" locked="0" layoutInCell="1" allowOverlap="1">
                <wp:simplePos x="0" y="0"/>
                <wp:positionH relativeFrom="column">
                  <wp:posOffset>4210050</wp:posOffset>
                </wp:positionH>
                <wp:positionV relativeFrom="paragraph">
                  <wp:posOffset>1997075</wp:posOffset>
                </wp:positionV>
                <wp:extent cx="739140" cy="297815"/>
                <wp:effectExtent l="0" t="0" r="0" b="0"/>
                <wp:wrapNone/>
                <wp:docPr id="55" name="文本框 55"/>
                <wp:cNvGraphicFramePr/>
                <a:graphic xmlns:a="http://schemas.openxmlformats.org/drawingml/2006/main">
                  <a:graphicData uri="http://schemas.microsoft.com/office/word/2010/wordprocessingShape">
                    <wps:wsp>
                      <wps:cNvSpPr txBox="1"/>
                      <wps:spPr>
                        <a:xfrm rot="20040000">
                          <a:off x="0" y="0"/>
                          <a:ext cx="739140" cy="2978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E86711">
                            <w:pPr>
                              <w:rPr>
                                <w:rFonts w:hint="default" w:eastAsia="宋体"/>
                                <w:b/>
                                <w:bCs/>
                                <w:color w:val="FF0000"/>
                                <w:lang w:val="en-US" w:eastAsia="zh-CN"/>
                              </w:rPr>
                            </w:pPr>
                            <w:r>
                              <w:rPr>
                                <w:rFonts w:hint="eastAsia"/>
                                <w:b/>
                                <w:bCs/>
                                <w:color w:val="FF0000"/>
                                <w:lang w:val="en-US" w:eastAsia="zh-CN"/>
                              </w:rPr>
                              <w:t>44米</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1.5pt;margin-top:157.25pt;height:23.45pt;width:58.2pt;rotation:-1703936f;z-index:251680768;mso-width-relative:page;mso-height-relative:page;" filled="f" stroked="f" coordsize="21600,21600" o:gfxdata="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HJoPcHbAAAACwEAAA8AAAAAAAAAAQAg&#10;AAAAIgAAAGRycy9kb3ducmV2LnhtbFBLAQIUABQAAAAIAIdO4kBi1Tn5RAIAAHYEAAAOAAAAAAAA&#10;AAEAIAAAACoBAABkcnMvZTJvRG9jLnhtbFBLBQYAAAAABgAGAFkBAADgBQAAAAA=&#10;">
                <v:fill on="f" focussize="0,0"/>
                <v:stroke on="f" weight="0.5pt"/>
                <v:imagedata o:title=""/>
                <o:lock v:ext="edit" aspectratio="f"/>
                <v:textbox>
                  <w:txbxContent>
                    <w:p w14:paraId="72E86711">
                      <w:pPr>
                        <w:rPr>
                          <w:rFonts w:hint="default" w:eastAsia="宋体"/>
                          <w:b/>
                          <w:bCs/>
                          <w:color w:val="FF0000"/>
                          <w:lang w:val="en-US" w:eastAsia="zh-CN"/>
                        </w:rPr>
                      </w:pPr>
                      <w:r>
                        <w:rPr>
                          <w:rFonts w:hint="eastAsia"/>
                          <w:b/>
                          <w:bCs/>
                          <w:color w:val="FF0000"/>
                          <w:lang w:val="en-US" w:eastAsia="zh-CN"/>
                        </w:rPr>
                        <w:t>44米</w:t>
                      </w:r>
                    </w:p>
                  </w:txbxContent>
                </v:textbox>
              </v:shape>
            </w:pict>
          </mc:Fallback>
        </mc:AlternateContent>
      </w:r>
      <w:r>
        <w:rPr>
          <w:rFonts w:hint="default" w:ascii="Times New Roman" w:hAnsi="Times New Roman" w:eastAsia="宋体" w:cs="Times New Roman"/>
          <w:sz w:val="36"/>
        </w:rPr>
        <mc:AlternateContent>
          <mc:Choice Requires="wps">
            <w:drawing>
              <wp:anchor distT="0" distB="0" distL="114300" distR="114300" simplePos="0" relativeHeight="251679744" behindDoc="0" locked="0" layoutInCell="1" allowOverlap="1">
                <wp:simplePos x="0" y="0"/>
                <wp:positionH relativeFrom="column">
                  <wp:posOffset>3561715</wp:posOffset>
                </wp:positionH>
                <wp:positionV relativeFrom="paragraph">
                  <wp:posOffset>2163445</wp:posOffset>
                </wp:positionV>
                <wp:extent cx="518795" cy="264160"/>
                <wp:effectExtent l="0" t="0" r="0" b="0"/>
                <wp:wrapNone/>
                <wp:docPr id="53" name="文本框 53"/>
                <wp:cNvGraphicFramePr/>
                <a:graphic xmlns:a="http://schemas.openxmlformats.org/drawingml/2006/main">
                  <a:graphicData uri="http://schemas.microsoft.com/office/word/2010/wordprocessingShape">
                    <wps:wsp>
                      <wps:cNvSpPr txBox="1"/>
                      <wps:spPr>
                        <a:xfrm rot="20040000">
                          <a:off x="4537710" y="3479165"/>
                          <a:ext cx="518795" cy="2641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374053">
                            <w:pPr>
                              <w:rPr>
                                <w:rFonts w:hint="default" w:eastAsia="宋体"/>
                                <w:b/>
                                <w:bCs/>
                                <w:color w:val="FF0000"/>
                                <w:lang w:val="en-US" w:eastAsia="zh-CN"/>
                              </w:rPr>
                            </w:pPr>
                            <w:r>
                              <w:rPr>
                                <w:rFonts w:hint="eastAsia"/>
                                <w:b/>
                                <w:bCs/>
                                <w:color w:val="FF0000"/>
                                <w:sz w:val="24"/>
                                <w:szCs w:val="24"/>
                                <w:lang w:val="en-US" w:eastAsia="zh-CN"/>
                              </w:rPr>
                              <w:t>44</w:t>
                            </w:r>
                            <w:r>
                              <w:rPr>
                                <w:rFonts w:hint="eastAsia"/>
                                <w:b/>
                                <w:bCs/>
                                <w:color w:val="FF0000"/>
                                <w:lang w:val="en-US" w:eastAsia="zh-CN"/>
                              </w:rPr>
                              <w:t>米</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0.45pt;margin-top:170.35pt;height:20.8pt;width:40.85pt;rotation:-1703936f;z-index:251679744;mso-width-relative:page;mso-height-relative:page;" filled="f" stroked="f" coordsize="21600,21600" o:gfxdata="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VOwUXdoAAAAL&#10;AQAADwAAAAAAAAABACAAAAAiAAAAZHJzL2Rvd25yZXYueG1sUEsBAhQAFAAAAAgAh07iQNImbs9T&#10;AgAAggQAAA4AAAAAAAAAAQAgAAAAKQEAAGRycy9lMm9Eb2MueG1sUEsFBgAAAAAGAAYAWQEAAO4F&#10;AAAAAA==&#10;">
                <v:fill on="f" focussize="0,0"/>
                <v:stroke on="f" weight="0.5pt"/>
                <v:imagedata o:title=""/>
                <o:lock v:ext="edit" aspectratio="f"/>
                <v:textbox>
                  <w:txbxContent>
                    <w:p w14:paraId="6A374053">
                      <w:pPr>
                        <w:rPr>
                          <w:rFonts w:hint="default" w:eastAsia="宋体"/>
                          <w:b/>
                          <w:bCs/>
                          <w:color w:val="FF0000"/>
                          <w:lang w:val="en-US" w:eastAsia="zh-CN"/>
                        </w:rPr>
                      </w:pPr>
                      <w:r>
                        <w:rPr>
                          <w:rFonts w:hint="eastAsia"/>
                          <w:b/>
                          <w:bCs/>
                          <w:color w:val="FF0000"/>
                          <w:sz w:val="24"/>
                          <w:szCs w:val="24"/>
                          <w:lang w:val="en-US" w:eastAsia="zh-CN"/>
                        </w:rPr>
                        <w:t>44</w:t>
                      </w:r>
                      <w:r>
                        <w:rPr>
                          <w:rFonts w:hint="eastAsia"/>
                          <w:b/>
                          <w:bCs/>
                          <w:color w:val="FF0000"/>
                          <w:lang w:val="en-US" w:eastAsia="zh-CN"/>
                        </w:rPr>
                        <w:t>米</w:t>
                      </w:r>
                    </w:p>
                  </w:txbxContent>
                </v:textbox>
              </v:shape>
            </w:pict>
          </mc:Fallback>
        </mc:AlternateContent>
      </w:r>
      <w:r>
        <w:rPr>
          <w:rFonts w:hint="default" w:ascii="Times New Roman" w:hAnsi="Times New Roman" w:eastAsia="宋体" w:cs="Times New Roman"/>
          <w:sz w:val="36"/>
        </w:rPr>
        <mc:AlternateContent>
          <mc:Choice Requires="wps">
            <w:drawing>
              <wp:anchor distT="0" distB="0" distL="114300" distR="114300" simplePos="0" relativeHeight="251678720" behindDoc="0" locked="0" layoutInCell="1" allowOverlap="1">
                <wp:simplePos x="0" y="0"/>
                <wp:positionH relativeFrom="column">
                  <wp:posOffset>2806065</wp:posOffset>
                </wp:positionH>
                <wp:positionV relativeFrom="paragraph">
                  <wp:posOffset>2641600</wp:posOffset>
                </wp:positionV>
                <wp:extent cx="571500" cy="1461135"/>
                <wp:effectExtent l="0" t="0" r="0" b="0"/>
                <wp:wrapNone/>
                <wp:docPr id="51" name="文本框 51"/>
                <wp:cNvGraphicFramePr/>
                <a:graphic xmlns:a="http://schemas.openxmlformats.org/drawingml/2006/main">
                  <a:graphicData uri="http://schemas.microsoft.com/office/word/2010/wordprocessingShape">
                    <wps:wsp>
                      <wps:cNvSpPr txBox="1"/>
                      <wps:spPr>
                        <a:xfrm rot="19860000">
                          <a:off x="0" y="0"/>
                          <a:ext cx="571500" cy="14611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CE6E88">
                            <w:pPr>
                              <w:rPr>
                                <w:rFonts w:hint="eastAsia" w:eastAsia="宋体"/>
                                <w:b/>
                                <w:bCs/>
                                <w:color w:val="FF0000"/>
                                <w:sz w:val="30"/>
                                <w:szCs w:val="30"/>
                                <w:lang w:val="en-US" w:eastAsia="zh-CN"/>
                              </w:rPr>
                            </w:pPr>
                            <w:r>
                              <w:rPr>
                                <w:rFonts w:hint="eastAsia"/>
                                <w:b/>
                                <w:bCs/>
                                <w:color w:val="FF0000"/>
                                <w:sz w:val="30"/>
                                <w:szCs w:val="30"/>
                                <w:lang w:val="en-US" w:eastAsia="zh-CN"/>
                              </w:rPr>
                              <w:t>同 济 南 路</w:t>
                            </w: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0.95pt;margin-top:208pt;height:115.05pt;width:45pt;rotation:-1900544f;z-index:251678720;mso-width-relative:page;mso-height-relative:page;" filled="f" stroked="f" coordsize="21600,21600" o:gfxdata="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e4jYU1wAAAAsBAAAPAAAAAAAAAAEA&#10;IAAAACIAAABkcnMvZG93bnJldi54bWxQSwECFAAUAAAACACHTuJAQpNUvUkCAAB5BAAADgAAAAAA&#10;AAABACAAAAAmAQAAZHJzL2Uyb0RvYy54bWxQSwUGAAAAAAYABgBZAQAA4QUAAAAA&#10;">
                <v:fill on="f" focussize="0,0"/>
                <v:stroke on="f" weight="0.5pt"/>
                <v:imagedata o:title=""/>
                <o:lock v:ext="edit" aspectratio="f"/>
                <v:textbox style="layout-flow:vertical-ideographic;">
                  <w:txbxContent>
                    <w:p w14:paraId="33CE6E88">
                      <w:pPr>
                        <w:rPr>
                          <w:rFonts w:hint="eastAsia" w:eastAsia="宋体"/>
                          <w:b/>
                          <w:bCs/>
                          <w:color w:val="FF0000"/>
                          <w:sz w:val="30"/>
                          <w:szCs w:val="30"/>
                          <w:lang w:val="en-US" w:eastAsia="zh-CN"/>
                        </w:rPr>
                      </w:pPr>
                      <w:r>
                        <w:rPr>
                          <w:rFonts w:hint="eastAsia"/>
                          <w:b/>
                          <w:bCs/>
                          <w:color w:val="FF0000"/>
                          <w:sz w:val="30"/>
                          <w:szCs w:val="30"/>
                          <w:lang w:val="en-US" w:eastAsia="zh-CN"/>
                        </w:rPr>
                        <w:t>同 济 南 路</w:t>
                      </w:r>
                    </w:p>
                  </w:txbxContent>
                </v:textbox>
              </v:shape>
            </w:pict>
          </mc:Fallback>
        </mc:AlternateContent>
      </w:r>
      <w:r>
        <w:rPr>
          <w:rFonts w:hint="default" w:ascii="Times New Roman" w:hAnsi="Times New Roman" w:eastAsia="宋体" w:cs="Times New Roman"/>
          <w:sz w:val="36"/>
        </w:rPr>
        <mc:AlternateContent>
          <mc:Choice Requires="wps">
            <w:drawing>
              <wp:anchor distT="0" distB="0" distL="114300" distR="114300" simplePos="0" relativeHeight="251677696" behindDoc="0" locked="0" layoutInCell="1" allowOverlap="1">
                <wp:simplePos x="0" y="0"/>
                <wp:positionH relativeFrom="column">
                  <wp:posOffset>3819525</wp:posOffset>
                </wp:positionH>
                <wp:positionV relativeFrom="paragraph">
                  <wp:posOffset>3147060</wp:posOffset>
                </wp:positionV>
                <wp:extent cx="1205230" cy="508635"/>
                <wp:effectExtent l="0" t="0" r="0" b="0"/>
                <wp:wrapNone/>
                <wp:docPr id="49" name="文本框 49"/>
                <wp:cNvGraphicFramePr/>
                <a:graphic xmlns:a="http://schemas.openxmlformats.org/drawingml/2006/main">
                  <a:graphicData uri="http://schemas.microsoft.com/office/word/2010/wordprocessingShape">
                    <wps:wsp>
                      <wps:cNvSpPr txBox="1"/>
                      <wps:spPr>
                        <a:xfrm rot="19740000">
                          <a:off x="0" y="0"/>
                          <a:ext cx="1205230" cy="5086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EA7768">
                            <w:pPr>
                              <w:rPr>
                                <w:rFonts w:hint="default" w:eastAsia="宋体"/>
                                <w:b/>
                                <w:bCs/>
                                <w:color w:val="FF0000"/>
                                <w:sz w:val="28"/>
                                <w:szCs w:val="28"/>
                                <w:lang w:val="en-US" w:eastAsia="zh-CN"/>
                              </w:rPr>
                            </w:pPr>
                            <w:r>
                              <w:rPr>
                                <w:rFonts w:hint="eastAsia"/>
                                <w:b/>
                                <w:bCs/>
                                <w:color w:val="FF0000"/>
                                <w:sz w:val="28"/>
                                <w:szCs w:val="28"/>
                                <w:lang w:val="en-US" w:eastAsia="zh-CN"/>
                              </w:rPr>
                              <w:t>康   定  街</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0.75pt;margin-top:247.8pt;height:40.05pt;width:94.9pt;rotation:-2031616f;z-index:251677696;mso-width-relative:page;mso-height-relative:page;" filled="f" stroked="f" coordsize="21600,21600" o:gfxdata="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Z0ppR3AAAAAsBAAAPAAAAAAAAAAEA&#10;IAAAACIAAABkcnMvZG93bnJldi54bWxQSwECFAAUAAAACACHTuJAMRu5o0QCAAB3BAAADgAAAAAA&#10;AAABACAAAAArAQAAZHJzL2Uyb0RvYy54bWxQSwUGAAAAAAYABgBZAQAA4QUAAAAA&#10;">
                <v:fill on="f" focussize="0,0"/>
                <v:stroke on="f" weight="0.5pt"/>
                <v:imagedata o:title=""/>
                <o:lock v:ext="edit" aspectratio="f"/>
                <v:textbox>
                  <w:txbxContent>
                    <w:p w14:paraId="16EA7768">
                      <w:pPr>
                        <w:rPr>
                          <w:rFonts w:hint="default" w:eastAsia="宋体"/>
                          <w:b/>
                          <w:bCs/>
                          <w:color w:val="FF0000"/>
                          <w:sz w:val="28"/>
                          <w:szCs w:val="28"/>
                          <w:lang w:val="en-US" w:eastAsia="zh-CN"/>
                        </w:rPr>
                      </w:pPr>
                      <w:r>
                        <w:rPr>
                          <w:rFonts w:hint="eastAsia"/>
                          <w:b/>
                          <w:bCs/>
                          <w:color w:val="FF0000"/>
                          <w:sz w:val="28"/>
                          <w:szCs w:val="28"/>
                          <w:lang w:val="en-US" w:eastAsia="zh-CN"/>
                        </w:rPr>
                        <w:t>康   定  街</w:t>
                      </w:r>
                    </w:p>
                  </w:txbxContent>
                </v:textbox>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76672" behindDoc="0" locked="0" layoutInCell="1" allowOverlap="1">
                <wp:simplePos x="0" y="0"/>
                <wp:positionH relativeFrom="column">
                  <wp:posOffset>3145155</wp:posOffset>
                </wp:positionH>
                <wp:positionV relativeFrom="paragraph">
                  <wp:posOffset>2329815</wp:posOffset>
                </wp:positionV>
                <wp:extent cx="699770" cy="1143000"/>
                <wp:effectExtent l="0" t="0" r="1270" b="0"/>
                <wp:wrapNone/>
                <wp:docPr id="43" name="直接箭头连接符 43"/>
                <wp:cNvGraphicFramePr/>
                <a:graphic xmlns:a="http://schemas.openxmlformats.org/drawingml/2006/main">
                  <a:graphicData uri="http://schemas.microsoft.com/office/word/2010/wordprocessingShape">
                    <wps:wsp>
                      <wps:cNvCnPr/>
                      <wps:spPr>
                        <a:xfrm flipH="1" flipV="1">
                          <a:off x="0" y="0"/>
                          <a:ext cx="699770" cy="1143000"/>
                        </a:xfrm>
                        <a:prstGeom prst="straightConnector1">
                          <a:avLst/>
                        </a:prstGeom>
                        <a:ln>
                          <a:solidFill>
                            <a:srgbClr val="FF0000"/>
                          </a:solidFill>
                          <a:headEnd type="arrow" w="med" len="med"/>
                          <a:tailEnd type="arrow" w="med" len="med"/>
                        </a:ln>
                      </wps:spPr>
                      <wps:style>
                        <a:lnRef idx="3">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247.65pt;margin-top:183.45pt;height:90pt;width:55.1pt;z-index:251676672;mso-width-relative:page;mso-height-relative:page;" filled="f" stroked="t" coordsize="21600,21600" o:gfxdata="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Zg6t9oAAAALAQAADwAAAAAAAAABACAAAAAiAAAAZHJzL2Rvd25yZXYueG1sUEsBAhQA&#10;FAAAAAgAh07iQBvfZ4ApAgAANwQAAA4AAAAAAAAAAQAgAAAAKQEAAGRycy9lMm9Eb2MueG1sUEsF&#10;BgAAAAAGAAYAWQEAAMQFAAAAAA==&#10;">
                <v:fill on="f" focussize="0,0"/>
                <v:stroke weight="1.5pt" color="#FF0000 [3204]" miterlimit="8" joinstyle="miter" startarrow="open" endarrow="open"/>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75648" behindDoc="0" locked="0" layoutInCell="1" allowOverlap="1">
                <wp:simplePos x="0" y="0"/>
                <wp:positionH relativeFrom="column">
                  <wp:posOffset>3837940</wp:posOffset>
                </wp:positionH>
                <wp:positionV relativeFrom="paragraph">
                  <wp:posOffset>1927860</wp:posOffset>
                </wp:positionV>
                <wp:extent cx="353060" cy="498475"/>
                <wp:effectExtent l="0" t="0" r="12700" b="4445"/>
                <wp:wrapNone/>
                <wp:docPr id="42" name="直接箭头连接符 42"/>
                <wp:cNvGraphicFramePr/>
                <a:graphic xmlns:a="http://schemas.openxmlformats.org/drawingml/2006/main">
                  <a:graphicData uri="http://schemas.microsoft.com/office/word/2010/wordprocessingShape">
                    <wps:wsp>
                      <wps:cNvCnPr/>
                      <wps:spPr>
                        <a:xfrm>
                          <a:off x="4925060" y="3311525"/>
                          <a:ext cx="353060" cy="498475"/>
                        </a:xfrm>
                        <a:prstGeom prst="straightConnector1">
                          <a:avLst/>
                        </a:prstGeom>
                        <a:ln>
                          <a:solidFill>
                            <a:srgbClr val="FF0000"/>
                          </a:solidFill>
                          <a:headEnd type="arrow" w="med" len="med"/>
                          <a:tailEnd type="arrow" w="med" len="med"/>
                        </a:ln>
                      </wps:spPr>
                      <wps:style>
                        <a:lnRef idx="3">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302.2pt;margin-top:151.8pt;height:39.25pt;width:27.8pt;z-index:251675648;mso-width-relative:page;mso-height-relative:page;" filled="f" stroked="t" coordsize="21600,21600" o:gfxdata="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Ly9g/2QAAAAsBAAAPAAAAAAAAAAEAIAAAACIAAABkcnMvZG93bnJldi54bWxQSwECFAAU&#10;AAAACACHTuJAH8lK/SkCAAAuBAAADgAAAAAAAAABACAAAAAoAQAAZHJzL2Uyb0RvYy54bWxQSwUG&#10;AAAAAAYABgBZAQAAwwUAAAAA&#10;">
                <v:fill on="f" focussize="0,0"/>
                <v:stroke weight="1.5pt" color="#FF0000 [3204]" miterlimit="8" joinstyle="miter" startarrow="open" endarrow="open"/>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74624" behindDoc="0" locked="0" layoutInCell="1" allowOverlap="1">
                <wp:simplePos x="0" y="0"/>
                <wp:positionH relativeFrom="column">
                  <wp:posOffset>3422015</wp:posOffset>
                </wp:positionH>
                <wp:positionV relativeFrom="paragraph">
                  <wp:posOffset>2209800</wp:posOffset>
                </wp:positionV>
                <wp:extent cx="317500" cy="495300"/>
                <wp:effectExtent l="0" t="0" r="2540" b="7620"/>
                <wp:wrapNone/>
                <wp:docPr id="31" name="直接箭头连接符 31"/>
                <wp:cNvGraphicFramePr/>
                <a:graphic xmlns:a="http://schemas.openxmlformats.org/drawingml/2006/main">
                  <a:graphicData uri="http://schemas.microsoft.com/office/word/2010/wordprocessingShape">
                    <wps:wsp>
                      <wps:cNvCnPr>
                        <a:stCxn id="29" idx="0"/>
                      </wps:cNvCnPr>
                      <wps:spPr>
                        <a:xfrm flipH="1" flipV="1">
                          <a:off x="4336415" y="3352800"/>
                          <a:ext cx="317500" cy="495300"/>
                        </a:xfrm>
                        <a:prstGeom prst="straightConnector1">
                          <a:avLst/>
                        </a:prstGeom>
                        <a:ln>
                          <a:solidFill>
                            <a:srgbClr val="FF0000"/>
                          </a:solidFill>
                          <a:headEnd type="arrow" w="med" len="med"/>
                          <a:tailEnd type="arrow" w="med" len="med"/>
                        </a:ln>
                      </wps:spPr>
                      <wps:style>
                        <a:lnRef idx="3">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269.45pt;margin-top:174pt;height:39pt;width:25pt;z-index:251674624;mso-width-relative:page;mso-height-relative:page;" filled="f" stroked="t" coordsize="21600,21600" o:gfxdata="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YcDRA2gAAAAsBAAAPAAAAAAAAAAEA&#10;IAAAACIAAABkcnMvZG93bnJldi54bWxQSwECFAAUAAAACACHTuJAHse6eEYCAABpBAAADgAAAAAA&#10;AAABACAAAAApAQAAZHJzL2Uyb0RvYy54bWxQSwUGAAAAAAYABgBZAQAA4QUAAAAA&#10;">
                <v:fill on="f" focussize="0,0"/>
                <v:stroke weight="1.5pt" color="#FF0000 [3204]" miterlimit="8" joinstyle="miter" startarrow="open" endarrow="open"/>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73600" behindDoc="0" locked="0" layoutInCell="1" allowOverlap="1">
                <wp:simplePos x="0" y="0"/>
                <wp:positionH relativeFrom="column">
                  <wp:posOffset>4215765</wp:posOffset>
                </wp:positionH>
                <wp:positionV relativeFrom="paragraph">
                  <wp:posOffset>2291080</wp:posOffset>
                </wp:positionV>
                <wp:extent cx="620395" cy="346710"/>
                <wp:effectExtent l="53975" t="143510" r="57150" b="149860"/>
                <wp:wrapNone/>
                <wp:docPr id="30" name="矩形 30"/>
                <wp:cNvGraphicFramePr/>
                <a:graphic xmlns:a="http://schemas.openxmlformats.org/drawingml/2006/main">
                  <a:graphicData uri="http://schemas.microsoft.com/office/word/2010/wordprocessingShape">
                    <wps:wsp>
                      <wps:cNvSpPr/>
                      <wps:spPr>
                        <a:xfrm rot="19740000">
                          <a:off x="0" y="0"/>
                          <a:ext cx="620395" cy="346710"/>
                        </a:xfrm>
                        <a:prstGeom prst="rect">
                          <a:avLst/>
                        </a:prstGeom>
                        <a:solidFill>
                          <a:srgbClr val="00B050">
                            <a:alpha val="50000"/>
                          </a:srgbClr>
                        </a:solidFill>
                        <a:ln>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961BC3F">
                            <w:pPr>
                              <w:jc w:val="center"/>
                              <w:rPr>
                                <w:rFonts w:hint="eastAsia" w:eastAsia="宋体"/>
                                <w:b/>
                                <w:bCs/>
                                <w:color w:val="FF0000"/>
                                <w:lang w:val="en-US" w:eastAsia="zh-CN"/>
                                <w14:textFill>
                                  <w14:solidFill>
                                    <w14:srgbClr w14:val="FF0000">
                                      <w14:alpha w14:val="60000"/>
                                    </w14:srgbClr>
                                  </w14:solidFill>
                                </w14:textFill>
                              </w:rPr>
                            </w:pPr>
                            <w:r>
                              <w:rPr>
                                <w:rFonts w:hint="eastAsia"/>
                                <w:b/>
                                <w:bCs/>
                                <w:color w:val="FF0000"/>
                                <w:lang w:val="en-US" w:eastAsia="zh-CN"/>
                                <w14:textFill>
                                  <w14:solidFill>
                                    <w14:srgbClr w14:val="FF0000">
                                      <w14:alpha w14:val="60000"/>
                                    </w14:srgbClr>
                                  </w14:solidFill>
                                </w14:textFill>
                              </w:rPr>
                              <w:t>7号楼</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31.95pt;margin-top:180.4pt;height:27.3pt;width:48.85pt;rotation:-2031616f;z-index:251673600;v-text-anchor:middle;mso-width-relative:page;mso-height-relative:page;" fillcolor="#00B050" filled="t" stroked="t" coordsize="21600,21600" o:gfxdata="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Fhyf/Pb&#10;AAAACwEAAA8AAAAAAAAAAQAgAAAAIgAAAGRycy9kb3ducmV2LnhtbFBLAQIUABQAAAAIAIdO4kBZ&#10;Y1uyjwIAADAFAAAOAAAAAAAAAAEAIAAAACoBAABkcnMvZTJvRG9jLnhtbFBLBQYAAAAABgAGAFkB&#10;AAArBgAAAAA=&#10;">
                <v:fill on="t" opacity="32768f" focussize="0,0"/>
                <v:stroke weight="1pt" color="#00B050 [2404]" miterlimit="8" joinstyle="miter"/>
                <v:imagedata o:title=""/>
                <o:lock v:ext="edit" aspectratio="f"/>
                <v:textbox>
                  <w:txbxContent>
                    <w:p w14:paraId="3961BC3F">
                      <w:pPr>
                        <w:jc w:val="center"/>
                        <w:rPr>
                          <w:rFonts w:hint="eastAsia" w:eastAsia="宋体"/>
                          <w:b/>
                          <w:bCs/>
                          <w:color w:val="FF0000"/>
                          <w:lang w:val="en-US" w:eastAsia="zh-CN"/>
                          <w14:textFill>
                            <w14:solidFill>
                              <w14:srgbClr w14:val="FF0000">
                                <w14:alpha w14:val="60000"/>
                              </w14:srgbClr>
                            </w14:solidFill>
                          </w14:textFill>
                        </w:rPr>
                      </w:pPr>
                      <w:r>
                        <w:rPr>
                          <w:rFonts w:hint="eastAsia"/>
                          <w:b/>
                          <w:bCs/>
                          <w:color w:val="FF0000"/>
                          <w:lang w:val="en-US" w:eastAsia="zh-CN"/>
                          <w14:textFill>
                            <w14:solidFill>
                              <w14:srgbClr w14:val="FF0000">
                                <w14:alpha w14:val="60000"/>
                              </w14:srgbClr>
                            </w14:solidFill>
                          </w14:textFill>
                        </w:rPr>
                        <w:t>7号楼</w:t>
                      </w:r>
                    </w:p>
                  </w:txbxContent>
                </v:textbox>
              </v:rect>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72576" behindDoc="0" locked="0" layoutInCell="1" allowOverlap="1">
                <wp:simplePos x="0" y="0"/>
                <wp:positionH relativeFrom="column">
                  <wp:posOffset>3510915</wp:posOffset>
                </wp:positionH>
                <wp:positionV relativeFrom="paragraph">
                  <wp:posOffset>2679065</wp:posOffset>
                </wp:positionV>
                <wp:extent cx="643255" cy="360680"/>
                <wp:effectExtent l="55880" t="148590" r="62865" b="161290"/>
                <wp:wrapNone/>
                <wp:docPr id="29" name="矩形 29"/>
                <wp:cNvGraphicFramePr/>
                <a:graphic xmlns:a="http://schemas.openxmlformats.org/drawingml/2006/main">
                  <a:graphicData uri="http://schemas.microsoft.com/office/word/2010/wordprocessingShape">
                    <wps:wsp>
                      <wps:cNvSpPr/>
                      <wps:spPr>
                        <a:xfrm rot="19740000">
                          <a:off x="0" y="0"/>
                          <a:ext cx="643255" cy="360680"/>
                        </a:xfrm>
                        <a:prstGeom prst="rect">
                          <a:avLst/>
                        </a:prstGeom>
                        <a:solidFill>
                          <a:srgbClr val="00B050">
                            <a:alpha val="50000"/>
                          </a:srgbClr>
                        </a:solidFill>
                      </wps:spPr>
                      <wps:style>
                        <a:lnRef idx="2">
                          <a:schemeClr val="accent1">
                            <a:lumMod val="75000"/>
                          </a:schemeClr>
                        </a:lnRef>
                        <a:fillRef idx="1">
                          <a:schemeClr val="accent1"/>
                        </a:fillRef>
                        <a:effectRef idx="0">
                          <a:srgbClr val="FFFFFF"/>
                        </a:effectRef>
                        <a:fontRef idx="minor">
                          <a:schemeClr val="lt1"/>
                        </a:fontRef>
                      </wps:style>
                      <wps:txbx>
                        <w:txbxContent>
                          <w:p w14:paraId="2133E60F">
                            <w:pPr>
                              <w:jc w:val="center"/>
                              <w:rPr>
                                <w:rFonts w:hint="default" w:eastAsia="宋体"/>
                                <w:b/>
                                <w:bCs/>
                                <w:color w:val="FF0000"/>
                                <w:lang w:val="en-US" w:eastAsia="zh-CN"/>
                              </w:rPr>
                            </w:pPr>
                            <w:r>
                              <w:rPr>
                                <w:rFonts w:hint="eastAsia"/>
                                <w:b/>
                                <w:bCs/>
                                <w:color w:val="FF0000"/>
                                <w:lang w:val="en-US" w:eastAsia="zh-CN"/>
                              </w:rPr>
                              <w:t>6号楼</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76.45pt;margin-top:210.95pt;height:28.4pt;width:50.65pt;rotation:-2031616f;z-index:251672576;v-text-anchor:middle;mso-width-relative:page;mso-height-relative:page;" fillcolor="#00B050" filled="t" stroked="t" coordsize="21600,21600" o:gfxdata="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OEOBG9kAAAALAQAADwAAAAAAAAABACAAAAAiAAAAZHJzL2Rvd25yZXYueG1s&#10;UEsBAhQAFAAAAAgAh07iQLve+LuiAgAAUgUAAA4AAAAAAAAAAQAgAAAAKAEAAGRycy9lMm9Eb2Mu&#10;eG1sUEsFBgAAAAAGAAYAWQEAADwGAAAAAA==&#10;">
                <v:fill on="t" opacity="32768f" focussize="0,0"/>
                <v:stroke weight="1pt" color="#2E75B6 [2404]" miterlimit="8" joinstyle="miter"/>
                <v:imagedata o:title=""/>
                <o:lock v:ext="edit" aspectratio="f"/>
                <v:textbox>
                  <w:txbxContent>
                    <w:p w14:paraId="2133E60F">
                      <w:pPr>
                        <w:jc w:val="center"/>
                        <w:rPr>
                          <w:rFonts w:hint="default" w:eastAsia="宋体"/>
                          <w:b/>
                          <w:bCs/>
                          <w:color w:val="FF0000"/>
                          <w:lang w:val="en-US" w:eastAsia="zh-CN"/>
                        </w:rPr>
                      </w:pPr>
                      <w:r>
                        <w:rPr>
                          <w:rFonts w:hint="eastAsia"/>
                          <w:b/>
                          <w:bCs/>
                          <w:color w:val="FF0000"/>
                          <w:lang w:val="en-US" w:eastAsia="zh-CN"/>
                        </w:rPr>
                        <w:t>6号楼</w:t>
                      </w:r>
                    </w:p>
                  </w:txbxContent>
                </v:textbox>
              </v:rect>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71552" behindDoc="0" locked="0" layoutInCell="1" allowOverlap="1">
                <wp:simplePos x="0" y="0"/>
                <wp:positionH relativeFrom="column">
                  <wp:posOffset>4055110</wp:posOffset>
                </wp:positionH>
                <wp:positionV relativeFrom="paragraph">
                  <wp:posOffset>1377950</wp:posOffset>
                </wp:positionV>
                <wp:extent cx="334645" cy="732790"/>
                <wp:effectExtent l="173355" t="42545" r="177800" b="47625"/>
                <wp:wrapNone/>
                <wp:docPr id="28" name="矩形 28"/>
                <wp:cNvGraphicFramePr/>
                <a:graphic xmlns:a="http://schemas.openxmlformats.org/drawingml/2006/main">
                  <a:graphicData uri="http://schemas.microsoft.com/office/word/2010/wordprocessingShape">
                    <wps:wsp>
                      <wps:cNvSpPr/>
                      <wps:spPr>
                        <a:xfrm rot="19740000">
                          <a:off x="0" y="0"/>
                          <a:ext cx="334645" cy="732790"/>
                        </a:xfrm>
                        <a:prstGeom prst="rect">
                          <a:avLst/>
                        </a:prstGeom>
                        <a:solidFill>
                          <a:srgbClr val="00B050">
                            <a:alpha val="50000"/>
                          </a:srgbClr>
                        </a:solidFill>
                      </wps:spPr>
                      <wps:style>
                        <a:lnRef idx="2">
                          <a:schemeClr val="accent1">
                            <a:lumMod val="75000"/>
                          </a:schemeClr>
                        </a:lnRef>
                        <a:fillRef idx="1">
                          <a:schemeClr val="accent1"/>
                        </a:fillRef>
                        <a:effectRef idx="0">
                          <a:srgbClr val="FFFFFF"/>
                        </a:effectRef>
                        <a:fontRef idx="minor">
                          <a:schemeClr val="lt1"/>
                        </a:fontRef>
                      </wps:style>
                      <wps:txbx>
                        <w:txbxContent>
                          <w:p w14:paraId="2D62A9AD">
                            <w:pPr>
                              <w:jc w:val="center"/>
                              <w:rPr>
                                <w:rFonts w:hint="eastAsia" w:eastAsia="宋体"/>
                                <w:b/>
                                <w:bCs/>
                                <w:color w:val="FF0000"/>
                                <w:lang w:val="en-US" w:eastAsia="zh-CN"/>
                              </w:rPr>
                            </w:pPr>
                            <w:r>
                              <w:rPr>
                                <w:rFonts w:hint="eastAsia"/>
                                <w:b/>
                                <w:bCs/>
                                <w:color w:val="FF0000"/>
                                <w:lang w:val="en-US" w:eastAsia="zh-CN"/>
                              </w:rPr>
                              <w:t>4号楼</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9.3pt;margin-top:108.5pt;height:57.7pt;width:26.35pt;rotation:-2031616f;z-index:251671552;v-text-anchor:middle;mso-width-relative:page;mso-height-relative:page;" fillcolor="#00B050" filled="t" stroked="t" coordsize="21600,21600" o:gfxdata="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KcE6SHaAAAACwEAAA8AAAAAAAAAAQAgAAAAIgAAAGRycy9kb3ducmV2Lnht&#10;bFBLAQIUABQAAAAIAIdO4kB5AK0nogIAAFIFAAAOAAAAAAAAAAEAIAAAACkBAABkcnMvZTJvRG9j&#10;LnhtbFBLBQYAAAAABgAGAFkBAAA9BgAAAAA=&#10;">
                <v:fill on="t" opacity="32768f" focussize="0,0"/>
                <v:stroke weight="1pt" color="#2E75B6 [2404]" miterlimit="8" joinstyle="miter"/>
                <v:imagedata o:title=""/>
                <o:lock v:ext="edit" aspectratio="f"/>
                <v:textbox>
                  <w:txbxContent>
                    <w:p w14:paraId="2D62A9AD">
                      <w:pPr>
                        <w:jc w:val="center"/>
                        <w:rPr>
                          <w:rFonts w:hint="eastAsia" w:eastAsia="宋体"/>
                          <w:b/>
                          <w:bCs/>
                          <w:color w:val="FF0000"/>
                          <w:lang w:val="en-US" w:eastAsia="zh-CN"/>
                        </w:rPr>
                      </w:pPr>
                      <w:r>
                        <w:rPr>
                          <w:rFonts w:hint="eastAsia"/>
                          <w:b/>
                          <w:bCs/>
                          <w:color w:val="FF0000"/>
                          <w:lang w:val="en-US" w:eastAsia="zh-CN"/>
                        </w:rPr>
                        <w:t>4号楼</w:t>
                      </w:r>
                    </w:p>
                  </w:txbxContent>
                </v:textbox>
              </v:rect>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70528" behindDoc="0" locked="0" layoutInCell="1" allowOverlap="1">
                <wp:simplePos x="0" y="0"/>
                <wp:positionH relativeFrom="column">
                  <wp:posOffset>2981960</wp:posOffset>
                </wp:positionH>
                <wp:positionV relativeFrom="paragraph">
                  <wp:posOffset>1789430</wp:posOffset>
                </wp:positionV>
                <wp:extent cx="869950" cy="360680"/>
                <wp:effectExtent l="39370" t="207010" r="50800" b="209550"/>
                <wp:wrapNone/>
                <wp:docPr id="27" name="矩形 27"/>
                <wp:cNvGraphicFramePr/>
                <a:graphic xmlns:a="http://schemas.openxmlformats.org/drawingml/2006/main">
                  <a:graphicData uri="http://schemas.microsoft.com/office/word/2010/wordprocessingShape">
                    <wps:wsp>
                      <wps:cNvSpPr/>
                      <wps:spPr>
                        <a:xfrm rot="19740000">
                          <a:off x="3900170" y="3162935"/>
                          <a:ext cx="869950" cy="360680"/>
                        </a:xfrm>
                        <a:prstGeom prst="rect">
                          <a:avLst/>
                        </a:prstGeom>
                        <a:solidFill>
                          <a:schemeClr val="accent4">
                            <a:alpha val="80000"/>
                          </a:schemeClr>
                        </a:solidFill>
                      </wps:spPr>
                      <wps:style>
                        <a:lnRef idx="2">
                          <a:schemeClr val="accent1">
                            <a:lumMod val="75000"/>
                          </a:schemeClr>
                        </a:lnRef>
                        <a:fillRef idx="1">
                          <a:schemeClr val="accent1"/>
                        </a:fillRef>
                        <a:effectRef idx="0">
                          <a:srgbClr val="FFFFFF"/>
                        </a:effectRef>
                        <a:fontRef idx="minor">
                          <a:schemeClr val="lt1"/>
                        </a:fontRef>
                      </wps:style>
                      <wps:txbx>
                        <w:txbxContent>
                          <w:p w14:paraId="78F4B5A9">
                            <w:pPr>
                              <w:jc w:val="center"/>
                              <w:rPr>
                                <w:rFonts w:hint="default" w:eastAsia="宋体"/>
                                <w:b/>
                                <w:bCs/>
                                <w:color w:val="FF0000"/>
                                <w:lang w:val="en-US" w:eastAsia="zh-CN"/>
                              </w:rPr>
                            </w:pPr>
                            <w:r>
                              <w:rPr>
                                <w:rFonts w:hint="eastAsia"/>
                                <w:b/>
                                <w:bCs/>
                                <w:color w:val="FF0000"/>
                                <w:lang w:val="en-US"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4.8pt;margin-top:140.9pt;height:28.4pt;width:68.5pt;rotation:-2031616f;z-index:251670528;v-text-anchor:middle;mso-width-relative:page;mso-height-relative:page;" fillcolor="#FFC000 [3207]" filled="t" stroked="t" coordsize="21600,21600" o:gfxdata="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cVuhdoAAAALAQAADwAAAAAAAAABACAAAAAiAAAAZHJzL2Rv&#10;d25yZXYueG1sUEsBAhQAFAAAAAgAh07iQDvmvyiqAgAAXgUAAA4AAAAAAAAAAQAgAAAAKQEAAGRy&#10;cy9lMm9Eb2MueG1sUEsFBgAAAAAGAAYAWQEAAEUGAAAAAA==&#10;">
                <v:fill on="t" opacity="52428f" focussize="0,0"/>
                <v:stroke weight="1pt" color="#2E75B6 [2404]" miterlimit="8" joinstyle="miter"/>
                <v:imagedata o:title=""/>
                <o:lock v:ext="edit" aspectratio="f"/>
                <v:textbox>
                  <w:txbxContent>
                    <w:p w14:paraId="78F4B5A9">
                      <w:pPr>
                        <w:jc w:val="center"/>
                        <w:rPr>
                          <w:rFonts w:hint="default" w:eastAsia="宋体"/>
                          <w:b/>
                          <w:bCs/>
                          <w:color w:val="FF0000"/>
                          <w:lang w:val="en-US" w:eastAsia="zh-CN"/>
                        </w:rPr>
                      </w:pPr>
                      <w:r>
                        <w:rPr>
                          <w:rFonts w:hint="eastAsia"/>
                          <w:b/>
                          <w:bCs/>
                          <w:color w:val="FF0000"/>
                          <w:lang w:val="en-US" w:eastAsia="zh-CN"/>
                        </w:rPr>
                        <w:t>本项目</w:t>
                      </w:r>
                    </w:p>
                  </w:txbxContent>
                </v:textbox>
              </v:rect>
            </w:pict>
          </mc:Fallback>
        </mc:AlternateConten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drawing>
          <wp:inline distT="0" distB="0" distL="114300" distR="114300">
            <wp:extent cx="8001000" cy="4884420"/>
            <wp:effectExtent l="0" t="0" r="0" b="7620"/>
            <wp:docPr id="2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
                    <pic:cNvPicPr>
                      <a:picLocks noChangeAspect="1"/>
                    </pic:cNvPicPr>
                  </pic:nvPicPr>
                  <pic:blipFill>
                    <a:blip r:embed="rId47"/>
                    <a:stretch>
                      <a:fillRect/>
                    </a:stretch>
                  </pic:blipFill>
                  <pic:spPr>
                    <a:xfrm>
                      <a:off x="0" y="0"/>
                      <a:ext cx="8001000" cy="4884420"/>
                    </a:xfrm>
                    <a:prstGeom prst="rect">
                      <a:avLst/>
                    </a:prstGeom>
                    <a:noFill/>
                    <a:ln>
                      <a:noFill/>
                    </a:ln>
                  </pic:spPr>
                </pic:pic>
              </a:graphicData>
            </a:graphic>
          </wp:inline>
        </w:drawing>
      </w:r>
    </w:p>
    <w:p w14:paraId="5F5BC5A1">
      <w:pPr>
        <w:numPr>
          <w:ilvl w:val="0"/>
          <w:numId w:val="59"/>
        </w:numPr>
        <w:adjustRightInd w:val="0"/>
        <w:snapToGrid w:val="0"/>
        <w:spacing w:line="360" w:lineRule="auto"/>
        <w:jc w:val="center"/>
        <w:rPr>
          <w:rFonts w:hint="default" w:ascii="Times New Roman" w:hAnsi="Times New Roman" w:eastAsia="宋体" w:cs="Times New Roman"/>
          <w:b/>
          <w:color w:val="auto"/>
          <w:sz w:val="28"/>
          <w:szCs w:val="28"/>
          <w:highlight w:val="none"/>
          <w:lang w:val="en-US" w:eastAsia="zh-CN"/>
        </w:rPr>
      </w:pPr>
      <w:r>
        <w:rPr>
          <w:rFonts w:hint="default" w:ascii="Times New Roman" w:hAnsi="Times New Roman" w:eastAsia="宋体" w:cs="Times New Roman"/>
          <w:b/>
          <w:color w:val="auto"/>
          <w:sz w:val="28"/>
          <w:szCs w:val="28"/>
          <w:highlight w:val="none"/>
          <w:lang w:val="en-US" w:eastAsia="zh-CN"/>
        </w:rPr>
        <w:t xml:space="preserve">  项目周边关系图</w:t>
      </w:r>
    </w:p>
    <w:p w14:paraId="70140172">
      <w:pPr>
        <w:numPr>
          <w:ilvl w:val="0"/>
          <w:numId w:val="0"/>
        </w:numPr>
        <w:adjustRightInd w:val="0"/>
        <w:snapToGrid w:val="0"/>
        <w:spacing w:line="360" w:lineRule="auto"/>
        <w:ind w:leftChars="0"/>
        <w:jc w:val="both"/>
        <w:rPr>
          <w:rFonts w:hint="default" w:ascii="Times New Roman" w:hAnsi="Times New Roman" w:eastAsia="宋体" w:cs="Times New Roman"/>
          <w:b/>
          <w:color w:val="auto"/>
          <w:sz w:val="28"/>
          <w:szCs w:val="28"/>
          <w:highlight w:val="none"/>
          <w:lang w:val="en-US" w:eastAsia="zh-CN"/>
        </w:rPr>
      </w:pPr>
    </w:p>
    <w:p w14:paraId="6177876B">
      <w:pPr>
        <w:numPr>
          <w:ilvl w:val="0"/>
          <w:numId w:val="0"/>
        </w:numPr>
        <w:adjustRightInd w:val="0"/>
        <w:snapToGrid w:val="0"/>
        <w:spacing w:line="360" w:lineRule="auto"/>
        <w:ind w:leftChars="0"/>
        <w:jc w:val="both"/>
        <w:rPr>
          <w:rFonts w:hint="default" w:ascii="Times New Roman" w:hAnsi="Times New Roman" w:eastAsia="宋体" w:cs="Times New Roman"/>
          <w:b/>
          <w:color w:val="auto"/>
          <w:sz w:val="28"/>
          <w:szCs w:val="28"/>
          <w:highlight w:val="none"/>
          <w:lang w:val="en-US" w:eastAsia="zh-CN"/>
        </w:rPr>
      </w:pPr>
      <w:r>
        <w:drawing>
          <wp:inline distT="0" distB="0" distL="114300" distR="114300">
            <wp:extent cx="8565515" cy="4617720"/>
            <wp:effectExtent l="0" t="0" r="14605" b="0"/>
            <wp:docPr id="3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8"/>
                    <pic:cNvPicPr>
                      <a:picLocks noChangeAspect="1"/>
                    </pic:cNvPicPr>
                  </pic:nvPicPr>
                  <pic:blipFill>
                    <a:blip r:embed="rId48"/>
                    <a:stretch>
                      <a:fillRect/>
                    </a:stretch>
                  </pic:blipFill>
                  <pic:spPr>
                    <a:xfrm>
                      <a:off x="0" y="0"/>
                      <a:ext cx="8565515" cy="4617720"/>
                    </a:xfrm>
                    <a:prstGeom prst="rect">
                      <a:avLst/>
                    </a:prstGeom>
                    <a:noFill/>
                    <a:ln>
                      <a:noFill/>
                    </a:ln>
                  </pic:spPr>
                </pic:pic>
              </a:graphicData>
            </a:graphic>
          </wp:inline>
        </w:drawing>
      </w:r>
    </w:p>
    <w:p w14:paraId="3A0C7B84">
      <w:pPr>
        <w:numPr>
          <w:ilvl w:val="0"/>
          <w:numId w:val="59"/>
        </w:numPr>
        <w:adjustRightInd w:val="0"/>
        <w:snapToGrid w:val="0"/>
        <w:spacing w:line="360" w:lineRule="auto"/>
        <w:jc w:val="center"/>
        <w:rPr>
          <w:rFonts w:hint="default" w:ascii="Times New Roman" w:hAnsi="Times New Roman" w:eastAsia="宋体" w:cs="Times New Roman"/>
          <w:b/>
          <w:sz w:val="28"/>
          <w:szCs w:val="28"/>
          <w:highlight w:val="none"/>
        </w:rPr>
      </w:pPr>
      <w:r>
        <w:rPr>
          <w:rFonts w:hint="default" w:ascii="Times New Roman" w:hAnsi="Times New Roman" w:eastAsia="宋体" w:cs="Times New Roman"/>
          <w:b/>
          <w:color w:val="auto"/>
          <w:sz w:val="28"/>
          <w:szCs w:val="28"/>
          <w:highlight w:val="none"/>
          <w:lang w:val="en-US" w:eastAsia="zh-CN"/>
        </w:rPr>
        <mc:AlternateContent>
          <mc:Choice Requires="wpg">
            <w:drawing>
              <wp:anchor distT="0" distB="0" distL="114300" distR="114300" simplePos="0" relativeHeight="251663360" behindDoc="0" locked="0" layoutInCell="1" allowOverlap="1">
                <wp:simplePos x="0" y="0"/>
                <wp:positionH relativeFrom="column">
                  <wp:posOffset>7496175</wp:posOffset>
                </wp:positionH>
                <wp:positionV relativeFrom="paragraph">
                  <wp:posOffset>4298315</wp:posOffset>
                </wp:positionV>
                <wp:extent cx="525780" cy="278765"/>
                <wp:effectExtent l="38100" t="0" r="45720" b="45085"/>
                <wp:wrapNone/>
                <wp:docPr id="216" name="组合 216"/>
                <wp:cNvGraphicFramePr/>
                <a:graphic xmlns:a="http://schemas.openxmlformats.org/drawingml/2006/main">
                  <a:graphicData uri="http://schemas.microsoft.com/office/word/2010/wordprocessingGroup">
                    <wpg:wgp>
                      <wpg:cNvGrpSpPr/>
                      <wpg:grpSpPr>
                        <a:xfrm>
                          <a:off x="0" y="0"/>
                          <a:ext cx="525780" cy="278765"/>
                          <a:chOff x="15463" y="954573"/>
                          <a:chExt cx="828" cy="439"/>
                        </a:xfrm>
                      </wpg:grpSpPr>
                      <wps:wsp>
                        <wps:cNvPr id="131" name="文本框 116"/>
                        <wps:cNvSpPr txBox="1"/>
                        <wps:spPr>
                          <a:xfrm>
                            <a:off x="15527" y="954573"/>
                            <a:ext cx="730" cy="4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E08B726">
                              <w:pP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1米</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
                              </w:tblGrid>
                              <w:tr w14:paraId="42A9F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exact"/>
                                </w:trPr>
                                <w:tc>
                                  <w:tcPr>
                                    <w:tcW w:w="600" w:type="dxa"/>
                                    <w:tcBorders>
                                      <w:top w:val="nil"/>
                                    </w:tcBorders>
                                  </w:tcPr>
                                  <w:p w14:paraId="66E59939">
                                    <w:pPr>
                                      <w:rPr>
                                        <w:b/>
                                        <w:sz w:val="28"/>
                                        <w:szCs w:val="28"/>
                                      </w:rPr>
                                    </w:pPr>
                                  </w:p>
                                </w:tc>
                              </w:tr>
                            </w:tbl>
                            <w:p w14:paraId="3E8EA3F5"/>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3" name="直接箭头连接符 122"/>
                        <wps:cNvCnPr/>
                        <wps:spPr>
                          <a:xfrm>
                            <a:off x="15463" y="955012"/>
                            <a:ext cx="828" cy="0"/>
                          </a:xfrm>
                          <a:prstGeom prst="straightConnector1">
                            <a:avLst/>
                          </a:prstGeom>
                          <a:ln w="19050">
                            <a:solidFill>
                              <a:schemeClr val="tx1"/>
                            </a:solidFill>
                            <a:headEnd type="oval"/>
                            <a:tailEnd type="ova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590.25pt;margin-top:338.45pt;height:21.95pt;width:41.4pt;z-index:251663360;mso-width-relative:page;mso-height-relative:page;" coordorigin="15463,954573" coordsize="828,439" o:gfxdata="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">
                <o:lock v:ext="edit" aspectratio="f"/>
                <v:shape id="文本框 116" o:spid="_x0000_s1026" o:spt="202" type="#_x0000_t202" style="position:absolute;left:15527;top:954573;height:415;width:730;" fillcolor="#CCE8CF [3201]" filled="t" stroked="f" coordsize="21600,21600" o:gfxdata="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kATbsAAADc&#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14:paraId="5E08B726">
                        <w:pP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1米</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
                        </w:tblGrid>
                        <w:tr w14:paraId="42A9F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exact"/>
                          </w:trPr>
                          <w:tc>
                            <w:tcPr>
                              <w:tcW w:w="600" w:type="dxa"/>
                              <w:tcBorders>
                                <w:top w:val="nil"/>
                              </w:tcBorders>
                            </w:tcPr>
                            <w:p w14:paraId="66E59939">
                              <w:pPr>
                                <w:rPr>
                                  <w:b/>
                                  <w:sz w:val="28"/>
                                  <w:szCs w:val="28"/>
                                </w:rPr>
                              </w:pPr>
                            </w:p>
                          </w:tc>
                        </w:tr>
                      </w:tbl>
                      <w:p w14:paraId="3E8EA3F5"/>
                    </w:txbxContent>
                  </v:textbox>
                </v:shape>
                <v:shape id="直接箭头连接符 122" o:spid="_x0000_s1026" o:spt="32" type="#_x0000_t32" style="position:absolute;left:15463;top:955012;height:0;width:828;" filled="f" stroked="t" coordsize="21600,21600" o:gfxdata="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p4gR7sAAADc&#10;AAAADwAAAAAAAAABACAAAAAiAAAAZHJzL2Rvd25yZXYueG1sUEsBAhQAFAAAAAgAh07iQDMvBZ47&#10;AAAAOQAAABAAAAAAAAAAAQAgAAAACgEAAGRycy9zaGFwZXhtbC54bWxQSwUGAAAAAAYABgBbAQAA&#10;tAMAAAAA&#10;">
                  <v:fill on="f" focussize="0,0"/>
                  <v:stroke weight="1.5pt" color="#000000 [3213]" miterlimit="8" joinstyle="miter" startarrow="oval" endarrow="oval"/>
                  <v:imagedata o:title=""/>
                  <o:lock v:ext="edit" aspectratio="f"/>
                </v:shape>
              </v:group>
            </w:pict>
          </mc:Fallback>
        </mc:AlternateContent>
      </w:r>
      <w:r>
        <w:rPr>
          <w:rFonts w:hint="eastAsia" w:cs="Times New Roman"/>
          <w:b/>
          <w:color w:val="auto"/>
          <w:sz w:val="28"/>
          <w:szCs w:val="28"/>
          <w:highlight w:val="none"/>
          <w:lang w:val="en-US" w:eastAsia="zh-CN"/>
        </w:rPr>
        <w:t xml:space="preserve">  </w:t>
      </w:r>
      <w:r>
        <w:rPr>
          <w:rFonts w:hint="default" w:ascii="Times New Roman" w:hAnsi="Times New Roman" w:eastAsia="宋体" w:cs="Times New Roman"/>
          <w:b/>
          <w:color w:val="auto"/>
          <w:sz w:val="28"/>
          <w:szCs w:val="28"/>
          <w:highlight w:val="none"/>
          <w:lang w:val="en-US" w:eastAsia="zh-CN"/>
        </w:rPr>
        <w:t>项目一层平面布置示意图</w:t>
      </w:r>
    </w:p>
    <w:p w14:paraId="1C538627">
      <w:pPr>
        <w:widowControl w:val="0"/>
        <w:numPr>
          <w:ilvl w:val="0"/>
          <w:numId w:val="0"/>
        </w:numPr>
        <w:adjustRightInd w:val="0"/>
        <w:snapToGrid w:val="0"/>
        <w:spacing w:line="360" w:lineRule="auto"/>
        <w:jc w:val="center"/>
        <w:rPr>
          <w:rFonts w:hint="default" w:ascii="Times New Roman" w:hAnsi="Times New Roman" w:eastAsia="宋体" w:cs="Times New Roman"/>
          <w:b/>
          <w:color w:val="auto"/>
          <w:sz w:val="28"/>
          <w:szCs w:val="28"/>
          <w:highlight w:val="none"/>
          <w:lang w:val="en-US" w:eastAsia="zh-CN"/>
        </w:rPr>
      </w:pPr>
    </w:p>
    <w:p w14:paraId="762C9F7D">
      <w:pPr>
        <w:numPr>
          <w:ilvl w:val="0"/>
          <w:numId w:val="0"/>
        </w:numPr>
        <w:adjustRightInd w:val="0"/>
        <w:snapToGrid w:val="0"/>
        <w:spacing w:line="360" w:lineRule="auto"/>
        <w:ind w:leftChars="0"/>
        <w:jc w:val="both"/>
        <w:rPr>
          <w:rFonts w:hint="default" w:ascii="Times New Roman" w:hAnsi="Times New Roman" w:eastAsia="宋体" w:cs="Times New Roman"/>
          <w:b/>
          <w:sz w:val="28"/>
          <w:szCs w:val="28"/>
          <w:highlight w:val="none"/>
        </w:rPr>
      </w:pPr>
      <w:r>
        <w:rPr>
          <w:rFonts w:hint="default" w:ascii="Times New Roman" w:hAnsi="Times New Roman" w:eastAsia="宋体" w:cs="Times New Roman"/>
        </w:rPr>
        <w:drawing>
          <wp:inline distT="0" distB="0" distL="114300" distR="114300">
            <wp:extent cx="8854440" cy="4339590"/>
            <wp:effectExtent l="0" t="0" r="0" b="3810"/>
            <wp:docPr id="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pic:cNvPicPr>
                      <a:picLocks noChangeAspect="1"/>
                    </pic:cNvPicPr>
                  </pic:nvPicPr>
                  <pic:blipFill>
                    <a:blip r:embed="rId49"/>
                    <a:stretch>
                      <a:fillRect/>
                    </a:stretch>
                  </pic:blipFill>
                  <pic:spPr>
                    <a:xfrm>
                      <a:off x="0" y="0"/>
                      <a:ext cx="8854440" cy="4339590"/>
                    </a:xfrm>
                    <a:prstGeom prst="rect">
                      <a:avLst/>
                    </a:prstGeom>
                    <a:noFill/>
                    <a:ln>
                      <a:noFill/>
                    </a:ln>
                  </pic:spPr>
                </pic:pic>
              </a:graphicData>
            </a:graphic>
          </wp:inline>
        </w:drawing>
      </w:r>
    </w:p>
    <w:p w14:paraId="4B9CC06F">
      <w:pPr>
        <w:numPr>
          <w:ilvl w:val="0"/>
          <w:numId w:val="59"/>
        </w:numPr>
        <w:adjustRightInd w:val="0"/>
        <w:snapToGrid w:val="0"/>
        <w:spacing w:line="360" w:lineRule="auto"/>
        <w:jc w:val="center"/>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lang w:val="en-US" w:eastAsia="zh-CN"/>
        </w:rPr>
        <w:t xml:space="preserve"> </w:t>
      </w:r>
      <w:r>
        <w:rPr>
          <w:rFonts w:hint="default" w:ascii="Times New Roman" w:hAnsi="Times New Roman" w:eastAsia="宋体" w:cs="Times New Roman"/>
          <w:b/>
          <w:color w:val="auto"/>
          <w:sz w:val="28"/>
          <w:szCs w:val="28"/>
          <w:highlight w:val="none"/>
          <w:lang w:val="en-US" w:eastAsia="zh-CN"/>
        </w:rPr>
        <w:t xml:space="preserve"> 项目二层平面布置示意图</w:t>
      </w:r>
    </w:p>
    <w:p w14:paraId="6E7E6AD2">
      <w:pPr>
        <w:jc w:val="center"/>
        <w:rPr>
          <w:rFonts w:hint="default" w:ascii="Times New Roman" w:hAnsi="Times New Roman" w:eastAsia="宋体" w:cs="Times New Roman"/>
          <w:color w:val="FFFF00"/>
        </w:rPr>
      </w:pPr>
      <w:r>
        <w:rPr>
          <w:rFonts w:hint="default" w:ascii="Times New Roman" w:hAnsi="Times New Roman" w:eastAsia="宋体" w:cs="Times New Roman"/>
        </w:rPr>
        <w:drawing>
          <wp:anchor distT="0" distB="0" distL="114300" distR="114300" simplePos="0" relativeHeight="251724800" behindDoc="0" locked="0" layoutInCell="1" allowOverlap="1">
            <wp:simplePos x="0" y="0"/>
            <wp:positionH relativeFrom="column">
              <wp:posOffset>7685405</wp:posOffset>
            </wp:positionH>
            <wp:positionV relativeFrom="paragraph">
              <wp:posOffset>83820</wp:posOffset>
            </wp:positionV>
            <wp:extent cx="457200" cy="480060"/>
            <wp:effectExtent l="0" t="0" r="0" b="7620"/>
            <wp:wrapNone/>
            <wp:docPr id="3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9"/>
                    <pic:cNvPicPr>
                      <a:picLocks noChangeAspect="1"/>
                    </pic:cNvPicPr>
                  </pic:nvPicPr>
                  <pic:blipFill>
                    <a:blip r:embed="rId43"/>
                    <a:stretch>
                      <a:fillRect/>
                    </a:stretch>
                  </pic:blipFill>
                  <pic:spPr>
                    <a:xfrm>
                      <a:off x="0" y="0"/>
                      <a:ext cx="457200" cy="480060"/>
                    </a:xfrm>
                    <a:prstGeom prst="rect">
                      <a:avLst/>
                    </a:prstGeom>
                    <a:noFill/>
                    <a:ln>
                      <a:noFill/>
                    </a:ln>
                  </pic:spPr>
                </pic:pic>
              </a:graphicData>
            </a:graphic>
          </wp:anchor>
        </w:drawing>
      </w:r>
      <w:r>
        <w:rPr>
          <w:rFonts w:hint="default" w:ascii="Times New Roman" w:hAnsi="Times New Roman" w:eastAsia="宋体" w:cs="Times New Roman"/>
          <w:sz w:val="21"/>
        </w:rPr>
        <mc:AlternateContent>
          <mc:Choice Requires="wps">
            <w:drawing>
              <wp:anchor distT="0" distB="0" distL="114300" distR="114300" simplePos="0" relativeHeight="251699200" behindDoc="0" locked="0" layoutInCell="1" allowOverlap="1">
                <wp:simplePos x="0" y="0"/>
                <wp:positionH relativeFrom="column">
                  <wp:posOffset>677545</wp:posOffset>
                </wp:positionH>
                <wp:positionV relativeFrom="paragraph">
                  <wp:posOffset>3627755</wp:posOffset>
                </wp:positionV>
                <wp:extent cx="1397000" cy="1261745"/>
                <wp:effectExtent l="6350" t="6350" r="13970" b="12065"/>
                <wp:wrapNone/>
                <wp:docPr id="88" name="矩形 88"/>
                <wp:cNvGraphicFramePr/>
                <a:graphic xmlns:a="http://schemas.openxmlformats.org/drawingml/2006/main">
                  <a:graphicData uri="http://schemas.microsoft.com/office/word/2010/wordprocessingShape">
                    <wps:wsp>
                      <wps:cNvSpPr/>
                      <wps:spPr>
                        <a:xfrm>
                          <a:off x="1634490" y="4699000"/>
                          <a:ext cx="1397000" cy="1261745"/>
                        </a:xfrm>
                        <a:prstGeom prst="rect">
                          <a:avLst/>
                        </a:prstGeom>
                        <a:solidFill>
                          <a:schemeClr val="accent1">
                            <a:alpha val="49000"/>
                          </a:schemeClr>
                        </a:solidFill>
                        <a:ln>
                          <a:solidFill>
                            <a:schemeClr val="accent1">
                              <a:lumMod val="75000"/>
                              <a:alpha val="40000"/>
                            </a:schemeClr>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B9E201E">
                            <w:pPr>
                              <w:ind w:firstLine="723" w:firstLineChars="300"/>
                              <w:jc w:val="both"/>
                              <w:rPr>
                                <w:rFonts w:hint="eastAsia"/>
                                <w:b/>
                                <w:bCs/>
                                <w:sz w:val="24"/>
                                <w:szCs w:val="24"/>
                                <w:lang w:val="en-US" w:eastAsia="zh-CN"/>
                              </w:rPr>
                            </w:pPr>
                            <w:r>
                              <w:rPr>
                                <w:rFonts w:hint="eastAsia"/>
                                <w:b/>
                                <w:bCs/>
                                <w:sz w:val="24"/>
                                <w:szCs w:val="24"/>
                                <w:lang w:val="en-US" w:eastAsia="zh-CN"/>
                              </w:rPr>
                              <w:t>图  例</w:t>
                            </w:r>
                          </w:p>
                          <w:p w14:paraId="7201142A">
                            <w:pPr>
                              <w:jc w:val="both"/>
                              <w:rPr>
                                <w:rFonts w:hint="default"/>
                                <w:b/>
                                <w:bCs/>
                                <w:sz w:val="24"/>
                                <w:szCs w:val="24"/>
                                <w:lang w:val="en-US" w:eastAsia="zh-CN"/>
                              </w:rPr>
                            </w:pPr>
                            <w:r>
                              <w:rPr>
                                <w:rFonts w:hint="eastAsia"/>
                                <w:b/>
                                <w:bCs/>
                                <w:sz w:val="24"/>
                                <w:szCs w:val="24"/>
                                <w:lang w:val="en-US" w:eastAsia="zh-CN"/>
                              </w:rPr>
                              <w:t xml:space="preserve">    本项目位置</w:t>
                            </w:r>
                          </w:p>
                          <w:p w14:paraId="7251CA71">
                            <w:pPr>
                              <w:ind w:firstLine="482" w:firstLineChars="200"/>
                              <w:jc w:val="both"/>
                              <w:rPr>
                                <w:rFonts w:hint="eastAsia"/>
                                <w:b/>
                                <w:bCs/>
                                <w:sz w:val="24"/>
                                <w:szCs w:val="24"/>
                                <w:lang w:val="en-US" w:eastAsia="zh-CN"/>
                              </w:rPr>
                            </w:pPr>
                            <w:r>
                              <w:rPr>
                                <w:rFonts w:hint="eastAsia"/>
                                <w:b/>
                                <w:bCs/>
                                <w:sz w:val="24"/>
                                <w:szCs w:val="24"/>
                                <w:lang w:val="en-US" w:eastAsia="zh-CN"/>
                              </w:rPr>
                              <w:t>500米范围线</w:t>
                            </w:r>
                          </w:p>
                          <w:p w14:paraId="108B3002">
                            <w:pPr>
                              <w:ind w:firstLine="420"/>
                              <w:jc w:val="both"/>
                              <w:rPr>
                                <w:rFonts w:hint="eastAsia"/>
                                <w:b/>
                                <w:bCs/>
                                <w:sz w:val="24"/>
                                <w:szCs w:val="24"/>
                                <w:lang w:val="en-US" w:eastAsia="zh-CN"/>
                              </w:rPr>
                            </w:pPr>
                            <w:r>
                              <w:rPr>
                                <w:rFonts w:hint="eastAsia"/>
                                <w:b/>
                                <w:bCs/>
                                <w:sz w:val="24"/>
                                <w:szCs w:val="24"/>
                                <w:lang w:val="en-US" w:eastAsia="zh-CN"/>
                              </w:rPr>
                              <w:t>50米范围线</w:t>
                            </w:r>
                          </w:p>
                          <w:p w14:paraId="11273711">
                            <w:pPr>
                              <w:ind w:firstLine="420"/>
                              <w:jc w:val="both"/>
                              <w:rPr>
                                <w:rFonts w:hint="default"/>
                                <w:b/>
                                <w:bCs/>
                                <w:sz w:val="24"/>
                                <w:szCs w:val="24"/>
                                <w:lang w:val="en-US" w:eastAsia="zh-CN"/>
                              </w:rPr>
                            </w:pPr>
                            <w:r>
                              <w:rPr>
                                <w:rFonts w:hint="eastAsia"/>
                                <w:b/>
                                <w:bCs/>
                                <w:sz w:val="24"/>
                                <w:szCs w:val="24"/>
                                <w:lang w:val="en-US" w:eastAsia="zh-CN"/>
                              </w:rPr>
                              <w:t>永康公寓</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3.35pt;margin-top:285.65pt;height:99.35pt;width:110pt;z-index:251699200;v-text-anchor:middle;mso-width-relative:page;mso-height-relative:page;" fillcolor="#5B9BD5 [3204]" filled="t" stroked="t" coordsize="21600,21600" o:gfxdata="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Fo3I6jZAAAACwEAAA8AAAAAAAAAAQAgAAAAIgAAAGRycy9kb3du&#10;cmV2LnhtbFBLAQIUABQAAAAIAIdO4kCYAMbIqQIAAGcFAAAOAAAAAAAAAAEAIAAAACgBAABkcnMv&#10;ZTJvRG9jLnhtbFBLBQYAAAAABgAGAFkBAABDBgAAAAA=&#10;">
                <v:fill on="t" opacity="32112f" focussize="0,0"/>
                <v:stroke weight="1pt" color="#2E75B6 [2404]" opacity="26214f" miterlimit="8" joinstyle="miter"/>
                <v:imagedata o:title=""/>
                <o:lock v:ext="edit" aspectratio="f"/>
                <v:textbox>
                  <w:txbxContent>
                    <w:p w14:paraId="0B9E201E">
                      <w:pPr>
                        <w:ind w:firstLine="723" w:firstLineChars="300"/>
                        <w:jc w:val="both"/>
                        <w:rPr>
                          <w:rFonts w:hint="eastAsia"/>
                          <w:b/>
                          <w:bCs/>
                          <w:sz w:val="24"/>
                          <w:szCs w:val="24"/>
                          <w:lang w:val="en-US" w:eastAsia="zh-CN"/>
                        </w:rPr>
                      </w:pPr>
                      <w:r>
                        <w:rPr>
                          <w:rFonts w:hint="eastAsia"/>
                          <w:b/>
                          <w:bCs/>
                          <w:sz w:val="24"/>
                          <w:szCs w:val="24"/>
                          <w:lang w:val="en-US" w:eastAsia="zh-CN"/>
                        </w:rPr>
                        <w:t>图  例</w:t>
                      </w:r>
                    </w:p>
                    <w:p w14:paraId="7201142A">
                      <w:pPr>
                        <w:jc w:val="both"/>
                        <w:rPr>
                          <w:rFonts w:hint="default"/>
                          <w:b/>
                          <w:bCs/>
                          <w:sz w:val="24"/>
                          <w:szCs w:val="24"/>
                          <w:lang w:val="en-US" w:eastAsia="zh-CN"/>
                        </w:rPr>
                      </w:pPr>
                      <w:r>
                        <w:rPr>
                          <w:rFonts w:hint="eastAsia"/>
                          <w:b/>
                          <w:bCs/>
                          <w:sz w:val="24"/>
                          <w:szCs w:val="24"/>
                          <w:lang w:val="en-US" w:eastAsia="zh-CN"/>
                        </w:rPr>
                        <w:t xml:space="preserve">    本项目位置</w:t>
                      </w:r>
                    </w:p>
                    <w:p w14:paraId="7251CA71">
                      <w:pPr>
                        <w:ind w:firstLine="482" w:firstLineChars="200"/>
                        <w:jc w:val="both"/>
                        <w:rPr>
                          <w:rFonts w:hint="eastAsia"/>
                          <w:b/>
                          <w:bCs/>
                          <w:sz w:val="24"/>
                          <w:szCs w:val="24"/>
                          <w:lang w:val="en-US" w:eastAsia="zh-CN"/>
                        </w:rPr>
                      </w:pPr>
                      <w:r>
                        <w:rPr>
                          <w:rFonts w:hint="eastAsia"/>
                          <w:b/>
                          <w:bCs/>
                          <w:sz w:val="24"/>
                          <w:szCs w:val="24"/>
                          <w:lang w:val="en-US" w:eastAsia="zh-CN"/>
                        </w:rPr>
                        <w:t>500米范围线</w:t>
                      </w:r>
                    </w:p>
                    <w:p w14:paraId="108B3002">
                      <w:pPr>
                        <w:ind w:firstLine="420"/>
                        <w:jc w:val="both"/>
                        <w:rPr>
                          <w:rFonts w:hint="eastAsia"/>
                          <w:b/>
                          <w:bCs/>
                          <w:sz w:val="24"/>
                          <w:szCs w:val="24"/>
                          <w:lang w:val="en-US" w:eastAsia="zh-CN"/>
                        </w:rPr>
                      </w:pPr>
                      <w:r>
                        <w:rPr>
                          <w:rFonts w:hint="eastAsia"/>
                          <w:b/>
                          <w:bCs/>
                          <w:sz w:val="24"/>
                          <w:szCs w:val="24"/>
                          <w:lang w:val="en-US" w:eastAsia="zh-CN"/>
                        </w:rPr>
                        <w:t>50米范围线</w:t>
                      </w:r>
                    </w:p>
                    <w:p w14:paraId="11273711">
                      <w:pPr>
                        <w:ind w:firstLine="420"/>
                        <w:jc w:val="both"/>
                        <w:rPr>
                          <w:rFonts w:hint="default"/>
                          <w:b/>
                          <w:bCs/>
                          <w:sz w:val="24"/>
                          <w:szCs w:val="24"/>
                          <w:lang w:val="en-US" w:eastAsia="zh-CN"/>
                        </w:rPr>
                      </w:pPr>
                      <w:r>
                        <w:rPr>
                          <w:rFonts w:hint="eastAsia"/>
                          <w:b/>
                          <w:bCs/>
                          <w:sz w:val="24"/>
                          <w:szCs w:val="24"/>
                          <w:lang w:val="en-US" w:eastAsia="zh-CN"/>
                        </w:rPr>
                        <w:t>永康公寓</w:t>
                      </w:r>
                    </w:p>
                  </w:txbxContent>
                </v:textbox>
              </v:rect>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08416" behindDoc="0" locked="0" layoutInCell="1" allowOverlap="1">
                <wp:simplePos x="0" y="0"/>
                <wp:positionH relativeFrom="column">
                  <wp:posOffset>678180</wp:posOffset>
                </wp:positionH>
                <wp:positionV relativeFrom="paragraph">
                  <wp:posOffset>53975</wp:posOffset>
                </wp:positionV>
                <wp:extent cx="7501890" cy="4852670"/>
                <wp:effectExtent l="19050" t="19050" r="22860" b="20320"/>
                <wp:wrapNone/>
                <wp:docPr id="98" name="矩形 98"/>
                <wp:cNvGraphicFramePr/>
                <a:graphic xmlns:a="http://schemas.openxmlformats.org/drawingml/2006/main">
                  <a:graphicData uri="http://schemas.microsoft.com/office/word/2010/wordprocessingShape">
                    <wps:wsp>
                      <wps:cNvSpPr/>
                      <wps:spPr>
                        <a:xfrm>
                          <a:off x="1583690" y="1383665"/>
                          <a:ext cx="7501890" cy="4852670"/>
                        </a:xfrm>
                        <a:prstGeom prst="rect">
                          <a:avLst/>
                        </a:prstGeom>
                        <a:ln w="38100"/>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3.4pt;margin-top:4.25pt;height:382.1pt;width:590.7pt;z-index:251708416;v-text-anchor:middle;mso-width-relative:page;mso-height-relative:page;" filled="f" stroked="t" coordsize="21600,21600" o:gfxdata="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Ne7qzvXAAAACgEAAA8AAAAAAAAAAQAgAAAAIgAA&#10;AGRycy9kb3ducmV2LnhtbFBLAQIUABQAAAAIAIdO4kA3PVV6ewIAANoEAAAOAAAAAAAAAAEAIAAA&#10;ACYBAABkcnMvZTJvRG9jLnhtbFBLBQYAAAAABgAGAFkBAAATBgAAAAA=&#10;">
                <v:fill on="f" focussize="0,0"/>
                <v:stroke weight="3pt" color="#5B9BD5 [3204]" miterlimit="8" joinstyle="miter"/>
                <v:imagedata o:title=""/>
                <o:lock v:ext="edit" aspectratio="f"/>
              </v:rect>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07392" behindDoc="0" locked="0" layoutInCell="1" allowOverlap="1">
                <wp:simplePos x="0" y="0"/>
                <wp:positionH relativeFrom="column">
                  <wp:posOffset>4216400</wp:posOffset>
                </wp:positionH>
                <wp:positionV relativeFrom="paragraph">
                  <wp:posOffset>2893695</wp:posOffset>
                </wp:positionV>
                <wp:extent cx="643890" cy="311150"/>
                <wp:effectExtent l="0" t="0" r="0" b="0"/>
                <wp:wrapNone/>
                <wp:docPr id="97" name="文本框 97"/>
                <wp:cNvGraphicFramePr/>
                <a:graphic xmlns:a="http://schemas.openxmlformats.org/drawingml/2006/main">
                  <a:graphicData uri="http://schemas.microsoft.com/office/word/2010/wordprocessingShape">
                    <wps:wsp>
                      <wps:cNvSpPr txBox="1"/>
                      <wps:spPr>
                        <a:xfrm>
                          <a:off x="5156200" y="4130040"/>
                          <a:ext cx="643890" cy="311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1679D2">
                            <w:pPr>
                              <w:rPr>
                                <w:rFonts w:hint="default" w:eastAsia="宋体"/>
                                <w:color w:val="FF0000"/>
                                <w:lang w:val="en-US" w:eastAsia="zh-CN"/>
                              </w:rPr>
                            </w:pPr>
                            <w:r>
                              <w:rPr>
                                <w:rFonts w:hint="eastAsia"/>
                                <w:color w:val="FF0000"/>
                                <w:lang w:val="en-US" w:eastAsia="zh-CN"/>
                              </w:rPr>
                              <w:t>299m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2pt;margin-top:227.85pt;height:24.5pt;width:50.7pt;z-index:251707392;mso-width-relative:page;mso-height-relative:page;" filled="f" stroked="f" coordsize="21600,21600" o:gfxdata="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NDaA47cAAAACwEAAA8AAAAAAAAA&#10;AQAgAAAAIgAAAGRycy9kb3ducmV2LnhtbFBLAQIUABQAAAAIAIdO4kDilKATRgIAAHMEAAAOAAAA&#10;AAAAAAEAIAAAACsBAABkcnMvZTJvRG9jLnhtbFBLBQYAAAAABgAGAFkBAADjBQAAAAA=&#10;">
                <v:fill on="f" focussize="0,0"/>
                <v:stroke on="f" weight="0.5pt"/>
                <v:imagedata o:title=""/>
                <o:lock v:ext="edit" aspectratio="f"/>
                <v:textbox>
                  <w:txbxContent>
                    <w:p w14:paraId="4D1679D2">
                      <w:pPr>
                        <w:rPr>
                          <w:rFonts w:hint="default" w:eastAsia="宋体"/>
                          <w:color w:val="FF0000"/>
                          <w:lang w:val="en-US" w:eastAsia="zh-CN"/>
                        </w:rPr>
                      </w:pPr>
                      <w:r>
                        <w:rPr>
                          <w:rFonts w:hint="eastAsia"/>
                          <w:color w:val="FF0000"/>
                          <w:lang w:val="en-US" w:eastAsia="zh-CN"/>
                        </w:rPr>
                        <w:t>299m</w:t>
                      </w:r>
                    </w:p>
                  </w:txbxContent>
                </v:textbox>
              </v:shape>
            </w:pict>
          </mc:Fallback>
        </mc:AlternateContent>
      </w:r>
      <w:r>
        <w:rPr>
          <w:rFonts w:hint="default" w:ascii="Times New Roman" w:hAnsi="Times New Roman" w:eastAsia="宋体" w:cs="Times New Roman"/>
        </w:rPr>
        <w:drawing>
          <wp:inline distT="0" distB="0" distL="114300" distR="114300">
            <wp:extent cx="7513320" cy="4831080"/>
            <wp:effectExtent l="0" t="0" r="0" b="0"/>
            <wp:docPr id="8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9"/>
                    <pic:cNvPicPr>
                      <a:picLocks noChangeAspect="1"/>
                    </pic:cNvPicPr>
                  </pic:nvPicPr>
                  <pic:blipFill>
                    <a:blip r:embed="rId50"/>
                    <a:stretch>
                      <a:fillRect/>
                    </a:stretch>
                  </pic:blipFill>
                  <pic:spPr>
                    <a:xfrm>
                      <a:off x="0" y="0"/>
                      <a:ext cx="7513320" cy="4831080"/>
                    </a:xfrm>
                    <a:prstGeom prst="rect">
                      <a:avLst/>
                    </a:prstGeom>
                    <a:gradFill>
                      <a:gsLst>
                        <a:gs pos="0">
                          <a:schemeClr val="accent1">
                            <a:lumMod val="5000"/>
                            <a:lumOff val="95000"/>
                          </a:schemeClr>
                        </a:gs>
                        <a:gs pos="68000">
                          <a:schemeClr val="accent1">
                            <a:lumMod val="45000"/>
                            <a:lumOff val="55000"/>
                          </a:schemeClr>
                        </a:gs>
                        <a:gs pos="83000">
                          <a:schemeClr val="accent1">
                            <a:lumMod val="45000"/>
                            <a:lumOff val="55000"/>
                          </a:schemeClr>
                        </a:gs>
                        <a:gs pos="100000">
                          <a:schemeClr val="accent1">
                            <a:lumMod val="30000"/>
                            <a:lumOff val="70000"/>
                          </a:schemeClr>
                        </a:gs>
                      </a:gsLst>
                      <a:lin ang="5400000" scaled="0"/>
                    </a:gradFill>
                    <a:ln>
                      <a:noFill/>
                    </a:ln>
                  </pic:spPr>
                </pic:pic>
              </a:graphicData>
            </a:graphic>
          </wp:inline>
        </w:drawing>
      </w:r>
      <w:r>
        <w:rPr>
          <w:rFonts w:hint="default" w:ascii="Times New Roman" w:hAnsi="Times New Roman" w:eastAsia="宋体" w:cs="Times New Roman"/>
          <w:sz w:val="21"/>
        </w:rPr>
        <mc:AlternateContent>
          <mc:Choice Requires="wps">
            <w:drawing>
              <wp:anchor distT="0" distB="0" distL="114300" distR="114300" simplePos="0" relativeHeight="251706368" behindDoc="0" locked="0" layoutInCell="1" allowOverlap="1">
                <wp:simplePos x="0" y="0"/>
                <wp:positionH relativeFrom="column">
                  <wp:posOffset>3987800</wp:posOffset>
                </wp:positionH>
                <wp:positionV relativeFrom="paragraph">
                  <wp:posOffset>2522855</wp:posOffset>
                </wp:positionV>
                <wp:extent cx="329565" cy="1073785"/>
                <wp:effectExtent l="22860" t="0" r="28575" b="8255"/>
                <wp:wrapNone/>
                <wp:docPr id="96" name="直接箭头连接符 96"/>
                <wp:cNvGraphicFramePr/>
                <a:graphic xmlns:a="http://schemas.openxmlformats.org/drawingml/2006/main">
                  <a:graphicData uri="http://schemas.microsoft.com/office/word/2010/wordprocessingShape">
                    <wps:wsp>
                      <wps:cNvCnPr/>
                      <wps:spPr>
                        <a:xfrm flipH="1">
                          <a:off x="4915535" y="3632200"/>
                          <a:ext cx="329565" cy="1073785"/>
                        </a:xfrm>
                        <a:prstGeom prst="straightConnector1">
                          <a:avLst/>
                        </a:prstGeom>
                        <a:ln>
                          <a:solidFill>
                            <a:srgbClr val="FF0000"/>
                          </a:solidFill>
                          <a:headEnd type="arrow"/>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314pt;margin-top:198.65pt;height:84.55pt;width:25.95pt;z-index:251706368;mso-width-relative:page;mso-height-relative:page;" filled="f" stroked="t" coordsize="21600,21600" o:gfxdata="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gt0go2wAAAAsBAAAPAAAAAAAAAAEAIAAAACIAAABkcnMvZG93bnJldi54bWxQSwECFAAU&#10;AAAACACHTuJARgGUsicCAAAVBAAADgAAAAAAAAABACAAAAAqAQAAZHJzL2Uyb0RvYy54bWxQSwUG&#10;AAAAAAYABgBZAQAAwwUAAAAA&#10;">
                <v:fill on="f" focussize="0,0"/>
                <v:stroke weight="1pt" color="#FF0000 [3204]" miterlimit="8" joinstyle="miter" startarrow="open" endarrow="open"/>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05344" behindDoc="0" locked="0" layoutInCell="1" allowOverlap="1">
                <wp:simplePos x="0" y="0"/>
                <wp:positionH relativeFrom="column">
                  <wp:posOffset>779780</wp:posOffset>
                </wp:positionH>
                <wp:positionV relativeFrom="paragraph">
                  <wp:posOffset>4587240</wp:posOffset>
                </wp:positionV>
                <wp:extent cx="177800" cy="127000"/>
                <wp:effectExtent l="10160" t="11430" r="10160" b="13970"/>
                <wp:wrapNone/>
                <wp:docPr id="95" name="矩形 95"/>
                <wp:cNvGraphicFramePr/>
                <a:graphic xmlns:a="http://schemas.openxmlformats.org/drawingml/2006/main">
                  <a:graphicData uri="http://schemas.microsoft.com/office/word/2010/wordprocessingShape">
                    <wps:wsp>
                      <wps:cNvSpPr/>
                      <wps:spPr>
                        <a:xfrm rot="21420000">
                          <a:off x="0" y="0"/>
                          <a:ext cx="177800" cy="127000"/>
                        </a:xfrm>
                        <a:prstGeom prst="rect">
                          <a:avLst/>
                        </a:prstGeom>
                        <a:solidFill>
                          <a:srgbClr val="7030A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1.4pt;margin-top:361.2pt;height:10pt;width:14pt;rotation:-196608f;z-index:251705344;v-text-anchor:middle;mso-width-relative:page;mso-height-relative:page;" fillcolor="#7030A0" filled="t" stroked="t" coordsize="21600,21600" o:gfxdata="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mvWfGtcAAAALAQAADwAAAAAA&#10;AAABACAAAAAiAAAAZHJzL2Rvd25yZXYueG1sUEsBAhQAFAAAAAgAh07iQIcDMoOGAgAAJgUAAA4A&#10;AAAAAAAAAQAgAAAAJgEAAGRycy9lMm9Eb2MueG1sUEsFBgAAAAAGAAYAWQEAAB4GAAAAAA==&#10;">
                <v:fill on="t" focussize="0,0"/>
                <v:stroke weight="1pt" color="#2E75B6 [2404]" miterlimit="8" joinstyle="miter"/>
                <v:imagedata o:title=""/>
                <o:lock v:ext="edit" aspectratio="f"/>
              </v:rect>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03296" behindDoc="0" locked="0" layoutInCell="1" allowOverlap="1">
                <wp:simplePos x="0" y="0"/>
                <wp:positionH relativeFrom="column">
                  <wp:posOffset>799465</wp:posOffset>
                </wp:positionH>
                <wp:positionV relativeFrom="paragraph">
                  <wp:posOffset>4366260</wp:posOffset>
                </wp:positionV>
                <wp:extent cx="122555" cy="143510"/>
                <wp:effectExtent l="18415" t="10795" r="26670" b="13335"/>
                <wp:wrapNone/>
                <wp:docPr id="92" name="椭圆 92"/>
                <wp:cNvGraphicFramePr/>
                <a:graphic xmlns:a="http://schemas.openxmlformats.org/drawingml/2006/main">
                  <a:graphicData uri="http://schemas.microsoft.com/office/word/2010/wordprocessingShape">
                    <wps:wsp>
                      <wps:cNvSpPr/>
                      <wps:spPr>
                        <a:xfrm rot="19380000">
                          <a:off x="0" y="0"/>
                          <a:ext cx="122555" cy="143510"/>
                        </a:xfrm>
                        <a:prstGeom prst="ellipse">
                          <a:avLst/>
                        </a:prstGeom>
                        <a:noFill/>
                        <a:ln w="28575">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62.95pt;margin-top:343.8pt;height:11.3pt;width:9.65pt;rotation:-2424832f;z-index:251703296;v-text-anchor:middle;mso-width-relative:page;mso-height-relative:page;" filled="f" stroked="t" coordsize="21600,21600" o:gfxdata="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CtgxOw2gAAAAsBAAAPAAAAAAAAAAEAIAAAACIAAABk&#10;cnMvZG93bnJldi54bWxQSwECFAAUAAAACACHTuJANAH1UnYCAADeBAAADgAAAAAAAAABACAAAAAp&#10;AQAAZHJzL2Uyb0RvYy54bWxQSwUGAAAAAAYABgBZAQAAEQYAAAAA&#10;">
                <v:fill on="f" focussize="0,0"/>
                <v:stroke weight="2.25pt" color="#00B050 [2404]" miterlimit="8" joinstyle="miter"/>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01248" behindDoc="0" locked="0" layoutInCell="1" allowOverlap="1">
                <wp:simplePos x="0" y="0"/>
                <wp:positionH relativeFrom="column">
                  <wp:posOffset>779145</wp:posOffset>
                </wp:positionH>
                <wp:positionV relativeFrom="paragraph">
                  <wp:posOffset>4174490</wp:posOffset>
                </wp:positionV>
                <wp:extent cx="143510" cy="135255"/>
                <wp:effectExtent l="6350" t="6350" r="17780" b="10795"/>
                <wp:wrapNone/>
                <wp:docPr id="90" name="椭圆 90"/>
                <wp:cNvGraphicFramePr/>
                <a:graphic xmlns:a="http://schemas.openxmlformats.org/drawingml/2006/main">
                  <a:graphicData uri="http://schemas.microsoft.com/office/word/2010/wordprocessingShape">
                    <wps:wsp>
                      <wps:cNvSpPr/>
                      <wps:spPr>
                        <a:xfrm>
                          <a:off x="0" y="0"/>
                          <a:ext cx="143510" cy="135255"/>
                        </a:xfrm>
                        <a:prstGeom prst="ellipse">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61.35pt;margin-top:328.7pt;height:10.65pt;width:11.3pt;z-index:251701248;v-text-anchor:middle;mso-width-relative:page;mso-height-relative:page;" filled="f" stroked="t" coordsize="21600,21600" o:gfxdata="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EP8NQXXAAAACwEAAA8AAAAAAAAAAQAgAAAAIgAAAGRycy9kb3ducmV2Lnht&#10;bFBLAQIUABQAAAAIAIdO4kAWa3DNbAIAAM8EAAAOAAAAAAAAAAEAIAAAACYBAABkcnMvZTJvRG9j&#10;LnhtbFBLBQYAAAAABgAGAFkBAAAEBgAAAAA=&#10;">
                <v:fill on="f" focussize="0,0"/>
                <v:stroke weight="1pt" color="#FF0000 [2404]" miterlimit="8" joinstyle="miter"/>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00224" behindDoc="0" locked="0" layoutInCell="1" allowOverlap="1">
                <wp:simplePos x="0" y="0"/>
                <wp:positionH relativeFrom="column">
                  <wp:posOffset>728345</wp:posOffset>
                </wp:positionH>
                <wp:positionV relativeFrom="paragraph">
                  <wp:posOffset>3996690</wp:posOffset>
                </wp:positionV>
                <wp:extent cx="245745" cy="84455"/>
                <wp:effectExtent l="8890" t="13335" r="19685" b="24130"/>
                <wp:wrapNone/>
                <wp:docPr id="89" name="矩形 89"/>
                <wp:cNvGraphicFramePr/>
                <a:graphic xmlns:a="http://schemas.openxmlformats.org/drawingml/2006/main">
                  <a:graphicData uri="http://schemas.microsoft.com/office/word/2010/wordprocessingShape">
                    <wps:wsp>
                      <wps:cNvSpPr/>
                      <wps:spPr>
                        <a:xfrm rot="10980000">
                          <a:off x="0" y="0"/>
                          <a:ext cx="245745" cy="84455"/>
                        </a:xfrm>
                        <a:prstGeom prst="rect">
                          <a:avLst/>
                        </a:prstGeom>
                        <a:solidFill>
                          <a:srgbClr val="00B0F0">
                            <a:alpha val="50000"/>
                          </a:srgbClr>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7.35pt;margin-top:314.7pt;height:6.65pt;width:19.35pt;rotation:-11599872f;z-index:251700224;v-text-anchor:middle;mso-width-relative:page;mso-height-relative:page;" fillcolor="#00B0F0" filled="t" stroked="t" coordsize="21600,21600" o:gfxdata="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ALSfV62AAAAAsBAAAPAAAAAAAAAAEAIAAAACIAAABkcnMvZG93bnJldi54bWxQSwECFAAUAAAA&#10;CACHTuJAesihAJkCAABGBQAADgAAAAAAAAABACAAAAAnAQAAZHJzL2Uyb0RvYy54bWxQSwUGAAAA&#10;AAYABgBZAQAAMgYAAAAA&#10;">
                <v:fill on="t" opacity="32768f" focussize="0,0"/>
                <v:stroke weight="1pt" color="#2E75B6 [2404]" miterlimit="8" joinstyle="miter"/>
                <v:imagedata o:title=""/>
                <o:lock v:ext="edit" aspectratio="f"/>
              </v:rect>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04320" behindDoc="0" locked="0" layoutInCell="1" allowOverlap="1">
                <wp:simplePos x="0" y="0"/>
                <wp:positionH relativeFrom="column">
                  <wp:posOffset>3836035</wp:posOffset>
                </wp:positionH>
                <wp:positionV relativeFrom="paragraph">
                  <wp:posOffset>3630295</wp:posOffset>
                </wp:positionV>
                <wp:extent cx="177800" cy="127000"/>
                <wp:effectExtent l="28575" t="45720" r="37465" b="55880"/>
                <wp:wrapNone/>
                <wp:docPr id="94" name="矩形 94"/>
                <wp:cNvGraphicFramePr/>
                <a:graphic xmlns:a="http://schemas.openxmlformats.org/drawingml/2006/main">
                  <a:graphicData uri="http://schemas.microsoft.com/office/word/2010/wordprocessingShape">
                    <wps:wsp>
                      <wps:cNvSpPr/>
                      <wps:spPr>
                        <a:xfrm rot="19740000">
                          <a:off x="4766945" y="4798695"/>
                          <a:ext cx="177800" cy="127000"/>
                        </a:xfrm>
                        <a:prstGeom prst="rect">
                          <a:avLst/>
                        </a:prstGeom>
                        <a:solidFill>
                          <a:srgbClr val="7030A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02.05pt;margin-top:285.85pt;height:10pt;width:14pt;rotation:-2031616f;z-index:251704320;v-text-anchor:middle;mso-width-relative:page;mso-height-relative:page;" fillcolor="#7030A0" filled="t" stroked="t" coordsize="21600,21600" o:gfxdata="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BEnifD&#10;2AAAAAsBAAAPAAAAAAAAAAEAIAAAACIAAABkcnMvZG93bnJldi54bWxQSwECFAAUAAAACACHTuJA&#10;vZT6BJMCAAAyBQAADgAAAAAAAAABACAAAAAnAQAAZHJzL2Uyb0RvYy54bWxQSwUGAAAAAAYABgBZ&#10;AQAALAYAAAAA&#10;">
                <v:fill on="t" focussize="0,0"/>
                <v:stroke weight="1pt" color="#2E75B6 [2404]" miterlimit="8" joinstyle="miter"/>
                <v:imagedata o:title=""/>
                <o:lock v:ext="edit" aspectratio="f"/>
              </v:rect>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702272" behindDoc="0" locked="0" layoutInCell="1" allowOverlap="1">
                <wp:simplePos x="0" y="0"/>
                <wp:positionH relativeFrom="column">
                  <wp:posOffset>4097655</wp:posOffset>
                </wp:positionH>
                <wp:positionV relativeFrom="paragraph">
                  <wp:posOffset>2156460</wp:posOffset>
                </wp:positionV>
                <wp:extent cx="621030" cy="546100"/>
                <wp:effectExtent l="0" t="20320" r="0" b="27940"/>
                <wp:wrapNone/>
                <wp:docPr id="91" name="椭圆 91"/>
                <wp:cNvGraphicFramePr/>
                <a:graphic xmlns:a="http://schemas.openxmlformats.org/drawingml/2006/main">
                  <a:graphicData uri="http://schemas.microsoft.com/office/word/2010/wordprocessingShape">
                    <wps:wsp>
                      <wps:cNvSpPr/>
                      <wps:spPr>
                        <a:xfrm rot="19380000">
                          <a:off x="5054600" y="3444240"/>
                          <a:ext cx="621030" cy="546100"/>
                        </a:xfrm>
                        <a:prstGeom prst="ellipse">
                          <a:avLst/>
                        </a:prstGeom>
                        <a:noFill/>
                        <a:ln>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22.65pt;margin-top:169.8pt;height:43pt;width:48.9pt;rotation:-2424832f;z-index:251702272;v-text-anchor:middle;mso-width-relative:page;mso-height-relative:page;" filled="f" stroked="t" coordsize="21600,21600" o:gfxdata="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LT4vkTaAAAACwEAAA8AAAAAAAAA&#10;AQAgAAAAIgAAAGRycy9kb3ducmV2LnhtbFBLAQIUABQAAAAIAIdO4kCLNWXogQIAAOoEAAAOAAAA&#10;AAAAAAEAIAAAACkBAABkcnMvZTJvRG9jLnhtbFBLBQYAAAAABgAGAFkBAAAcBgAAAAA=&#10;">
                <v:fill on="f" focussize="0,0"/>
                <v:stroke weight="1pt" color="#00B050 [2404]" miterlimit="8" joinstyle="miter"/>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98176" behindDoc="0" locked="0" layoutInCell="1" allowOverlap="1">
                <wp:simplePos x="0" y="0"/>
                <wp:positionH relativeFrom="column">
                  <wp:posOffset>2058035</wp:posOffset>
                </wp:positionH>
                <wp:positionV relativeFrom="paragraph">
                  <wp:posOffset>687070</wp:posOffset>
                </wp:positionV>
                <wp:extent cx="4587875" cy="3791585"/>
                <wp:effectExtent l="6350" t="6350" r="8255" b="12065"/>
                <wp:wrapNone/>
                <wp:docPr id="87" name="椭圆 87"/>
                <wp:cNvGraphicFramePr/>
                <a:graphic xmlns:a="http://schemas.openxmlformats.org/drawingml/2006/main">
                  <a:graphicData uri="http://schemas.microsoft.com/office/word/2010/wordprocessingShape">
                    <wps:wsp>
                      <wps:cNvSpPr/>
                      <wps:spPr>
                        <a:xfrm>
                          <a:off x="4555490" y="2802890"/>
                          <a:ext cx="4587875" cy="3791585"/>
                        </a:xfrm>
                        <a:prstGeom prst="ellipse">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2.05pt;margin-top:54.1pt;height:298.55pt;width:361.25pt;z-index:251698176;v-text-anchor:middle;mso-width-relative:page;mso-height-relative:page;" filled="f" stroked="t" coordsize="21600,21600" o:gfxdata="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&#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kQ2fN1wAAAAwBAAAPAAAAAAAAAAEAIAAAACIAAABk&#10;cnMvZG93bnJldi54bWxQSwECFAAUAAAACACHTuJAsBvgknkCAADdBAAADgAAAAAAAAABACAAAAAm&#10;AQAAZHJzL2Uyb0RvYy54bWxQSwUGAAAAAAYABgBZAQAAEQYAAAAA&#10;">
                <v:fill on="f" focussize="0,0"/>
                <v:stroke weight="1pt" color="#FF0000 [2404]" miterlimit="8" joinstyle="miter"/>
                <v:imagedata o:title=""/>
                <o:lock v:ext="edit" aspectratio="f"/>
              </v:shape>
            </w:pict>
          </mc:Fallback>
        </mc:AlternateContent>
      </w:r>
      <w:r>
        <w:rPr>
          <w:rFonts w:hint="default" w:ascii="Times New Roman" w:hAnsi="Times New Roman" w:eastAsia="宋体" w:cs="Times New Roman"/>
        </w:rPr>
        <w:drawing>
          <wp:anchor distT="0" distB="0" distL="114300" distR="114300" simplePos="0" relativeHeight="251697152" behindDoc="0" locked="0" layoutInCell="1" allowOverlap="1">
            <wp:simplePos x="0" y="0"/>
            <wp:positionH relativeFrom="column">
              <wp:posOffset>7508240</wp:posOffset>
            </wp:positionH>
            <wp:positionV relativeFrom="paragraph">
              <wp:posOffset>4629150</wp:posOffset>
            </wp:positionV>
            <wp:extent cx="472440" cy="197485"/>
            <wp:effectExtent l="0" t="0" r="0" b="635"/>
            <wp:wrapNone/>
            <wp:docPr id="8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0"/>
                    <pic:cNvPicPr>
                      <a:picLocks noChangeAspect="1"/>
                    </pic:cNvPicPr>
                  </pic:nvPicPr>
                  <pic:blipFill>
                    <a:blip r:embed="rId51"/>
                    <a:stretch>
                      <a:fillRect/>
                    </a:stretch>
                  </pic:blipFill>
                  <pic:spPr>
                    <a:xfrm>
                      <a:off x="0" y="0"/>
                      <a:ext cx="472440" cy="197485"/>
                    </a:xfrm>
                    <a:prstGeom prst="rect">
                      <a:avLst/>
                    </a:prstGeom>
                    <a:noFill/>
                    <a:ln>
                      <a:noFill/>
                    </a:ln>
                  </pic:spPr>
                </pic:pic>
              </a:graphicData>
            </a:graphic>
          </wp:anchor>
        </w:drawing>
      </w:r>
      <w:r>
        <w:rPr>
          <w:rFonts w:hint="default" w:ascii="Times New Roman" w:hAnsi="Times New Roman" w:eastAsia="宋体" w:cs="Times New Roman"/>
          <w:sz w:val="21"/>
        </w:rPr>
        <mc:AlternateContent>
          <mc:Choice Requires="wps">
            <w:drawing>
              <wp:anchor distT="0" distB="0" distL="114300" distR="114300" simplePos="0" relativeHeight="251696128" behindDoc="0" locked="0" layoutInCell="1" allowOverlap="1">
                <wp:simplePos x="0" y="0"/>
                <wp:positionH relativeFrom="column">
                  <wp:posOffset>4293235</wp:posOffset>
                </wp:positionH>
                <wp:positionV relativeFrom="paragraph">
                  <wp:posOffset>2387600</wp:posOffset>
                </wp:positionV>
                <wp:extent cx="245745" cy="84455"/>
                <wp:effectExtent l="13970" t="62865" r="14605" b="66040"/>
                <wp:wrapNone/>
                <wp:docPr id="84" name="矩形 84"/>
                <wp:cNvGraphicFramePr/>
                <a:graphic xmlns:a="http://schemas.openxmlformats.org/drawingml/2006/main">
                  <a:graphicData uri="http://schemas.microsoft.com/office/word/2010/wordprocessingShape">
                    <wps:wsp>
                      <wps:cNvSpPr/>
                      <wps:spPr>
                        <a:xfrm rot="19860000">
                          <a:off x="5257800" y="3564890"/>
                          <a:ext cx="245745" cy="84455"/>
                        </a:xfrm>
                        <a:prstGeom prst="rect">
                          <a:avLst/>
                        </a:prstGeom>
                        <a:solidFill>
                          <a:srgbClr val="00B0F0">
                            <a:alpha val="50000"/>
                          </a:srgbClr>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38.05pt;margin-top:188pt;height:6.65pt;width:19.35pt;rotation:-1900544f;z-index:251696128;v-text-anchor:middle;mso-width-relative:page;mso-height-relative:page;" fillcolor="#00B0F0" filled="t" stroked="t" coordsize="21600,21600" o:gfxdata="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WxvbO9cAAAALAQAADwAAAAAAAAABACAAAAAiAAAAZHJzL2Rvd25yZXYueG1s&#10;UEsBAhQAFAAAAAgAh07iQKT1mM2kAgAAUgUAAA4AAAAAAAAAAQAgAAAAJgEAAGRycy9lMm9Eb2Mu&#10;eG1sUEsFBgAAAAAGAAYAWQEAADwGAAAAAA==&#10;">
                <v:fill on="t" opacity="32768f" focussize="0,0"/>
                <v:stroke weight="1pt" color="#2E75B6 [2404]" miterlimit="8" joinstyle="miter"/>
                <v:imagedata o:title=""/>
                <o:lock v:ext="edit" aspectratio="f"/>
              </v:rect>
            </w:pict>
          </mc:Fallback>
        </mc:AlternateContent>
      </w:r>
    </w:p>
    <w:p w14:paraId="3AB7FD26">
      <w:pPr>
        <w:numPr>
          <w:ilvl w:val="0"/>
          <w:numId w:val="59"/>
        </w:numPr>
        <w:adjustRightInd w:val="0"/>
        <w:snapToGrid w:val="0"/>
        <w:spacing w:line="360" w:lineRule="auto"/>
        <w:jc w:val="center"/>
        <w:rPr>
          <w:rFonts w:hint="default" w:ascii="Times New Roman" w:hAnsi="Times New Roman" w:eastAsia="宋体" w:cs="Times New Roman"/>
          <w:highlight w:val="none"/>
          <w:lang w:val="en-US" w:eastAsia="zh-CN"/>
        </w:rPr>
      </w:pPr>
      <w:r>
        <w:rPr>
          <w:rFonts w:hint="default" w:ascii="Times New Roman" w:hAnsi="Times New Roman" w:eastAsia="宋体" w:cs="Times New Roman"/>
          <w:b/>
          <w:sz w:val="36"/>
          <w:szCs w:val="36"/>
          <w:highlight w:val="none"/>
          <w:lang w:val="en-US" w:eastAsia="zh-CN"/>
        </w:rPr>
        <w:t xml:space="preserve">  </w:t>
      </w:r>
      <w:r>
        <w:rPr>
          <w:rFonts w:hint="default" w:ascii="Times New Roman" w:hAnsi="Times New Roman" w:eastAsia="宋体" w:cs="Times New Roman"/>
          <w:b/>
          <w:color w:val="auto"/>
          <w:sz w:val="28"/>
          <w:szCs w:val="28"/>
          <w:highlight w:val="none"/>
          <w:lang w:val="en-US" w:eastAsia="zh-CN"/>
        </w:rPr>
        <w:t>周边敏感目标分布图</w:t>
      </w:r>
    </w:p>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TimesNewRoman">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Wingdings 2">
    <w:panose1 w:val="05020102010507070707"/>
    <w:charset w:val="02"/>
    <w:family w:val="roman"/>
    <w:pitch w:val="default"/>
    <w:sig w:usb0="00000000" w:usb1="00000000" w:usb2="00000000" w:usb3="00000000" w:csb0="80000000" w:csb1="00000000"/>
  </w:font>
  <w:font w:name="Segoe UI">
    <w:panose1 w:val="020B0502040204020203"/>
    <w:charset w:val="00"/>
    <w:family w:val="auto"/>
    <w:pitch w:val="default"/>
    <w:sig w:usb0="E10022FF" w:usb1="C000E47F" w:usb2="00000029" w:usb3="00000000" w:csb0="200001DF" w:csb1="20000000"/>
  </w:font>
  <w:font w:name="Gulim">
    <w:panose1 w:val="020B0600000101010101"/>
    <w:charset w:val="81"/>
    <w:family w:val="auto"/>
    <w:pitch w:val="default"/>
    <w:sig w:usb0="B00002AF" w:usb1="69D77CFB" w:usb2="00000030" w:usb3="00000000" w:csb0="4008009F" w:csb1="DFD7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BF2B62">
    <w:pPr>
      <w:pStyle w:val="11"/>
      <w:tabs>
        <w:tab w:val="center" w:pos="4422"/>
        <w:tab w:val="clear" w:pos="4153"/>
      </w:tabs>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F1EB4F">
                          <w:pPr>
                            <w:pStyle w:val="11"/>
                            <w:rPr>
                              <w:sz w:val="32"/>
                              <w:szCs w:val="36"/>
                            </w:rPr>
                          </w:pPr>
                          <w:r>
                            <w:rPr>
                              <w:sz w:val="32"/>
                              <w:szCs w:val="36"/>
                            </w:rPr>
                            <w:t xml:space="preserve">— </w:t>
                          </w:r>
                          <w:r>
                            <w:rPr>
                              <w:sz w:val="32"/>
                              <w:szCs w:val="36"/>
                            </w:rPr>
                            <w:fldChar w:fldCharType="begin"/>
                          </w:r>
                          <w:r>
                            <w:rPr>
                              <w:sz w:val="32"/>
                              <w:szCs w:val="36"/>
                            </w:rPr>
                            <w:instrText xml:space="preserve"> PAGE  \* MERGEFORMAT </w:instrText>
                          </w:r>
                          <w:r>
                            <w:rPr>
                              <w:sz w:val="32"/>
                              <w:szCs w:val="36"/>
                            </w:rPr>
                            <w:fldChar w:fldCharType="separate"/>
                          </w:r>
                          <w:r>
                            <w:rPr>
                              <w:sz w:val="32"/>
                              <w:szCs w:val="36"/>
                            </w:rPr>
                            <w:t>1</w:t>
                          </w:r>
                          <w:r>
                            <w:rPr>
                              <w:sz w:val="32"/>
                              <w:szCs w:val="36"/>
                            </w:rPr>
                            <w:fldChar w:fldCharType="end"/>
                          </w:r>
                          <w:r>
                            <w:rPr>
                              <w:sz w:val="32"/>
                              <w:szCs w:val="36"/>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QaAL0tAgAAVw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pkQzhYqfvn87&#10;/fh1+vmV4AwCtdbPEPdgERm6t6ZD2wznHoeRd1c5Fb9gROCHvMeLvKILhMdL08l0msPF4Rs2wM8e&#10;r1vnwzthFIlGQR3ql2Rlh40PfegQErNps26kTDWUmrQFvb56k6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QaAL0tAgAAVwQAAA4AAAAAAAAAAQAgAAAAHwEAAGRycy9lMm9Eb2MueG1sUEsFBgAAAAAG&#10;AAYAWQEAAL4FAAAAAA==&#10;">
              <v:fill on="f" focussize="0,0"/>
              <v:stroke on="f" weight="0.5pt"/>
              <v:imagedata o:title=""/>
              <o:lock v:ext="edit" aspectratio="f"/>
              <v:textbox inset="0mm,0mm,0mm,0mm" style="mso-fit-shape-to-text:t;">
                <w:txbxContent>
                  <w:p w14:paraId="78F1EB4F">
                    <w:pPr>
                      <w:pStyle w:val="11"/>
                      <w:rPr>
                        <w:sz w:val="32"/>
                        <w:szCs w:val="36"/>
                      </w:rPr>
                    </w:pPr>
                    <w:r>
                      <w:rPr>
                        <w:sz w:val="32"/>
                        <w:szCs w:val="36"/>
                      </w:rPr>
                      <w:t xml:space="preserve">— </w:t>
                    </w:r>
                    <w:r>
                      <w:rPr>
                        <w:sz w:val="32"/>
                        <w:szCs w:val="36"/>
                      </w:rPr>
                      <w:fldChar w:fldCharType="begin"/>
                    </w:r>
                    <w:r>
                      <w:rPr>
                        <w:sz w:val="32"/>
                        <w:szCs w:val="36"/>
                      </w:rPr>
                      <w:instrText xml:space="preserve"> PAGE  \* MERGEFORMAT </w:instrText>
                    </w:r>
                    <w:r>
                      <w:rPr>
                        <w:sz w:val="32"/>
                        <w:szCs w:val="36"/>
                      </w:rPr>
                      <w:fldChar w:fldCharType="separate"/>
                    </w:r>
                    <w:r>
                      <w:rPr>
                        <w:sz w:val="32"/>
                        <w:szCs w:val="36"/>
                      </w:rPr>
                      <w:t>1</w:t>
                    </w:r>
                    <w:r>
                      <w:rPr>
                        <w:sz w:val="32"/>
                        <w:szCs w:val="36"/>
                      </w:rPr>
                      <w:fldChar w:fldCharType="end"/>
                    </w:r>
                    <w:r>
                      <w:rPr>
                        <w:sz w:val="32"/>
                        <w:szCs w:val="36"/>
                      </w:rPr>
                      <w:t xml:space="preserve"> —</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C5AB4">
                          <w:pPr>
                            <w:pStyle w:val="11"/>
                            <w:rPr>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78C5AB4">
                    <w:pPr>
                      <w:pStyle w:val="11"/>
                      <w:rPr>
                        <w:sz w:val="28"/>
                        <w:szCs w:val="28"/>
                      </w:rPr>
                    </w:pP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BBAA6B">
    <w:r>
      <w:pict>
        <v:shape id="IPGWMV_P-BB50_T-3_U-94D9AAC8" o:spid="_x0000_s2049" o:spt="75" alt="IPGWMV_P-BB50_T-3_U-94D9AAC8" type="#_x0000_t75" style="position:absolute;left:0pt;margin-left:0pt;margin-top:0pt;height:840pt;width:594pt;mso-position-horizontal-relative:page;mso-position-vertical-relative:page;z-index:-251657216;mso-width-relative:page;mso-height-relative:page;" filled="f" stroked="f" coordsize="21600,21600">
          <v:path/>
          <v:fill on="f" focussize="0,0"/>
          <v:stroke on="f"/>
          <v:imagedata r:id="rId1" o:title="QK-C561E1DC-B45C7407-DE741D22-319-461.png"/>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CA49F6"/>
    <w:multiLevelType w:val="singleLevel"/>
    <w:tmpl w:val="82CA49F6"/>
    <w:lvl w:ilvl="0" w:tentative="0">
      <w:start w:val="1"/>
      <w:numFmt w:val="decimal"/>
      <w:lvlText w:val="表2-%1"/>
      <w:lvlJc w:val="left"/>
      <w:pPr>
        <w:tabs>
          <w:tab w:val="left" w:pos="420"/>
        </w:tabs>
        <w:ind w:left="425" w:hanging="425"/>
      </w:pPr>
      <w:rPr>
        <w:rFonts w:hint="default"/>
        <w:b/>
        <w:bCs/>
        <w:color w:val="auto"/>
      </w:rPr>
    </w:lvl>
  </w:abstractNum>
  <w:abstractNum w:abstractNumId="1">
    <w:nsid w:val="831FE834"/>
    <w:multiLevelType w:val="singleLevel"/>
    <w:tmpl w:val="831FE834"/>
    <w:lvl w:ilvl="0" w:tentative="0">
      <w:start w:val="1"/>
      <w:numFmt w:val="decimalEnclosedCircleChinese"/>
      <w:suff w:val="nothing"/>
      <w:lvlText w:val="%1　"/>
      <w:lvlJc w:val="left"/>
      <w:pPr>
        <w:ind w:left="0" w:firstLine="400"/>
      </w:pPr>
      <w:rPr>
        <w:rFonts w:hint="eastAsia"/>
      </w:rPr>
    </w:lvl>
  </w:abstractNum>
  <w:abstractNum w:abstractNumId="2">
    <w:nsid w:val="8F6CC6E6"/>
    <w:multiLevelType w:val="singleLevel"/>
    <w:tmpl w:val="8F6CC6E6"/>
    <w:lvl w:ilvl="0" w:tentative="0">
      <w:start w:val="1"/>
      <w:numFmt w:val="chineseCounting"/>
      <w:suff w:val="nothing"/>
      <w:lvlText w:val="%1、"/>
      <w:lvlJc w:val="left"/>
      <w:rPr>
        <w:rFonts w:hint="eastAsia"/>
      </w:rPr>
    </w:lvl>
  </w:abstractNum>
  <w:abstractNum w:abstractNumId="3">
    <w:nsid w:val="92B73433"/>
    <w:multiLevelType w:val="singleLevel"/>
    <w:tmpl w:val="92B73433"/>
    <w:lvl w:ilvl="0" w:tentative="0">
      <w:start w:val="1"/>
      <w:numFmt w:val="decimal"/>
      <w:suff w:val="space"/>
      <w:lvlText w:val="%1."/>
      <w:lvlJc w:val="left"/>
    </w:lvl>
  </w:abstractNum>
  <w:abstractNum w:abstractNumId="4">
    <w:nsid w:val="933D53BE"/>
    <w:multiLevelType w:val="singleLevel"/>
    <w:tmpl w:val="933D53BE"/>
    <w:lvl w:ilvl="0" w:tentative="0">
      <w:start w:val="1"/>
      <w:numFmt w:val="decimal"/>
      <w:lvlText w:val="%1)"/>
      <w:lvlJc w:val="left"/>
      <w:pPr>
        <w:ind w:left="845" w:hanging="425"/>
      </w:pPr>
      <w:rPr>
        <w:rFonts w:hint="default"/>
      </w:rPr>
    </w:lvl>
  </w:abstractNum>
  <w:abstractNum w:abstractNumId="5">
    <w:nsid w:val="95F4319A"/>
    <w:multiLevelType w:val="singleLevel"/>
    <w:tmpl w:val="95F4319A"/>
    <w:lvl w:ilvl="0" w:tentative="0">
      <w:start w:val="1"/>
      <w:numFmt w:val="decimal"/>
      <w:lvlText w:val="%1."/>
      <w:lvlJc w:val="left"/>
      <w:pPr>
        <w:tabs>
          <w:tab w:val="left" w:pos="312"/>
        </w:tabs>
      </w:pPr>
    </w:lvl>
  </w:abstractNum>
  <w:abstractNum w:abstractNumId="6">
    <w:nsid w:val="9CEC78FD"/>
    <w:multiLevelType w:val="singleLevel"/>
    <w:tmpl w:val="9CEC78FD"/>
    <w:lvl w:ilvl="0" w:tentative="0">
      <w:start w:val="1"/>
      <w:numFmt w:val="decimalEnclosedCircleChinese"/>
      <w:suff w:val="nothing"/>
      <w:lvlText w:val="%1　"/>
      <w:lvlJc w:val="left"/>
      <w:pPr>
        <w:ind w:left="0" w:firstLine="400"/>
      </w:pPr>
      <w:rPr>
        <w:rFonts w:hint="eastAsia"/>
      </w:rPr>
    </w:lvl>
  </w:abstractNum>
  <w:abstractNum w:abstractNumId="7">
    <w:nsid w:val="9D77E336"/>
    <w:multiLevelType w:val="singleLevel"/>
    <w:tmpl w:val="9D77E336"/>
    <w:lvl w:ilvl="0" w:tentative="0">
      <w:start w:val="1"/>
      <w:numFmt w:val="decimal"/>
      <w:suff w:val="space"/>
      <w:lvlText w:val="%1."/>
      <w:lvlJc w:val="left"/>
    </w:lvl>
  </w:abstractNum>
  <w:abstractNum w:abstractNumId="8">
    <w:nsid w:val="A2862E72"/>
    <w:multiLevelType w:val="singleLevel"/>
    <w:tmpl w:val="A2862E72"/>
    <w:lvl w:ilvl="0" w:tentative="0">
      <w:start w:val="1"/>
      <w:numFmt w:val="decimal"/>
      <w:suff w:val="nothing"/>
      <w:lvlText w:val="%1　"/>
      <w:lvlJc w:val="left"/>
      <w:pPr>
        <w:ind w:left="0" w:firstLine="0"/>
      </w:pPr>
      <w:rPr>
        <w:rFonts w:hint="default" w:ascii="Times New Roman" w:hAnsi="Times New Roman" w:cs="Times New Roman"/>
        <w:snapToGrid w:val="0"/>
        <w:color w:val="auto"/>
        <w:spacing w:val="-20"/>
        <w:sz w:val="18"/>
        <w:szCs w:val="18"/>
        <w:highlight w:val="none"/>
      </w:rPr>
    </w:lvl>
  </w:abstractNum>
  <w:abstractNum w:abstractNumId="9">
    <w:nsid w:val="A377B6BD"/>
    <w:multiLevelType w:val="singleLevel"/>
    <w:tmpl w:val="A377B6BD"/>
    <w:lvl w:ilvl="0" w:tentative="0">
      <w:start w:val="1"/>
      <w:numFmt w:val="chineseCounting"/>
      <w:suff w:val="nothing"/>
      <w:lvlText w:val="%1、"/>
      <w:lvlJc w:val="left"/>
      <w:pPr>
        <w:ind w:left="0" w:firstLine="420"/>
      </w:pPr>
      <w:rPr>
        <w:rFonts w:hint="eastAsia"/>
      </w:rPr>
    </w:lvl>
  </w:abstractNum>
  <w:abstractNum w:abstractNumId="10">
    <w:nsid w:val="A46B08BF"/>
    <w:multiLevelType w:val="singleLevel"/>
    <w:tmpl w:val="A46B08BF"/>
    <w:lvl w:ilvl="0" w:tentative="0">
      <w:start w:val="1"/>
      <w:numFmt w:val="chineseCounting"/>
      <w:suff w:val="nothing"/>
      <w:lvlText w:val="%1、"/>
      <w:lvlJc w:val="left"/>
      <w:pPr>
        <w:ind w:left="0" w:firstLine="420"/>
      </w:pPr>
      <w:rPr>
        <w:rFonts w:hint="eastAsia"/>
        <w:sz w:val="24"/>
        <w:szCs w:val="24"/>
      </w:rPr>
    </w:lvl>
  </w:abstractNum>
  <w:abstractNum w:abstractNumId="11">
    <w:nsid w:val="A821ACA8"/>
    <w:multiLevelType w:val="singleLevel"/>
    <w:tmpl w:val="A821ACA8"/>
    <w:lvl w:ilvl="0" w:tentative="0">
      <w:start w:val="1"/>
      <w:numFmt w:val="decimal"/>
      <w:suff w:val="space"/>
      <w:lvlText w:val="%1."/>
      <w:lvlJc w:val="left"/>
    </w:lvl>
  </w:abstractNum>
  <w:abstractNum w:abstractNumId="12">
    <w:nsid w:val="AE92E33D"/>
    <w:multiLevelType w:val="singleLevel"/>
    <w:tmpl w:val="AE92E33D"/>
    <w:lvl w:ilvl="0" w:tentative="0">
      <w:start w:val="1"/>
      <w:numFmt w:val="decimal"/>
      <w:lvlText w:val="图2-%1."/>
      <w:lvlJc w:val="left"/>
      <w:pPr>
        <w:tabs>
          <w:tab w:val="left" w:pos="420"/>
        </w:tabs>
        <w:ind w:left="425" w:leftChars="0" w:hanging="425" w:firstLineChars="0"/>
      </w:pPr>
      <w:rPr>
        <w:rFonts w:hint="default"/>
        <w:b/>
        <w:bCs/>
      </w:rPr>
    </w:lvl>
  </w:abstractNum>
  <w:abstractNum w:abstractNumId="13">
    <w:nsid w:val="AFE24593"/>
    <w:multiLevelType w:val="singleLevel"/>
    <w:tmpl w:val="AFE24593"/>
    <w:lvl w:ilvl="0" w:tentative="0">
      <w:start w:val="1"/>
      <w:numFmt w:val="decimal"/>
      <w:lvlText w:val="%1."/>
      <w:lvlJc w:val="left"/>
      <w:pPr>
        <w:tabs>
          <w:tab w:val="left" w:pos="312"/>
        </w:tabs>
      </w:pPr>
    </w:lvl>
  </w:abstractNum>
  <w:abstractNum w:abstractNumId="14">
    <w:nsid w:val="B76CE895"/>
    <w:multiLevelType w:val="singleLevel"/>
    <w:tmpl w:val="B76CE895"/>
    <w:lvl w:ilvl="0" w:tentative="0">
      <w:start w:val="2"/>
      <w:numFmt w:val="decimal"/>
      <w:suff w:val="nothing"/>
      <w:lvlText w:val="（%1）"/>
      <w:lvlJc w:val="left"/>
    </w:lvl>
  </w:abstractNum>
  <w:abstractNum w:abstractNumId="15">
    <w:nsid w:val="B81179E9"/>
    <w:multiLevelType w:val="singleLevel"/>
    <w:tmpl w:val="B81179E9"/>
    <w:lvl w:ilvl="0" w:tentative="0">
      <w:start w:val="1"/>
      <w:numFmt w:val="decimalEnclosedCircleChinese"/>
      <w:suff w:val="nothing"/>
      <w:lvlText w:val="%1　"/>
      <w:lvlJc w:val="left"/>
      <w:pPr>
        <w:ind w:left="0" w:firstLine="400"/>
      </w:pPr>
      <w:rPr>
        <w:rFonts w:hint="eastAsia"/>
      </w:rPr>
    </w:lvl>
  </w:abstractNum>
  <w:abstractNum w:abstractNumId="16">
    <w:nsid w:val="B9EC6CF3"/>
    <w:multiLevelType w:val="singleLevel"/>
    <w:tmpl w:val="B9EC6CF3"/>
    <w:lvl w:ilvl="0" w:tentative="0">
      <w:start w:val="1"/>
      <w:numFmt w:val="decimal"/>
      <w:suff w:val="nothing"/>
      <w:lvlText w:val="（%1）"/>
      <w:lvlJc w:val="left"/>
    </w:lvl>
  </w:abstractNum>
  <w:abstractNum w:abstractNumId="17">
    <w:nsid w:val="BAB6914A"/>
    <w:multiLevelType w:val="singleLevel"/>
    <w:tmpl w:val="BAB6914A"/>
    <w:lvl w:ilvl="0" w:tentative="0">
      <w:start w:val="1"/>
      <w:numFmt w:val="decimalEnclosedCircleChinese"/>
      <w:suff w:val="nothing"/>
      <w:lvlText w:val="%1　"/>
      <w:lvlJc w:val="left"/>
      <w:pPr>
        <w:ind w:left="0" w:firstLine="400"/>
      </w:pPr>
      <w:rPr>
        <w:rFonts w:hint="eastAsia"/>
      </w:rPr>
    </w:lvl>
  </w:abstractNum>
  <w:abstractNum w:abstractNumId="18">
    <w:nsid w:val="BBDF91AB"/>
    <w:multiLevelType w:val="singleLevel"/>
    <w:tmpl w:val="BBDF91AB"/>
    <w:lvl w:ilvl="0" w:tentative="0">
      <w:start w:val="1"/>
      <w:numFmt w:val="decimal"/>
      <w:suff w:val="space"/>
      <w:lvlText w:val="%1."/>
      <w:lvlJc w:val="left"/>
    </w:lvl>
  </w:abstractNum>
  <w:abstractNum w:abstractNumId="19">
    <w:nsid w:val="BE6455D4"/>
    <w:multiLevelType w:val="singleLevel"/>
    <w:tmpl w:val="BE6455D4"/>
    <w:lvl w:ilvl="0" w:tentative="0">
      <w:start w:val="1"/>
      <w:numFmt w:val="decimalEnclosedCircleChinese"/>
      <w:suff w:val="nothing"/>
      <w:lvlText w:val="%1　"/>
      <w:lvlJc w:val="left"/>
      <w:pPr>
        <w:ind w:left="0" w:firstLine="400"/>
      </w:pPr>
      <w:rPr>
        <w:rFonts w:hint="eastAsia"/>
      </w:rPr>
    </w:lvl>
  </w:abstractNum>
  <w:abstractNum w:abstractNumId="20">
    <w:nsid w:val="C6484467"/>
    <w:multiLevelType w:val="singleLevel"/>
    <w:tmpl w:val="C6484467"/>
    <w:lvl w:ilvl="0" w:tentative="0">
      <w:start w:val="1"/>
      <w:numFmt w:val="decimalEnclosedCircleChinese"/>
      <w:suff w:val="nothing"/>
      <w:lvlText w:val="%1　"/>
      <w:lvlJc w:val="left"/>
      <w:pPr>
        <w:ind w:left="0" w:firstLine="400"/>
      </w:pPr>
      <w:rPr>
        <w:rFonts w:hint="eastAsia"/>
      </w:rPr>
    </w:lvl>
  </w:abstractNum>
  <w:abstractNum w:abstractNumId="21">
    <w:nsid w:val="C9677E45"/>
    <w:multiLevelType w:val="singleLevel"/>
    <w:tmpl w:val="C9677E45"/>
    <w:lvl w:ilvl="0" w:tentative="0">
      <w:start w:val="1"/>
      <w:numFmt w:val="decimal"/>
      <w:suff w:val="nothing"/>
      <w:lvlText w:val="%1　"/>
      <w:lvlJc w:val="left"/>
      <w:pPr>
        <w:ind w:left="0" w:firstLine="0"/>
      </w:pPr>
      <w:rPr>
        <w:rFonts w:hint="default" w:ascii="Times New Roman" w:hAnsi="Times New Roman" w:cs="Times New Roman"/>
        <w:color w:val="auto"/>
        <w:sz w:val="21"/>
        <w:szCs w:val="21"/>
        <w:highlight w:val="none"/>
      </w:rPr>
    </w:lvl>
  </w:abstractNum>
  <w:abstractNum w:abstractNumId="22">
    <w:nsid w:val="D06A845A"/>
    <w:multiLevelType w:val="singleLevel"/>
    <w:tmpl w:val="D06A845A"/>
    <w:lvl w:ilvl="0" w:tentative="0">
      <w:start w:val="1"/>
      <w:numFmt w:val="decimal"/>
      <w:lvlText w:val="%1."/>
      <w:lvlJc w:val="left"/>
      <w:pPr>
        <w:tabs>
          <w:tab w:val="left" w:pos="312"/>
        </w:tabs>
      </w:pPr>
    </w:lvl>
  </w:abstractNum>
  <w:abstractNum w:abstractNumId="23">
    <w:nsid w:val="D95763AB"/>
    <w:multiLevelType w:val="singleLevel"/>
    <w:tmpl w:val="D95763AB"/>
    <w:lvl w:ilvl="0" w:tentative="0">
      <w:start w:val="1"/>
      <w:numFmt w:val="decimalEnclosedCircleChinese"/>
      <w:suff w:val="nothing"/>
      <w:lvlText w:val="%1　"/>
      <w:lvlJc w:val="left"/>
      <w:pPr>
        <w:tabs>
          <w:tab w:val="left" w:pos="0"/>
        </w:tabs>
        <w:ind w:left="0" w:firstLine="400"/>
      </w:pPr>
      <w:rPr>
        <w:rFonts w:hint="eastAsia" w:ascii="Times New Roman" w:hAnsi="Times New Roman" w:eastAsia="Times New Roman" w:cs="Times New Roman"/>
        <w:color w:val="auto"/>
        <w:sz w:val="21"/>
        <w:szCs w:val="21"/>
        <w:highlight w:val="none"/>
      </w:rPr>
    </w:lvl>
  </w:abstractNum>
  <w:abstractNum w:abstractNumId="24">
    <w:nsid w:val="DDF2C8A8"/>
    <w:multiLevelType w:val="singleLevel"/>
    <w:tmpl w:val="DDF2C8A8"/>
    <w:lvl w:ilvl="0" w:tentative="0">
      <w:start w:val="1"/>
      <w:numFmt w:val="decimal"/>
      <w:lvlText w:val="%1."/>
      <w:lvlJc w:val="left"/>
      <w:pPr>
        <w:tabs>
          <w:tab w:val="left" w:pos="312"/>
        </w:tabs>
      </w:pPr>
    </w:lvl>
  </w:abstractNum>
  <w:abstractNum w:abstractNumId="25">
    <w:nsid w:val="E0EC909D"/>
    <w:multiLevelType w:val="singleLevel"/>
    <w:tmpl w:val="E0EC909D"/>
    <w:lvl w:ilvl="0" w:tentative="0">
      <w:start w:val="1"/>
      <w:numFmt w:val="decimalEnclosedCircleChinese"/>
      <w:suff w:val="nothing"/>
      <w:lvlText w:val="%1　"/>
      <w:lvlJc w:val="left"/>
      <w:pPr>
        <w:ind w:left="0" w:firstLine="400"/>
      </w:pPr>
      <w:rPr>
        <w:rFonts w:hint="eastAsia"/>
      </w:rPr>
    </w:lvl>
  </w:abstractNum>
  <w:abstractNum w:abstractNumId="26">
    <w:nsid w:val="E23D0A08"/>
    <w:multiLevelType w:val="singleLevel"/>
    <w:tmpl w:val="E23D0A08"/>
    <w:lvl w:ilvl="0" w:tentative="0">
      <w:start w:val="2"/>
      <w:numFmt w:val="decimal"/>
      <w:suff w:val="nothing"/>
      <w:lvlText w:val="%1）"/>
      <w:lvlJc w:val="left"/>
    </w:lvl>
  </w:abstractNum>
  <w:abstractNum w:abstractNumId="27">
    <w:nsid w:val="E42A0296"/>
    <w:multiLevelType w:val="singleLevel"/>
    <w:tmpl w:val="E42A0296"/>
    <w:lvl w:ilvl="0" w:tentative="0">
      <w:start w:val="2"/>
      <w:numFmt w:val="chineseCounting"/>
      <w:suff w:val="nothing"/>
      <w:lvlText w:val="%1、"/>
      <w:lvlJc w:val="left"/>
      <w:rPr>
        <w:rFonts w:hint="eastAsia"/>
      </w:rPr>
    </w:lvl>
  </w:abstractNum>
  <w:abstractNum w:abstractNumId="28">
    <w:nsid w:val="EF7F2199"/>
    <w:multiLevelType w:val="singleLevel"/>
    <w:tmpl w:val="EF7F2199"/>
    <w:lvl w:ilvl="0" w:tentative="0">
      <w:start w:val="1"/>
      <w:numFmt w:val="decimalEnclosedCircleChinese"/>
      <w:suff w:val="nothing"/>
      <w:lvlText w:val="%1　"/>
      <w:lvlJc w:val="left"/>
      <w:pPr>
        <w:ind w:left="0" w:firstLine="400"/>
      </w:pPr>
      <w:rPr>
        <w:rFonts w:hint="eastAsia"/>
      </w:rPr>
    </w:lvl>
  </w:abstractNum>
  <w:abstractNum w:abstractNumId="29">
    <w:nsid w:val="F7D767D8"/>
    <w:multiLevelType w:val="singleLevel"/>
    <w:tmpl w:val="F7D767D8"/>
    <w:lvl w:ilvl="0" w:tentative="0">
      <w:start w:val="1"/>
      <w:numFmt w:val="decimal"/>
      <w:suff w:val="nothing"/>
      <w:lvlText w:val="%1　"/>
      <w:lvlJc w:val="left"/>
      <w:pPr>
        <w:ind w:left="0" w:firstLine="0"/>
      </w:pPr>
      <w:rPr>
        <w:rFonts w:hint="default" w:ascii="Times New Roman" w:hAnsi="Times New Roman" w:cs="Times New Roman"/>
        <w:snapToGrid w:val="0"/>
        <w:color w:val="auto"/>
        <w:spacing w:val="-20"/>
        <w:sz w:val="18"/>
        <w:szCs w:val="18"/>
        <w:highlight w:val="none"/>
      </w:rPr>
    </w:lvl>
  </w:abstractNum>
  <w:abstractNum w:abstractNumId="30">
    <w:nsid w:val="F816CB3E"/>
    <w:multiLevelType w:val="singleLevel"/>
    <w:tmpl w:val="F816CB3E"/>
    <w:lvl w:ilvl="0" w:tentative="0">
      <w:start w:val="1"/>
      <w:numFmt w:val="decimal"/>
      <w:suff w:val="nothing"/>
      <w:lvlText w:val="图2.%1"/>
      <w:lvlJc w:val="left"/>
      <w:pPr>
        <w:ind w:left="0" w:firstLine="403"/>
      </w:pPr>
      <w:rPr>
        <w:rFonts w:hint="default"/>
        <w:b/>
        <w:bCs/>
        <w:highlight w:val="none"/>
      </w:rPr>
    </w:lvl>
  </w:abstractNum>
  <w:abstractNum w:abstractNumId="31">
    <w:nsid w:val="FA09C5EB"/>
    <w:multiLevelType w:val="singleLevel"/>
    <w:tmpl w:val="FA09C5EB"/>
    <w:lvl w:ilvl="0" w:tentative="0">
      <w:start w:val="1"/>
      <w:numFmt w:val="decimal"/>
      <w:lvlText w:val="%1"/>
      <w:lvlJc w:val="left"/>
      <w:pPr>
        <w:tabs>
          <w:tab w:val="left" w:pos="420"/>
        </w:tabs>
        <w:ind w:left="425" w:leftChars="0" w:hanging="425" w:firstLineChars="0"/>
      </w:pPr>
      <w:rPr>
        <w:rFonts w:hint="default"/>
      </w:rPr>
    </w:lvl>
  </w:abstractNum>
  <w:abstractNum w:abstractNumId="32">
    <w:nsid w:val="FBAB09CB"/>
    <w:multiLevelType w:val="singleLevel"/>
    <w:tmpl w:val="FBAB09CB"/>
    <w:lvl w:ilvl="0" w:tentative="0">
      <w:start w:val="1"/>
      <w:numFmt w:val="decimalEnclosedCircleChinese"/>
      <w:suff w:val="nothing"/>
      <w:lvlText w:val="%1　"/>
      <w:lvlJc w:val="left"/>
      <w:pPr>
        <w:ind w:left="0" w:firstLine="400"/>
      </w:pPr>
      <w:rPr>
        <w:rFonts w:hint="eastAsia"/>
      </w:rPr>
    </w:lvl>
  </w:abstractNum>
  <w:abstractNum w:abstractNumId="33">
    <w:nsid w:val="FE9FABE4"/>
    <w:multiLevelType w:val="singleLevel"/>
    <w:tmpl w:val="FE9FABE4"/>
    <w:lvl w:ilvl="0" w:tentative="0">
      <w:start w:val="1"/>
      <w:numFmt w:val="decimal"/>
      <w:lvlText w:val="%1."/>
      <w:lvlJc w:val="left"/>
      <w:pPr>
        <w:tabs>
          <w:tab w:val="left" w:pos="312"/>
        </w:tabs>
      </w:pPr>
    </w:lvl>
  </w:abstractNum>
  <w:abstractNum w:abstractNumId="34">
    <w:nsid w:val="084D2CB2"/>
    <w:multiLevelType w:val="singleLevel"/>
    <w:tmpl w:val="084D2CB2"/>
    <w:lvl w:ilvl="0" w:tentative="0">
      <w:start w:val="1"/>
      <w:numFmt w:val="decimal"/>
      <w:lvlText w:val="%1)"/>
      <w:lvlJc w:val="left"/>
      <w:pPr>
        <w:ind w:left="845" w:hanging="425"/>
      </w:pPr>
      <w:rPr>
        <w:rFonts w:hint="default"/>
      </w:rPr>
    </w:lvl>
  </w:abstractNum>
  <w:abstractNum w:abstractNumId="35">
    <w:nsid w:val="0A37CA6C"/>
    <w:multiLevelType w:val="singleLevel"/>
    <w:tmpl w:val="0A37CA6C"/>
    <w:lvl w:ilvl="0" w:tentative="0">
      <w:start w:val="1"/>
      <w:numFmt w:val="decimal"/>
      <w:suff w:val="nothing"/>
      <w:lvlText w:val="%1、"/>
      <w:lvlJc w:val="left"/>
    </w:lvl>
  </w:abstractNum>
  <w:abstractNum w:abstractNumId="36">
    <w:nsid w:val="10CB2A01"/>
    <w:multiLevelType w:val="singleLevel"/>
    <w:tmpl w:val="10CB2A01"/>
    <w:lvl w:ilvl="0" w:tentative="0">
      <w:start w:val="1"/>
      <w:numFmt w:val="decimalEnclosedCircleChinese"/>
      <w:suff w:val="nothing"/>
      <w:lvlText w:val="%1　"/>
      <w:lvlJc w:val="left"/>
      <w:pPr>
        <w:ind w:left="0" w:firstLine="400"/>
      </w:pPr>
      <w:rPr>
        <w:rFonts w:hint="eastAsia"/>
      </w:rPr>
    </w:lvl>
  </w:abstractNum>
  <w:abstractNum w:abstractNumId="37">
    <w:nsid w:val="18CF62C4"/>
    <w:multiLevelType w:val="singleLevel"/>
    <w:tmpl w:val="18CF62C4"/>
    <w:lvl w:ilvl="0" w:tentative="0">
      <w:start w:val="1"/>
      <w:numFmt w:val="chineseCounting"/>
      <w:suff w:val="nothing"/>
      <w:lvlText w:val="%1、"/>
      <w:lvlJc w:val="left"/>
      <w:pPr>
        <w:ind w:left="-420" w:firstLine="420"/>
      </w:pPr>
      <w:rPr>
        <w:rFonts w:hint="eastAsia"/>
        <w:b/>
        <w:bCs/>
        <w:sz w:val="24"/>
        <w:szCs w:val="24"/>
      </w:rPr>
    </w:lvl>
  </w:abstractNum>
  <w:abstractNum w:abstractNumId="38">
    <w:nsid w:val="1A9C4FC5"/>
    <w:multiLevelType w:val="singleLevel"/>
    <w:tmpl w:val="1A9C4FC5"/>
    <w:lvl w:ilvl="0" w:tentative="0">
      <w:start w:val="1"/>
      <w:numFmt w:val="decimal"/>
      <w:lvlText w:val="图1-%1."/>
      <w:lvlJc w:val="left"/>
      <w:pPr>
        <w:tabs>
          <w:tab w:val="left" w:pos="420"/>
        </w:tabs>
        <w:ind w:left="425" w:leftChars="0" w:hanging="425" w:firstLineChars="0"/>
      </w:pPr>
      <w:rPr>
        <w:rFonts w:hint="default"/>
        <w:b/>
        <w:bCs/>
      </w:rPr>
    </w:lvl>
  </w:abstractNum>
  <w:abstractNum w:abstractNumId="39">
    <w:nsid w:val="1B36D586"/>
    <w:multiLevelType w:val="singleLevel"/>
    <w:tmpl w:val="1B36D586"/>
    <w:lvl w:ilvl="0" w:tentative="0">
      <w:start w:val="1"/>
      <w:numFmt w:val="decimal"/>
      <w:lvlText w:val="%1."/>
      <w:lvlJc w:val="left"/>
      <w:pPr>
        <w:tabs>
          <w:tab w:val="left" w:pos="312"/>
        </w:tabs>
      </w:pPr>
    </w:lvl>
  </w:abstractNum>
  <w:abstractNum w:abstractNumId="40">
    <w:nsid w:val="21799EC2"/>
    <w:multiLevelType w:val="singleLevel"/>
    <w:tmpl w:val="21799EC2"/>
    <w:lvl w:ilvl="0" w:tentative="0">
      <w:start w:val="1"/>
      <w:numFmt w:val="decimalEnclosedCircleChinese"/>
      <w:suff w:val="nothing"/>
      <w:lvlText w:val="%1　"/>
      <w:lvlJc w:val="left"/>
      <w:pPr>
        <w:ind w:left="0" w:firstLine="400"/>
      </w:pPr>
      <w:rPr>
        <w:rFonts w:hint="eastAsia"/>
      </w:rPr>
    </w:lvl>
  </w:abstractNum>
  <w:abstractNum w:abstractNumId="41">
    <w:nsid w:val="22534506"/>
    <w:multiLevelType w:val="singleLevel"/>
    <w:tmpl w:val="22534506"/>
    <w:lvl w:ilvl="0" w:tentative="0">
      <w:start w:val="1"/>
      <w:numFmt w:val="decimal"/>
      <w:suff w:val="space"/>
      <w:lvlText w:val="%1."/>
      <w:lvlJc w:val="left"/>
    </w:lvl>
  </w:abstractNum>
  <w:abstractNum w:abstractNumId="42">
    <w:nsid w:val="32330827"/>
    <w:multiLevelType w:val="singleLevel"/>
    <w:tmpl w:val="32330827"/>
    <w:lvl w:ilvl="0" w:tentative="0">
      <w:start w:val="1"/>
      <w:numFmt w:val="decimal"/>
      <w:lvlText w:val="%1."/>
      <w:lvlJc w:val="left"/>
      <w:pPr>
        <w:ind w:left="425" w:hanging="425"/>
      </w:pPr>
      <w:rPr>
        <w:rFonts w:hint="default"/>
      </w:rPr>
    </w:lvl>
  </w:abstractNum>
  <w:abstractNum w:abstractNumId="43">
    <w:nsid w:val="329002CD"/>
    <w:multiLevelType w:val="singleLevel"/>
    <w:tmpl w:val="329002CD"/>
    <w:lvl w:ilvl="0" w:tentative="0">
      <w:start w:val="1"/>
      <w:numFmt w:val="decimal"/>
      <w:suff w:val="nothing"/>
      <w:lvlText w:val="%1、"/>
      <w:lvlJc w:val="left"/>
    </w:lvl>
  </w:abstractNum>
  <w:abstractNum w:abstractNumId="44">
    <w:nsid w:val="37002C56"/>
    <w:multiLevelType w:val="singleLevel"/>
    <w:tmpl w:val="37002C56"/>
    <w:lvl w:ilvl="0" w:tentative="0">
      <w:start w:val="1"/>
      <w:numFmt w:val="chineseCounting"/>
      <w:suff w:val="nothing"/>
      <w:lvlText w:val="%1、"/>
      <w:lvlJc w:val="left"/>
      <w:pPr>
        <w:ind w:left="-442" w:firstLine="420"/>
      </w:pPr>
      <w:rPr>
        <w:rFonts w:hint="eastAsia"/>
      </w:rPr>
    </w:lvl>
  </w:abstractNum>
  <w:abstractNum w:abstractNumId="45">
    <w:nsid w:val="390F296A"/>
    <w:multiLevelType w:val="singleLevel"/>
    <w:tmpl w:val="390F296A"/>
    <w:lvl w:ilvl="0" w:tentative="0">
      <w:start w:val="1"/>
      <w:numFmt w:val="decimalEnclosedCircleChinese"/>
      <w:suff w:val="nothing"/>
      <w:lvlText w:val="%1　"/>
      <w:lvlJc w:val="left"/>
      <w:pPr>
        <w:ind w:left="0" w:firstLine="400"/>
      </w:pPr>
      <w:rPr>
        <w:rFonts w:hint="eastAsia"/>
      </w:rPr>
    </w:lvl>
  </w:abstractNum>
  <w:abstractNum w:abstractNumId="46">
    <w:nsid w:val="39EA943C"/>
    <w:multiLevelType w:val="singleLevel"/>
    <w:tmpl w:val="39EA943C"/>
    <w:lvl w:ilvl="0" w:tentative="0">
      <w:start w:val="1"/>
      <w:numFmt w:val="decimalEnclosedCircleChinese"/>
      <w:suff w:val="nothing"/>
      <w:lvlText w:val="%1　"/>
      <w:lvlJc w:val="left"/>
      <w:pPr>
        <w:ind w:left="0" w:firstLine="400"/>
      </w:pPr>
      <w:rPr>
        <w:rFonts w:hint="eastAsia"/>
      </w:rPr>
    </w:lvl>
  </w:abstractNum>
  <w:abstractNum w:abstractNumId="47">
    <w:nsid w:val="46E5DCD5"/>
    <w:multiLevelType w:val="singleLevel"/>
    <w:tmpl w:val="46E5DCD5"/>
    <w:lvl w:ilvl="0" w:tentative="0">
      <w:start w:val="1"/>
      <w:numFmt w:val="decimal"/>
      <w:suff w:val="space"/>
      <w:lvlText w:val="表3-%1"/>
      <w:lvlJc w:val="left"/>
      <w:pPr>
        <w:ind w:left="425" w:hanging="425"/>
      </w:pPr>
      <w:rPr>
        <w:rFonts w:hint="default"/>
        <w:color w:val="auto"/>
      </w:rPr>
    </w:lvl>
  </w:abstractNum>
  <w:abstractNum w:abstractNumId="48">
    <w:nsid w:val="4782A54A"/>
    <w:multiLevelType w:val="singleLevel"/>
    <w:tmpl w:val="4782A54A"/>
    <w:lvl w:ilvl="0" w:tentative="0">
      <w:start w:val="1"/>
      <w:numFmt w:val="decimal"/>
      <w:suff w:val="nothing"/>
      <w:lvlText w:val="附图%1"/>
      <w:lvlJc w:val="left"/>
      <w:pPr>
        <w:ind w:left="425" w:hanging="425"/>
      </w:pPr>
      <w:rPr>
        <w:rFonts w:hint="default"/>
        <w:b/>
        <w:bCs/>
        <w:sz w:val="28"/>
        <w:szCs w:val="28"/>
      </w:rPr>
    </w:lvl>
  </w:abstractNum>
  <w:abstractNum w:abstractNumId="49">
    <w:nsid w:val="495C44B5"/>
    <w:multiLevelType w:val="singleLevel"/>
    <w:tmpl w:val="495C44B5"/>
    <w:lvl w:ilvl="0" w:tentative="0">
      <w:start w:val="1"/>
      <w:numFmt w:val="decimal"/>
      <w:suff w:val="nothing"/>
      <w:lvlText w:val="（%1）"/>
      <w:lvlJc w:val="left"/>
      <w:rPr>
        <w:rFonts w:hint="default"/>
        <w:b/>
        <w:bCs/>
      </w:rPr>
    </w:lvl>
  </w:abstractNum>
  <w:abstractNum w:abstractNumId="50">
    <w:nsid w:val="4DFE428C"/>
    <w:multiLevelType w:val="singleLevel"/>
    <w:tmpl w:val="4DFE428C"/>
    <w:lvl w:ilvl="0" w:tentative="0">
      <w:start w:val="1"/>
      <w:numFmt w:val="decimal"/>
      <w:lvlText w:val="%1."/>
      <w:lvlJc w:val="left"/>
      <w:pPr>
        <w:tabs>
          <w:tab w:val="left" w:pos="312"/>
        </w:tabs>
      </w:pPr>
    </w:lvl>
  </w:abstractNum>
  <w:abstractNum w:abstractNumId="51">
    <w:nsid w:val="56A68241"/>
    <w:multiLevelType w:val="singleLevel"/>
    <w:tmpl w:val="56A68241"/>
    <w:lvl w:ilvl="0" w:tentative="0">
      <w:start w:val="1"/>
      <w:numFmt w:val="decimal"/>
      <w:suff w:val="space"/>
      <w:lvlText w:val="%1."/>
      <w:lvlJc w:val="left"/>
    </w:lvl>
  </w:abstractNum>
  <w:abstractNum w:abstractNumId="52">
    <w:nsid w:val="5887DB75"/>
    <w:multiLevelType w:val="singleLevel"/>
    <w:tmpl w:val="5887DB75"/>
    <w:lvl w:ilvl="0" w:tentative="0">
      <w:start w:val="1"/>
      <w:numFmt w:val="decimal"/>
      <w:lvlText w:val="表1-%1"/>
      <w:lvlJc w:val="left"/>
      <w:pPr>
        <w:tabs>
          <w:tab w:val="left" w:pos="420"/>
        </w:tabs>
        <w:ind w:left="425" w:leftChars="0" w:hanging="425" w:firstLineChars="0"/>
      </w:pPr>
      <w:rPr>
        <w:rFonts w:hint="default"/>
      </w:rPr>
    </w:lvl>
  </w:abstractNum>
  <w:abstractNum w:abstractNumId="53">
    <w:nsid w:val="5903ECC7"/>
    <w:multiLevelType w:val="singleLevel"/>
    <w:tmpl w:val="5903ECC7"/>
    <w:lvl w:ilvl="0" w:tentative="0">
      <w:start w:val="1"/>
      <w:numFmt w:val="decimal"/>
      <w:lvlText w:val="表3-%1"/>
      <w:lvlJc w:val="left"/>
      <w:pPr>
        <w:tabs>
          <w:tab w:val="left" w:pos="420"/>
        </w:tabs>
        <w:ind w:left="425" w:hanging="425"/>
      </w:pPr>
      <w:rPr>
        <w:rFonts w:hint="default"/>
        <w:color w:val="auto"/>
      </w:rPr>
    </w:lvl>
  </w:abstractNum>
  <w:abstractNum w:abstractNumId="54">
    <w:nsid w:val="666C23EA"/>
    <w:multiLevelType w:val="singleLevel"/>
    <w:tmpl w:val="666C23EA"/>
    <w:lvl w:ilvl="0" w:tentative="0">
      <w:start w:val="1"/>
      <w:numFmt w:val="decimal"/>
      <w:lvlText w:val="%1."/>
      <w:lvlJc w:val="left"/>
      <w:pPr>
        <w:tabs>
          <w:tab w:val="left" w:pos="312"/>
        </w:tabs>
      </w:pPr>
    </w:lvl>
  </w:abstractNum>
  <w:abstractNum w:abstractNumId="55">
    <w:nsid w:val="71DE203D"/>
    <w:multiLevelType w:val="singleLevel"/>
    <w:tmpl w:val="71DE203D"/>
    <w:lvl w:ilvl="0" w:tentative="0">
      <w:start w:val="1"/>
      <w:numFmt w:val="decimalEnclosedCircleChinese"/>
      <w:suff w:val="nothing"/>
      <w:lvlText w:val="%1　"/>
      <w:lvlJc w:val="left"/>
      <w:pPr>
        <w:ind w:left="0" w:firstLine="400"/>
      </w:pPr>
      <w:rPr>
        <w:rFonts w:hint="eastAsia"/>
      </w:rPr>
    </w:lvl>
  </w:abstractNum>
  <w:abstractNum w:abstractNumId="56">
    <w:nsid w:val="79973A19"/>
    <w:multiLevelType w:val="singleLevel"/>
    <w:tmpl w:val="79973A19"/>
    <w:lvl w:ilvl="0" w:tentative="0">
      <w:start w:val="1"/>
      <w:numFmt w:val="decimal"/>
      <w:lvlText w:val="%1."/>
      <w:lvlJc w:val="left"/>
      <w:pPr>
        <w:ind w:left="425" w:hanging="425"/>
      </w:pPr>
      <w:rPr>
        <w:rFonts w:hint="default"/>
      </w:rPr>
    </w:lvl>
  </w:abstractNum>
  <w:abstractNum w:abstractNumId="57">
    <w:nsid w:val="79EB4547"/>
    <w:multiLevelType w:val="singleLevel"/>
    <w:tmpl w:val="79EB4547"/>
    <w:lvl w:ilvl="0" w:tentative="0">
      <w:start w:val="1"/>
      <w:numFmt w:val="decimal"/>
      <w:suff w:val="nothing"/>
      <w:lvlText w:val="（%1）"/>
      <w:lvlJc w:val="left"/>
    </w:lvl>
  </w:abstractNum>
  <w:abstractNum w:abstractNumId="58">
    <w:nsid w:val="7E8F91ED"/>
    <w:multiLevelType w:val="singleLevel"/>
    <w:tmpl w:val="7E8F91ED"/>
    <w:lvl w:ilvl="0" w:tentative="0">
      <w:start w:val="1"/>
      <w:numFmt w:val="decimal"/>
      <w:lvlText w:val="表4-%1"/>
      <w:lvlJc w:val="left"/>
      <w:pPr>
        <w:tabs>
          <w:tab w:val="left" w:pos="420"/>
        </w:tabs>
        <w:ind w:left="425" w:leftChars="0" w:hanging="425" w:firstLineChars="0"/>
      </w:pPr>
      <w:rPr>
        <w:rFonts w:hint="default"/>
        <w:b/>
        <w:bCs/>
        <w:color w:val="auto"/>
        <w:sz w:val="24"/>
        <w:szCs w:val="24"/>
      </w:rPr>
    </w:lvl>
  </w:abstractNum>
  <w:num w:numId="1">
    <w:abstractNumId w:val="5"/>
  </w:num>
  <w:num w:numId="2">
    <w:abstractNumId w:val="54"/>
  </w:num>
  <w:num w:numId="3">
    <w:abstractNumId w:val="43"/>
  </w:num>
  <w:num w:numId="4">
    <w:abstractNumId w:val="38"/>
  </w:num>
  <w:num w:numId="5">
    <w:abstractNumId w:val="52"/>
  </w:num>
  <w:num w:numId="6">
    <w:abstractNumId w:val="44"/>
  </w:num>
  <w:num w:numId="7">
    <w:abstractNumId w:val="27"/>
  </w:num>
  <w:num w:numId="8">
    <w:abstractNumId w:val="49"/>
  </w:num>
  <w:num w:numId="9">
    <w:abstractNumId w:val="50"/>
  </w:num>
  <w:num w:numId="10">
    <w:abstractNumId w:val="22"/>
  </w:num>
  <w:num w:numId="11">
    <w:abstractNumId w:val="33"/>
  </w:num>
  <w:num w:numId="12">
    <w:abstractNumId w:val="24"/>
  </w:num>
  <w:num w:numId="13">
    <w:abstractNumId w:val="26"/>
  </w:num>
  <w:num w:numId="14">
    <w:abstractNumId w:val="11"/>
  </w:num>
  <w:num w:numId="15">
    <w:abstractNumId w:val="7"/>
  </w:num>
  <w:num w:numId="16">
    <w:abstractNumId w:val="18"/>
  </w:num>
  <w:num w:numId="17">
    <w:abstractNumId w:val="13"/>
  </w:num>
  <w:num w:numId="18">
    <w:abstractNumId w:val="51"/>
  </w:num>
  <w:num w:numId="19">
    <w:abstractNumId w:val="39"/>
  </w:num>
  <w:num w:numId="20">
    <w:abstractNumId w:val="41"/>
  </w:num>
  <w:num w:numId="21">
    <w:abstractNumId w:val="3"/>
  </w:num>
  <w:num w:numId="22">
    <w:abstractNumId w:val="2"/>
  </w:num>
  <w:num w:numId="23">
    <w:abstractNumId w:val="0"/>
  </w:num>
  <w:num w:numId="24">
    <w:abstractNumId w:val="8"/>
  </w:num>
  <w:num w:numId="25">
    <w:abstractNumId w:val="42"/>
  </w:num>
  <w:num w:numId="26">
    <w:abstractNumId w:val="21"/>
  </w:num>
  <w:num w:numId="27">
    <w:abstractNumId w:val="4"/>
  </w:num>
  <w:num w:numId="28">
    <w:abstractNumId w:val="25"/>
  </w:num>
  <w:num w:numId="29">
    <w:abstractNumId w:val="34"/>
  </w:num>
  <w:num w:numId="30">
    <w:abstractNumId w:val="32"/>
  </w:num>
  <w:num w:numId="31">
    <w:abstractNumId w:val="30"/>
  </w:num>
  <w:num w:numId="32">
    <w:abstractNumId w:val="12"/>
  </w:num>
  <w:num w:numId="33">
    <w:abstractNumId w:val="19"/>
  </w:num>
  <w:num w:numId="34">
    <w:abstractNumId w:val="14"/>
  </w:num>
  <w:num w:numId="35">
    <w:abstractNumId w:val="17"/>
  </w:num>
  <w:num w:numId="36">
    <w:abstractNumId w:val="40"/>
  </w:num>
  <w:num w:numId="37">
    <w:abstractNumId w:val="10"/>
  </w:num>
  <w:num w:numId="38">
    <w:abstractNumId w:val="47"/>
  </w:num>
  <w:num w:numId="39">
    <w:abstractNumId w:val="37"/>
  </w:num>
  <w:num w:numId="40">
    <w:abstractNumId w:val="53"/>
  </w:num>
  <w:num w:numId="41">
    <w:abstractNumId w:val="56"/>
  </w:num>
  <w:num w:numId="42">
    <w:abstractNumId w:val="55"/>
  </w:num>
  <w:num w:numId="43">
    <w:abstractNumId w:val="46"/>
  </w:num>
  <w:num w:numId="44">
    <w:abstractNumId w:val="57"/>
  </w:num>
  <w:num w:numId="45">
    <w:abstractNumId w:val="35"/>
  </w:num>
  <w:num w:numId="46">
    <w:abstractNumId w:val="9"/>
  </w:num>
  <w:num w:numId="47">
    <w:abstractNumId w:val="16"/>
  </w:num>
  <w:num w:numId="48">
    <w:abstractNumId w:val="58"/>
  </w:num>
  <w:num w:numId="49">
    <w:abstractNumId w:val="6"/>
  </w:num>
  <w:num w:numId="50">
    <w:abstractNumId w:val="23"/>
  </w:num>
  <w:num w:numId="51">
    <w:abstractNumId w:val="31"/>
  </w:num>
  <w:num w:numId="52">
    <w:abstractNumId w:val="36"/>
  </w:num>
  <w:num w:numId="53">
    <w:abstractNumId w:val="45"/>
  </w:num>
  <w:num w:numId="54">
    <w:abstractNumId w:val="29"/>
  </w:num>
  <w:num w:numId="55">
    <w:abstractNumId w:val="15"/>
  </w:num>
  <w:num w:numId="56">
    <w:abstractNumId w:val="1"/>
  </w:num>
  <w:num w:numId="57">
    <w:abstractNumId w:val="20"/>
  </w:num>
  <w:num w:numId="58">
    <w:abstractNumId w:val="28"/>
  </w:num>
  <w:num w:numId="59">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1MGU1ODJlYWE2ODNmZmM4MWJmY2Y4Njg1NDk5ZDgifQ=="/>
  </w:docVars>
  <w:rsids>
    <w:rsidRoot w:val="00172A27"/>
    <w:rsid w:val="00042383"/>
    <w:rsid w:val="00076791"/>
    <w:rsid w:val="000A002F"/>
    <w:rsid w:val="000C1FF9"/>
    <w:rsid w:val="000D49EA"/>
    <w:rsid w:val="00103897"/>
    <w:rsid w:val="0011590D"/>
    <w:rsid w:val="0011760F"/>
    <w:rsid w:val="00172A27"/>
    <w:rsid w:val="001D7D62"/>
    <w:rsid w:val="00212CDA"/>
    <w:rsid w:val="00214EA5"/>
    <w:rsid w:val="00225A44"/>
    <w:rsid w:val="00236FBD"/>
    <w:rsid w:val="00247343"/>
    <w:rsid w:val="00294959"/>
    <w:rsid w:val="002B06D1"/>
    <w:rsid w:val="00305CE7"/>
    <w:rsid w:val="00307A95"/>
    <w:rsid w:val="00360E24"/>
    <w:rsid w:val="00381040"/>
    <w:rsid w:val="003C28DE"/>
    <w:rsid w:val="003F417C"/>
    <w:rsid w:val="00417EF4"/>
    <w:rsid w:val="00425A1B"/>
    <w:rsid w:val="00441793"/>
    <w:rsid w:val="00443541"/>
    <w:rsid w:val="00446D34"/>
    <w:rsid w:val="0046550B"/>
    <w:rsid w:val="00473031"/>
    <w:rsid w:val="00475BFE"/>
    <w:rsid w:val="00490B57"/>
    <w:rsid w:val="004C0647"/>
    <w:rsid w:val="004E43BF"/>
    <w:rsid w:val="00501B2B"/>
    <w:rsid w:val="005319D6"/>
    <w:rsid w:val="00544619"/>
    <w:rsid w:val="0055574E"/>
    <w:rsid w:val="00577718"/>
    <w:rsid w:val="005A0FB6"/>
    <w:rsid w:val="005A7208"/>
    <w:rsid w:val="005C4D2E"/>
    <w:rsid w:val="006336EF"/>
    <w:rsid w:val="00635B77"/>
    <w:rsid w:val="006360BD"/>
    <w:rsid w:val="0066749F"/>
    <w:rsid w:val="00683FF1"/>
    <w:rsid w:val="006911F9"/>
    <w:rsid w:val="006F7850"/>
    <w:rsid w:val="007402CA"/>
    <w:rsid w:val="0078768E"/>
    <w:rsid w:val="0083050D"/>
    <w:rsid w:val="00846033"/>
    <w:rsid w:val="00867FFD"/>
    <w:rsid w:val="00885B23"/>
    <w:rsid w:val="008C6C96"/>
    <w:rsid w:val="008D313A"/>
    <w:rsid w:val="009224FE"/>
    <w:rsid w:val="009269A2"/>
    <w:rsid w:val="00937981"/>
    <w:rsid w:val="009A63EB"/>
    <w:rsid w:val="009A7605"/>
    <w:rsid w:val="009E4D10"/>
    <w:rsid w:val="00A13691"/>
    <w:rsid w:val="00A36E92"/>
    <w:rsid w:val="00A41184"/>
    <w:rsid w:val="00A81D22"/>
    <w:rsid w:val="00AE30C4"/>
    <w:rsid w:val="00AF1302"/>
    <w:rsid w:val="00B2494E"/>
    <w:rsid w:val="00B74651"/>
    <w:rsid w:val="00B93F2F"/>
    <w:rsid w:val="00BA0E00"/>
    <w:rsid w:val="00C33E5A"/>
    <w:rsid w:val="00C621A8"/>
    <w:rsid w:val="00CB77BE"/>
    <w:rsid w:val="00CE26AE"/>
    <w:rsid w:val="00CF5500"/>
    <w:rsid w:val="00D40D69"/>
    <w:rsid w:val="00D479B0"/>
    <w:rsid w:val="00D82C72"/>
    <w:rsid w:val="00DA0C51"/>
    <w:rsid w:val="00DB32E3"/>
    <w:rsid w:val="00DD3279"/>
    <w:rsid w:val="00DE079A"/>
    <w:rsid w:val="00EB60B2"/>
    <w:rsid w:val="00ED33C1"/>
    <w:rsid w:val="00EF7950"/>
    <w:rsid w:val="00F036C9"/>
    <w:rsid w:val="00F30697"/>
    <w:rsid w:val="00F443C8"/>
    <w:rsid w:val="00FB62F5"/>
    <w:rsid w:val="00FC206D"/>
    <w:rsid w:val="010417EE"/>
    <w:rsid w:val="010827C0"/>
    <w:rsid w:val="010F3B4F"/>
    <w:rsid w:val="01154EDD"/>
    <w:rsid w:val="011963C9"/>
    <w:rsid w:val="011B2E8F"/>
    <w:rsid w:val="01214EA6"/>
    <w:rsid w:val="01233A9E"/>
    <w:rsid w:val="012515C4"/>
    <w:rsid w:val="012958F6"/>
    <w:rsid w:val="012B64AF"/>
    <w:rsid w:val="01325A8F"/>
    <w:rsid w:val="01331319"/>
    <w:rsid w:val="01341807"/>
    <w:rsid w:val="0136557F"/>
    <w:rsid w:val="01395070"/>
    <w:rsid w:val="013C690E"/>
    <w:rsid w:val="01420154"/>
    <w:rsid w:val="01437EC0"/>
    <w:rsid w:val="01453A14"/>
    <w:rsid w:val="01464FA1"/>
    <w:rsid w:val="0147778C"/>
    <w:rsid w:val="01483505"/>
    <w:rsid w:val="014852B3"/>
    <w:rsid w:val="01497B84"/>
    <w:rsid w:val="014F6641"/>
    <w:rsid w:val="01565DA4"/>
    <w:rsid w:val="015A3E73"/>
    <w:rsid w:val="016420B7"/>
    <w:rsid w:val="01664E35"/>
    <w:rsid w:val="01687703"/>
    <w:rsid w:val="016C0FA1"/>
    <w:rsid w:val="017165B7"/>
    <w:rsid w:val="017716F4"/>
    <w:rsid w:val="017C6D0A"/>
    <w:rsid w:val="017D4F5C"/>
    <w:rsid w:val="017E6F26"/>
    <w:rsid w:val="01852063"/>
    <w:rsid w:val="01863CD4"/>
    <w:rsid w:val="018750D4"/>
    <w:rsid w:val="018856AF"/>
    <w:rsid w:val="01910A08"/>
    <w:rsid w:val="0196601E"/>
    <w:rsid w:val="01967DCC"/>
    <w:rsid w:val="01A324E9"/>
    <w:rsid w:val="01A506ED"/>
    <w:rsid w:val="01A73D87"/>
    <w:rsid w:val="01A81D9E"/>
    <w:rsid w:val="01A85D51"/>
    <w:rsid w:val="01AC1704"/>
    <w:rsid w:val="01AF5332"/>
    <w:rsid w:val="01B446F6"/>
    <w:rsid w:val="01B666C0"/>
    <w:rsid w:val="01B85F94"/>
    <w:rsid w:val="01BB5A85"/>
    <w:rsid w:val="01BD17FD"/>
    <w:rsid w:val="01BD7A4F"/>
    <w:rsid w:val="01C20BC1"/>
    <w:rsid w:val="01C34939"/>
    <w:rsid w:val="01CA3F1A"/>
    <w:rsid w:val="01CF32DE"/>
    <w:rsid w:val="01D152A8"/>
    <w:rsid w:val="01D17056"/>
    <w:rsid w:val="01E07623"/>
    <w:rsid w:val="01E66FA5"/>
    <w:rsid w:val="01E857F1"/>
    <w:rsid w:val="01E90844"/>
    <w:rsid w:val="01EB6738"/>
    <w:rsid w:val="01F01BD2"/>
    <w:rsid w:val="01F176F8"/>
    <w:rsid w:val="01F571E8"/>
    <w:rsid w:val="01F62F61"/>
    <w:rsid w:val="01FA47FF"/>
    <w:rsid w:val="01FB2325"/>
    <w:rsid w:val="02000D3F"/>
    <w:rsid w:val="02025461"/>
    <w:rsid w:val="02027416"/>
    <w:rsid w:val="0204742C"/>
    <w:rsid w:val="02072A78"/>
    <w:rsid w:val="020D21BB"/>
    <w:rsid w:val="020E02AA"/>
    <w:rsid w:val="020F621C"/>
    <w:rsid w:val="02140D77"/>
    <w:rsid w:val="021653B1"/>
    <w:rsid w:val="0216715F"/>
    <w:rsid w:val="02180623"/>
    <w:rsid w:val="02191E9F"/>
    <w:rsid w:val="021A09FD"/>
    <w:rsid w:val="021C23A2"/>
    <w:rsid w:val="02235B22"/>
    <w:rsid w:val="0229022E"/>
    <w:rsid w:val="02291994"/>
    <w:rsid w:val="022C5744"/>
    <w:rsid w:val="02301FCF"/>
    <w:rsid w:val="02337D11"/>
    <w:rsid w:val="023615AF"/>
    <w:rsid w:val="0236335D"/>
    <w:rsid w:val="02380E83"/>
    <w:rsid w:val="023F0464"/>
    <w:rsid w:val="02454286"/>
    <w:rsid w:val="02467A44"/>
    <w:rsid w:val="02480AFD"/>
    <w:rsid w:val="02493090"/>
    <w:rsid w:val="02502671"/>
    <w:rsid w:val="025263E9"/>
    <w:rsid w:val="02553FCA"/>
    <w:rsid w:val="025658D6"/>
    <w:rsid w:val="025739FF"/>
    <w:rsid w:val="025926C3"/>
    <w:rsid w:val="025D4572"/>
    <w:rsid w:val="0261487E"/>
    <w:rsid w:val="02624152"/>
    <w:rsid w:val="026305F6"/>
    <w:rsid w:val="02641C78"/>
    <w:rsid w:val="026E0D49"/>
    <w:rsid w:val="0273635F"/>
    <w:rsid w:val="027427F8"/>
    <w:rsid w:val="027D0F8C"/>
    <w:rsid w:val="027D288D"/>
    <w:rsid w:val="027D71DE"/>
    <w:rsid w:val="027F2F56"/>
    <w:rsid w:val="028B18FB"/>
    <w:rsid w:val="02900CBF"/>
    <w:rsid w:val="029511B3"/>
    <w:rsid w:val="0295339B"/>
    <w:rsid w:val="02954528"/>
    <w:rsid w:val="029562D6"/>
    <w:rsid w:val="029C3B08"/>
    <w:rsid w:val="029F53A6"/>
    <w:rsid w:val="02A12ECC"/>
    <w:rsid w:val="02A227A1"/>
    <w:rsid w:val="02AB256F"/>
    <w:rsid w:val="02AD7AC3"/>
    <w:rsid w:val="02B06E10"/>
    <w:rsid w:val="02B26E88"/>
    <w:rsid w:val="02B40E52"/>
    <w:rsid w:val="02B7624C"/>
    <w:rsid w:val="02B83DDE"/>
    <w:rsid w:val="02B8562E"/>
    <w:rsid w:val="02BC1AB4"/>
    <w:rsid w:val="02BD28BB"/>
    <w:rsid w:val="02C31095"/>
    <w:rsid w:val="02C57001"/>
    <w:rsid w:val="02C72207"/>
    <w:rsid w:val="02CA1EB1"/>
    <w:rsid w:val="02CB1CF7"/>
    <w:rsid w:val="02CD38AA"/>
    <w:rsid w:val="02CF7A3A"/>
    <w:rsid w:val="02D21D84"/>
    <w:rsid w:val="02D74B40"/>
    <w:rsid w:val="02DE0C76"/>
    <w:rsid w:val="02DF1815"/>
    <w:rsid w:val="02E14102"/>
    <w:rsid w:val="02E90BCF"/>
    <w:rsid w:val="02F23728"/>
    <w:rsid w:val="030516AD"/>
    <w:rsid w:val="03060F81"/>
    <w:rsid w:val="03082F4B"/>
    <w:rsid w:val="03083819"/>
    <w:rsid w:val="03097F81"/>
    <w:rsid w:val="030A0A72"/>
    <w:rsid w:val="030E7E36"/>
    <w:rsid w:val="03117E77"/>
    <w:rsid w:val="03124D54"/>
    <w:rsid w:val="0317318F"/>
    <w:rsid w:val="031D6EFB"/>
    <w:rsid w:val="031E276F"/>
    <w:rsid w:val="031F2043"/>
    <w:rsid w:val="032338E1"/>
    <w:rsid w:val="03241F4C"/>
    <w:rsid w:val="03247659"/>
    <w:rsid w:val="032558AB"/>
    <w:rsid w:val="03276338"/>
    <w:rsid w:val="032D650E"/>
    <w:rsid w:val="032F04D8"/>
    <w:rsid w:val="033311CF"/>
    <w:rsid w:val="03377AA2"/>
    <w:rsid w:val="03380F32"/>
    <w:rsid w:val="033835B9"/>
    <w:rsid w:val="03400B54"/>
    <w:rsid w:val="03404493"/>
    <w:rsid w:val="03411FB9"/>
    <w:rsid w:val="03433F84"/>
    <w:rsid w:val="03455F4E"/>
    <w:rsid w:val="03457CFC"/>
    <w:rsid w:val="034D6BB0"/>
    <w:rsid w:val="034F46D6"/>
    <w:rsid w:val="03595555"/>
    <w:rsid w:val="035B12CD"/>
    <w:rsid w:val="035C6DF3"/>
    <w:rsid w:val="035E789D"/>
    <w:rsid w:val="03634626"/>
    <w:rsid w:val="036439CE"/>
    <w:rsid w:val="03675EC4"/>
    <w:rsid w:val="036B6BBE"/>
    <w:rsid w:val="036D2DAF"/>
    <w:rsid w:val="036E446E"/>
    <w:rsid w:val="03760E3D"/>
    <w:rsid w:val="03824AAC"/>
    <w:rsid w:val="03885E3A"/>
    <w:rsid w:val="038A1CB4"/>
    <w:rsid w:val="038D16A3"/>
    <w:rsid w:val="038D51FF"/>
    <w:rsid w:val="038F71C9"/>
    <w:rsid w:val="03962305"/>
    <w:rsid w:val="03977E2B"/>
    <w:rsid w:val="03993BA4"/>
    <w:rsid w:val="039C5442"/>
    <w:rsid w:val="039E42B2"/>
    <w:rsid w:val="03A2514E"/>
    <w:rsid w:val="03A52548"/>
    <w:rsid w:val="03AF1619"/>
    <w:rsid w:val="03B24E15"/>
    <w:rsid w:val="03B66504"/>
    <w:rsid w:val="03B70B69"/>
    <w:rsid w:val="03B96EA9"/>
    <w:rsid w:val="03BB7FBE"/>
    <w:rsid w:val="03C2134C"/>
    <w:rsid w:val="03C9092D"/>
    <w:rsid w:val="03CA1FAF"/>
    <w:rsid w:val="03CD3AA3"/>
    <w:rsid w:val="03CE7CF1"/>
    <w:rsid w:val="03D177E1"/>
    <w:rsid w:val="03D33559"/>
    <w:rsid w:val="03D35307"/>
    <w:rsid w:val="03D472D2"/>
    <w:rsid w:val="03D80B70"/>
    <w:rsid w:val="03DB0660"/>
    <w:rsid w:val="03DB41BC"/>
    <w:rsid w:val="03E017D2"/>
    <w:rsid w:val="03EA43FF"/>
    <w:rsid w:val="03F37758"/>
    <w:rsid w:val="03F67248"/>
    <w:rsid w:val="03FB03BA"/>
    <w:rsid w:val="03FE03B1"/>
    <w:rsid w:val="03FF434E"/>
    <w:rsid w:val="03FF60FC"/>
    <w:rsid w:val="0402799B"/>
    <w:rsid w:val="04090D29"/>
    <w:rsid w:val="040A2CF3"/>
    <w:rsid w:val="040B458F"/>
    <w:rsid w:val="041871BE"/>
    <w:rsid w:val="04194CE4"/>
    <w:rsid w:val="04275653"/>
    <w:rsid w:val="042A0CA0"/>
    <w:rsid w:val="042B26C2"/>
    <w:rsid w:val="04301D26"/>
    <w:rsid w:val="043128C5"/>
    <w:rsid w:val="04333FF8"/>
    <w:rsid w:val="043349B6"/>
    <w:rsid w:val="04335DA6"/>
    <w:rsid w:val="043868A8"/>
    <w:rsid w:val="043A1A2F"/>
    <w:rsid w:val="043B2771"/>
    <w:rsid w:val="043F299D"/>
    <w:rsid w:val="04463D2B"/>
    <w:rsid w:val="04470273"/>
    <w:rsid w:val="04477AA3"/>
    <w:rsid w:val="044E0E32"/>
    <w:rsid w:val="04510922"/>
    <w:rsid w:val="045521C0"/>
    <w:rsid w:val="04561A95"/>
    <w:rsid w:val="04581CB1"/>
    <w:rsid w:val="04590024"/>
    <w:rsid w:val="045B70AB"/>
    <w:rsid w:val="045D72C7"/>
    <w:rsid w:val="045F303F"/>
    <w:rsid w:val="0462668B"/>
    <w:rsid w:val="046441B2"/>
    <w:rsid w:val="04695C6C"/>
    <w:rsid w:val="0471044C"/>
    <w:rsid w:val="04781A0B"/>
    <w:rsid w:val="04784101"/>
    <w:rsid w:val="04785EAF"/>
    <w:rsid w:val="047A7F1E"/>
    <w:rsid w:val="047C3421"/>
    <w:rsid w:val="047C599F"/>
    <w:rsid w:val="04842AA6"/>
    <w:rsid w:val="048A5A25"/>
    <w:rsid w:val="048B5B27"/>
    <w:rsid w:val="049031F8"/>
    <w:rsid w:val="04926F71"/>
    <w:rsid w:val="04934A97"/>
    <w:rsid w:val="04936845"/>
    <w:rsid w:val="04A13CAC"/>
    <w:rsid w:val="04A171B4"/>
    <w:rsid w:val="04A3117E"/>
    <w:rsid w:val="04A863DD"/>
    <w:rsid w:val="04A942BA"/>
    <w:rsid w:val="04AB3B8E"/>
    <w:rsid w:val="04AE7B23"/>
    <w:rsid w:val="04B8274F"/>
    <w:rsid w:val="04BB2116"/>
    <w:rsid w:val="04BD38C2"/>
    <w:rsid w:val="04C00734"/>
    <w:rsid w:val="04C133B2"/>
    <w:rsid w:val="04D43423"/>
    <w:rsid w:val="04D96D31"/>
    <w:rsid w:val="04E3586E"/>
    <w:rsid w:val="04EA6DAD"/>
    <w:rsid w:val="04F027A9"/>
    <w:rsid w:val="04F274F3"/>
    <w:rsid w:val="04F27A0F"/>
    <w:rsid w:val="04FD0162"/>
    <w:rsid w:val="05080FE1"/>
    <w:rsid w:val="050D4849"/>
    <w:rsid w:val="050E015C"/>
    <w:rsid w:val="051756C8"/>
    <w:rsid w:val="05177D7E"/>
    <w:rsid w:val="051931EE"/>
    <w:rsid w:val="051A0D14"/>
    <w:rsid w:val="051C4A8C"/>
    <w:rsid w:val="051C683A"/>
    <w:rsid w:val="051F632A"/>
    <w:rsid w:val="051F7A75"/>
    <w:rsid w:val="05236321"/>
    <w:rsid w:val="0524048F"/>
    <w:rsid w:val="05241B93"/>
    <w:rsid w:val="05257DE5"/>
    <w:rsid w:val="052851DF"/>
    <w:rsid w:val="052B1173"/>
    <w:rsid w:val="052D4EEB"/>
    <w:rsid w:val="0530678A"/>
    <w:rsid w:val="05340028"/>
    <w:rsid w:val="05341DD6"/>
    <w:rsid w:val="0539188E"/>
    <w:rsid w:val="053973EC"/>
    <w:rsid w:val="053C081B"/>
    <w:rsid w:val="053C512E"/>
    <w:rsid w:val="053C6A73"/>
    <w:rsid w:val="053C7CB9"/>
    <w:rsid w:val="053E74DA"/>
    <w:rsid w:val="05412745"/>
    <w:rsid w:val="0548762F"/>
    <w:rsid w:val="05544226"/>
    <w:rsid w:val="0559183C"/>
    <w:rsid w:val="055C757F"/>
    <w:rsid w:val="0560706F"/>
    <w:rsid w:val="05656433"/>
    <w:rsid w:val="056F1060"/>
    <w:rsid w:val="057448C8"/>
    <w:rsid w:val="05776166"/>
    <w:rsid w:val="057A17B3"/>
    <w:rsid w:val="057C19CF"/>
    <w:rsid w:val="057E5243"/>
    <w:rsid w:val="0580326D"/>
    <w:rsid w:val="05812B41"/>
    <w:rsid w:val="05832D5D"/>
    <w:rsid w:val="05834B0B"/>
    <w:rsid w:val="05850883"/>
    <w:rsid w:val="0591547A"/>
    <w:rsid w:val="05946D18"/>
    <w:rsid w:val="05A01219"/>
    <w:rsid w:val="05A21435"/>
    <w:rsid w:val="05A31CFB"/>
    <w:rsid w:val="05A36F5B"/>
    <w:rsid w:val="05A54A82"/>
    <w:rsid w:val="05A64CE0"/>
    <w:rsid w:val="05AA02EA"/>
    <w:rsid w:val="05AA653C"/>
    <w:rsid w:val="05AC4062"/>
    <w:rsid w:val="05B12AB7"/>
    <w:rsid w:val="05B1320D"/>
    <w:rsid w:val="05B461E1"/>
    <w:rsid w:val="05B66C8F"/>
    <w:rsid w:val="05BD626F"/>
    <w:rsid w:val="05BE2530"/>
    <w:rsid w:val="05C0366A"/>
    <w:rsid w:val="05C25634"/>
    <w:rsid w:val="05C63706"/>
    <w:rsid w:val="05C70E9C"/>
    <w:rsid w:val="05CA098C"/>
    <w:rsid w:val="05CB0A83"/>
    <w:rsid w:val="05CF2FDE"/>
    <w:rsid w:val="05CF7D50"/>
    <w:rsid w:val="05D13AC9"/>
    <w:rsid w:val="05D43ADD"/>
    <w:rsid w:val="05D47115"/>
    <w:rsid w:val="05DC58AA"/>
    <w:rsid w:val="05DD246D"/>
    <w:rsid w:val="05DE61E6"/>
    <w:rsid w:val="05E042B0"/>
    <w:rsid w:val="05E239E4"/>
    <w:rsid w:val="05E74E14"/>
    <w:rsid w:val="05EA6938"/>
    <w:rsid w:val="05EA6F2B"/>
    <w:rsid w:val="05EC0902"/>
    <w:rsid w:val="05EC4069"/>
    <w:rsid w:val="05F45A09"/>
    <w:rsid w:val="05F67F28"/>
    <w:rsid w:val="05F72E03"/>
    <w:rsid w:val="05FC2474"/>
    <w:rsid w:val="05FC4B31"/>
    <w:rsid w:val="05FE0636"/>
    <w:rsid w:val="06011662"/>
    <w:rsid w:val="06055520"/>
    <w:rsid w:val="06071754"/>
    <w:rsid w:val="060C045C"/>
    <w:rsid w:val="060C2D53"/>
    <w:rsid w:val="060C68AF"/>
    <w:rsid w:val="060E0879"/>
    <w:rsid w:val="06131F48"/>
    <w:rsid w:val="061754B1"/>
    <w:rsid w:val="061834A6"/>
    <w:rsid w:val="0619141B"/>
    <w:rsid w:val="061C50A9"/>
    <w:rsid w:val="061C5AAE"/>
    <w:rsid w:val="061D286A"/>
    <w:rsid w:val="061D6D0E"/>
    <w:rsid w:val="062005AC"/>
    <w:rsid w:val="062B0EAC"/>
    <w:rsid w:val="062C21B1"/>
    <w:rsid w:val="06336531"/>
    <w:rsid w:val="063858F6"/>
    <w:rsid w:val="06396850"/>
    <w:rsid w:val="063F594E"/>
    <w:rsid w:val="0642670C"/>
    <w:rsid w:val="06451DC1"/>
    <w:rsid w:val="064614D7"/>
    <w:rsid w:val="064921AF"/>
    <w:rsid w:val="064A7D7E"/>
    <w:rsid w:val="064E336B"/>
    <w:rsid w:val="065169B7"/>
    <w:rsid w:val="06540256"/>
    <w:rsid w:val="0654294E"/>
    <w:rsid w:val="06565D7C"/>
    <w:rsid w:val="06590829"/>
    <w:rsid w:val="065C448B"/>
    <w:rsid w:val="065F10D4"/>
    <w:rsid w:val="06654211"/>
    <w:rsid w:val="06655EF0"/>
    <w:rsid w:val="066806ED"/>
    <w:rsid w:val="06691F53"/>
    <w:rsid w:val="06694317"/>
    <w:rsid w:val="066B3BEC"/>
    <w:rsid w:val="066D1D8C"/>
    <w:rsid w:val="066E57BB"/>
    <w:rsid w:val="067313A5"/>
    <w:rsid w:val="067A4160"/>
    <w:rsid w:val="067A5F0E"/>
    <w:rsid w:val="067F1777"/>
    <w:rsid w:val="067F52D3"/>
    <w:rsid w:val="068602C1"/>
    <w:rsid w:val="06872F1A"/>
    <w:rsid w:val="068872E6"/>
    <w:rsid w:val="068F128E"/>
    <w:rsid w:val="069074E0"/>
    <w:rsid w:val="06911C3B"/>
    <w:rsid w:val="06935222"/>
    <w:rsid w:val="06966BB5"/>
    <w:rsid w:val="06982838"/>
    <w:rsid w:val="06A05249"/>
    <w:rsid w:val="06A12870"/>
    <w:rsid w:val="06AB431A"/>
    <w:rsid w:val="06AE06DA"/>
    <w:rsid w:val="06AE3E0A"/>
    <w:rsid w:val="06B37672"/>
    <w:rsid w:val="06B43D0A"/>
    <w:rsid w:val="06B72BC7"/>
    <w:rsid w:val="06C1141B"/>
    <w:rsid w:val="06C26280"/>
    <w:rsid w:val="06C61153"/>
    <w:rsid w:val="06C70A28"/>
    <w:rsid w:val="06CE3D7C"/>
    <w:rsid w:val="06D01FD2"/>
    <w:rsid w:val="06D03D80"/>
    <w:rsid w:val="06D067E2"/>
    <w:rsid w:val="06D111D0"/>
    <w:rsid w:val="06D870D9"/>
    <w:rsid w:val="06E03F5B"/>
    <w:rsid w:val="06E4782C"/>
    <w:rsid w:val="06EA6EE5"/>
    <w:rsid w:val="06EE06AA"/>
    <w:rsid w:val="06F061D0"/>
    <w:rsid w:val="06F2019A"/>
    <w:rsid w:val="06F20FC3"/>
    <w:rsid w:val="06F3181D"/>
    <w:rsid w:val="06F85F55"/>
    <w:rsid w:val="06FF3E10"/>
    <w:rsid w:val="07025814"/>
    <w:rsid w:val="07047ECE"/>
    <w:rsid w:val="07061550"/>
    <w:rsid w:val="070B3997"/>
    <w:rsid w:val="070D0B30"/>
    <w:rsid w:val="07146C2B"/>
    <w:rsid w:val="07153E89"/>
    <w:rsid w:val="071623D5"/>
    <w:rsid w:val="071A4FFB"/>
    <w:rsid w:val="071D689A"/>
    <w:rsid w:val="071E2D3E"/>
    <w:rsid w:val="071F3380"/>
    <w:rsid w:val="0721638A"/>
    <w:rsid w:val="07222102"/>
    <w:rsid w:val="072639A0"/>
    <w:rsid w:val="072702BE"/>
    <w:rsid w:val="07283BBC"/>
    <w:rsid w:val="072916E2"/>
    <w:rsid w:val="072E5A65"/>
    <w:rsid w:val="072F2CD8"/>
    <w:rsid w:val="07342561"/>
    <w:rsid w:val="0736405C"/>
    <w:rsid w:val="07373DFF"/>
    <w:rsid w:val="073A744C"/>
    <w:rsid w:val="073C1416"/>
    <w:rsid w:val="073C7668"/>
    <w:rsid w:val="073F0F06"/>
    <w:rsid w:val="0744651C"/>
    <w:rsid w:val="07462294"/>
    <w:rsid w:val="07465DF0"/>
    <w:rsid w:val="074A1D85"/>
    <w:rsid w:val="074A3B33"/>
    <w:rsid w:val="074B3407"/>
    <w:rsid w:val="074D3623"/>
    <w:rsid w:val="07524795"/>
    <w:rsid w:val="0753050D"/>
    <w:rsid w:val="075514AC"/>
    <w:rsid w:val="07585D35"/>
    <w:rsid w:val="075B5D40"/>
    <w:rsid w:val="075E138C"/>
    <w:rsid w:val="075E75DE"/>
    <w:rsid w:val="075F5104"/>
    <w:rsid w:val="075F6EB2"/>
    <w:rsid w:val="07603356"/>
    <w:rsid w:val="076646E5"/>
    <w:rsid w:val="07697D31"/>
    <w:rsid w:val="076B1CFB"/>
    <w:rsid w:val="076B3AA9"/>
    <w:rsid w:val="076D7821"/>
    <w:rsid w:val="0774305B"/>
    <w:rsid w:val="077527CF"/>
    <w:rsid w:val="07762B7A"/>
    <w:rsid w:val="07795B6B"/>
    <w:rsid w:val="077C3C20"/>
    <w:rsid w:val="077F1302"/>
    <w:rsid w:val="07853608"/>
    <w:rsid w:val="078D3A1F"/>
    <w:rsid w:val="0790350F"/>
    <w:rsid w:val="07922158"/>
    <w:rsid w:val="079254DA"/>
    <w:rsid w:val="07943000"/>
    <w:rsid w:val="079B438E"/>
    <w:rsid w:val="079F1B8B"/>
    <w:rsid w:val="07A10397"/>
    <w:rsid w:val="07A42E2C"/>
    <w:rsid w:val="07A52108"/>
    <w:rsid w:val="07AA45D1"/>
    <w:rsid w:val="07AF3996"/>
    <w:rsid w:val="07B40D33"/>
    <w:rsid w:val="07B62F76"/>
    <w:rsid w:val="07BA233A"/>
    <w:rsid w:val="07BC4304"/>
    <w:rsid w:val="07BD6694"/>
    <w:rsid w:val="07BE62CF"/>
    <w:rsid w:val="07C17B6D"/>
    <w:rsid w:val="07C40FCD"/>
    <w:rsid w:val="07C97778"/>
    <w:rsid w:val="07CB4548"/>
    <w:rsid w:val="07CC63DA"/>
    <w:rsid w:val="07CD6512"/>
    <w:rsid w:val="07D35EAA"/>
    <w:rsid w:val="07D4164E"/>
    <w:rsid w:val="07DA3E06"/>
    <w:rsid w:val="07E00BD3"/>
    <w:rsid w:val="07E21FBD"/>
    <w:rsid w:val="07ED0962"/>
    <w:rsid w:val="07EE5683"/>
    <w:rsid w:val="07F67816"/>
    <w:rsid w:val="07F95559"/>
    <w:rsid w:val="07FC5336"/>
    <w:rsid w:val="0802440D"/>
    <w:rsid w:val="080261BB"/>
    <w:rsid w:val="080B1758"/>
    <w:rsid w:val="080D690E"/>
    <w:rsid w:val="0814739E"/>
    <w:rsid w:val="08167EB9"/>
    <w:rsid w:val="081F44B1"/>
    <w:rsid w:val="08202AE5"/>
    <w:rsid w:val="08204893"/>
    <w:rsid w:val="08234384"/>
    <w:rsid w:val="08236767"/>
    <w:rsid w:val="08262763"/>
    <w:rsid w:val="08285910"/>
    <w:rsid w:val="08316AA1"/>
    <w:rsid w:val="08362309"/>
    <w:rsid w:val="08386081"/>
    <w:rsid w:val="0840304B"/>
    <w:rsid w:val="0845254C"/>
    <w:rsid w:val="084E1401"/>
    <w:rsid w:val="084F5179"/>
    <w:rsid w:val="085048C6"/>
    <w:rsid w:val="08512C9F"/>
    <w:rsid w:val="085409E1"/>
    <w:rsid w:val="08555E8D"/>
    <w:rsid w:val="08577C79"/>
    <w:rsid w:val="0858227F"/>
    <w:rsid w:val="0858402D"/>
    <w:rsid w:val="08585DDB"/>
    <w:rsid w:val="085D1644"/>
    <w:rsid w:val="085D7896"/>
    <w:rsid w:val="085F360E"/>
    <w:rsid w:val="08607386"/>
    <w:rsid w:val="086329D2"/>
    <w:rsid w:val="08687FE8"/>
    <w:rsid w:val="086A1FB2"/>
    <w:rsid w:val="086C1887"/>
    <w:rsid w:val="08795696"/>
    <w:rsid w:val="087E3C7F"/>
    <w:rsid w:val="08874912"/>
    <w:rsid w:val="0889068B"/>
    <w:rsid w:val="088C3CD7"/>
    <w:rsid w:val="088D67EF"/>
    <w:rsid w:val="088E3EF3"/>
    <w:rsid w:val="08901A19"/>
    <w:rsid w:val="08911C32"/>
    <w:rsid w:val="08931509"/>
    <w:rsid w:val="0895702F"/>
    <w:rsid w:val="089D5658"/>
    <w:rsid w:val="089D5EE4"/>
    <w:rsid w:val="08A4283A"/>
    <w:rsid w:val="08A6215D"/>
    <w:rsid w:val="08AC1497"/>
    <w:rsid w:val="08AC3CEF"/>
    <w:rsid w:val="08B15F75"/>
    <w:rsid w:val="08B374B6"/>
    <w:rsid w:val="08B57B6C"/>
    <w:rsid w:val="08B919E5"/>
    <w:rsid w:val="08BD20E2"/>
    <w:rsid w:val="08C5394F"/>
    <w:rsid w:val="08C61F81"/>
    <w:rsid w:val="08C755FA"/>
    <w:rsid w:val="08CB2A51"/>
    <w:rsid w:val="08CE0793"/>
    <w:rsid w:val="08CF1E16"/>
    <w:rsid w:val="08D21E73"/>
    <w:rsid w:val="08DB6A0C"/>
    <w:rsid w:val="08E32C9A"/>
    <w:rsid w:val="08E81855"/>
    <w:rsid w:val="08EA7EEC"/>
    <w:rsid w:val="08EC53DD"/>
    <w:rsid w:val="08F0070A"/>
    <w:rsid w:val="08F33D56"/>
    <w:rsid w:val="08F57ACE"/>
    <w:rsid w:val="08F71A98"/>
    <w:rsid w:val="08FA3336"/>
    <w:rsid w:val="08FD2E27"/>
    <w:rsid w:val="08FE4543"/>
    <w:rsid w:val="09000221"/>
    <w:rsid w:val="090B5543"/>
    <w:rsid w:val="090D306A"/>
    <w:rsid w:val="09137F54"/>
    <w:rsid w:val="09175C96"/>
    <w:rsid w:val="09217A45"/>
    <w:rsid w:val="092403B3"/>
    <w:rsid w:val="09265ED9"/>
    <w:rsid w:val="09271C52"/>
    <w:rsid w:val="092C7268"/>
    <w:rsid w:val="093117F7"/>
    <w:rsid w:val="09381F46"/>
    <w:rsid w:val="09383E5F"/>
    <w:rsid w:val="093D1475"/>
    <w:rsid w:val="09436EC0"/>
    <w:rsid w:val="094620D8"/>
    <w:rsid w:val="09486768"/>
    <w:rsid w:val="094B46B8"/>
    <w:rsid w:val="094B7B50"/>
    <w:rsid w:val="094D16B8"/>
    <w:rsid w:val="095073FA"/>
    <w:rsid w:val="09524F20"/>
    <w:rsid w:val="09526CCE"/>
    <w:rsid w:val="09542451"/>
    <w:rsid w:val="095429DE"/>
    <w:rsid w:val="0955056D"/>
    <w:rsid w:val="095567BF"/>
    <w:rsid w:val="095E38C5"/>
    <w:rsid w:val="09615163"/>
    <w:rsid w:val="096360DE"/>
    <w:rsid w:val="09646A02"/>
    <w:rsid w:val="096B2561"/>
    <w:rsid w:val="096D1D5A"/>
    <w:rsid w:val="097204B5"/>
    <w:rsid w:val="09722434"/>
    <w:rsid w:val="09731054"/>
    <w:rsid w:val="09732A37"/>
    <w:rsid w:val="097529BD"/>
    <w:rsid w:val="09756E61"/>
    <w:rsid w:val="09774E16"/>
    <w:rsid w:val="097906FF"/>
    <w:rsid w:val="097B5A0D"/>
    <w:rsid w:val="098175B4"/>
    <w:rsid w:val="09853F9F"/>
    <w:rsid w:val="09874773"/>
    <w:rsid w:val="098B21E0"/>
    <w:rsid w:val="098D5F59"/>
    <w:rsid w:val="098E1A6C"/>
    <w:rsid w:val="09921B1B"/>
    <w:rsid w:val="099224C2"/>
    <w:rsid w:val="0995305F"/>
    <w:rsid w:val="099A2423"/>
    <w:rsid w:val="099E1F14"/>
    <w:rsid w:val="099F5C8C"/>
    <w:rsid w:val="09A552C3"/>
    <w:rsid w:val="09A6526C"/>
    <w:rsid w:val="09A908B8"/>
    <w:rsid w:val="09A92503"/>
    <w:rsid w:val="09B2776D"/>
    <w:rsid w:val="09B434E5"/>
    <w:rsid w:val="09B53D61"/>
    <w:rsid w:val="09B554AF"/>
    <w:rsid w:val="09B71227"/>
    <w:rsid w:val="09B96D4E"/>
    <w:rsid w:val="09C0632E"/>
    <w:rsid w:val="09C474A0"/>
    <w:rsid w:val="09C65D3C"/>
    <w:rsid w:val="09CF031F"/>
    <w:rsid w:val="09D019BF"/>
    <w:rsid w:val="09D21BBD"/>
    <w:rsid w:val="09D27E0F"/>
    <w:rsid w:val="09D516AE"/>
    <w:rsid w:val="09DB3168"/>
    <w:rsid w:val="09DB4F16"/>
    <w:rsid w:val="09E0077E"/>
    <w:rsid w:val="09E13DD4"/>
    <w:rsid w:val="09E85450"/>
    <w:rsid w:val="09ED4C49"/>
    <w:rsid w:val="09ED69F7"/>
    <w:rsid w:val="09EF46F9"/>
    <w:rsid w:val="09F204B1"/>
    <w:rsid w:val="09F935EE"/>
    <w:rsid w:val="09F93BE8"/>
    <w:rsid w:val="09F9539C"/>
    <w:rsid w:val="09FE6E56"/>
    <w:rsid w:val="0A00672A"/>
    <w:rsid w:val="0A0106F5"/>
    <w:rsid w:val="0A0124A3"/>
    <w:rsid w:val="0A026946"/>
    <w:rsid w:val="0A054BE4"/>
    <w:rsid w:val="0A0B2D2F"/>
    <w:rsid w:val="0A0F6915"/>
    <w:rsid w:val="0A165F4E"/>
    <w:rsid w:val="0A193C90"/>
    <w:rsid w:val="0A195C1F"/>
    <w:rsid w:val="0A1E3055"/>
    <w:rsid w:val="0A1E4E03"/>
    <w:rsid w:val="0A1F2635"/>
    <w:rsid w:val="0A20501F"/>
    <w:rsid w:val="0A2C39C3"/>
    <w:rsid w:val="0A2D5046"/>
    <w:rsid w:val="0A2E4A30"/>
    <w:rsid w:val="0A305D6B"/>
    <w:rsid w:val="0A361C66"/>
    <w:rsid w:val="0A3B59B5"/>
    <w:rsid w:val="0A3B7458"/>
    <w:rsid w:val="0A3D797F"/>
    <w:rsid w:val="0A3E3EAB"/>
    <w:rsid w:val="0A546A76"/>
    <w:rsid w:val="0A586566"/>
    <w:rsid w:val="0A595E3B"/>
    <w:rsid w:val="0A5B7E05"/>
    <w:rsid w:val="0A5C592B"/>
    <w:rsid w:val="0A5D3B7D"/>
    <w:rsid w:val="0A60366D"/>
    <w:rsid w:val="0A642BB8"/>
    <w:rsid w:val="0A652087"/>
    <w:rsid w:val="0A652A31"/>
    <w:rsid w:val="0A71382C"/>
    <w:rsid w:val="0A73514E"/>
    <w:rsid w:val="0A762E91"/>
    <w:rsid w:val="0A7648BF"/>
    <w:rsid w:val="0A7669ED"/>
    <w:rsid w:val="0A776340"/>
    <w:rsid w:val="0A7B4003"/>
    <w:rsid w:val="0A8119D2"/>
    <w:rsid w:val="0A821835"/>
    <w:rsid w:val="0A8245A3"/>
    <w:rsid w:val="0A831CCA"/>
    <w:rsid w:val="0A84735B"/>
    <w:rsid w:val="0A8643B4"/>
    <w:rsid w:val="0A876E4C"/>
    <w:rsid w:val="0A894972"/>
    <w:rsid w:val="0A8B5265"/>
    <w:rsid w:val="0A8D16B6"/>
    <w:rsid w:val="0A8E1F88"/>
    <w:rsid w:val="0A92134D"/>
    <w:rsid w:val="0A924546"/>
    <w:rsid w:val="0A9B28F7"/>
    <w:rsid w:val="0A9F3ACB"/>
    <w:rsid w:val="0A9F4195"/>
    <w:rsid w:val="0AA277E2"/>
    <w:rsid w:val="0AA572D2"/>
    <w:rsid w:val="0AA74DF8"/>
    <w:rsid w:val="0AAD64D4"/>
    <w:rsid w:val="0AAE6186"/>
    <w:rsid w:val="0AAE6D74"/>
    <w:rsid w:val="0AAE7354"/>
    <w:rsid w:val="0AAF0151"/>
    <w:rsid w:val="0AB13EC9"/>
    <w:rsid w:val="0AB319EF"/>
    <w:rsid w:val="0AB37C41"/>
    <w:rsid w:val="0AB44767"/>
    <w:rsid w:val="0AB45767"/>
    <w:rsid w:val="0ABB4D47"/>
    <w:rsid w:val="0ABC5BC4"/>
    <w:rsid w:val="0ABE2142"/>
    <w:rsid w:val="0AC0235E"/>
    <w:rsid w:val="0AC7549A"/>
    <w:rsid w:val="0AC77248"/>
    <w:rsid w:val="0ACA1658"/>
    <w:rsid w:val="0ACF434F"/>
    <w:rsid w:val="0AD1239D"/>
    <w:rsid w:val="0AD23916"/>
    <w:rsid w:val="0AD43E4B"/>
    <w:rsid w:val="0AD6392F"/>
    <w:rsid w:val="0AD916A4"/>
    <w:rsid w:val="0ADA114D"/>
    <w:rsid w:val="0ADB0155"/>
    <w:rsid w:val="0ADE3D74"/>
    <w:rsid w:val="0ADF4592"/>
    <w:rsid w:val="0AE33940"/>
    <w:rsid w:val="0AE4604C"/>
    <w:rsid w:val="0AE60C00"/>
    <w:rsid w:val="0AE93662"/>
    <w:rsid w:val="0AE9630D"/>
    <w:rsid w:val="0AEA2F37"/>
    <w:rsid w:val="0AEB20D2"/>
    <w:rsid w:val="0AEC0E42"/>
    <w:rsid w:val="0AED3B3A"/>
    <w:rsid w:val="0AEE0C79"/>
    <w:rsid w:val="0AF73FD1"/>
    <w:rsid w:val="0AFB3396"/>
    <w:rsid w:val="0AFD710E"/>
    <w:rsid w:val="0AFE7153"/>
    <w:rsid w:val="0B00275A"/>
    <w:rsid w:val="0B0142F8"/>
    <w:rsid w:val="0B016BFE"/>
    <w:rsid w:val="0B03361E"/>
    <w:rsid w:val="0B057D70"/>
    <w:rsid w:val="0B065FC2"/>
    <w:rsid w:val="0B072072"/>
    <w:rsid w:val="0B095AB3"/>
    <w:rsid w:val="0B097861"/>
    <w:rsid w:val="0B0B4989"/>
    <w:rsid w:val="0B112BB9"/>
    <w:rsid w:val="0B116715"/>
    <w:rsid w:val="0B18726F"/>
    <w:rsid w:val="0B187AA4"/>
    <w:rsid w:val="0B1C0A91"/>
    <w:rsid w:val="0B1F7084"/>
    <w:rsid w:val="0B2428ED"/>
    <w:rsid w:val="0B27418B"/>
    <w:rsid w:val="0B297F03"/>
    <w:rsid w:val="0B2C17A1"/>
    <w:rsid w:val="0B426A4E"/>
    <w:rsid w:val="0B4F7FE6"/>
    <w:rsid w:val="0B5125A3"/>
    <w:rsid w:val="0B512FB6"/>
    <w:rsid w:val="0B521208"/>
    <w:rsid w:val="0B55411C"/>
    <w:rsid w:val="0B586924"/>
    <w:rsid w:val="0B5D195B"/>
    <w:rsid w:val="0B6017B9"/>
    <w:rsid w:val="0B622204"/>
    <w:rsid w:val="0B633415"/>
    <w:rsid w:val="0B6369A2"/>
    <w:rsid w:val="0B664CB3"/>
    <w:rsid w:val="0B697506"/>
    <w:rsid w:val="0B6D4294"/>
    <w:rsid w:val="0B6E5C7D"/>
    <w:rsid w:val="0B70168E"/>
    <w:rsid w:val="0B73117E"/>
    <w:rsid w:val="0B732F2C"/>
    <w:rsid w:val="0B756CA4"/>
    <w:rsid w:val="0B786794"/>
    <w:rsid w:val="0B7A42BB"/>
    <w:rsid w:val="0B7D3DAB"/>
    <w:rsid w:val="0B7E6C6B"/>
    <w:rsid w:val="0B7F2855"/>
    <w:rsid w:val="0B7F7B23"/>
    <w:rsid w:val="0B832C7E"/>
    <w:rsid w:val="0B860EB1"/>
    <w:rsid w:val="0B8615FF"/>
    <w:rsid w:val="0B892750"/>
    <w:rsid w:val="0B8B64C8"/>
    <w:rsid w:val="0B8D0492"/>
    <w:rsid w:val="0B8D04E6"/>
    <w:rsid w:val="0B923CFA"/>
    <w:rsid w:val="0B995089"/>
    <w:rsid w:val="0B996E37"/>
    <w:rsid w:val="0B9D61FB"/>
    <w:rsid w:val="0BA17A99"/>
    <w:rsid w:val="0BA46B52"/>
    <w:rsid w:val="0BA61553"/>
    <w:rsid w:val="0BA63302"/>
    <w:rsid w:val="0BAB0918"/>
    <w:rsid w:val="0BAB4DBC"/>
    <w:rsid w:val="0BAD28E2"/>
    <w:rsid w:val="0BAE21B6"/>
    <w:rsid w:val="0BB62502"/>
    <w:rsid w:val="0BB70F4B"/>
    <w:rsid w:val="0BBA0B5B"/>
    <w:rsid w:val="0BC33EB3"/>
    <w:rsid w:val="0BC95B3E"/>
    <w:rsid w:val="0BCD088E"/>
    <w:rsid w:val="0BCD419B"/>
    <w:rsid w:val="0BD065D0"/>
    <w:rsid w:val="0BD10FD4"/>
    <w:rsid w:val="0BD54C38"/>
    <w:rsid w:val="0BD87233"/>
    <w:rsid w:val="0BDE0CED"/>
    <w:rsid w:val="0BE34556"/>
    <w:rsid w:val="0BE43E2A"/>
    <w:rsid w:val="0BE65DF4"/>
    <w:rsid w:val="0BEA58E4"/>
    <w:rsid w:val="0BED0F30"/>
    <w:rsid w:val="0BEE30CD"/>
    <w:rsid w:val="0BF16C73"/>
    <w:rsid w:val="0BF538E8"/>
    <w:rsid w:val="0BF64289"/>
    <w:rsid w:val="0BFB5CEE"/>
    <w:rsid w:val="0C063DA0"/>
    <w:rsid w:val="0C0C51C6"/>
    <w:rsid w:val="0C0E410A"/>
    <w:rsid w:val="0C1741FF"/>
    <w:rsid w:val="0C175FAD"/>
    <w:rsid w:val="0C177D5B"/>
    <w:rsid w:val="0C18633A"/>
    <w:rsid w:val="0C1C1816"/>
    <w:rsid w:val="0C1C35C4"/>
    <w:rsid w:val="0C1D53EF"/>
    <w:rsid w:val="0C1E733C"/>
    <w:rsid w:val="0C230DF6"/>
    <w:rsid w:val="0C28640C"/>
    <w:rsid w:val="0C2C7CAB"/>
    <w:rsid w:val="0C2D3A23"/>
    <w:rsid w:val="0C3504B5"/>
    <w:rsid w:val="0C3C3C66"/>
    <w:rsid w:val="0C3C5C5D"/>
    <w:rsid w:val="0C405504"/>
    <w:rsid w:val="0C4072B2"/>
    <w:rsid w:val="0C4405E2"/>
    <w:rsid w:val="0C460641"/>
    <w:rsid w:val="0C464E2B"/>
    <w:rsid w:val="0C4A1EDF"/>
    <w:rsid w:val="0C50246A"/>
    <w:rsid w:val="0C5165ED"/>
    <w:rsid w:val="0C525237"/>
    <w:rsid w:val="0C5E3BDC"/>
    <w:rsid w:val="0C63281E"/>
    <w:rsid w:val="0C6531BD"/>
    <w:rsid w:val="0C655925"/>
    <w:rsid w:val="0C662A91"/>
    <w:rsid w:val="0C6D4563"/>
    <w:rsid w:val="0C741865"/>
    <w:rsid w:val="0C7927C4"/>
    <w:rsid w:val="0C796C68"/>
    <w:rsid w:val="0C7E602C"/>
    <w:rsid w:val="0C7E65A6"/>
    <w:rsid w:val="0C803B53"/>
    <w:rsid w:val="0C807FF6"/>
    <w:rsid w:val="0C8278CB"/>
    <w:rsid w:val="0C874AB1"/>
    <w:rsid w:val="0C8E2713"/>
    <w:rsid w:val="0C8E27C5"/>
    <w:rsid w:val="0C915D60"/>
    <w:rsid w:val="0C965414"/>
    <w:rsid w:val="0C981B18"/>
    <w:rsid w:val="0C985340"/>
    <w:rsid w:val="0C9F66CF"/>
    <w:rsid w:val="0CA23AC9"/>
    <w:rsid w:val="0CAC0DEC"/>
    <w:rsid w:val="0CAD06C0"/>
    <w:rsid w:val="0CAF268A"/>
    <w:rsid w:val="0CAF495E"/>
    <w:rsid w:val="0CB101B0"/>
    <w:rsid w:val="0CB90E13"/>
    <w:rsid w:val="0CBB102F"/>
    <w:rsid w:val="0CBD0903"/>
    <w:rsid w:val="0CBF26C9"/>
    <w:rsid w:val="0CBF5B3A"/>
    <w:rsid w:val="0CC004E9"/>
    <w:rsid w:val="0CC26880"/>
    <w:rsid w:val="0CC33C1B"/>
    <w:rsid w:val="0CC47EE3"/>
    <w:rsid w:val="0CC55A09"/>
    <w:rsid w:val="0CC66C75"/>
    <w:rsid w:val="0CC71781"/>
    <w:rsid w:val="0CCA3020"/>
    <w:rsid w:val="0CCC323C"/>
    <w:rsid w:val="0CCC4FEA"/>
    <w:rsid w:val="0CCF6888"/>
    <w:rsid w:val="0CD21ED4"/>
    <w:rsid w:val="0CD43E9E"/>
    <w:rsid w:val="0CD8398F"/>
    <w:rsid w:val="0CDD2D53"/>
    <w:rsid w:val="0CE045F1"/>
    <w:rsid w:val="0CE40585"/>
    <w:rsid w:val="0CEA5470"/>
    <w:rsid w:val="0CF26C99"/>
    <w:rsid w:val="0CF32576"/>
    <w:rsid w:val="0CF84031"/>
    <w:rsid w:val="0CF87B8D"/>
    <w:rsid w:val="0CF956B3"/>
    <w:rsid w:val="0CFD1647"/>
    <w:rsid w:val="0CFD51A3"/>
    <w:rsid w:val="0CFF0F1B"/>
    <w:rsid w:val="0D002EE5"/>
    <w:rsid w:val="0D0364DD"/>
    <w:rsid w:val="0D093B48"/>
    <w:rsid w:val="0D0C188A"/>
    <w:rsid w:val="0D215336"/>
    <w:rsid w:val="0D240982"/>
    <w:rsid w:val="0D2766C4"/>
    <w:rsid w:val="0D2B7F62"/>
    <w:rsid w:val="0D2C7836"/>
    <w:rsid w:val="0D2E2A9B"/>
    <w:rsid w:val="0D2E3D85"/>
    <w:rsid w:val="0D330BC5"/>
    <w:rsid w:val="0D3F3B5F"/>
    <w:rsid w:val="0D445B34"/>
    <w:rsid w:val="0D4B23B2"/>
    <w:rsid w:val="0D4F1E8D"/>
    <w:rsid w:val="0D51729D"/>
    <w:rsid w:val="0D553231"/>
    <w:rsid w:val="0D5648B3"/>
    <w:rsid w:val="0D5D3E94"/>
    <w:rsid w:val="0D682F64"/>
    <w:rsid w:val="0D69025C"/>
    <w:rsid w:val="0D6E7E4F"/>
    <w:rsid w:val="0D70006B"/>
    <w:rsid w:val="0D701E19"/>
    <w:rsid w:val="0D774F56"/>
    <w:rsid w:val="0D7A4A46"/>
    <w:rsid w:val="0D7A67F4"/>
    <w:rsid w:val="0D814026"/>
    <w:rsid w:val="0D815DD4"/>
    <w:rsid w:val="0D8F7523"/>
    <w:rsid w:val="0D906017"/>
    <w:rsid w:val="0D9961D1"/>
    <w:rsid w:val="0D9C676A"/>
    <w:rsid w:val="0DA25D4B"/>
    <w:rsid w:val="0DA63A8D"/>
    <w:rsid w:val="0DA675E9"/>
    <w:rsid w:val="0DA815B3"/>
    <w:rsid w:val="0DA9532B"/>
    <w:rsid w:val="0DB42481"/>
    <w:rsid w:val="0DB52D2F"/>
    <w:rsid w:val="0DB77A48"/>
    <w:rsid w:val="0DB8556E"/>
    <w:rsid w:val="0DB8731C"/>
    <w:rsid w:val="0DB951E4"/>
    <w:rsid w:val="0DBA12E6"/>
    <w:rsid w:val="0DBD3B65"/>
    <w:rsid w:val="0DBD4932"/>
    <w:rsid w:val="0DC14423"/>
    <w:rsid w:val="0DC65EDD"/>
    <w:rsid w:val="0DC67C8B"/>
    <w:rsid w:val="0DC77235"/>
    <w:rsid w:val="0DC7755F"/>
    <w:rsid w:val="0DCE08EE"/>
    <w:rsid w:val="0DD01DAA"/>
    <w:rsid w:val="0DD34156"/>
    <w:rsid w:val="0DD979BE"/>
    <w:rsid w:val="0DDC6E3D"/>
    <w:rsid w:val="0DDF6F9F"/>
    <w:rsid w:val="0DE5281D"/>
    <w:rsid w:val="0DE819AF"/>
    <w:rsid w:val="0DF02F5A"/>
    <w:rsid w:val="0DF62C9E"/>
    <w:rsid w:val="0DF751C4"/>
    <w:rsid w:val="0E032C8D"/>
    <w:rsid w:val="0E0A1E1D"/>
    <w:rsid w:val="0E1739B8"/>
    <w:rsid w:val="0E19425F"/>
    <w:rsid w:val="0E1A1D85"/>
    <w:rsid w:val="0E1B7FD7"/>
    <w:rsid w:val="0E1C78AB"/>
    <w:rsid w:val="0E1E1875"/>
    <w:rsid w:val="0E1F1149"/>
    <w:rsid w:val="0E204F4D"/>
    <w:rsid w:val="0E2126D9"/>
    <w:rsid w:val="0E2D36D6"/>
    <w:rsid w:val="0E2E7E25"/>
    <w:rsid w:val="0E3177FA"/>
    <w:rsid w:val="0E325320"/>
    <w:rsid w:val="0E340E7E"/>
    <w:rsid w:val="0E39434A"/>
    <w:rsid w:val="0E3C1CFB"/>
    <w:rsid w:val="0E3E39CE"/>
    <w:rsid w:val="0E407A3D"/>
    <w:rsid w:val="0E4137B5"/>
    <w:rsid w:val="0E4536AF"/>
    <w:rsid w:val="0E456E02"/>
    <w:rsid w:val="0E4610F4"/>
    <w:rsid w:val="0E462B7A"/>
    <w:rsid w:val="0E4F5ED2"/>
    <w:rsid w:val="0E601E8E"/>
    <w:rsid w:val="0E6059EA"/>
    <w:rsid w:val="0E6574A4"/>
    <w:rsid w:val="0E6652FE"/>
    <w:rsid w:val="0E680D42"/>
    <w:rsid w:val="0E6928D6"/>
    <w:rsid w:val="0E6A4ABA"/>
    <w:rsid w:val="0E6B152D"/>
    <w:rsid w:val="0E6D26E7"/>
    <w:rsid w:val="0E6D6359"/>
    <w:rsid w:val="0E6F3E7F"/>
    <w:rsid w:val="0E71409B"/>
    <w:rsid w:val="0E745939"/>
    <w:rsid w:val="0E7E40C2"/>
    <w:rsid w:val="0E811D9B"/>
    <w:rsid w:val="0E813326"/>
    <w:rsid w:val="0E843362"/>
    <w:rsid w:val="0E8536A2"/>
    <w:rsid w:val="0E87566C"/>
    <w:rsid w:val="0E875C90"/>
    <w:rsid w:val="0E8813E4"/>
    <w:rsid w:val="0E884F40"/>
    <w:rsid w:val="0E8A2A67"/>
    <w:rsid w:val="0E8C4A31"/>
    <w:rsid w:val="0E8E59FB"/>
    <w:rsid w:val="0E8F2773"/>
    <w:rsid w:val="0E912047"/>
    <w:rsid w:val="0E924011"/>
    <w:rsid w:val="0E927B6D"/>
    <w:rsid w:val="0E96765D"/>
    <w:rsid w:val="0E9953A0"/>
    <w:rsid w:val="0E9B1118"/>
    <w:rsid w:val="0EA0228A"/>
    <w:rsid w:val="0EA7186A"/>
    <w:rsid w:val="0EA855E3"/>
    <w:rsid w:val="0EA87391"/>
    <w:rsid w:val="0EAA4EB7"/>
    <w:rsid w:val="0EB36461"/>
    <w:rsid w:val="0EB75826"/>
    <w:rsid w:val="0EB9159E"/>
    <w:rsid w:val="0EBB70C4"/>
    <w:rsid w:val="0EBC4BEA"/>
    <w:rsid w:val="0EC56195"/>
    <w:rsid w:val="0EC817E1"/>
    <w:rsid w:val="0EC95C85"/>
    <w:rsid w:val="0ECC307F"/>
    <w:rsid w:val="0ED62150"/>
    <w:rsid w:val="0ED939EE"/>
    <w:rsid w:val="0EDC703A"/>
    <w:rsid w:val="0EE52393"/>
    <w:rsid w:val="0EE54141"/>
    <w:rsid w:val="0EE7435D"/>
    <w:rsid w:val="0EE76B4E"/>
    <w:rsid w:val="0EE859DF"/>
    <w:rsid w:val="0EEE7499"/>
    <w:rsid w:val="0EEF4FBF"/>
    <w:rsid w:val="0EF12AE6"/>
    <w:rsid w:val="0EF40828"/>
    <w:rsid w:val="0F024CF3"/>
    <w:rsid w:val="0F041E04"/>
    <w:rsid w:val="0F072309"/>
    <w:rsid w:val="0F0A3BA7"/>
    <w:rsid w:val="0F0D45F7"/>
    <w:rsid w:val="0F136F00"/>
    <w:rsid w:val="0F1E7653"/>
    <w:rsid w:val="0F203DE2"/>
    <w:rsid w:val="0F22689D"/>
    <w:rsid w:val="0F242EBB"/>
    <w:rsid w:val="0F270324"/>
    <w:rsid w:val="0F296723"/>
    <w:rsid w:val="0F2F6254"/>
    <w:rsid w:val="0F346E76"/>
    <w:rsid w:val="0F3550C8"/>
    <w:rsid w:val="0F36499C"/>
    <w:rsid w:val="0F3A0931"/>
    <w:rsid w:val="0F3A26DF"/>
    <w:rsid w:val="0F3B6457"/>
    <w:rsid w:val="0F3D21CF"/>
    <w:rsid w:val="0F3F5F47"/>
    <w:rsid w:val="0F421593"/>
    <w:rsid w:val="0F436B50"/>
    <w:rsid w:val="0F44530B"/>
    <w:rsid w:val="0F4F5A5E"/>
    <w:rsid w:val="0F53554E"/>
    <w:rsid w:val="0F557518"/>
    <w:rsid w:val="0F5B4403"/>
    <w:rsid w:val="0F5F5CA1"/>
    <w:rsid w:val="0F6239E3"/>
    <w:rsid w:val="0F655282"/>
    <w:rsid w:val="0F67724C"/>
    <w:rsid w:val="0F6C6610"/>
    <w:rsid w:val="0F7006C6"/>
    <w:rsid w:val="0F751969"/>
    <w:rsid w:val="0F7756E1"/>
    <w:rsid w:val="0F781459"/>
    <w:rsid w:val="0F786D63"/>
    <w:rsid w:val="0F786E19"/>
    <w:rsid w:val="0F803E6A"/>
    <w:rsid w:val="0F851480"/>
    <w:rsid w:val="0F8C0A60"/>
    <w:rsid w:val="0F8D6B37"/>
    <w:rsid w:val="0F900551"/>
    <w:rsid w:val="0F930041"/>
    <w:rsid w:val="0F933B9D"/>
    <w:rsid w:val="0F94421F"/>
    <w:rsid w:val="0F952BE5"/>
    <w:rsid w:val="0F985657"/>
    <w:rsid w:val="0F9B0EE8"/>
    <w:rsid w:val="0F9F39DA"/>
    <w:rsid w:val="0FA67D74"/>
    <w:rsid w:val="0FA97864"/>
    <w:rsid w:val="0FAD5F50"/>
    <w:rsid w:val="0FAE1726"/>
    <w:rsid w:val="0FAE4E7B"/>
    <w:rsid w:val="0FAE692A"/>
    <w:rsid w:val="0FAF52CB"/>
    <w:rsid w:val="0FB56209"/>
    <w:rsid w:val="0FBF2BE4"/>
    <w:rsid w:val="0FBF2FB7"/>
    <w:rsid w:val="0FC14BAE"/>
    <w:rsid w:val="0FD146C5"/>
    <w:rsid w:val="0FD20B69"/>
    <w:rsid w:val="0FD541B5"/>
    <w:rsid w:val="0FD556FA"/>
    <w:rsid w:val="0FD77F2D"/>
    <w:rsid w:val="0FD857C7"/>
    <w:rsid w:val="0FD85A54"/>
    <w:rsid w:val="0FDC047D"/>
    <w:rsid w:val="0FDD19F6"/>
    <w:rsid w:val="0FE44E94"/>
    <w:rsid w:val="0FE95EB3"/>
    <w:rsid w:val="0FEA38D7"/>
    <w:rsid w:val="0FF334F9"/>
    <w:rsid w:val="0FF52AC8"/>
    <w:rsid w:val="10090303"/>
    <w:rsid w:val="1010343F"/>
    <w:rsid w:val="101173EF"/>
    <w:rsid w:val="102127F5"/>
    <w:rsid w:val="10260EB5"/>
    <w:rsid w:val="10262C63"/>
    <w:rsid w:val="10277CAB"/>
    <w:rsid w:val="10284C2D"/>
    <w:rsid w:val="102B0279"/>
    <w:rsid w:val="102B64CB"/>
    <w:rsid w:val="102D5D9F"/>
    <w:rsid w:val="102F5781"/>
    <w:rsid w:val="1030329B"/>
    <w:rsid w:val="10341E1C"/>
    <w:rsid w:val="1036730D"/>
    <w:rsid w:val="1037079D"/>
    <w:rsid w:val="103A0BA0"/>
    <w:rsid w:val="103C2486"/>
    <w:rsid w:val="103E61FE"/>
    <w:rsid w:val="1041184B"/>
    <w:rsid w:val="10412DE6"/>
    <w:rsid w:val="104322BF"/>
    <w:rsid w:val="10455B4B"/>
    <w:rsid w:val="1045758D"/>
    <w:rsid w:val="104650B3"/>
    <w:rsid w:val="104A6951"/>
    <w:rsid w:val="104B091B"/>
    <w:rsid w:val="104D01F0"/>
    <w:rsid w:val="104D4694"/>
    <w:rsid w:val="104F21BA"/>
    <w:rsid w:val="1054157E"/>
    <w:rsid w:val="105C48D7"/>
    <w:rsid w:val="106B20F4"/>
    <w:rsid w:val="10725EA8"/>
    <w:rsid w:val="10755FB8"/>
    <w:rsid w:val="107B4D5D"/>
    <w:rsid w:val="107B7182"/>
    <w:rsid w:val="107C0AD5"/>
    <w:rsid w:val="107F04D7"/>
    <w:rsid w:val="10806817"/>
    <w:rsid w:val="1081433D"/>
    <w:rsid w:val="10831E63"/>
    <w:rsid w:val="10856F1B"/>
    <w:rsid w:val="108C6F6A"/>
    <w:rsid w:val="10947BCD"/>
    <w:rsid w:val="109615A3"/>
    <w:rsid w:val="1097590F"/>
    <w:rsid w:val="109D1ACA"/>
    <w:rsid w:val="109E4EEF"/>
    <w:rsid w:val="10A225A6"/>
    <w:rsid w:val="10A36056"/>
    <w:rsid w:val="10A87B1C"/>
    <w:rsid w:val="10AB4F16"/>
    <w:rsid w:val="10AD2A04"/>
    <w:rsid w:val="10AE7FBC"/>
    <w:rsid w:val="10AF2C58"/>
    <w:rsid w:val="10B154F6"/>
    <w:rsid w:val="10B71B0D"/>
    <w:rsid w:val="10B93AD7"/>
    <w:rsid w:val="10B956BE"/>
    <w:rsid w:val="10BC7123"/>
    <w:rsid w:val="10BE10ED"/>
    <w:rsid w:val="10C06C14"/>
    <w:rsid w:val="10C75DB2"/>
    <w:rsid w:val="10CA1840"/>
    <w:rsid w:val="10CF32FA"/>
    <w:rsid w:val="10D03F34"/>
    <w:rsid w:val="10D601E5"/>
    <w:rsid w:val="10D73F5D"/>
    <w:rsid w:val="10D75D0B"/>
    <w:rsid w:val="10DA102E"/>
    <w:rsid w:val="10DE2100"/>
    <w:rsid w:val="10E16B8A"/>
    <w:rsid w:val="10E2302E"/>
    <w:rsid w:val="10E24BEF"/>
    <w:rsid w:val="10E548CC"/>
    <w:rsid w:val="10E8616A"/>
    <w:rsid w:val="10EC7A09"/>
    <w:rsid w:val="10ED552F"/>
    <w:rsid w:val="10F17525"/>
    <w:rsid w:val="10F35682"/>
    <w:rsid w:val="10F36FE9"/>
    <w:rsid w:val="10F37004"/>
    <w:rsid w:val="10F62529"/>
    <w:rsid w:val="10F93ED3"/>
    <w:rsid w:val="10FB5E9E"/>
    <w:rsid w:val="10FF6476"/>
    <w:rsid w:val="11050ACA"/>
    <w:rsid w:val="11056D1C"/>
    <w:rsid w:val="1107522D"/>
    <w:rsid w:val="110D277C"/>
    <w:rsid w:val="11131439"/>
    <w:rsid w:val="111451B1"/>
    <w:rsid w:val="11166833"/>
    <w:rsid w:val="11177B40"/>
    <w:rsid w:val="11186A50"/>
    <w:rsid w:val="1119164B"/>
    <w:rsid w:val="111D4066"/>
    <w:rsid w:val="111E1B8C"/>
    <w:rsid w:val="11291F54"/>
    <w:rsid w:val="1129448A"/>
    <w:rsid w:val="112C6057"/>
    <w:rsid w:val="112E1DCF"/>
    <w:rsid w:val="113349F9"/>
    <w:rsid w:val="11380EA0"/>
    <w:rsid w:val="113849FC"/>
    <w:rsid w:val="11390774"/>
    <w:rsid w:val="11421D1E"/>
    <w:rsid w:val="1142587A"/>
    <w:rsid w:val="114535BD"/>
    <w:rsid w:val="1145536B"/>
    <w:rsid w:val="1146147C"/>
    <w:rsid w:val="11494E5B"/>
    <w:rsid w:val="114E2471"/>
    <w:rsid w:val="114E27DF"/>
    <w:rsid w:val="11513D10"/>
    <w:rsid w:val="1154735C"/>
    <w:rsid w:val="11551A52"/>
    <w:rsid w:val="1155307D"/>
    <w:rsid w:val="11561326"/>
    <w:rsid w:val="1158509E"/>
    <w:rsid w:val="11602D5A"/>
    <w:rsid w:val="11616D28"/>
    <w:rsid w:val="11625F1D"/>
    <w:rsid w:val="1164141F"/>
    <w:rsid w:val="116E2B13"/>
    <w:rsid w:val="116F23E8"/>
    <w:rsid w:val="117C4C32"/>
    <w:rsid w:val="117D68B3"/>
    <w:rsid w:val="11823EC9"/>
    <w:rsid w:val="118D5F21"/>
    <w:rsid w:val="118E0AC0"/>
    <w:rsid w:val="119200E9"/>
    <w:rsid w:val="11954AE4"/>
    <w:rsid w:val="1198193E"/>
    <w:rsid w:val="11987B90"/>
    <w:rsid w:val="119F4A7B"/>
    <w:rsid w:val="11A007F3"/>
    <w:rsid w:val="11A2456B"/>
    <w:rsid w:val="11A52549"/>
    <w:rsid w:val="11A6405B"/>
    <w:rsid w:val="11A77DD3"/>
    <w:rsid w:val="11AA3420"/>
    <w:rsid w:val="11AF6BD3"/>
    <w:rsid w:val="11B0140B"/>
    <w:rsid w:val="11B20C52"/>
    <w:rsid w:val="11B322D4"/>
    <w:rsid w:val="11B47AAB"/>
    <w:rsid w:val="11B61DC5"/>
    <w:rsid w:val="11BA7B07"/>
    <w:rsid w:val="11BD13A5"/>
    <w:rsid w:val="11C0052E"/>
    <w:rsid w:val="11C444E1"/>
    <w:rsid w:val="11C73FD2"/>
    <w:rsid w:val="11C97D4A"/>
    <w:rsid w:val="11D16BFE"/>
    <w:rsid w:val="11D23D90"/>
    <w:rsid w:val="11D81D3B"/>
    <w:rsid w:val="11DF30C9"/>
    <w:rsid w:val="11E15093"/>
    <w:rsid w:val="11E42DD6"/>
    <w:rsid w:val="11E60706"/>
    <w:rsid w:val="11F0700F"/>
    <w:rsid w:val="11F8062F"/>
    <w:rsid w:val="11F970A4"/>
    <w:rsid w:val="11FE1526"/>
    <w:rsid w:val="1202325C"/>
    <w:rsid w:val="12062999"/>
    <w:rsid w:val="12064AFA"/>
    <w:rsid w:val="12080872"/>
    <w:rsid w:val="12081C36"/>
    <w:rsid w:val="120945EA"/>
    <w:rsid w:val="120B2110"/>
    <w:rsid w:val="120C7C36"/>
    <w:rsid w:val="121216F1"/>
    <w:rsid w:val="12154D3D"/>
    <w:rsid w:val="12205576"/>
    <w:rsid w:val="12211934"/>
    <w:rsid w:val="122214CC"/>
    <w:rsid w:val="122272CD"/>
    <w:rsid w:val="12266F4A"/>
    <w:rsid w:val="122907E8"/>
    <w:rsid w:val="12296A3A"/>
    <w:rsid w:val="122D46DF"/>
    <w:rsid w:val="122E1D73"/>
    <w:rsid w:val="122E4051"/>
    <w:rsid w:val="1232769D"/>
    <w:rsid w:val="123553DF"/>
    <w:rsid w:val="1235718D"/>
    <w:rsid w:val="12372F05"/>
    <w:rsid w:val="12394ECF"/>
    <w:rsid w:val="123A29F6"/>
    <w:rsid w:val="123D6042"/>
    <w:rsid w:val="123F625E"/>
    <w:rsid w:val="124473D0"/>
    <w:rsid w:val="12483364"/>
    <w:rsid w:val="12485112"/>
    <w:rsid w:val="12486EC1"/>
    <w:rsid w:val="124D2729"/>
    <w:rsid w:val="1255782F"/>
    <w:rsid w:val="125735A8"/>
    <w:rsid w:val="125E66E4"/>
    <w:rsid w:val="12617F82"/>
    <w:rsid w:val="12655CC4"/>
    <w:rsid w:val="12681311"/>
    <w:rsid w:val="12696E37"/>
    <w:rsid w:val="126D202A"/>
    <w:rsid w:val="127001C5"/>
    <w:rsid w:val="1272218F"/>
    <w:rsid w:val="12751C80"/>
    <w:rsid w:val="127557DC"/>
    <w:rsid w:val="12792963"/>
    <w:rsid w:val="127A7296"/>
    <w:rsid w:val="127E0B34"/>
    <w:rsid w:val="127E6E6D"/>
    <w:rsid w:val="12802419"/>
    <w:rsid w:val="12843C71"/>
    <w:rsid w:val="12865C3B"/>
    <w:rsid w:val="12887C05"/>
    <w:rsid w:val="128D0E5D"/>
    <w:rsid w:val="128E285B"/>
    <w:rsid w:val="12944A1D"/>
    <w:rsid w:val="12971BF6"/>
    <w:rsid w:val="129C545E"/>
    <w:rsid w:val="129E4D32"/>
    <w:rsid w:val="12A019F6"/>
    <w:rsid w:val="12A04F4F"/>
    <w:rsid w:val="12A06CFD"/>
    <w:rsid w:val="12A57D4D"/>
    <w:rsid w:val="12AD31C8"/>
    <w:rsid w:val="12B02CB8"/>
    <w:rsid w:val="12B207DE"/>
    <w:rsid w:val="12B565C6"/>
    <w:rsid w:val="12BC165D"/>
    <w:rsid w:val="12C02EFB"/>
    <w:rsid w:val="12C53284"/>
    <w:rsid w:val="12C66037"/>
    <w:rsid w:val="12CF1390"/>
    <w:rsid w:val="12D035FD"/>
    <w:rsid w:val="12DE15D3"/>
    <w:rsid w:val="12DE7825"/>
    <w:rsid w:val="12E162D1"/>
    <w:rsid w:val="12E36BE9"/>
    <w:rsid w:val="12E52961"/>
    <w:rsid w:val="12EA441C"/>
    <w:rsid w:val="12EA7F78"/>
    <w:rsid w:val="12F157AA"/>
    <w:rsid w:val="12F2507E"/>
    <w:rsid w:val="12F64B6E"/>
    <w:rsid w:val="12F71C17"/>
    <w:rsid w:val="12F901BB"/>
    <w:rsid w:val="12FB3F33"/>
    <w:rsid w:val="12FE1C75"/>
    <w:rsid w:val="13023513"/>
    <w:rsid w:val="13054DB2"/>
    <w:rsid w:val="130628D8"/>
    <w:rsid w:val="13082AF4"/>
    <w:rsid w:val="130B4B50"/>
    <w:rsid w:val="130C11DC"/>
    <w:rsid w:val="130C4392"/>
    <w:rsid w:val="13142D14"/>
    <w:rsid w:val="1317796F"/>
    <w:rsid w:val="1319260B"/>
    <w:rsid w:val="13223BB5"/>
    <w:rsid w:val="132632F9"/>
    <w:rsid w:val="1331143C"/>
    <w:rsid w:val="133833D9"/>
    <w:rsid w:val="1340228E"/>
    <w:rsid w:val="13421B62"/>
    <w:rsid w:val="134A0A16"/>
    <w:rsid w:val="13547AE7"/>
    <w:rsid w:val="13561AB1"/>
    <w:rsid w:val="135D2E40"/>
    <w:rsid w:val="135D4BEE"/>
    <w:rsid w:val="13655850"/>
    <w:rsid w:val="13662116"/>
    <w:rsid w:val="136E3E94"/>
    <w:rsid w:val="136F4921"/>
    <w:rsid w:val="137141F5"/>
    <w:rsid w:val="137311EF"/>
    <w:rsid w:val="137F2DB6"/>
    <w:rsid w:val="138008DC"/>
    <w:rsid w:val="13824654"/>
    <w:rsid w:val="13857CA0"/>
    <w:rsid w:val="13873A19"/>
    <w:rsid w:val="13873AD6"/>
    <w:rsid w:val="138959E3"/>
    <w:rsid w:val="138A3509"/>
    <w:rsid w:val="138C54D3"/>
    <w:rsid w:val="13904FC3"/>
    <w:rsid w:val="139323BD"/>
    <w:rsid w:val="13944C51"/>
    <w:rsid w:val="13946135"/>
    <w:rsid w:val="13983E78"/>
    <w:rsid w:val="13992083"/>
    <w:rsid w:val="1399374C"/>
    <w:rsid w:val="139A199E"/>
    <w:rsid w:val="139A637E"/>
    <w:rsid w:val="139D323C"/>
    <w:rsid w:val="13A1426D"/>
    <w:rsid w:val="13A91BE1"/>
    <w:rsid w:val="13AA55D0"/>
    <w:rsid w:val="13AA7707"/>
    <w:rsid w:val="13AE369B"/>
    <w:rsid w:val="13B14F39"/>
    <w:rsid w:val="13B32A60"/>
    <w:rsid w:val="13B501FB"/>
    <w:rsid w:val="13B567D8"/>
    <w:rsid w:val="13B76712"/>
    <w:rsid w:val="13B862C8"/>
    <w:rsid w:val="13BD38DE"/>
    <w:rsid w:val="13BF1404"/>
    <w:rsid w:val="13BF4C25"/>
    <w:rsid w:val="13C07C74"/>
    <w:rsid w:val="13C407C9"/>
    <w:rsid w:val="13C702B9"/>
    <w:rsid w:val="13CA1B57"/>
    <w:rsid w:val="13CB74DA"/>
    <w:rsid w:val="13CC1D73"/>
    <w:rsid w:val="13CE7899"/>
    <w:rsid w:val="13D11138"/>
    <w:rsid w:val="13D749A0"/>
    <w:rsid w:val="13D9039D"/>
    <w:rsid w:val="13E0137B"/>
    <w:rsid w:val="13E23345"/>
    <w:rsid w:val="13E36F2F"/>
    <w:rsid w:val="13E7095B"/>
    <w:rsid w:val="13F05A62"/>
    <w:rsid w:val="13F07810"/>
    <w:rsid w:val="13F24693"/>
    <w:rsid w:val="13F27A08"/>
    <w:rsid w:val="13F41C12"/>
    <w:rsid w:val="13F53078"/>
    <w:rsid w:val="13F8694C"/>
    <w:rsid w:val="13FF7A53"/>
    <w:rsid w:val="14012AC2"/>
    <w:rsid w:val="140137CB"/>
    <w:rsid w:val="14024910"/>
    <w:rsid w:val="1404150D"/>
    <w:rsid w:val="14072DAB"/>
    <w:rsid w:val="14092680"/>
    <w:rsid w:val="14096B23"/>
    <w:rsid w:val="140E7C96"/>
    <w:rsid w:val="14121E37"/>
    <w:rsid w:val="141554C8"/>
    <w:rsid w:val="141649B0"/>
    <w:rsid w:val="141B23B3"/>
    <w:rsid w:val="142851FC"/>
    <w:rsid w:val="142A67B4"/>
    <w:rsid w:val="14326DB2"/>
    <w:rsid w:val="143F42F3"/>
    <w:rsid w:val="143F60A1"/>
    <w:rsid w:val="14430A9C"/>
    <w:rsid w:val="14435ECB"/>
    <w:rsid w:val="14465682"/>
    <w:rsid w:val="14467430"/>
    <w:rsid w:val="1449308D"/>
    <w:rsid w:val="144933C4"/>
    <w:rsid w:val="144E2788"/>
    <w:rsid w:val="144E4536"/>
    <w:rsid w:val="14504752"/>
    <w:rsid w:val="14515DD5"/>
    <w:rsid w:val="14551D69"/>
    <w:rsid w:val="14603640"/>
    <w:rsid w:val="1461426A"/>
    <w:rsid w:val="14620FA5"/>
    <w:rsid w:val="14630116"/>
    <w:rsid w:val="14636234"/>
    <w:rsid w:val="146975C2"/>
    <w:rsid w:val="146D648D"/>
    <w:rsid w:val="1470712F"/>
    <w:rsid w:val="147525EE"/>
    <w:rsid w:val="1475649E"/>
    <w:rsid w:val="14771CDF"/>
    <w:rsid w:val="14776934"/>
    <w:rsid w:val="147A357D"/>
    <w:rsid w:val="147D6BCA"/>
    <w:rsid w:val="148166BA"/>
    <w:rsid w:val="14861F22"/>
    <w:rsid w:val="14863CD0"/>
    <w:rsid w:val="148937C0"/>
    <w:rsid w:val="148B7538"/>
    <w:rsid w:val="148D505F"/>
    <w:rsid w:val="14902DA1"/>
    <w:rsid w:val="14923346"/>
    <w:rsid w:val="1496081E"/>
    <w:rsid w:val="1497412F"/>
    <w:rsid w:val="14A14FAE"/>
    <w:rsid w:val="14A32AD4"/>
    <w:rsid w:val="14A405FA"/>
    <w:rsid w:val="14A8633C"/>
    <w:rsid w:val="14A874BB"/>
    <w:rsid w:val="14AB1989"/>
    <w:rsid w:val="14AD5701"/>
    <w:rsid w:val="14B06F9F"/>
    <w:rsid w:val="14B307DB"/>
    <w:rsid w:val="14B60A59"/>
    <w:rsid w:val="14B613AF"/>
    <w:rsid w:val="14B720DC"/>
    <w:rsid w:val="14B940A6"/>
    <w:rsid w:val="14B94BCE"/>
    <w:rsid w:val="14BC3B96"/>
    <w:rsid w:val="14BE346A"/>
    <w:rsid w:val="14C12D51"/>
    <w:rsid w:val="14C50C9C"/>
    <w:rsid w:val="14C52A4A"/>
    <w:rsid w:val="14C8253B"/>
    <w:rsid w:val="14CC2610"/>
    <w:rsid w:val="14CD18FF"/>
    <w:rsid w:val="14CD4474"/>
    <w:rsid w:val="14CD5DA3"/>
    <w:rsid w:val="14CF52C6"/>
    <w:rsid w:val="14CF5677"/>
    <w:rsid w:val="14D233B9"/>
    <w:rsid w:val="14DC1B42"/>
    <w:rsid w:val="14DE58BA"/>
    <w:rsid w:val="14E76E65"/>
    <w:rsid w:val="14EB7FD7"/>
    <w:rsid w:val="14EF7AC7"/>
    <w:rsid w:val="14F21366"/>
    <w:rsid w:val="14F71E87"/>
    <w:rsid w:val="14FB56DC"/>
    <w:rsid w:val="14FB646C"/>
    <w:rsid w:val="15035321"/>
    <w:rsid w:val="15051099"/>
    <w:rsid w:val="1505553D"/>
    <w:rsid w:val="1508348E"/>
    <w:rsid w:val="150C68CB"/>
    <w:rsid w:val="151629D1"/>
    <w:rsid w:val="1517701E"/>
    <w:rsid w:val="151A411A"/>
    <w:rsid w:val="151C3C4C"/>
    <w:rsid w:val="151D2886"/>
    <w:rsid w:val="151E03AD"/>
    <w:rsid w:val="15205ED3"/>
    <w:rsid w:val="152139F9"/>
    <w:rsid w:val="1525798D"/>
    <w:rsid w:val="15284D87"/>
    <w:rsid w:val="15286307"/>
    <w:rsid w:val="1528650F"/>
    <w:rsid w:val="152F6116"/>
    <w:rsid w:val="153320AA"/>
    <w:rsid w:val="1537146E"/>
    <w:rsid w:val="153951E6"/>
    <w:rsid w:val="153B3244"/>
    <w:rsid w:val="153D07B5"/>
    <w:rsid w:val="15481B97"/>
    <w:rsid w:val="154C4D2C"/>
    <w:rsid w:val="154D47EE"/>
    <w:rsid w:val="154F308C"/>
    <w:rsid w:val="15504F07"/>
    <w:rsid w:val="15512530"/>
    <w:rsid w:val="1557566D"/>
    <w:rsid w:val="15581B10"/>
    <w:rsid w:val="155C4C28"/>
    <w:rsid w:val="155D7127"/>
    <w:rsid w:val="156264EB"/>
    <w:rsid w:val="15634011"/>
    <w:rsid w:val="15655FDB"/>
    <w:rsid w:val="15673B02"/>
    <w:rsid w:val="156A1844"/>
    <w:rsid w:val="156C0552"/>
    <w:rsid w:val="156C736A"/>
    <w:rsid w:val="156F29B6"/>
    <w:rsid w:val="1574621E"/>
    <w:rsid w:val="15761F97"/>
    <w:rsid w:val="1582711A"/>
    <w:rsid w:val="15887332"/>
    <w:rsid w:val="158A63F2"/>
    <w:rsid w:val="15910B7E"/>
    <w:rsid w:val="15916DD0"/>
    <w:rsid w:val="15962639"/>
    <w:rsid w:val="159A4C5C"/>
    <w:rsid w:val="15AC59B8"/>
    <w:rsid w:val="15AE7982"/>
    <w:rsid w:val="15B036FB"/>
    <w:rsid w:val="15BB5BFB"/>
    <w:rsid w:val="15BC4236"/>
    <w:rsid w:val="15C6265A"/>
    <w:rsid w:val="15C727F2"/>
    <w:rsid w:val="15C745A0"/>
    <w:rsid w:val="15C8766A"/>
    <w:rsid w:val="15CA4090"/>
    <w:rsid w:val="15CC022F"/>
    <w:rsid w:val="15CC605B"/>
    <w:rsid w:val="15CE3B81"/>
    <w:rsid w:val="15D13671"/>
    <w:rsid w:val="15D171CD"/>
    <w:rsid w:val="15D469C1"/>
    <w:rsid w:val="15D54F0F"/>
    <w:rsid w:val="15D66ED9"/>
    <w:rsid w:val="15D72415"/>
    <w:rsid w:val="15DA0777"/>
    <w:rsid w:val="15DB2014"/>
    <w:rsid w:val="15DB5153"/>
    <w:rsid w:val="15DD5B72"/>
    <w:rsid w:val="15DE3F67"/>
    <w:rsid w:val="15E11B06"/>
    <w:rsid w:val="15E2587E"/>
    <w:rsid w:val="15E909BB"/>
    <w:rsid w:val="15EB4733"/>
    <w:rsid w:val="15F31839"/>
    <w:rsid w:val="15F555B1"/>
    <w:rsid w:val="15FF1F8C"/>
    <w:rsid w:val="160475A2"/>
    <w:rsid w:val="160C4080"/>
    <w:rsid w:val="16104199"/>
    <w:rsid w:val="1613309D"/>
    <w:rsid w:val="161672D6"/>
    <w:rsid w:val="161C2B3E"/>
    <w:rsid w:val="161E3AB1"/>
    <w:rsid w:val="161F618A"/>
    <w:rsid w:val="16227A29"/>
    <w:rsid w:val="162B4B2F"/>
    <w:rsid w:val="162C0C86"/>
    <w:rsid w:val="16300397"/>
    <w:rsid w:val="16321ADC"/>
    <w:rsid w:val="16351E52"/>
    <w:rsid w:val="163A7083"/>
    <w:rsid w:val="163D4862"/>
    <w:rsid w:val="16464112"/>
    <w:rsid w:val="165E3157"/>
    <w:rsid w:val="165F0C7D"/>
    <w:rsid w:val="166B7621"/>
    <w:rsid w:val="166D339A"/>
    <w:rsid w:val="167575DE"/>
    <w:rsid w:val="16781D3E"/>
    <w:rsid w:val="167A5AB7"/>
    <w:rsid w:val="167D1103"/>
    <w:rsid w:val="167F30CD"/>
    <w:rsid w:val="167F42A3"/>
    <w:rsid w:val="168129A1"/>
    <w:rsid w:val="168229B3"/>
    <w:rsid w:val="16826719"/>
    <w:rsid w:val="16883EC5"/>
    <w:rsid w:val="16893F4C"/>
    <w:rsid w:val="16895CFA"/>
    <w:rsid w:val="168D57EA"/>
    <w:rsid w:val="168E3310"/>
    <w:rsid w:val="168F6536"/>
    <w:rsid w:val="16921052"/>
    <w:rsid w:val="16922E00"/>
    <w:rsid w:val="16994E4A"/>
    <w:rsid w:val="169C77DB"/>
    <w:rsid w:val="169D0A70"/>
    <w:rsid w:val="169D3553"/>
    <w:rsid w:val="16A32C69"/>
    <w:rsid w:val="16A50D85"/>
    <w:rsid w:val="16A91EF8"/>
    <w:rsid w:val="16AB01C8"/>
    <w:rsid w:val="16B54D41"/>
    <w:rsid w:val="16B70B6C"/>
    <w:rsid w:val="16B8213B"/>
    <w:rsid w:val="16BA2357"/>
    <w:rsid w:val="16BC0089"/>
    <w:rsid w:val="16BE1E47"/>
    <w:rsid w:val="16C16C33"/>
    <w:rsid w:val="16C60CFC"/>
    <w:rsid w:val="16C85C81"/>
    <w:rsid w:val="16C86822"/>
    <w:rsid w:val="16CD208A"/>
    <w:rsid w:val="16CE195E"/>
    <w:rsid w:val="16D46E70"/>
    <w:rsid w:val="16D569B9"/>
    <w:rsid w:val="16D70382"/>
    <w:rsid w:val="16D74CB7"/>
    <w:rsid w:val="16DC051F"/>
    <w:rsid w:val="16DC22CD"/>
    <w:rsid w:val="16E318AE"/>
    <w:rsid w:val="16F07B27"/>
    <w:rsid w:val="16F245C5"/>
    <w:rsid w:val="16F45869"/>
    <w:rsid w:val="16F47617"/>
    <w:rsid w:val="16F83DC9"/>
    <w:rsid w:val="16F95030"/>
    <w:rsid w:val="16FE0496"/>
    <w:rsid w:val="17033CFE"/>
    <w:rsid w:val="170535D2"/>
    <w:rsid w:val="170A508C"/>
    <w:rsid w:val="170A6E3A"/>
    <w:rsid w:val="170B4961"/>
    <w:rsid w:val="170E3AEC"/>
    <w:rsid w:val="170E6162"/>
    <w:rsid w:val="17123F41"/>
    <w:rsid w:val="17171557"/>
    <w:rsid w:val="171C6B6E"/>
    <w:rsid w:val="171E6442"/>
    <w:rsid w:val="17255A22"/>
    <w:rsid w:val="172872C1"/>
    <w:rsid w:val="172A4DE7"/>
    <w:rsid w:val="172F4AF3"/>
    <w:rsid w:val="172F68A1"/>
    <w:rsid w:val="173259E9"/>
    <w:rsid w:val="17365E81"/>
    <w:rsid w:val="173739A8"/>
    <w:rsid w:val="173C30A8"/>
    <w:rsid w:val="173E6AE4"/>
    <w:rsid w:val="17404A68"/>
    <w:rsid w:val="174165D4"/>
    <w:rsid w:val="1743234C"/>
    <w:rsid w:val="174560C4"/>
    <w:rsid w:val="17471E3D"/>
    <w:rsid w:val="174B3D3F"/>
    <w:rsid w:val="174B66AA"/>
    <w:rsid w:val="174D6D27"/>
    <w:rsid w:val="174E307B"/>
    <w:rsid w:val="174F484D"/>
    <w:rsid w:val="175005C5"/>
    <w:rsid w:val="17501520"/>
    <w:rsid w:val="17546308"/>
    <w:rsid w:val="17555BDC"/>
    <w:rsid w:val="175579C2"/>
    <w:rsid w:val="17575DF8"/>
    <w:rsid w:val="17591B70"/>
    <w:rsid w:val="175B1444"/>
    <w:rsid w:val="175B7522"/>
    <w:rsid w:val="175D340E"/>
    <w:rsid w:val="176C18A3"/>
    <w:rsid w:val="176F4EEF"/>
    <w:rsid w:val="176F6C9D"/>
    <w:rsid w:val="17710C68"/>
    <w:rsid w:val="177249E0"/>
    <w:rsid w:val="1772678E"/>
    <w:rsid w:val="1774180A"/>
    <w:rsid w:val="17742BCE"/>
    <w:rsid w:val="17773DA4"/>
    <w:rsid w:val="17781D54"/>
    <w:rsid w:val="177B1022"/>
    <w:rsid w:val="17803B29"/>
    <w:rsid w:val="17864105"/>
    <w:rsid w:val="1786728C"/>
    <w:rsid w:val="178A7CAA"/>
    <w:rsid w:val="178D35C8"/>
    <w:rsid w:val="178F2FEA"/>
    <w:rsid w:val="179130B8"/>
    <w:rsid w:val="1792505A"/>
    <w:rsid w:val="17982698"/>
    <w:rsid w:val="179901BE"/>
    <w:rsid w:val="179B3F36"/>
    <w:rsid w:val="179B7A92"/>
    <w:rsid w:val="17A10E21"/>
    <w:rsid w:val="17A51B58"/>
    <w:rsid w:val="17A57E4D"/>
    <w:rsid w:val="17A76437"/>
    <w:rsid w:val="17A9536A"/>
    <w:rsid w:val="17AC1CA0"/>
    <w:rsid w:val="17AF79E2"/>
    <w:rsid w:val="17B1375A"/>
    <w:rsid w:val="17B67874"/>
    <w:rsid w:val="17B8456B"/>
    <w:rsid w:val="17BA0860"/>
    <w:rsid w:val="17BA3F9F"/>
    <w:rsid w:val="17BE63A1"/>
    <w:rsid w:val="17C074F9"/>
    <w:rsid w:val="17C214C3"/>
    <w:rsid w:val="17C27715"/>
    <w:rsid w:val="17C34EE7"/>
    <w:rsid w:val="17C36FE9"/>
    <w:rsid w:val="17C70888"/>
    <w:rsid w:val="17C76AD9"/>
    <w:rsid w:val="17CF3BE0"/>
    <w:rsid w:val="17D11706"/>
    <w:rsid w:val="17D244D2"/>
    <w:rsid w:val="17D336D0"/>
    <w:rsid w:val="17DA4A5F"/>
    <w:rsid w:val="17DF301F"/>
    <w:rsid w:val="17E20185"/>
    <w:rsid w:val="17E256C1"/>
    <w:rsid w:val="17EA0A1A"/>
    <w:rsid w:val="17EC6540"/>
    <w:rsid w:val="17ED1F4D"/>
    <w:rsid w:val="17EE22B8"/>
    <w:rsid w:val="17F02970"/>
    <w:rsid w:val="17F665A1"/>
    <w:rsid w:val="17F673BF"/>
    <w:rsid w:val="17FB2C27"/>
    <w:rsid w:val="17FD074D"/>
    <w:rsid w:val="17FF44C5"/>
    <w:rsid w:val="18041ADC"/>
    <w:rsid w:val="1804388A"/>
    <w:rsid w:val="18047D2E"/>
    <w:rsid w:val="180715CC"/>
    <w:rsid w:val="180716EA"/>
    <w:rsid w:val="1807337A"/>
    <w:rsid w:val="18090EA0"/>
    <w:rsid w:val="180B10BC"/>
    <w:rsid w:val="18137F71"/>
    <w:rsid w:val="18153CE9"/>
    <w:rsid w:val="18194181"/>
    <w:rsid w:val="1820443C"/>
    <w:rsid w:val="1824469F"/>
    <w:rsid w:val="18253800"/>
    <w:rsid w:val="182B350C"/>
    <w:rsid w:val="182B7833"/>
    <w:rsid w:val="18300B23"/>
    <w:rsid w:val="183103F7"/>
    <w:rsid w:val="18335F1D"/>
    <w:rsid w:val="18363C5F"/>
    <w:rsid w:val="18412D97"/>
    <w:rsid w:val="18414ADE"/>
    <w:rsid w:val="18455C50"/>
    <w:rsid w:val="18493992"/>
    <w:rsid w:val="18493F95"/>
    <w:rsid w:val="184A3267"/>
    <w:rsid w:val="184E0FA9"/>
    <w:rsid w:val="18561C0B"/>
    <w:rsid w:val="18565113"/>
    <w:rsid w:val="18567E5D"/>
    <w:rsid w:val="185A16FC"/>
    <w:rsid w:val="185B5474"/>
    <w:rsid w:val="18622CA6"/>
    <w:rsid w:val="186500A0"/>
    <w:rsid w:val="186D58D3"/>
    <w:rsid w:val="18711EB8"/>
    <w:rsid w:val="18730A0F"/>
    <w:rsid w:val="187447AF"/>
    <w:rsid w:val="18747B1D"/>
    <w:rsid w:val="187622AE"/>
    <w:rsid w:val="18770500"/>
    <w:rsid w:val="187F5606"/>
    <w:rsid w:val="18846779"/>
    <w:rsid w:val="188D1AD1"/>
    <w:rsid w:val="188E3A9B"/>
    <w:rsid w:val="189310B2"/>
    <w:rsid w:val="189746FE"/>
    <w:rsid w:val="18982224"/>
    <w:rsid w:val="189912C4"/>
    <w:rsid w:val="189F35B2"/>
    <w:rsid w:val="18A006B1"/>
    <w:rsid w:val="18AA258C"/>
    <w:rsid w:val="18B427A7"/>
    <w:rsid w:val="18B64865"/>
    <w:rsid w:val="18B90B18"/>
    <w:rsid w:val="18BA03EC"/>
    <w:rsid w:val="18BC23B6"/>
    <w:rsid w:val="18BC5F12"/>
    <w:rsid w:val="18BD1C8B"/>
    <w:rsid w:val="18BD66DB"/>
    <w:rsid w:val="18BD7EDC"/>
    <w:rsid w:val="18C0248B"/>
    <w:rsid w:val="18C263A0"/>
    <w:rsid w:val="18C354F3"/>
    <w:rsid w:val="18C82B09"/>
    <w:rsid w:val="18C96881"/>
    <w:rsid w:val="18CE5C46"/>
    <w:rsid w:val="18D05E62"/>
    <w:rsid w:val="18D70F9E"/>
    <w:rsid w:val="18D86AC4"/>
    <w:rsid w:val="18DC0363"/>
    <w:rsid w:val="18E67433"/>
    <w:rsid w:val="18ED07C2"/>
    <w:rsid w:val="18ED6A14"/>
    <w:rsid w:val="18FA2EDF"/>
    <w:rsid w:val="18FC27B3"/>
    <w:rsid w:val="18FC6C57"/>
    <w:rsid w:val="18FE29CF"/>
    <w:rsid w:val="190478B9"/>
    <w:rsid w:val="190C374D"/>
    <w:rsid w:val="190D42EB"/>
    <w:rsid w:val="190F0738"/>
    <w:rsid w:val="191129A6"/>
    <w:rsid w:val="19197809"/>
    <w:rsid w:val="19232435"/>
    <w:rsid w:val="192501A9"/>
    <w:rsid w:val="19263CD4"/>
    <w:rsid w:val="19265A82"/>
    <w:rsid w:val="192817FA"/>
    <w:rsid w:val="192B3098"/>
    <w:rsid w:val="192C54AB"/>
    <w:rsid w:val="192D0BBE"/>
    <w:rsid w:val="19306900"/>
    <w:rsid w:val="19337AF8"/>
    <w:rsid w:val="19373188"/>
    <w:rsid w:val="19377C8F"/>
    <w:rsid w:val="193D71F3"/>
    <w:rsid w:val="193F08F1"/>
    <w:rsid w:val="194408DF"/>
    <w:rsid w:val="194859F8"/>
    <w:rsid w:val="19487651"/>
    <w:rsid w:val="19520625"/>
    <w:rsid w:val="19524AC9"/>
    <w:rsid w:val="19526877"/>
    <w:rsid w:val="19545462"/>
    <w:rsid w:val="1954586E"/>
    <w:rsid w:val="195720DF"/>
    <w:rsid w:val="195F2D42"/>
    <w:rsid w:val="19630947"/>
    <w:rsid w:val="1969029C"/>
    <w:rsid w:val="196F567B"/>
    <w:rsid w:val="19742C91"/>
    <w:rsid w:val="1975331A"/>
    <w:rsid w:val="1976457C"/>
    <w:rsid w:val="19766A09"/>
    <w:rsid w:val="1977452F"/>
    <w:rsid w:val="197B401F"/>
    <w:rsid w:val="197B53D3"/>
    <w:rsid w:val="19800A63"/>
    <w:rsid w:val="1981715C"/>
    <w:rsid w:val="19836A30"/>
    <w:rsid w:val="198729C4"/>
    <w:rsid w:val="198A4263"/>
    <w:rsid w:val="198C07E7"/>
    <w:rsid w:val="19946E8F"/>
    <w:rsid w:val="199E1ABC"/>
    <w:rsid w:val="199E7D0E"/>
    <w:rsid w:val="199F6C5D"/>
    <w:rsid w:val="19A370D2"/>
    <w:rsid w:val="19A52ACF"/>
    <w:rsid w:val="19A54BF8"/>
    <w:rsid w:val="19A90B8D"/>
    <w:rsid w:val="19AF1F1B"/>
    <w:rsid w:val="19B23C43"/>
    <w:rsid w:val="19B25567"/>
    <w:rsid w:val="19B32E94"/>
    <w:rsid w:val="19BA7045"/>
    <w:rsid w:val="19C21C4E"/>
    <w:rsid w:val="19C534ED"/>
    <w:rsid w:val="19C77265"/>
    <w:rsid w:val="19CA0B03"/>
    <w:rsid w:val="19CA6D19"/>
    <w:rsid w:val="19CE05F3"/>
    <w:rsid w:val="19DC4392"/>
    <w:rsid w:val="19E00326"/>
    <w:rsid w:val="19E25E4D"/>
    <w:rsid w:val="19E41BC5"/>
    <w:rsid w:val="19E73463"/>
    <w:rsid w:val="19EC2827"/>
    <w:rsid w:val="19EE2A43"/>
    <w:rsid w:val="19F45B80"/>
    <w:rsid w:val="19F811CC"/>
    <w:rsid w:val="19F93196"/>
    <w:rsid w:val="1A077661"/>
    <w:rsid w:val="1A0C111B"/>
    <w:rsid w:val="1A1062B4"/>
    <w:rsid w:val="1A147FD0"/>
    <w:rsid w:val="1A187AC0"/>
    <w:rsid w:val="1A1E488E"/>
    <w:rsid w:val="1A200723"/>
    <w:rsid w:val="1A231FC1"/>
    <w:rsid w:val="1A255D39"/>
    <w:rsid w:val="1A27385F"/>
    <w:rsid w:val="1A2A3AC4"/>
    <w:rsid w:val="1A2C356C"/>
    <w:rsid w:val="1A2E0D57"/>
    <w:rsid w:val="1A2F0966"/>
    <w:rsid w:val="1A393593"/>
    <w:rsid w:val="1A3D12D5"/>
    <w:rsid w:val="1A4408B5"/>
    <w:rsid w:val="1A444411"/>
    <w:rsid w:val="1A47372A"/>
    <w:rsid w:val="1A4A39F2"/>
    <w:rsid w:val="1A4A5C7F"/>
    <w:rsid w:val="1A50725A"/>
    <w:rsid w:val="1A5A71F5"/>
    <w:rsid w:val="1A5F49C1"/>
    <w:rsid w:val="1A604FC3"/>
    <w:rsid w:val="1A607BD9"/>
    <w:rsid w:val="1A626F8D"/>
    <w:rsid w:val="1A654388"/>
    <w:rsid w:val="1A672D3E"/>
    <w:rsid w:val="1A676352"/>
    <w:rsid w:val="1A6C5716"/>
    <w:rsid w:val="1A705206"/>
    <w:rsid w:val="1A756CC1"/>
    <w:rsid w:val="1A772A39"/>
    <w:rsid w:val="1A78055F"/>
    <w:rsid w:val="1A7B3BAB"/>
    <w:rsid w:val="1A7F48BE"/>
    <w:rsid w:val="1A882AFB"/>
    <w:rsid w:val="1A89451A"/>
    <w:rsid w:val="1A8962C8"/>
    <w:rsid w:val="1A8E7D82"/>
    <w:rsid w:val="1A911621"/>
    <w:rsid w:val="1A9133CF"/>
    <w:rsid w:val="1A925700"/>
    <w:rsid w:val="1A952EBF"/>
    <w:rsid w:val="1A976C37"/>
    <w:rsid w:val="1A9829AF"/>
    <w:rsid w:val="1A9A0036"/>
    <w:rsid w:val="1A9A1998"/>
    <w:rsid w:val="1A9C249F"/>
    <w:rsid w:val="1A9C424D"/>
    <w:rsid w:val="1A9E35E5"/>
    <w:rsid w:val="1A9F5AEC"/>
    <w:rsid w:val="1AA44EB0"/>
    <w:rsid w:val="1AAB65CD"/>
    <w:rsid w:val="1AAC1FB7"/>
    <w:rsid w:val="1AAE21D3"/>
    <w:rsid w:val="1AB05F4B"/>
    <w:rsid w:val="1AB53561"/>
    <w:rsid w:val="1AB53AAF"/>
    <w:rsid w:val="1AB8583A"/>
    <w:rsid w:val="1ABF7128"/>
    <w:rsid w:val="1AC50DC4"/>
    <w:rsid w:val="1AC63078"/>
    <w:rsid w:val="1AC8208F"/>
    <w:rsid w:val="1AC91D4C"/>
    <w:rsid w:val="1ACE017F"/>
    <w:rsid w:val="1ACE63D1"/>
    <w:rsid w:val="1AD03EF7"/>
    <w:rsid w:val="1AD27C6F"/>
    <w:rsid w:val="1AD339E7"/>
    <w:rsid w:val="1AD734D7"/>
    <w:rsid w:val="1AD75285"/>
    <w:rsid w:val="1AD87250"/>
    <w:rsid w:val="1AE44224"/>
    <w:rsid w:val="1AF177AE"/>
    <w:rsid w:val="1AF20311"/>
    <w:rsid w:val="1AF22E0F"/>
    <w:rsid w:val="1AF35E37"/>
    <w:rsid w:val="1AF51BB0"/>
    <w:rsid w:val="1AF57E02"/>
    <w:rsid w:val="1AF8344E"/>
    <w:rsid w:val="1AFA5418"/>
    <w:rsid w:val="1AFD0A64"/>
    <w:rsid w:val="1AFE6CB6"/>
    <w:rsid w:val="1B0167A6"/>
    <w:rsid w:val="1B027E29"/>
    <w:rsid w:val="1B040045"/>
    <w:rsid w:val="1B0E4A1F"/>
    <w:rsid w:val="1B192484"/>
    <w:rsid w:val="1B19589E"/>
    <w:rsid w:val="1B1A7868"/>
    <w:rsid w:val="1B1B4B10"/>
    <w:rsid w:val="1B206CF9"/>
    <w:rsid w:val="1B25632E"/>
    <w:rsid w:val="1B283D33"/>
    <w:rsid w:val="1B285AE1"/>
    <w:rsid w:val="1B28788F"/>
    <w:rsid w:val="1B2929B5"/>
    <w:rsid w:val="1B2F50C2"/>
    <w:rsid w:val="1B351FAC"/>
    <w:rsid w:val="1B425EC3"/>
    <w:rsid w:val="1B445528"/>
    <w:rsid w:val="1B4641B9"/>
    <w:rsid w:val="1B4B7383"/>
    <w:rsid w:val="1B4D72F6"/>
    <w:rsid w:val="1B527002"/>
    <w:rsid w:val="1B530684"/>
    <w:rsid w:val="1B542D7A"/>
    <w:rsid w:val="1B5A1A13"/>
    <w:rsid w:val="1B5C1C2F"/>
    <w:rsid w:val="1B60171F"/>
    <w:rsid w:val="1B650AE3"/>
    <w:rsid w:val="1B67674E"/>
    <w:rsid w:val="1B684130"/>
    <w:rsid w:val="1B6A60FA"/>
    <w:rsid w:val="1B6C3361"/>
    <w:rsid w:val="1B715091"/>
    <w:rsid w:val="1B7730E6"/>
    <w:rsid w:val="1B773DCE"/>
    <w:rsid w:val="1B7C58B1"/>
    <w:rsid w:val="1B7C5E2D"/>
    <w:rsid w:val="1B7E7DF7"/>
    <w:rsid w:val="1B8227E1"/>
    <w:rsid w:val="1B852F33"/>
    <w:rsid w:val="1B8847D2"/>
    <w:rsid w:val="1B897F89"/>
    <w:rsid w:val="1B8A679C"/>
    <w:rsid w:val="1B9273FE"/>
    <w:rsid w:val="1B9969DF"/>
    <w:rsid w:val="1BA3160C"/>
    <w:rsid w:val="1BA84E74"/>
    <w:rsid w:val="1BAA0BEC"/>
    <w:rsid w:val="1BAB226E"/>
    <w:rsid w:val="1BB2184F"/>
    <w:rsid w:val="1BB27DB9"/>
    <w:rsid w:val="1BB747A9"/>
    <w:rsid w:val="1BB83309"/>
    <w:rsid w:val="1BBB6955"/>
    <w:rsid w:val="1BBD091F"/>
    <w:rsid w:val="1BC30238"/>
    <w:rsid w:val="1BC7354C"/>
    <w:rsid w:val="1BC872C4"/>
    <w:rsid w:val="1BCA303C"/>
    <w:rsid w:val="1BCA6B98"/>
    <w:rsid w:val="1BCB72FD"/>
    <w:rsid w:val="1BCD0437"/>
    <w:rsid w:val="1BCD6688"/>
    <w:rsid w:val="1BD01CD5"/>
    <w:rsid w:val="1BD25A4D"/>
    <w:rsid w:val="1BD45C69"/>
    <w:rsid w:val="1BD5797C"/>
    <w:rsid w:val="1BD6553D"/>
    <w:rsid w:val="1BD87507"/>
    <w:rsid w:val="1BD9300C"/>
    <w:rsid w:val="1BDE0896"/>
    <w:rsid w:val="1BE0460E"/>
    <w:rsid w:val="1BE20386"/>
    <w:rsid w:val="1BE22134"/>
    <w:rsid w:val="1BE7774A"/>
    <w:rsid w:val="1BEC6B0F"/>
    <w:rsid w:val="1BED0AD9"/>
    <w:rsid w:val="1BF400B9"/>
    <w:rsid w:val="1BF57933"/>
    <w:rsid w:val="1BF604D2"/>
    <w:rsid w:val="1BF6798D"/>
    <w:rsid w:val="1BF81957"/>
    <w:rsid w:val="1BFD51C0"/>
    <w:rsid w:val="1BFE2CE6"/>
    <w:rsid w:val="1C006A5E"/>
    <w:rsid w:val="1C024584"/>
    <w:rsid w:val="1C055E22"/>
    <w:rsid w:val="1C091D8D"/>
    <w:rsid w:val="1C095610"/>
    <w:rsid w:val="1C0C5403"/>
    <w:rsid w:val="1C0E2F29"/>
    <w:rsid w:val="1C103880"/>
    <w:rsid w:val="1C13053F"/>
    <w:rsid w:val="1C161DDD"/>
    <w:rsid w:val="1C163B8C"/>
    <w:rsid w:val="1C170489"/>
    <w:rsid w:val="1C18194D"/>
    <w:rsid w:val="1C1B3B19"/>
    <w:rsid w:val="1C1B73F4"/>
    <w:rsid w:val="1C27223D"/>
    <w:rsid w:val="1C2B7608"/>
    <w:rsid w:val="1C2D7127"/>
    <w:rsid w:val="1C2F10F1"/>
    <w:rsid w:val="1C2F22BE"/>
    <w:rsid w:val="1C330BE1"/>
    <w:rsid w:val="1C381D54"/>
    <w:rsid w:val="1C3D736A"/>
    <w:rsid w:val="1C3E30E2"/>
    <w:rsid w:val="1C3E504A"/>
    <w:rsid w:val="1C3F7586"/>
    <w:rsid w:val="1C424981"/>
    <w:rsid w:val="1C4526C3"/>
    <w:rsid w:val="1C4A5F2B"/>
    <w:rsid w:val="1C511068"/>
    <w:rsid w:val="1C512E16"/>
    <w:rsid w:val="1C56667E"/>
    <w:rsid w:val="1C5F3784"/>
    <w:rsid w:val="1C6568C1"/>
    <w:rsid w:val="1C662D65"/>
    <w:rsid w:val="1C672639"/>
    <w:rsid w:val="1C6E1C1A"/>
    <w:rsid w:val="1C6F7740"/>
    <w:rsid w:val="1C721C5B"/>
    <w:rsid w:val="1C744D56"/>
    <w:rsid w:val="1C776E36"/>
    <w:rsid w:val="1C784846"/>
    <w:rsid w:val="1C7B60E4"/>
    <w:rsid w:val="1C7D1E5D"/>
    <w:rsid w:val="1C7D7062"/>
    <w:rsid w:val="1C8026B6"/>
    <w:rsid w:val="1C846B66"/>
    <w:rsid w:val="1C856F63"/>
    <w:rsid w:val="1C8B0A36"/>
    <w:rsid w:val="1C8F393E"/>
    <w:rsid w:val="1C9571A6"/>
    <w:rsid w:val="1C961170"/>
    <w:rsid w:val="1C962F1E"/>
    <w:rsid w:val="1C9A2A0F"/>
    <w:rsid w:val="1CA13D9D"/>
    <w:rsid w:val="1CA218C3"/>
    <w:rsid w:val="1CA61F02"/>
    <w:rsid w:val="1CA6502A"/>
    <w:rsid w:val="1CA7512B"/>
    <w:rsid w:val="1CAB69CA"/>
    <w:rsid w:val="1CAF0084"/>
    <w:rsid w:val="1CB02232"/>
    <w:rsid w:val="1CB17D58"/>
    <w:rsid w:val="1CB2219C"/>
    <w:rsid w:val="1CB530B4"/>
    <w:rsid w:val="1CB57848"/>
    <w:rsid w:val="1CB67C92"/>
    <w:rsid w:val="1CB87339"/>
    <w:rsid w:val="1CBD04AB"/>
    <w:rsid w:val="1CBF5FD1"/>
    <w:rsid w:val="1CC02AA7"/>
    <w:rsid w:val="1CC23D13"/>
    <w:rsid w:val="1CC47A8B"/>
    <w:rsid w:val="1CC730D8"/>
    <w:rsid w:val="1CCA0FFC"/>
    <w:rsid w:val="1CCE090A"/>
    <w:rsid w:val="1CD001DE"/>
    <w:rsid w:val="1CDF602F"/>
    <w:rsid w:val="1CE26164"/>
    <w:rsid w:val="1CE67A02"/>
    <w:rsid w:val="1CEE68B6"/>
    <w:rsid w:val="1CEE6A7A"/>
    <w:rsid w:val="1CF55E97"/>
    <w:rsid w:val="1CF864FE"/>
    <w:rsid w:val="1CF87735"/>
    <w:rsid w:val="1CFA16FF"/>
    <w:rsid w:val="1CFA34AD"/>
    <w:rsid w:val="1CFB407F"/>
    <w:rsid w:val="1CFC5477"/>
    <w:rsid w:val="1CFD2DEB"/>
    <w:rsid w:val="1D0205B4"/>
    <w:rsid w:val="1D0E51AB"/>
    <w:rsid w:val="1D1125A5"/>
    <w:rsid w:val="1D1722B1"/>
    <w:rsid w:val="1D1A58FD"/>
    <w:rsid w:val="1D1D0F4A"/>
    <w:rsid w:val="1D2624F4"/>
    <w:rsid w:val="1D28635E"/>
    <w:rsid w:val="1D291FE4"/>
    <w:rsid w:val="1D300C7D"/>
    <w:rsid w:val="1D306ECF"/>
    <w:rsid w:val="1D361749"/>
    <w:rsid w:val="1D3A1AFC"/>
    <w:rsid w:val="1D445D2D"/>
    <w:rsid w:val="1D4A4435"/>
    <w:rsid w:val="1D4B1F5B"/>
    <w:rsid w:val="1D4D7A81"/>
    <w:rsid w:val="1D4E55EC"/>
    <w:rsid w:val="1D50131F"/>
    <w:rsid w:val="1D5030CD"/>
    <w:rsid w:val="1D5202A2"/>
    <w:rsid w:val="1D547061"/>
    <w:rsid w:val="1D5C7CC4"/>
    <w:rsid w:val="1D631052"/>
    <w:rsid w:val="1D6D1ED1"/>
    <w:rsid w:val="1D7A4807"/>
    <w:rsid w:val="1D7E40DE"/>
    <w:rsid w:val="1D807281"/>
    <w:rsid w:val="1D862C8F"/>
    <w:rsid w:val="1D876420"/>
    <w:rsid w:val="1D880AB9"/>
    <w:rsid w:val="1D894E19"/>
    <w:rsid w:val="1D8D4321"/>
    <w:rsid w:val="1D9220A3"/>
    <w:rsid w:val="1D9303D6"/>
    <w:rsid w:val="1D943902"/>
    <w:rsid w:val="1D9456B0"/>
    <w:rsid w:val="1D962329"/>
    <w:rsid w:val="1D992CC6"/>
    <w:rsid w:val="1D9A47B6"/>
    <w:rsid w:val="1D9C4564"/>
    <w:rsid w:val="1D9C6312"/>
    <w:rsid w:val="1DA4489F"/>
    <w:rsid w:val="1DA53B3F"/>
    <w:rsid w:val="1DAA6C81"/>
    <w:rsid w:val="1DB16262"/>
    <w:rsid w:val="1DB45D52"/>
    <w:rsid w:val="1DBA2C3C"/>
    <w:rsid w:val="1DBD70AE"/>
    <w:rsid w:val="1DBE3824"/>
    <w:rsid w:val="1DC87107"/>
    <w:rsid w:val="1DCB6BF8"/>
    <w:rsid w:val="1DCF03F4"/>
    <w:rsid w:val="1DCF493A"/>
    <w:rsid w:val="1DD261D8"/>
    <w:rsid w:val="1DD36DFA"/>
    <w:rsid w:val="1DD67A76"/>
    <w:rsid w:val="1DD737EE"/>
    <w:rsid w:val="1DD75402"/>
    <w:rsid w:val="1DE026A3"/>
    <w:rsid w:val="1DE06B47"/>
    <w:rsid w:val="1DE32193"/>
    <w:rsid w:val="1DE37C44"/>
    <w:rsid w:val="1DE55F0B"/>
    <w:rsid w:val="1DE63A32"/>
    <w:rsid w:val="1DE765A7"/>
    <w:rsid w:val="1DEB0A3D"/>
    <w:rsid w:val="1DED6B6E"/>
    <w:rsid w:val="1DF517C5"/>
    <w:rsid w:val="1DFE521F"/>
    <w:rsid w:val="1E02610A"/>
    <w:rsid w:val="1E075364"/>
    <w:rsid w:val="1E0F4D36"/>
    <w:rsid w:val="1E114F52"/>
    <w:rsid w:val="1E1862E1"/>
    <w:rsid w:val="1E193E07"/>
    <w:rsid w:val="1E1A4FF0"/>
    <w:rsid w:val="1E1E4F79"/>
    <w:rsid w:val="1E1E766F"/>
    <w:rsid w:val="1E217E45"/>
    <w:rsid w:val="1E220F0E"/>
    <w:rsid w:val="1E28404A"/>
    <w:rsid w:val="1E2F53D8"/>
    <w:rsid w:val="1E340C41"/>
    <w:rsid w:val="1E3E4729"/>
    <w:rsid w:val="1E403142"/>
    <w:rsid w:val="1E433475"/>
    <w:rsid w:val="1E49784A"/>
    <w:rsid w:val="1E4E1D03"/>
    <w:rsid w:val="1E4F2C3F"/>
    <w:rsid w:val="1E4F5A7B"/>
    <w:rsid w:val="1E546CEA"/>
    <w:rsid w:val="1E555448"/>
    <w:rsid w:val="1E5723F7"/>
    <w:rsid w:val="1E5906A7"/>
    <w:rsid w:val="1E5B152D"/>
    <w:rsid w:val="1E62130A"/>
    <w:rsid w:val="1E6432D4"/>
    <w:rsid w:val="1E652BA8"/>
    <w:rsid w:val="1E673F9C"/>
    <w:rsid w:val="1E696B3C"/>
    <w:rsid w:val="1E6E5F01"/>
    <w:rsid w:val="1E766B63"/>
    <w:rsid w:val="1E77796A"/>
    <w:rsid w:val="1E7C4299"/>
    <w:rsid w:val="1E7D7EF2"/>
    <w:rsid w:val="1E7F05AE"/>
    <w:rsid w:val="1E803A9B"/>
    <w:rsid w:val="1E821E95"/>
    <w:rsid w:val="1E867014"/>
    <w:rsid w:val="1E875215"/>
    <w:rsid w:val="1E8A0861"/>
    <w:rsid w:val="1E94348E"/>
    <w:rsid w:val="1E9B481C"/>
    <w:rsid w:val="1E9E5891"/>
    <w:rsid w:val="1E9E60BA"/>
    <w:rsid w:val="1E9F29BF"/>
    <w:rsid w:val="1E9F430C"/>
    <w:rsid w:val="1EA5569B"/>
    <w:rsid w:val="1EAA01A3"/>
    <w:rsid w:val="1EAA1AE8"/>
    <w:rsid w:val="1EAA4A5F"/>
    <w:rsid w:val="1EAB0F03"/>
    <w:rsid w:val="1EAC4C7B"/>
    <w:rsid w:val="1EAD7DE2"/>
    <w:rsid w:val="1EAE09F3"/>
    <w:rsid w:val="1EAE454F"/>
    <w:rsid w:val="1EAE5864"/>
    <w:rsid w:val="1EB018DF"/>
    <w:rsid w:val="1EB06519"/>
    <w:rsid w:val="1EB1403F"/>
    <w:rsid w:val="1EB15448"/>
    <w:rsid w:val="1EB15DEE"/>
    <w:rsid w:val="1EB3600A"/>
    <w:rsid w:val="1EB37DB8"/>
    <w:rsid w:val="1EBA0EAC"/>
    <w:rsid w:val="1EBA7398"/>
    <w:rsid w:val="1EBE4E7B"/>
    <w:rsid w:val="1EBF050A"/>
    <w:rsid w:val="1EC42C98"/>
    <w:rsid w:val="1ECF04F0"/>
    <w:rsid w:val="1ED50531"/>
    <w:rsid w:val="1ED8781E"/>
    <w:rsid w:val="1EDB2E6A"/>
    <w:rsid w:val="1EDC730E"/>
    <w:rsid w:val="1EDF295B"/>
    <w:rsid w:val="1EE15A6C"/>
    <w:rsid w:val="1EED239C"/>
    <w:rsid w:val="1EF328AA"/>
    <w:rsid w:val="1EF81C6E"/>
    <w:rsid w:val="1F005027"/>
    <w:rsid w:val="1F046865"/>
    <w:rsid w:val="1F070103"/>
    <w:rsid w:val="1F073C5F"/>
    <w:rsid w:val="1F093E7B"/>
    <w:rsid w:val="1F0B3750"/>
    <w:rsid w:val="1F0C1276"/>
    <w:rsid w:val="1F0C52E3"/>
    <w:rsid w:val="1F0E3293"/>
    <w:rsid w:val="1F105AB8"/>
    <w:rsid w:val="1F124EA7"/>
    <w:rsid w:val="1F136AA8"/>
    <w:rsid w:val="1F1545CE"/>
    <w:rsid w:val="1F197111"/>
    <w:rsid w:val="1F1C3BAF"/>
    <w:rsid w:val="1F1D3483"/>
    <w:rsid w:val="1F242A63"/>
    <w:rsid w:val="1F274302"/>
    <w:rsid w:val="1F29007A"/>
    <w:rsid w:val="1F2B5BA0"/>
    <w:rsid w:val="1F2E1635"/>
    <w:rsid w:val="1F2E743E"/>
    <w:rsid w:val="1F30765A"/>
    <w:rsid w:val="1F3709E9"/>
    <w:rsid w:val="1F372797"/>
    <w:rsid w:val="1F394761"/>
    <w:rsid w:val="1F443106"/>
    <w:rsid w:val="1F444AA3"/>
    <w:rsid w:val="1F460C2C"/>
    <w:rsid w:val="1F49071C"/>
    <w:rsid w:val="1F4B3E9E"/>
    <w:rsid w:val="1F4C2284"/>
    <w:rsid w:val="1F52137F"/>
    <w:rsid w:val="1F533349"/>
    <w:rsid w:val="1F536EA5"/>
    <w:rsid w:val="1F550E6F"/>
    <w:rsid w:val="1F552C1D"/>
    <w:rsid w:val="1F5570C1"/>
    <w:rsid w:val="1F5A46D7"/>
    <w:rsid w:val="1F5C21FD"/>
    <w:rsid w:val="1F61475A"/>
    <w:rsid w:val="1F62533A"/>
    <w:rsid w:val="1F6966C8"/>
    <w:rsid w:val="1F6B41EE"/>
    <w:rsid w:val="1F6E4863"/>
    <w:rsid w:val="1F6E513F"/>
    <w:rsid w:val="1F6F048C"/>
    <w:rsid w:val="1F721A21"/>
    <w:rsid w:val="1F7638D9"/>
    <w:rsid w:val="1F777037"/>
    <w:rsid w:val="1F7A08D5"/>
    <w:rsid w:val="1F7C63FB"/>
    <w:rsid w:val="1F7D3F22"/>
    <w:rsid w:val="1F8452B0"/>
    <w:rsid w:val="1F8A4FBC"/>
    <w:rsid w:val="1F8B4890"/>
    <w:rsid w:val="1F8D10C6"/>
    <w:rsid w:val="1F8E612F"/>
    <w:rsid w:val="1F8F25D3"/>
    <w:rsid w:val="1F9000F9"/>
    <w:rsid w:val="1F933745"/>
    <w:rsid w:val="1F9B509B"/>
    <w:rsid w:val="1FA45268"/>
    <w:rsid w:val="1FA616CA"/>
    <w:rsid w:val="1FA802B9"/>
    <w:rsid w:val="1FAC33EA"/>
    <w:rsid w:val="1FAD2A59"/>
    <w:rsid w:val="1FAD4807"/>
    <w:rsid w:val="1FB042F7"/>
    <w:rsid w:val="1FB07AC3"/>
    <w:rsid w:val="1FB5190D"/>
    <w:rsid w:val="1FB738D7"/>
    <w:rsid w:val="1FB843E7"/>
    <w:rsid w:val="1FBE4C66"/>
    <w:rsid w:val="1FC13108"/>
    <w:rsid w:val="1FC3402A"/>
    <w:rsid w:val="1FC55DBE"/>
    <w:rsid w:val="1FCA066A"/>
    <w:rsid w:val="1FCA360B"/>
    <w:rsid w:val="1FCD4EA9"/>
    <w:rsid w:val="1FD06747"/>
    <w:rsid w:val="1FD224BF"/>
    <w:rsid w:val="1FD55B0C"/>
    <w:rsid w:val="1FD60202"/>
    <w:rsid w:val="1FD72E25"/>
    <w:rsid w:val="1FD91AA0"/>
    <w:rsid w:val="1FDE70B6"/>
    <w:rsid w:val="1FE02E2E"/>
    <w:rsid w:val="1FE10954"/>
    <w:rsid w:val="1FE31210"/>
    <w:rsid w:val="1FE426A0"/>
    <w:rsid w:val="1FEF3071"/>
    <w:rsid w:val="1FFB37C4"/>
    <w:rsid w:val="1FFF6E7D"/>
    <w:rsid w:val="200054D9"/>
    <w:rsid w:val="2000702C"/>
    <w:rsid w:val="20020FF7"/>
    <w:rsid w:val="20054643"/>
    <w:rsid w:val="20085EE1"/>
    <w:rsid w:val="200F7B00"/>
    <w:rsid w:val="20174376"/>
    <w:rsid w:val="201C198C"/>
    <w:rsid w:val="201E74B3"/>
    <w:rsid w:val="20230F6D"/>
    <w:rsid w:val="20232D1B"/>
    <w:rsid w:val="20256A93"/>
    <w:rsid w:val="202D3B9A"/>
    <w:rsid w:val="20337402"/>
    <w:rsid w:val="20390790"/>
    <w:rsid w:val="203B5D95"/>
    <w:rsid w:val="203C098B"/>
    <w:rsid w:val="203E1903"/>
    <w:rsid w:val="20401B1F"/>
    <w:rsid w:val="204213F3"/>
    <w:rsid w:val="2043260B"/>
    <w:rsid w:val="20474C5B"/>
    <w:rsid w:val="20476A09"/>
    <w:rsid w:val="204809D3"/>
    <w:rsid w:val="20482782"/>
    <w:rsid w:val="20496676"/>
    <w:rsid w:val="204A5756"/>
    <w:rsid w:val="204C2272"/>
    <w:rsid w:val="204C4020"/>
    <w:rsid w:val="204F4230"/>
    <w:rsid w:val="204F58BE"/>
    <w:rsid w:val="205904EB"/>
    <w:rsid w:val="20592BE1"/>
    <w:rsid w:val="205E01F7"/>
    <w:rsid w:val="205E1FA5"/>
    <w:rsid w:val="206046DD"/>
    <w:rsid w:val="20607AD1"/>
    <w:rsid w:val="20656BE4"/>
    <w:rsid w:val="20672C08"/>
    <w:rsid w:val="20694BCD"/>
    <w:rsid w:val="206E043A"/>
    <w:rsid w:val="207035BF"/>
    <w:rsid w:val="20735512"/>
    <w:rsid w:val="208319DF"/>
    <w:rsid w:val="20831A0C"/>
    <w:rsid w:val="20867C96"/>
    <w:rsid w:val="20875058"/>
    <w:rsid w:val="20880DD0"/>
    <w:rsid w:val="208C6B12"/>
    <w:rsid w:val="208E288A"/>
    <w:rsid w:val="209105AD"/>
    <w:rsid w:val="209354CA"/>
    <w:rsid w:val="20983EB6"/>
    <w:rsid w:val="209E23A2"/>
    <w:rsid w:val="20A3123C"/>
    <w:rsid w:val="20A7394C"/>
    <w:rsid w:val="20A74FBA"/>
    <w:rsid w:val="20A756FA"/>
    <w:rsid w:val="20AA51EA"/>
    <w:rsid w:val="20B05033"/>
    <w:rsid w:val="20B16579"/>
    <w:rsid w:val="20B63B8F"/>
    <w:rsid w:val="20B65FAF"/>
    <w:rsid w:val="20B816B5"/>
    <w:rsid w:val="20C16E58"/>
    <w:rsid w:val="20CC5834"/>
    <w:rsid w:val="20E8770D"/>
    <w:rsid w:val="20ED7432"/>
    <w:rsid w:val="20F46465"/>
    <w:rsid w:val="20F555B5"/>
    <w:rsid w:val="20FB5A46"/>
    <w:rsid w:val="20FD17BE"/>
    <w:rsid w:val="210A4734"/>
    <w:rsid w:val="210B5E71"/>
    <w:rsid w:val="210F0963"/>
    <w:rsid w:val="21110DC5"/>
    <w:rsid w:val="21117017"/>
    <w:rsid w:val="211B39F2"/>
    <w:rsid w:val="211D59BC"/>
    <w:rsid w:val="21210FCF"/>
    <w:rsid w:val="21236F43"/>
    <w:rsid w:val="212E5E1B"/>
    <w:rsid w:val="213056EF"/>
    <w:rsid w:val="21330813"/>
    <w:rsid w:val="21354B49"/>
    <w:rsid w:val="21372D0F"/>
    <w:rsid w:val="213C22E6"/>
    <w:rsid w:val="213D1BBA"/>
    <w:rsid w:val="21405125"/>
    <w:rsid w:val="214271D1"/>
    <w:rsid w:val="21430308"/>
    <w:rsid w:val="21466CC1"/>
    <w:rsid w:val="21467ABC"/>
    <w:rsid w:val="214F7359"/>
    <w:rsid w:val="21507B40"/>
    <w:rsid w:val="2152133A"/>
    <w:rsid w:val="215A276C"/>
    <w:rsid w:val="216102D0"/>
    <w:rsid w:val="21642211"/>
    <w:rsid w:val="216435EB"/>
    <w:rsid w:val="21667363"/>
    <w:rsid w:val="21674E89"/>
    <w:rsid w:val="2168340C"/>
    <w:rsid w:val="216929AF"/>
    <w:rsid w:val="216B2BCB"/>
    <w:rsid w:val="217A2E0F"/>
    <w:rsid w:val="217C0935"/>
    <w:rsid w:val="2181419D"/>
    <w:rsid w:val="21845A3B"/>
    <w:rsid w:val="21863561"/>
    <w:rsid w:val="21897ECB"/>
    <w:rsid w:val="218B53BC"/>
    <w:rsid w:val="218E0668"/>
    <w:rsid w:val="21920158"/>
    <w:rsid w:val="219537A4"/>
    <w:rsid w:val="219D08AB"/>
    <w:rsid w:val="219E4D4F"/>
    <w:rsid w:val="21A63C04"/>
    <w:rsid w:val="21A8172A"/>
    <w:rsid w:val="21AE2AB8"/>
    <w:rsid w:val="21B03B55"/>
    <w:rsid w:val="21B31E7D"/>
    <w:rsid w:val="21BC3427"/>
    <w:rsid w:val="21BC51D5"/>
    <w:rsid w:val="21BF0821"/>
    <w:rsid w:val="21C10A3D"/>
    <w:rsid w:val="21C83B7A"/>
    <w:rsid w:val="21C916A0"/>
    <w:rsid w:val="21CB27F1"/>
    <w:rsid w:val="21CF315A"/>
    <w:rsid w:val="21D267A7"/>
    <w:rsid w:val="21D342CD"/>
    <w:rsid w:val="21DB46C8"/>
    <w:rsid w:val="21DE514B"/>
    <w:rsid w:val="21E12E8E"/>
    <w:rsid w:val="21E62252"/>
    <w:rsid w:val="21E93569"/>
    <w:rsid w:val="21E93AF0"/>
    <w:rsid w:val="21EF7079"/>
    <w:rsid w:val="21F26040"/>
    <w:rsid w:val="21F8186C"/>
    <w:rsid w:val="21FC167D"/>
    <w:rsid w:val="21FF3314"/>
    <w:rsid w:val="22032E04"/>
    <w:rsid w:val="22056B7C"/>
    <w:rsid w:val="220608A2"/>
    <w:rsid w:val="220628F4"/>
    <w:rsid w:val="220646A2"/>
    <w:rsid w:val="22086346"/>
    <w:rsid w:val="2208666C"/>
    <w:rsid w:val="220964A4"/>
    <w:rsid w:val="220A23E4"/>
    <w:rsid w:val="220B7F0B"/>
    <w:rsid w:val="220F1234"/>
    <w:rsid w:val="221943D6"/>
    <w:rsid w:val="221A365E"/>
    <w:rsid w:val="221C3EC6"/>
    <w:rsid w:val="22205764"/>
    <w:rsid w:val="22235254"/>
    <w:rsid w:val="22266AF2"/>
    <w:rsid w:val="22274816"/>
    <w:rsid w:val="222D224E"/>
    <w:rsid w:val="22350AE4"/>
    <w:rsid w:val="2237485C"/>
    <w:rsid w:val="223A40EF"/>
    <w:rsid w:val="223C63CB"/>
    <w:rsid w:val="223D6DA5"/>
    <w:rsid w:val="224469E3"/>
    <w:rsid w:val="22460F43"/>
    <w:rsid w:val="224A27E1"/>
    <w:rsid w:val="224E5C00"/>
    <w:rsid w:val="224F429B"/>
    <w:rsid w:val="224F66C7"/>
    <w:rsid w:val="2254541C"/>
    <w:rsid w:val="22561186"/>
    <w:rsid w:val="225B2099"/>
    <w:rsid w:val="22610ADC"/>
    <w:rsid w:val="2265761B"/>
    <w:rsid w:val="22673393"/>
    <w:rsid w:val="22682C67"/>
    <w:rsid w:val="226A4C31"/>
    <w:rsid w:val="226B5457"/>
    <w:rsid w:val="226F2247"/>
    <w:rsid w:val="226F3FF6"/>
    <w:rsid w:val="227B405E"/>
    <w:rsid w:val="227C6712"/>
    <w:rsid w:val="227F528A"/>
    <w:rsid w:val="22806203"/>
    <w:rsid w:val="22873A35"/>
    <w:rsid w:val="22877591"/>
    <w:rsid w:val="22885BF9"/>
    <w:rsid w:val="22895117"/>
    <w:rsid w:val="228965D3"/>
    <w:rsid w:val="228A7081"/>
    <w:rsid w:val="2296541A"/>
    <w:rsid w:val="229879F0"/>
    <w:rsid w:val="22993768"/>
    <w:rsid w:val="22A16179"/>
    <w:rsid w:val="22A95394"/>
    <w:rsid w:val="22AA7723"/>
    <w:rsid w:val="22AB3233"/>
    <w:rsid w:val="22AD2D70"/>
    <w:rsid w:val="22B61C24"/>
    <w:rsid w:val="22BD1205"/>
    <w:rsid w:val="22BE4F7D"/>
    <w:rsid w:val="22BE6D2B"/>
    <w:rsid w:val="22C02AA3"/>
    <w:rsid w:val="22C17821"/>
    <w:rsid w:val="22C2681B"/>
    <w:rsid w:val="22C6199A"/>
    <w:rsid w:val="22C72083"/>
    <w:rsid w:val="22C75A2E"/>
    <w:rsid w:val="22C81958"/>
    <w:rsid w:val="22CA1B74"/>
    <w:rsid w:val="22CA3922"/>
    <w:rsid w:val="22CC0F2A"/>
    <w:rsid w:val="22CC1448"/>
    <w:rsid w:val="22CD2452"/>
    <w:rsid w:val="22CF2CE6"/>
    <w:rsid w:val="22D84291"/>
    <w:rsid w:val="22DB49BE"/>
    <w:rsid w:val="22DB5B2F"/>
    <w:rsid w:val="22DC2A30"/>
    <w:rsid w:val="22DD3655"/>
    <w:rsid w:val="22E22A19"/>
    <w:rsid w:val="22E54C87"/>
    <w:rsid w:val="22E54E3C"/>
    <w:rsid w:val="22E76282"/>
    <w:rsid w:val="22E83DA8"/>
    <w:rsid w:val="22EE1374"/>
    <w:rsid w:val="22F02C37"/>
    <w:rsid w:val="22F17100"/>
    <w:rsid w:val="22F664C5"/>
    <w:rsid w:val="22FA4207"/>
    <w:rsid w:val="22FD3574"/>
    <w:rsid w:val="22FD7853"/>
    <w:rsid w:val="22FF35CB"/>
    <w:rsid w:val="23005249"/>
    <w:rsid w:val="23046E34"/>
    <w:rsid w:val="23056708"/>
    <w:rsid w:val="2309444A"/>
    <w:rsid w:val="2318468D"/>
    <w:rsid w:val="23194618"/>
    <w:rsid w:val="231A0926"/>
    <w:rsid w:val="231D6147"/>
    <w:rsid w:val="231F5C99"/>
    <w:rsid w:val="2322375E"/>
    <w:rsid w:val="23290648"/>
    <w:rsid w:val="232A43C0"/>
    <w:rsid w:val="232C0139"/>
    <w:rsid w:val="232E2103"/>
    <w:rsid w:val="232E3EB1"/>
    <w:rsid w:val="2335523F"/>
    <w:rsid w:val="23386ADD"/>
    <w:rsid w:val="233C481F"/>
    <w:rsid w:val="233C55E1"/>
    <w:rsid w:val="233E17D0"/>
    <w:rsid w:val="23405992"/>
    <w:rsid w:val="23411E36"/>
    <w:rsid w:val="2342170A"/>
    <w:rsid w:val="23424FFC"/>
    <w:rsid w:val="23445482"/>
    <w:rsid w:val="23447230"/>
    <w:rsid w:val="23492A98"/>
    <w:rsid w:val="234C2589"/>
    <w:rsid w:val="23563407"/>
    <w:rsid w:val="23586A43"/>
    <w:rsid w:val="235C2297"/>
    <w:rsid w:val="235F0836"/>
    <w:rsid w:val="23623B5A"/>
    <w:rsid w:val="23645B24"/>
    <w:rsid w:val="23651C9F"/>
    <w:rsid w:val="236553F8"/>
    <w:rsid w:val="23696C97"/>
    <w:rsid w:val="236B51E7"/>
    <w:rsid w:val="23700025"/>
    <w:rsid w:val="237A0EA4"/>
    <w:rsid w:val="237D251C"/>
    <w:rsid w:val="237F295E"/>
    <w:rsid w:val="23857832"/>
    <w:rsid w:val="238B4600"/>
    <w:rsid w:val="238B4E5F"/>
    <w:rsid w:val="238E6718"/>
    <w:rsid w:val="239006C7"/>
    <w:rsid w:val="2393640A"/>
    <w:rsid w:val="23953F30"/>
    <w:rsid w:val="239575E6"/>
    <w:rsid w:val="23963804"/>
    <w:rsid w:val="2398757C"/>
    <w:rsid w:val="239A32F4"/>
    <w:rsid w:val="239D182C"/>
    <w:rsid w:val="239D4B92"/>
    <w:rsid w:val="239E0527"/>
    <w:rsid w:val="239E30F8"/>
    <w:rsid w:val="239F6B5C"/>
    <w:rsid w:val="23A35ADA"/>
    <w:rsid w:val="23A62696"/>
    <w:rsid w:val="23A7180F"/>
    <w:rsid w:val="23A75A11"/>
    <w:rsid w:val="23B02B18"/>
    <w:rsid w:val="23B24AE2"/>
    <w:rsid w:val="23B31D5F"/>
    <w:rsid w:val="23B56380"/>
    <w:rsid w:val="23BD6FE3"/>
    <w:rsid w:val="23BE3486"/>
    <w:rsid w:val="23C16AD3"/>
    <w:rsid w:val="23C30A9D"/>
    <w:rsid w:val="23C659E4"/>
    <w:rsid w:val="23C661FA"/>
    <w:rsid w:val="23C91E2B"/>
    <w:rsid w:val="23CE2F9E"/>
    <w:rsid w:val="23D20CE0"/>
    <w:rsid w:val="23D26F32"/>
    <w:rsid w:val="23DE59BA"/>
    <w:rsid w:val="23EB3172"/>
    <w:rsid w:val="23EC3D11"/>
    <w:rsid w:val="23ED1676"/>
    <w:rsid w:val="23ED5B1A"/>
    <w:rsid w:val="23EE0080"/>
    <w:rsid w:val="23F073B8"/>
    <w:rsid w:val="23F314B9"/>
    <w:rsid w:val="23F724F4"/>
    <w:rsid w:val="23F95193"/>
    <w:rsid w:val="23FA0237"/>
    <w:rsid w:val="23FF4CA7"/>
    <w:rsid w:val="240B75A8"/>
    <w:rsid w:val="240F5DE0"/>
    <w:rsid w:val="24117358"/>
    <w:rsid w:val="24134E54"/>
    <w:rsid w:val="2418246B"/>
    <w:rsid w:val="241E3F25"/>
    <w:rsid w:val="241E5CD3"/>
    <w:rsid w:val="242343C0"/>
    <w:rsid w:val="242A2E19"/>
    <w:rsid w:val="242B03F0"/>
    <w:rsid w:val="242B0459"/>
    <w:rsid w:val="242D5F16"/>
    <w:rsid w:val="242F26B6"/>
    <w:rsid w:val="2434206F"/>
    <w:rsid w:val="24482D50"/>
    <w:rsid w:val="244871F4"/>
    <w:rsid w:val="244B1E69"/>
    <w:rsid w:val="244C16FD"/>
    <w:rsid w:val="244C26BE"/>
    <w:rsid w:val="244D0366"/>
    <w:rsid w:val="244F233A"/>
    <w:rsid w:val="245051B0"/>
    <w:rsid w:val="245142FB"/>
    <w:rsid w:val="24523BCF"/>
    <w:rsid w:val="245C2C9F"/>
    <w:rsid w:val="245C4A01"/>
    <w:rsid w:val="24613E12"/>
    <w:rsid w:val="246851A0"/>
    <w:rsid w:val="24686FE5"/>
    <w:rsid w:val="246B6A3F"/>
    <w:rsid w:val="24704055"/>
    <w:rsid w:val="247052C5"/>
    <w:rsid w:val="247104F9"/>
    <w:rsid w:val="24727DCD"/>
    <w:rsid w:val="24741A72"/>
    <w:rsid w:val="24743B45"/>
    <w:rsid w:val="24760BE2"/>
    <w:rsid w:val="247B1377"/>
    <w:rsid w:val="2480073C"/>
    <w:rsid w:val="24816262"/>
    <w:rsid w:val="24855D52"/>
    <w:rsid w:val="24885842"/>
    <w:rsid w:val="248C5333"/>
    <w:rsid w:val="24912949"/>
    <w:rsid w:val="2492221D"/>
    <w:rsid w:val="24942439"/>
    <w:rsid w:val="24945F95"/>
    <w:rsid w:val="24997A50"/>
    <w:rsid w:val="249D7540"/>
    <w:rsid w:val="249E5066"/>
    <w:rsid w:val="249F17D3"/>
    <w:rsid w:val="24A00233"/>
    <w:rsid w:val="24A37D02"/>
    <w:rsid w:val="24A51F50"/>
    <w:rsid w:val="24A843FE"/>
    <w:rsid w:val="24B86128"/>
    <w:rsid w:val="24C10D89"/>
    <w:rsid w:val="24CA19B7"/>
    <w:rsid w:val="24CC1BD3"/>
    <w:rsid w:val="24CC3981"/>
    <w:rsid w:val="24CF521F"/>
    <w:rsid w:val="24D42836"/>
    <w:rsid w:val="24DA2BBE"/>
    <w:rsid w:val="24DB3BC4"/>
    <w:rsid w:val="24DB6E55"/>
    <w:rsid w:val="24DE57D6"/>
    <w:rsid w:val="24E0567E"/>
    <w:rsid w:val="24E33EA6"/>
    <w:rsid w:val="24E964E8"/>
    <w:rsid w:val="24EF75A7"/>
    <w:rsid w:val="24F5448C"/>
    <w:rsid w:val="24F609FE"/>
    <w:rsid w:val="24F84776"/>
    <w:rsid w:val="25046061"/>
    <w:rsid w:val="25090731"/>
    <w:rsid w:val="250C6474"/>
    <w:rsid w:val="250D7AF6"/>
    <w:rsid w:val="250F1AC0"/>
    <w:rsid w:val="25143E89"/>
    <w:rsid w:val="251C4037"/>
    <w:rsid w:val="251E1D03"/>
    <w:rsid w:val="252437BD"/>
    <w:rsid w:val="2524556B"/>
    <w:rsid w:val="252B661C"/>
    <w:rsid w:val="25323DC4"/>
    <w:rsid w:val="25341526"/>
    <w:rsid w:val="253432D4"/>
    <w:rsid w:val="253D662D"/>
    <w:rsid w:val="25421E95"/>
    <w:rsid w:val="254774AC"/>
    <w:rsid w:val="254A2AF8"/>
    <w:rsid w:val="254E25E8"/>
    <w:rsid w:val="255676EF"/>
    <w:rsid w:val="25583467"/>
    <w:rsid w:val="255D282B"/>
    <w:rsid w:val="256A4F48"/>
    <w:rsid w:val="256C0CC0"/>
    <w:rsid w:val="256C6F12"/>
    <w:rsid w:val="257162D7"/>
    <w:rsid w:val="25740E92"/>
    <w:rsid w:val="25753D18"/>
    <w:rsid w:val="25761B3F"/>
    <w:rsid w:val="25777D91"/>
    <w:rsid w:val="25781413"/>
    <w:rsid w:val="25787665"/>
    <w:rsid w:val="257B7155"/>
    <w:rsid w:val="257C53A7"/>
    <w:rsid w:val="257F09F3"/>
    <w:rsid w:val="257F3613"/>
    <w:rsid w:val="258239F9"/>
    <w:rsid w:val="258254C2"/>
    <w:rsid w:val="258424AE"/>
    <w:rsid w:val="25847A9B"/>
    <w:rsid w:val="258B55EA"/>
    <w:rsid w:val="259B3353"/>
    <w:rsid w:val="259C15A5"/>
    <w:rsid w:val="259C7458"/>
    <w:rsid w:val="259D3570"/>
    <w:rsid w:val="259D70CC"/>
    <w:rsid w:val="25A6790C"/>
    <w:rsid w:val="25A92E69"/>
    <w:rsid w:val="25A93CC2"/>
    <w:rsid w:val="25AF56A8"/>
    <w:rsid w:val="25B06DFF"/>
    <w:rsid w:val="25B20DC9"/>
    <w:rsid w:val="25B34B41"/>
    <w:rsid w:val="25B763DF"/>
    <w:rsid w:val="25BA7C7E"/>
    <w:rsid w:val="25BC39F6"/>
    <w:rsid w:val="25BE5F7F"/>
    <w:rsid w:val="25BF34E6"/>
    <w:rsid w:val="25C26B32"/>
    <w:rsid w:val="25C40AFC"/>
    <w:rsid w:val="25C603D0"/>
    <w:rsid w:val="25CC175F"/>
    <w:rsid w:val="25CC2E6A"/>
    <w:rsid w:val="25CC4F38"/>
    <w:rsid w:val="25D074A1"/>
    <w:rsid w:val="25D845A8"/>
    <w:rsid w:val="25DD396C"/>
    <w:rsid w:val="25E116AE"/>
    <w:rsid w:val="25E42F4C"/>
    <w:rsid w:val="25EB6089"/>
    <w:rsid w:val="25EB7E37"/>
    <w:rsid w:val="25EF3DCB"/>
    <w:rsid w:val="25F0173F"/>
    <w:rsid w:val="25F018F1"/>
    <w:rsid w:val="25F0369F"/>
    <w:rsid w:val="25FE1F57"/>
    <w:rsid w:val="25FF38E2"/>
    <w:rsid w:val="26041B6B"/>
    <w:rsid w:val="26046186"/>
    <w:rsid w:val="26070462"/>
    <w:rsid w:val="26103D41"/>
    <w:rsid w:val="26170C2C"/>
    <w:rsid w:val="261750D0"/>
    <w:rsid w:val="261849A4"/>
    <w:rsid w:val="261A696E"/>
    <w:rsid w:val="26211AAB"/>
    <w:rsid w:val="262A3886"/>
    <w:rsid w:val="263C2DB6"/>
    <w:rsid w:val="26404E20"/>
    <w:rsid w:val="26461511"/>
    <w:rsid w:val="26465DC5"/>
    <w:rsid w:val="26532A92"/>
    <w:rsid w:val="265C2AE3"/>
    <w:rsid w:val="26630315"/>
    <w:rsid w:val="266B4AD8"/>
    <w:rsid w:val="266B71CA"/>
    <w:rsid w:val="266D2F42"/>
    <w:rsid w:val="2673570E"/>
    <w:rsid w:val="26753BA5"/>
    <w:rsid w:val="26755E2C"/>
    <w:rsid w:val="267B7681"/>
    <w:rsid w:val="267C3185"/>
    <w:rsid w:val="267E6EFD"/>
    <w:rsid w:val="2680391F"/>
    <w:rsid w:val="268362C1"/>
    <w:rsid w:val="268564DD"/>
    <w:rsid w:val="26865DB2"/>
    <w:rsid w:val="26890B30"/>
    <w:rsid w:val="26891855"/>
    <w:rsid w:val="26914E82"/>
    <w:rsid w:val="269229A8"/>
    <w:rsid w:val="26937061"/>
    <w:rsid w:val="26937225"/>
    <w:rsid w:val="2694227D"/>
    <w:rsid w:val="26943F86"/>
    <w:rsid w:val="26962499"/>
    <w:rsid w:val="269851E1"/>
    <w:rsid w:val="269E134D"/>
    <w:rsid w:val="26A30712"/>
    <w:rsid w:val="26A36964"/>
    <w:rsid w:val="26A56238"/>
    <w:rsid w:val="26A57B72"/>
    <w:rsid w:val="26AA1A7C"/>
    <w:rsid w:val="26B02E2F"/>
    <w:rsid w:val="26B75F6B"/>
    <w:rsid w:val="26BA4560"/>
    <w:rsid w:val="26C30DB4"/>
    <w:rsid w:val="26C412B6"/>
    <w:rsid w:val="26C568DA"/>
    <w:rsid w:val="26C64400"/>
    <w:rsid w:val="26C863CA"/>
    <w:rsid w:val="26C92BC5"/>
    <w:rsid w:val="26D0702D"/>
    <w:rsid w:val="26DB60FD"/>
    <w:rsid w:val="26DB7EAB"/>
    <w:rsid w:val="26DC54DA"/>
    <w:rsid w:val="26DE174A"/>
    <w:rsid w:val="26E054C2"/>
    <w:rsid w:val="26E2748C"/>
    <w:rsid w:val="26E8081A"/>
    <w:rsid w:val="26EC24A4"/>
    <w:rsid w:val="26ED5E31"/>
    <w:rsid w:val="26EF3957"/>
    <w:rsid w:val="26F31699"/>
    <w:rsid w:val="26F62F37"/>
    <w:rsid w:val="26F86CAF"/>
    <w:rsid w:val="26F96584"/>
    <w:rsid w:val="26F969CE"/>
    <w:rsid w:val="26FD2518"/>
    <w:rsid w:val="27007912"/>
    <w:rsid w:val="27027B2E"/>
    <w:rsid w:val="27040EBB"/>
    <w:rsid w:val="270578EC"/>
    <w:rsid w:val="2709648F"/>
    <w:rsid w:val="270E647B"/>
    <w:rsid w:val="27117D71"/>
    <w:rsid w:val="27135897"/>
    <w:rsid w:val="271433BD"/>
    <w:rsid w:val="271635D9"/>
    <w:rsid w:val="27166BAC"/>
    <w:rsid w:val="271C2272"/>
    <w:rsid w:val="271D6716"/>
    <w:rsid w:val="271F4221"/>
    <w:rsid w:val="27202D3F"/>
    <w:rsid w:val="27206206"/>
    <w:rsid w:val="272B367E"/>
    <w:rsid w:val="272C0707"/>
    <w:rsid w:val="272C6EB9"/>
    <w:rsid w:val="272D4881"/>
    <w:rsid w:val="272F08E2"/>
    <w:rsid w:val="27327271"/>
    <w:rsid w:val="27335F39"/>
    <w:rsid w:val="27361586"/>
    <w:rsid w:val="273852FE"/>
    <w:rsid w:val="273D2914"/>
    <w:rsid w:val="27400656"/>
    <w:rsid w:val="27455C6D"/>
    <w:rsid w:val="274666AE"/>
    <w:rsid w:val="274676FC"/>
    <w:rsid w:val="27475541"/>
    <w:rsid w:val="274C29DB"/>
    <w:rsid w:val="274C5843"/>
    <w:rsid w:val="27511310"/>
    <w:rsid w:val="2753038A"/>
    <w:rsid w:val="27541561"/>
    <w:rsid w:val="275A7954"/>
    <w:rsid w:val="275B2D9A"/>
    <w:rsid w:val="275B3E1E"/>
    <w:rsid w:val="275D6B12"/>
    <w:rsid w:val="27630C0D"/>
    <w:rsid w:val="27684462"/>
    <w:rsid w:val="276A59DB"/>
    <w:rsid w:val="276B56D3"/>
    <w:rsid w:val="276D7AF2"/>
    <w:rsid w:val="277A3B68"/>
    <w:rsid w:val="277B51EB"/>
    <w:rsid w:val="277B7067"/>
    <w:rsid w:val="277D5407"/>
    <w:rsid w:val="277E2C99"/>
    <w:rsid w:val="27814EF7"/>
    <w:rsid w:val="278542BB"/>
    <w:rsid w:val="27872CDC"/>
    <w:rsid w:val="278B7B24"/>
    <w:rsid w:val="278C7E6E"/>
    <w:rsid w:val="278F0C96"/>
    <w:rsid w:val="2792259F"/>
    <w:rsid w:val="279978A1"/>
    <w:rsid w:val="279A4EC5"/>
    <w:rsid w:val="279B71DA"/>
    <w:rsid w:val="27A02EA3"/>
    <w:rsid w:val="27A04C51"/>
    <w:rsid w:val="27A42993"/>
    <w:rsid w:val="27A6495D"/>
    <w:rsid w:val="27A72484"/>
    <w:rsid w:val="27A91D58"/>
    <w:rsid w:val="27B5694E"/>
    <w:rsid w:val="27BA5D13"/>
    <w:rsid w:val="27BE3C67"/>
    <w:rsid w:val="27BF77CD"/>
    <w:rsid w:val="27C272BD"/>
    <w:rsid w:val="27C44DE4"/>
    <w:rsid w:val="27C923FA"/>
    <w:rsid w:val="27CB43C4"/>
    <w:rsid w:val="27DA4607"/>
    <w:rsid w:val="27DC037F"/>
    <w:rsid w:val="27DD40F7"/>
    <w:rsid w:val="27E234BC"/>
    <w:rsid w:val="27E25DE6"/>
    <w:rsid w:val="27E62FAC"/>
    <w:rsid w:val="27E965F8"/>
    <w:rsid w:val="27EB2370"/>
    <w:rsid w:val="27EB6814"/>
    <w:rsid w:val="27EC14FD"/>
    <w:rsid w:val="27EE3C0E"/>
    <w:rsid w:val="27F37477"/>
    <w:rsid w:val="27FB23CD"/>
    <w:rsid w:val="27FF406E"/>
    <w:rsid w:val="27FF7BCA"/>
    <w:rsid w:val="2802334F"/>
    <w:rsid w:val="28031BCE"/>
    <w:rsid w:val="280C4F25"/>
    <w:rsid w:val="280D0539"/>
    <w:rsid w:val="28153891"/>
    <w:rsid w:val="28174CD6"/>
    <w:rsid w:val="281A4A03"/>
    <w:rsid w:val="281D44F4"/>
    <w:rsid w:val="281E2746"/>
    <w:rsid w:val="28213FE4"/>
    <w:rsid w:val="28235FAE"/>
    <w:rsid w:val="28237D5C"/>
    <w:rsid w:val="28285372"/>
    <w:rsid w:val="282A2D36"/>
    <w:rsid w:val="282F6F65"/>
    <w:rsid w:val="28357A8F"/>
    <w:rsid w:val="283A32F8"/>
    <w:rsid w:val="283E5C7F"/>
    <w:rsid w:val="283F446A"/>
    <w:rsid w:val="28407F43"/>
    <w:rsid w:val="284303FE"/>
    <w:rsid w:val="28485A15"/>
    <w:rsid w:val="284952E9"/>
    <w:rsid w:val="284D302B"/>
    <w:rsid w:val="284D76B0"/>
    <w:rsid w:val="284E0B51"/>
    <w:rsid w:val="28551EE0"/>
    <w:rsid w:val="2856314B"/>
    <w:rsid w:val="28575241"/>
    <w:rsid w:val="285E6FE6"/>
    <w:rsid w:val="28642123"/>
    <w:rsid w:val="2864476D"/>
    <w:rsid w:val="28687E65"/>
    <w:rsid w:val="286B34B1"/>
    <w:rsid w:val="286F11F3"/>
    <w:rsid w:val="28731691"/>
    <w:rsid w:val="28757E8C"/>
    <w:rsid w:val="28780D72"/>
    <w:rsid w:val="287B7B98"/>
    <w:rsid w:val="287C56BE"/>
    <w:rsid w:val="28823125"/>
    <w:rsid w:val="288325A9"/>
    <w:rsid w:val="2883430C"/>
    <w:rsid w:val="28846321"/>
    <w:rsid w:val="288602EB"/>
    <w:rsid w:val="288C4F96"/>
    <w:rsid w:val="28902F18"/>
    <w:rsid w:val="289522DC"/>
    <w:rsid w:val="2899001E"/>
    <w:rsid w:val="289B3D96"/>
    <w:rsid w:val="289C366A"/>
    <w:rsid w:val="289F1401"/>
    <w:rsid w:val="28A63E40"/>
    <w:rsid w:val="28A864B3"/>
    <w:rsid w:val="28AA222B"/>
    <w:rsid w:val="28AB7D51"/>
    <w:rsid w:val="28AF4DBB"/>
    <w:rsid w:val="28B16468"/>
    <w:rsid w:val="28B74948"/>
    <w:rsid w:val="28BE5377"/>
    <w:rsid w:val="28BF330C"/>
    <w:rsid w:val="28C11F60"/>
    <w:rsid w:val="28C36E49"/>
    <w:rsid w:val="28C72DDD"/>
    <w:rsid w:val="28CB19DB"/>
    <w:rsid w:val="28D309C2"/>
    <w:rsid w:val="28D36FBE"/>
    <w:rsid w:val="28D70B46"/>
    <w:rsid w:val="28D82090"/>
    <w:rsid w:val="28D9666D"/>
    <w:rsid w:val="28DA340F"/>
    <w:rsid w:val="28DC43AF"/>
    <w:rsid w:val="28DE0127"/>
    <w:rsid w:val="28DF7DF7"/>
    <w:rsid w:val="28E03E9F"/>
    <w:rsid w:val="28E81476"/>
    <w:rsid w:val="28EA087A"/>
    <w:rsid w:val="28EA6ACC"/>
    <w:rsid w:val="28F33BD2"/>
    <w:rsid w:val="28F434A6"/>
    <w:rsid w:val="28F72F97"/>
    <w:rsid w:val="28F74D45"/>
    <w:rsid w:val="28F9286B"/>
    <w:rsid w:val="29037B8D"/>
    <w:rsid w:val="29053FDD"/>
    <w:rsid w:val="29064F88"/>
    <w:rsid w:val="290C07F0"/>
    <w:rsid w:val="290D27BA"/>
    <w:rsid w:val="29143B49"/>
    <w:rsid w:val="291C47AB"/>
    <w:rsid w:val="291D0C4F"/>
    <w:rsid w:val="291D667C"/>
    <w:rsid w:val="291E0523"/>
    <w:rsid w:val="2927387C"/>
    <w:rsid w:val="292813A2"/>
    <w:rsid w:val="29282EA6"/>
    <w:rsid w:val="292C1B1A"/>
    <w:rsid w:val="29373393"/>
    <w:rsid w:val="29477A7A"/>
    <w:rsid w:val="294C5091"/>
    <w:rsid w:val="294D3731"/>
    <w:rsid w:val="294F2FF6"/>
    <w:rsid w:val="295126A7"/>
    <w:rsid w:val="29534671"/>
    <w:rsid w:val="29542197"/>
    <w:rsid w:val="2956295F"/>
    <w:rsid w:val="295757E3"/>
    <w:rsid w:val="295773B4"/>
    <w:rsid w:val="295977AD"/>
    <w:rsid w:val="295A0AA5"/>
    <w:rsid w:val="295B1778"/>
    <w:rsid w:val="295B3526"/>
    <w:rsid w:val="295C2DFA"/>
    <w:rsid w:val="295D54F0"/>
    <w:rsid w:val="295F7C99"/>
    <w:rsid w:val="29657F00"/>
    <w:rsid w:val="29665177"/>
    <w:rsid w:val="296A3769"/>
    <w:rsid w:val="296C6B91"/>
    <w:rsid w:val="296E14AB"/>
    <w:rsid w:val="297E0FC2"/>
    <w:rsid w:val="2984482A"/>
    <w:rsid w:val="298C36DF"/>
    <w:rsid w:val="298C7710"/>
    <w:rsid w:val="298C7B83"/>
    <w:rsid w:val="298E38FB"/>
    <w:rsid w:val="29930F11"/>
    <w:rsid w:val="2994507C"/>
    <w:rsid w:val="299B6018"/>
    <w:rsid w:val="299B7DC6"/>
    <w:rsid w:val="299D769A"/>
    <w:rsid w:val="299F1664"/>
    <w:rsid w:val="29A24CB1"/>
    <w:rsid w:val="29A46C7B"/>
    <w:rsid w:val="29AA49F5"/>
    <w:rsid w:val="29AB625B"/>
    <w:rsid w:val="29AC3D81"/>
    <w:rsid w:val="29B570DA"/>
    <w:rsid w:val="29B64C00"/>
    <w:rsid w:val="29B733F6"/>
    <w:rsid w:val="29BD6562"/>
    <w:rsid w:val="29BD7D3C"/>
    <w:rsid w:val="29C015DB"/>
    <w:rsid w:val="29C15A7E"/>
    <w:rsid w:val="29C27101"/>
    <w:rsid w:val="29C37F84"/>
    <w:rsid w:val="29C4095E"/>
    <w:rsid w:val="29C410CB"/>
    <w:rsid w:val="29C44CF4"/>
    <w:rsid w:val="29C72969"/>
    <w:rsid w:val="29C76E0D"/>
    <w:rsid w:val="29CE3CF8"/>
    <w:rsid w:val="29CF181E"/>
    <w:rsid w:val="29D222A8"/>
    <w:rsid w:val="29D357B2"/>
    <w:rsid w:val="29D56857"/>
    <w:rsid w:val="29D659C5"/>
    <w:rsid w:val="29D86924"/>
    <w:rsid w:val="29D919AD"/>
    <w:rsid w:val="29DA08EE"/>
    <w:rsid w:val="29DA269C"/>
    <w:rsid w:val="29DB01C2"/>
    <w:rsid w:val="29DC2957"/>
    <w:rsid w:val="29E51041"/>
    <w:rsid w:val="29E61F3B"/>
    <w:rsid w:val="29EA3E3E"/>
    <w:rsid w:val="29F15C38"/>
    <w:rsid w:val="29F51284"/>
    <w:rsid w:val="29FA2D3E"/>
    <w:rsid w:val="29FC6AB7"/>
    <w:rsid w:val="2A040D26"/>
    <w:rsid w:val="2A04596B"/>
    <w:rsid w:val="2A094D30"/>
    <w:rsid w:val="2A0F77B2"/>
    <w:rsid w:val="2A102562"/>
    <w:rsid w:val="2A17569E"/>
    <w:rsid w:val="2A1A6F3D"/>
    <w:rsid w:val="2A1F069B"/>
    <w:rsid w:val="2A222295"/>
    <w:rsid w:val="2A292D24"/>
    <w:rsid w:val="2A2953D2"/>
    <w:rsid w:val="2A2A61BA"/>
    <w:rsid w:val="2A2B2EF8"/>
    <w:rsid w:val="2A300308"/>
    <w:rsid w:val="2A353D77"/>
    <w:rsid w:val="2A3A313B"/>
    <w:rsid w:val="2A3F5EB0"/>
    <w:rsid w:val="2A435F0E"/>
    <w:rsid w:val="2A443FBA"/>
    <w:rsid w:val="2A470BC4"/>
    <w:rsid w:val="2A4733C9"/>
    <w:rsid w:val="2A475858"/>
    <w:rsid w:val="2A500BB0"/>
    <w:rsid w:val="2A502FEB"/>
    <w:rsid w:val="2A505BBC"/>
    <w:rsid w:val="2A50653C"/>
    <w:rsid w:val="2A522B7B"/>
    <w:rsid w:val="2A571F3F"/>
    <w:rsid w:val="2A58434E"/>
    <w:rsid w:val="2A585A8F"/>
    <w:rsid w:val="2A5C7555"/>
    <w:rsid w:val="2A5E151F"/>
    <w:rsid w:val="2A5E32CD"/>
    <w:rsid w:val="2A622692"/>
    <w:rsid w:val="2A662182"/>
    <w:rsid w:val="2A677CA8"/>
    <w:rsid w:val="2A6843C4"/>
    <w:rsid w:val="2A6A2706"/>
    <w:rsid w:val="2A6A2ACF"/>
    <w:rsid w:val="2A6A6147"/>
    <w:rsid w:val="2A6B366E"/>
    <w:rsid w:val="2A6B7798"/>
    <w:rsid w:val="2A6C52BE"/>
    <w:rsid w:val="2A71789D"/>
    <w:rsid w:val="2A726D79"/>
    <w:rsid w:val="2A7731A7"/>
    <w:rsid w:val="2A790107"/>
    <w:rsid w:val="2A7D74CC"/>
    <w:rsid w:val="2A834AE2"/>
    <w:rsid w:val="2A8820F8"/>
    <w:rsid w:val="2A8940C2"/>
    <w:rsid w:val="2A8B3997"/>
    <w:rsid w:val="2A8D5961"/>
    <w:rsid w:val="2A9036A3"/>
    <w:rsid w:val="2A915F2E"/>
    <w:rsid w:val="2A930A9D"/>
    <w:rsid w:val="2A992557"/>
    <w:rsid w:val="2A9D36CA"/>
    <w:rsid w:val="2AA333D6"/>
    <w:rsid w:val="2AA80E45"/>
    <w:rsid w:val="2AAA6513"/>
    <w:rsid w:val="2AAB2DC7"/>
    <w:rsid w:val="2AAE58D7"/>
    <w:rsid w:val="2AB63109"/>
    <w:rsid w:val="2ABE1FBE"/>
    <w:rsid w:val="2AC05D36"/>
    <w:rsid w:val="2AC46EA9"/>
    <w:rsid w:val="2AC60E73"/>
    <w:rsid w:val="2AC86999"/>
    <w:rsid w:val="2ACD0A78"/>
    <w:rsid w:val="2ACE1AD5"/>
    <w:rsid w:val="2AD0584D"/>
    <w:rsid w:val="2AD417E1"/>
    <w:rsid w:val="2AD4533E"/>
    <w:rsid w:val="2AD90BA6"/>
    <w:rsid w:val="2ADC41F2"/>
    <w:rsid w:val="2AE01F34"/>
    <w:rsid w:val="2AEF4E4D"/>
    <w:rsid w:val="2AF27EBA"/>
    <w:rsid w:val="2AF43C32"/>
    <w:rsid w:val="2AF4778E"/>
    <w:rsid w:val="2AF552B4"/>
    <w:rsid w:val="2AF754D0"/>
    <w:rsid w:val="2AF9470D"/>
    <w:rsid w:val="2B02634F"/>
    <w:rsid w:val="2B0513A0"/>
    <w:rsid w:val="2B065713"/>
    <w:rsid w:val="2B0705B1"/>
    <w:rsid w:val="2B084FE7"/>
    <w:rsid w:val="2B0B2D29"/>
    <w:rsid w:val="2B0C37AD"/>
    <w:rsid w:val="2B116592"/>
    <w:rsid w:val="2B161A0E"/>
    <w:rsid w:val="2B1A57AD"/>
    <w:rsid w:val="2B2160A9"/>
    <w:rsid w:val="2B255B99"/>
    <w:rsid w:val="2B261911"/>
    <w:rsid w:val="2B2A7653"/>
    <w:rsid w:val="2B2B6F28"/>
    <w:rsid w:val="2B33475A"/>
    <w:rsid w:val="2B345DDC"/>
    <w:rsid w:val="2B4029D3"/>
    <w:rsid w:val="2B45623B"/>
    <w:rsid w:val="2B4A5600"/>
    <w:rsid w:val="2B4D3342"/>
    <w:rsid w:val="2B514BE0"/>
    <w:rsid w:val="2B632B65"/>
    <w:rsid w:val="2B6366C1"/>
    <w:rsid w:val="2B68109E"/>
    <w:rsid w:val="2B696BA9"/>
    <w:rsid w:val="2B6C37C8"/>
    <w:rsid w:val="2B6D2330"/>
    <w:rsid w:val="2B6D7540"/>
    <w:rsid w:val="2B6E5792"/>
    <w:rsid w:val="2B77216D"/>
    <w:rsid w:val="2B786611"/>
    <w:rsid w:val="2B822FEC"/>
    <w:rsid w:val="2B836D64"/>
    <w:rsid w:val="2B85488A"/>
    <w:rsid w:val="2B8855E7"/>
    <w:rsid w:val="2B8F395A"/>
    <w:rsid w:val="2B957EC3"/>
    <w:rsid w:val="2B9952EB"/>
    <w:rsid w:val="2B9A3357"/>
    <w:rsid w:val="2B9F159F"/>
    <w:rsid w:val="2BA72A52"/>
    <w:rsid w:val="2BA74800"/>
    <w:rsid w:val="2BA86521"/>
    <w:rsid w:val="2BAB0C35"/>
    <w:rsid w:val="2BAE0B66"/>
    <w:rsid w:val="2BAE3DE1"/>
    <w:rsid w:val="2BB4516F"/>
    <w:rsid w:val="2BB46F1D"/>
    <w:rsid w:val="2BB53C62"/>
    <w:rsid w:val="2BB76C46"/>
    <w:rsid w:val="2BBB64FD"/>
    <w:rsid w:val="2BBD4024"/>
    <w:rsid w:val="2BBF5FEE"/>
    <w:rsid w:val="2BC2163A"/>
    <w:rsid w:val="2BC37160"/>
    <w:rsid w:val="2BC74EA2"/>
    <w:rsid w:val="2BC929C8"/>
    <w:rsid w:val="2BC96E6C"/>
    <w:rsid w:val="2BCA04EF"/>
    <w:rsid w:val="2BCA6741"/>
    <w:rsid w:val="2BCC1169"/>
    <w:rsid w:val="2BCC4267"/>
    <w:rsid w:val="2BD31A99"/>
    <w:rsid w:val="2BD61589"/>
    <w:rsid w:val="2BD840A4"/>
    <w:rsid w:val="2BD9277E"/>
    <w:rsid w:val="2BDB094E"/>
    <w:rsid w:val="2BDF21EC"/>
    <w:rsid w:val="2BE07D12"/>
    <w:rsid w:val="2BE23A8A"/>
    <w:rsid w:val="2BE710A1"/>
    <w:rsid w:val="2BEB6DE3"/>
    <w:rsid w:val="2BED6BAB"/>
    <w:rsid w:val="2BEF0B9E"/>
    <w:rsid w:val="2BEF61A7"/>
    <w:rsid w:val="2BF043F9"/>
    <w:rsid w:val="2BF10171"/>
    <w:rsid w:val="2BF57C61"/>
    <w:rsid w:val="2BF81500"/>
    <w:rsid w:val="2BFC0D12"/>
    <w:rsid w:val="2C041C52"/>
    <w:rsid w:val="2C0C4FAB"/>
    <w:rsid w:val="2C0D2CC2"/>
    <w:rsid w:val="2C0E2AD1"/>
    <w:rsid w:val="2C11611D"/>
    <w:rsid w:val="2C131E96"/>
    <w:rsid w:val="2C153E60"/>
    <w:rsid w:val="2C161986"/>
    <w:rsid w:val="2C1A3224"/>
    <w:rsid w:val="2C1C3440"/>
    <w:rsid w:val="2C1C51EE"/>
    <w:rsid w:val="2C24507B"/>
    <w:rsid w:val="2C245E51"/>
    <w:rsid w:val="2C2916B9"/>
    <w:rsid w:val="2C29790B"/>
    <w:rsid w:val="2C2E3173"/>
    <w:rsid w:val="2C332538"/>
    <w:rsid w:val="2C352789"/>
    <w:rsid w:val="2C4058A5"/>
    <w:rsid w:val="2C46226B"/>
    <w:rsid w:val="2C4B162F"/>
    <w:rsid w:val="2C4C3F30"/>
    <w:rsid w:val="2C532BDA"/>
    <w:rsid w:val="2C550700"/>
    <w:rsid w:val="2C5B55EB"/>
    <w:rsid w:val="2C5F157F"/>
    <w:rsid w:val="2C694B99"/>
    <w:rsid w:val="2C7072E8"/>
    <w:rsid w:val="2C75313C"/>
    <w:rsid w:val="2C7645CC"/>
    <w:rsid w:val="2C792640"/>
    <w:rsid w:val="2C79468E"/>
    <w:rsid w:val="2C7C5C8D"/>
    <w:rsid w:val="2C7F6D72"/>
    <w:rsid w:val="2C830311"/>
    <w:rsid w:val="2C8965FC"/>
    <w:rsid w:val="2C8B2374"/>
    <w:rsid w:val="2C8F0EA7"/>
    <w:rsid w:val="2C92725E"/>
    <w:rsid w:val="2C956D4E"/>
    <w:rsid w:val="2C9F197B"/>
    <w:rsid w:val="2CA70830"/>
    <w:rsid w:val="2CA84CD4"/>
    <w:rsid w:val="2CA86A82"/>
    <w:rsid w:val="2CA9068B"/>
    <w:rsid w:val="2CA945A8"/>
    <w:rsid w:val="2CAB6572"/>
    <w:rsid w:val="2CAC5BC5"/>
    <w:rsid w:val="2CAE1BBE"/>
    <w:rsid w:val="2CB03B88"/>
    <w:rsid w:val="2CB2345D"/>
    <w:rsid w:val="2CB73169"/>
    <w:rsid w:val="2CB82A3D"/>
    <w:rsid w:val="2CB90C8F"/>
    <w:rsid w:val="2CBB5260"/>
    <w:rsid w:val="2CBC7C58"/>
    <w:rsid w:val="2CC118F2"/>
    <w:rsid w:val="2CC413E2"/>
    <w:rsid w:val="2CC47634"/>
    <w:rsid w:val="2CC56979"/>
    <w:rsid w:val="2CCC7F97"/>
    <w:rsid w:val="2CD5539D"/>
    <w:rsid w:val="2CD57196"/>
    <w:rsid w:val="2CD86C3B"/>
    <w:rsid w:val="2CDC2BCF"/>
    <w:rsid w:val="2CDD4252"/>
    <w:rsid w:val="2CDF621C"/>
    <w:rsid w:val="2CE101E6"/>
    <w:rsid w:val="2CE41F2E"/>
    <w:rsid w:val="2CE51A84"/>
    <w:rsid w:val="2CE81574"/>
    <w:rsid w:val="2CE974BF"/>
    <w:rsid w:val="2CEA52EC"/>
    <w:rsid w:val="2CED0939"/>
    <w:rsid w:val="2CEF46B1"/>
    <w:rsid w:val="2CF241A1"/>
    <w:rsid w:val="2CF47F19"/>
    <w:rsid w:val="2CF94F11"/>
    <w:rsid w:val="2CFA3055"/>
    <w:rsid w:val="2CFA4E04"/>
    <w:rsid w:val="2CFE66A2"/>
    <w:rsid w:val="2CFF066C"/>
    <w:rsid w:val="2D012636"/>
    <w:rsid w:val="2D031F0A"/>
    <w:rsid w:val="2D0839C4"/>
    <w:rsid w:val="2D0A773C"/>
    <w:rsid w:val="2D0B5263"/>
    <w:rsid w:val="2D102879"/>
    <w:rsid w:val="2D12214D"/>
    <w:rsid w:val="2D140E5E"/>
    <w:rsid w:val="2D1759B5"/>
    <w:rsid w:val="2D1934DC"/>
    <w:rsid w:val="2D1B5C2C"/>
    <w:rsid w:val="2D1C121E"/>
    <w:rsid w:val="2D1C2FCC"/>
    <w:rsid w:val="2D1E4F96"/>
    <w:rsid w:val="2D2105E2"/>
    <w:rsid w:val="2D212671"/>
    <w:rsid w:val="2D214A86"/>
    <w:rsid w:val="2D241F6F"/>
    <w:rsid w:val="2D297497"/>
    <w:rsid w:val="2D2D51D9"/>
    <w:rsid w:val="2D320A41"/>
    <w:rsid w:val="2D3447B9"/>
    <w:rsid w:val="2D35408E"/>
    <w:rsid w:val="2D3703E5"/>
    <w:rsid w:val="2D377E06"/>
    <w:rsid w:val="2D3A44A6"/>
    <w:rsid w:val="2D3B78F6"/>
    <w:rsid w:val="2D3F7BCD"/>
    <w:rsid w:val="2D401748"/>
    <w:rsid w:val="2D482013"/>
    <w:rsid w:val="2D48295C"/>
    <w:rsid w:val="2D4A5D8B"/>
    <w:rsid w:val="2D4D0983"/>
    <w:rsid w:val="2D546C0A"/>
    <w:rsid w:val="2D5704A8"/>
    <w:rsid w:val="2D595FCE"/>
    <w:rsid w:val="2D5B1D46"/>
    <w:rsid w:val="2D5B36F4"/>
    <w:rsid w:val="2D5B7F98"/>
    <w:rsid w:val="2D5C5ABE"/>
    <w:rsid w:val="2D5D6739"/>
    <w:rsid w:val="2D60068C"/>
    <w:rsid w:val="2D614E83"/>
    <w:rsid w:val="2D630BFB"/>
    <w:rsid w:val="2D652BC5"/>
    <w:rsid w:val="2D656721"/>
    <w:rsid w:val="2D6706EB"/>
    <w:rsid w:val="2D6E3085"/>
    <w:rsid w:val="2D74105A"/>
    <w:rsid w:val="2D7626DC"/>
    <w:rsid w:val="2D7828F8"/>
    <w:rsid w:val="2D7A3A3A"/>
    <w:rsid w:val="2D7B4196"/>
    <w:rsid w:val="2D8017AD"/>
    <w:rsid w:val="2D8F5E37"/>
    <w:rsid w:val="2D92328E"/>
    <w:rsid w:val="2D9D410D"/>
    <w:rsid w:val="2DA03BFD"/>
    <w:rsid w:val="2DA07759"/>
    <w:rsid w:val="2DA92EA3"/>
    <w:rsid w:val="2DAE631A"/>
    <w:rsid w:val="2DAF3E40"/>
    <w:rsid w:val="2DB17BB8"/>
    <w:rsid w:val="2DB45021"/>
    <w:rsid w:val="2DB72CF5"/>
    <w:rsid w:val="2DB979F9"/>
    <w:rsid w:val="2DBA6ABB"/>
    <w:rsid w:val="2DBB4593"/>
    <w:rsid w:val="2DBD655D"/>
    <w:rsid w:val="2DC618FC"/>
    <w:rsid w:val="2DC86CB0"/>
    <w:rsid w:val="2DD35D80"/>
    <w:rsid w:val="2DDB2E87"/>
    <w:rsid w:val="2DDB4C35"/>
    <w:rsid w:val="2DDE357F"/>
    <w:rsid w:val="2DDF2977"/>
    <w:rsid w:val="2DE35CC7"/>
    <w:rsid w:val="2DE47F8D"/>
    <w:rsid w:val="2DE53D06"/>
    <w:rsid w:val="2DE73F83"/>
    <w:rsid w:val="2DE75388"/>
    <w:rsid w:val="2DEA4E78"/>
    <w:rsid w:val="2DED6716"/>
    <w:rsid w:val="2DEE0B8D"/>
    <w:rsid w:val="2DF2432C"/>
    <w:rsid w:val="2DF857E7"/>
    <w:rsid w:val="2DF87595"/>
    <w:rsid w:val="2DFA155F"/>
    <w:rsid w:val="2DFA568F"/>
    <w:rsid w:val="2DFB52D7"/>
    <w:rsid w:val="2E0028ED"/>
    <w:rsid w:val="2E0221C2"/>
    <w:rsid w:val="2E0A551A"/>
    <w:rsid w:val="2E0C3040"/>
    <w:rsid w:val="2E141EF5"/>
    <w:rsid w:val="2E175D80"/>
    <w:rsid w:val="2E183793"/>
    <w:rsid w:val="2E190DDE"/>
    <w:rsid w:val="2E1D6FFC"/>
    <w:rsid w:val="2E1E169D"/>
    <w:rsid w:val="2E1F0FC6"/>
    <w:rsid w:val="2E24038A"/>
    <w:rsid w:val="2E254102"/>
    <w:rsid w:val="2E271C28"/>
    <w:rsid w:val="2E2760CC"/>
    <w:rsid w:val="2E277E7A"/>
    <w:rsid w:val="2E2A34C6"/>
    <w:rsid w:val="2E2F6D2F"/>
    <w:rsid w:val="2E3118D8"/>
    <w:rsid w:val="2E343932"/>
    <w:rsid w:val="2E376E42"/>
    <w:rsid w:val="2E385BE3"/>
    <w:rsid w:val="2E4140F1"/>
    <w:rsid w:val="2E440A2C"/>
    <w:rsid w:val="2E4564F4"/>
    <w:rsid w:val="2E456552"/>
    <w:rsid w:val="2E4A5917"/>
    <w:rsid w:val="2E4C2B0D"/>
    <w:rsid w:val="2E4F2177"/>
    <w:rsid w:val="2E505623"/>
    <w:rsid w:val="2E52321D"/>
    <w:rsid w:val="2E5336C9"/>
    <w:rsid w:val="2E536EC1"/>
    <w:rsid w:val="2E5642BC"/>
    <w:rsid w:val="2E580034"/>
    <w:rsid w:val="2E5A0250"/>
    <w:rsid w:val="2E5A0537"/>
    <w:rsid w:val="2E5A3DAC"/>
    <w:rsid w:val="2E5B7B24"/>
    <w:rsid w:val="2E5C5D76"/>
    <w:rsid w:val="2E625356"/>
    <w:rsid w:val="2E666BF4"/>
    <w:rsid w:val="2E6C1D31"/>
    <w:rsid w:val="2E6D7F83"/>
    <w:rsid w:val="2E701821"/>
    <w:rsid w:val="2E704C40"/>
    <w:rsid w:val="2E76495E"/>
    <w:rsid w:val="2E764C99"/>
    <w:rsid w:val="2E7806D6"/>
    <w:rsid w:val="2E786928"/>
    <w:rsid w:val="2E7A444E"/>
    <w:rsid w:val="2E7C61BE"/>
    <w:rsid w:val="2E7C6DB5"/>
    <w:rsid w:val="2E7D06D3"/>
    <w:rsid w:val="2E870919"/>
    <w:rsid w:val="2E8C5F2F"/>
    <w:rsid w:val="2E8E7EF9"/>
    <w:rsid w:val="2E903C71"/>
    <w:rsid w:val="2E935510"/>
    <w:rsid w:val="2E951288"/>
    <w:rsid w:val="2E9F3EB4"/>
    <w:rsid w:val="2EA43279"/>
    <w:rsid w:val="2EA9088F"/>
    <w:rsid w:val="2EAD4823"/>
    <w:rsid w:val="2EB21298"/>
    <w:rsid w:val="2EB21E3A"/>
    <w:rsid w:val="2EB57234"/>
    <w:rsid w:val="2EBA6870"/>
    <w:rsid w:val="2EBB78BE"/>
    <w:rsid w:val="2EBF00B3"/>
    <w:rsid w:val="2EC41B6D"/>
    <w:rsid w:val="2ECD27D0"/>
    <w:rsid w:val="2ECF44CB"/>
    <w:rsid w:val="2ED022C0"/>
    <w:rsid w:val="2ED26038"/>
    <w:rsid w:val="2ED27DE6"/>
    <w:rsid w:val="2ED51684"/>
    <w:rsid w:val="2EDC0C65"/>
    <w:rsid w:val="2EDE3B95"/>
    <w:rsid w:val="2EE47B19"/>
    <w:rsid w:val="2EEE2746"/>
    <w:rsid w:val="2EF02962"/>
    <w:rsid w:val="2EF10397"/>
    <w:rsid w:val="2EF53AD4"/>
    <w:rsid w:val="2F032695"/>
    <w:rsid w:val="2F041F69"/>
    <w:rsid w:val="2F0476B2"/>
    <w:rsid w:val="2F063F34"/>
    <w:rsid w:val="2F083808"/>
    <w:rsid w:val="2F0B154A"/>
    <w:rsid w:val="2F0B211E"/>
    <w:rsid w:val="2F0C3E0F"/>
    <w:rsid w:val="2F120B2A"/>
    <w:rsid w:val="2F176141"/>
    <w:rsid w:val="2F1C5505"/>
    <w:rsid w:val="2F1D760E"/>
    <w:rsid w:val="2F1E302B"/>
    <w:rsid w:val="2F274DD0"/>
    <w:rsid w:val="2F2820FC"/>
    <w:rsid w:val="2F2A7C22"/>
    <w:rsid w:val="2F2F5238"/>
    <w:rsid w:val="2F300FB0"/>
    <w:rsid w:val="2F320885"/>
    <w:rsid w:val="2F350375"/>
    <w:rsid w:val="2F364819"/>
    <w:rsid w:val="2F3B1E2F"/>
    <w:rsid w:val="2F43624E"/>
    <w:rsid w:val="2F46399F"/>
    <w:rsid w:val="2F4B7B98"/>
    <w:rsid w:val="2F560A17"/>
    <w:rsid w:val="2F580725"/>
    <w:rsid w:val="2F5A7DDB"/>
    <w:rsid w:val="2F603644"/>
    <w:rsid w:val="2F672A78"/>
    <w:rsid w:val="2F745341"/>
    <w:rsid w:val="2F776BDF"/>
    <w:rsid w:val="2F794705"/>
    <w:rsid w:val="2F7964B4"/>
    <w:rsid w:val="2F7C5FA4"/>
    <w:rsid w:val="2F7D2448"/>
    <w:rsid w:val="2F7E7F6E"/>
    <w:rsid w:val="2F7F2AA0"/>
    <w:rsid w:val="2F833124"/>
    <w:rsid w:val="2F8337D6"/>
    <w:rsid w:val="2F880DEC"/>
    <w:rsid w:val="2F8A6913"/>
    <w:rsid w:val="2F8D01B1"/>
    <w:rsid w:val="2F917175"/>
    <w:rsid w:val="2F93220A"/>
    <w:rsid w:val="2F967065"/>
    <w:rsid w:val="2F997048"/>
    <w:rsid w:val="2F9B0B20"/>
    <w:rsid w:val="2FA02C09"/>
    <w:rsid w:val="2FA33530"/>
    <w:rsid w:val="2FAA7CE5"/>
    <w:rsid w:val="2FAC6889"/>
    <w:rsid w:val="2FAD2601"/>
    <w:rsid w:val="2FB4573E"/>
    <w:rsid w:val="2FB614B6"/>
    <w:rsid w:val="2FB7522E"/>
    <w:rsid w:val="2FB76FDC"/>
    <w:rsid w:val="2FC11C09"/>
    <w:rsid w:val="2FC260AC"/>
    <w:rsid w:val="2FC55B9D"/>
    <w:rsid w:val="2FC73729"/>
    <w:rsid w:val="2FC811E9"/>
    <w:rsid w:val="2FC8743B"/>
    <w:rsid w:val="2FD14541"/>
    <w:rsid w:val="2FD45DE0"/>
    <w:rsid w:val="2FD933F6"/>
    <w:rsid w:val="2FDB0F1C"/>
    <w:rsid w:val="2FDB716E"/>
    <w:rsid w:val="2FDE27BA"/>
    <w:rsid w:val="2FE36023"/>
    <w:rsid w:val="2FE853E7"/>
    <w:rsid w:val="2FEA5603"/>
    <w:rsid w:val="2FED0C50"/>
    <w:rsid w:val="2FED26A0"/>
    <w:rsid w:val="2FEF2C1A"/>
    <w:rsid w:val="2FF50E32"/>
    <w:rsid w:val="2FF7387C"/>
    <w:rsid w:val="2FF975F4"/>
    <w:rsid w:val="2FFC0D05"/>
    <w:rsid w:val="300206D5"/>
    <w:rsid w:val="300246FB"/>
    <w:rsid w:val="300B73F6"/>
    <w:rsid w:val="300F6E18"/>
    <w:rsid w:val="3014442E"/>
    <w:rsid w:val="301B3A0F"/>
    <w:rsid w:val="301B756B"/>
    <w:rsid w:val="301D32E3"/>
    <w:rsid w:val="30201103"/>
    <w:rsid w:val="302100FF"/>
    <w:rsid w:val="30240B15"/>
    <w:rsid w:val="302527A4"/>
    <w:rsid w:val="30257F10"/>
    <w:rsid w:val="302B59D4"/>
    <w:rsid w:val="302C1778"/>
    <w:rsid w:val="302C5C1C"/>
    <w:rsid w:val="303074BA"/>
    <w:rsid w:val="303B2136"/>
    <w:rsid w:val="303B5E5F"/>
    <w:rsid w:val="303F594F"/>
    <w:rsid w:val="30405223"/>
    <w:rsid w:val="304170CB"/>
    <w:rsid w:val="30442F65"/>
    <w:rsid w:val="30444D13"/>
    <w:rsid w:val="30446AC1"/>
    <w:rsid w:val="3045283A"/>
    <w:rsid w:val="30470360"/>
    <w:rsid w:val="304A60A2"/>
    <w:rsid w:val="30550CCF"/>
    <w:rsid w:val="305667F5"/>
    <w:rsid w:val="3062163D"/>
    <w:rsid w:val="30623DE4"/>
    <w:rsid w:val="30685202"/>
    <w:rsid w:val="306C6018"/>
    <w:rsid w:val="30731155"/>
    <w:rsid w:val="30741FB4"/>
    <w:rsid w:val="30755662"/>
    <w:rsid w:val="30766E97"/>
    <w:rsid w:val="30846656"/>
    <w:rsid w:val="3086532C"/>
    <w:rsid w:val="3089052D"/>
    <w:rsid w:val="308A43D0"/>
    <w:rsid w:val="308B70BE"/>
    <w:rsid w:val="309015AF"/>
    <w:rsid w:val="309317F7"/>
    <w:rsid w:val="30974EC3"/>
    <w:rsid w:val="30983B9C"/>
    <w:rsid w:val="309A5723"/>
    <w:rsid w:val="309C1A0D"/>
    <w:rsid w:val="309F019C"/>
    <w:rsid w:val="30A13F14"/>
    <w:rsid w:val="30A25EDE"/>
    <w:rsid w:val="30A27C8C"/>
    <w:rsid w:val="30A47560"/>
    <w:rsid w:val="30A6777C"/>
    <w:rsid w:val="30A9726C"/>
    <w:rsid w:val="30B26121"/>
    <w:rsid w:val="30B55C11"/>
    <w:rsid w:val="30B80CAC"/>
    <w:rsid w:val="30C108CE"/>
    <w:rsid w:val="30C220DC"/>
    <w:rsid w:val="30C61BCC"/>
    <w:rsid w:val="30C776F3"/>
    <w:rsid w:val="30C96FC7"/>
    <w:rsid w:val="30CD2F5B"/>
    <w:rsid w:val="30CE282F"/>
    <w:rsid w:val="30D86B55"/>
    <w:rsid w:val="30DC13F0"/>
    <w:rsid w:val="30E47124"/>
    <w:rsid w:val="30E65DCB"/>
    <w:rsid w:val="30E738F1"/>
    <w:rsid w:val="30E91417"/>
    <w:rsid w:val="30E97669"/>
    <w:rsid w:val="30F142F0"/>
    <w:rsid w:val="30F304E8"/>
    <w:rsid w:val="30F46739"/>
    <w:rsid w:val="30F53DBD"/>
    <w:rsid w:val="30FA3624"/>
    <w:rsid w:val="30FD5F50"/>
    <w:rsid w:val="30FF6E8C"/>
    <w:rsid w:val="31010E56"/>
    <w:rsid w:val="31046251"/>
    <w:rsid w:val="31085D41"/>
    <w:rsid w:val="311428B2"/>
    <w:rsid w:val="311A20BE"/>
    <w:rsid w:val="311E5564"/>
    <w:rsid w:val="31201969"/>
    <w:rsid w:val="312106D4"/>
    <w:rsid w:val="31224929"/>
    <w:rsid w:val="3123652A"/>
    <w:rsid w:val="312A215B"/>
    <w:rsid w:val="312D1C4B"/>
    <w:rsid w:val="31321010"/>
    <w:rsid w:val="31350B00"/>
    <w:rsid w:val="31376626"/>
    <w:rsid w:val="3138414C"/>
    <w:rsid w:val="313A6116"/>
    <w:rsid w:val="313F3E12"/>
    <w:rsid w:val="31413001"/>
    <w:rsid w:val="31434FCB"/>
    <w:rsid w:val="31464ABB"/>
    <w:rsid w:val="31466869"/>
    <w:rsid w:val="314825E1"/>
    <w:rsid w:val="314E571E"/>
    <w:rsid w:val="3150593A"/>
    <w:rsid w:val="3159659D"/>
    <w:rsid w:val="315C608D"/>
    <w:rsid w:val="3166245B"/>
    <w:rsid w:val="316D2048"/>
    <w:rsid w:val="31700A79"/>
    <w:rsid w:val="31723B02"/>
    <w:rsid w:val="31784BB8"/>
    <w:rsid w:val="317E5771"/>
    <w:rsid w:val="317F0E37"/>
    <w:rsid w:val="31817793"/>
    <w:rsid w:val="31857392"/>
    <w:rsid w:val="31881D10"/>
    <w:rsid w:val="318B4309"/>
    <w:rsid w:val="318F6462"/>
    <w:rsid w:val="319A0963"/>
    <w:rsid w:val="319C0B7F"/>
    <w:rsid w:val="31A16195"/>
    <w:rsid w:val="31A517E2"/>
    <w:rsid w:val="31A5314A"/>
    <w:rsid w:val="31AB7B22"/>
    <w:rsid w:val="31AE4DFC"/>
    <w:rsid w:val="31AF3D3F"/>
    <w:rsid w:val="31B732C3"/>
    <w:rsid w:val="31B859B9"/>
    <w:rsid w:val="31B934DF"/>
    <w:rsid w:val="31BB12CA"/>
    <w:rsid w:val="31BC4D7D"/>
    <w:rsid w:val="31BD2FCF"/>
    <w:rsid w:val="31C003CA"/>
    <w:rsid w:val="31C0486E"/>
    <w:rsid w:val="31C205E6"/>
    <w:rsid w:val="31C3435E"/>
    <w:rsid w:val="31C36CF8"/>
    <w:rsid w:val="31C4449A"/>
    <w:rsid w:val="31C62983"/>
    <w:rsid w:val="31C94210"/>
    <w:rsid w:val="31CB6BCB"/>
    <w:rsid w:val="31D1650A"/>
    <w:rsid w:val="31D16A7B"/>
    <w:rsid w:val="31D413BE"/>
    <w:rsid w:val="31D5284E"/>
    <w:rsid w:val="31D616B2"/>
    <w:rsid w:val="31D92BDB"/>
    <w:rsid w:val="31E0281A"/>
    <w:rsid w:val="31E247E4"/>
    <w:rsid w:val="31E3055C"/>
    <w:rsid w:val="31E7004C"/>
    <w:rsid w:val="31F91B2E"/>
    <w:rsid w:val="31FF1567"/>
    <w:rsid w:val="31FF437A"/>
    <w:rsid w:val="3203475A"/>
    <w:rsid w:val="320501EC"/>
    <w:rsid w:val="320756DD"/>
    <w:rsid w:val="320944A7"/>
    <w:rsid w:val="320D2B61"/>
    <w:rsid w:val="320F1351"/>
    <w:rsid w:val="320F28B0"/>
    <w:rsid w:val="32116E77"/>
    <w:rsid w:val="32180050"/>
    <w:rsid w:val="321B1AA4"/>
    <w:rsid w:val="321E1594"/>
    <w:rsid w:val="32250B75"/>
    <w:rsid w:val="3229553B"/>
    <w:rsid w:val="322A1CE7"/>
    <w:rsid w:val="322B5D49"/>
    <w:rsid w:val="32326DEE"/>
    <w:rsid w:val="32335040"/>
    <w:rsid w:val="32356A97"/>
    <w:rsid w:val="323A4620"/>
    <w:rsid w:val="323B5CA2"/>
    <w:rsid w:val="323C5A5D"/>
    <w:rsid w:val="323C7DCD"/>
    <w:rsid w:val="32430FFB"/>
    <w:rsid w:val="324A05DB"/>
    <w:rsid w:val="324C6101"/>
    <w:rsid w:val="324E1E79"/>
    <w:rsid w:val="324F79A0"/>
    <w:rsid w:val="3251196A"/>
    <w:rsid w:val="325154C6"/>
    <w:rsid w:val="32582CF8"/>
    <w:rsid w:val="32584AA6"/>
    <w:rsid w:val="325B4596"/>
    <w:rsid w:val="326571C3"/>
    <w:rsid w:val="32677589"/>
    <w:rsid w:val="326A2A2B"/>
    <w:rsid w:val="326A47D9"/>
    <w:rsid w:val="326C1E5D"/>
    <w:rsid w:val="326E42CA"/>
    <w:rsid w:val="32700042"/>
    <w:rsid w:val="32717916"/>
    <w:rsid w:val="32755658"/>
    <w:rsid w:val="32780143"/>
    <w:rsid w:val="327A2C6E"/>
    <w:rsid w:val="327A42BE"/>
    <w:rsid w:val="327F2033"/>
    <w:rsid w:val="32807B59"/>
    <w:rsid w:val="3284589B"/>
    <w:rsid w:val="328A09D8"/>
    <w:rsid w:val="32931F82"/>
    <w:rsid w:val="3296737C"/>
    <w:rsid w:val="32994EA0"/>
    <w:rsid w:val="329B0E37"/>
    <w:rsid w:val="32A25D21"/>
    <w:rsid w:val="32A61CB5"/>
    <w:rsid w:val="32AE0B6A"/>
    <w:rsid w:val="32B05ACE"/>
    <w:rsid w:val="32B128D9"/>
    <w:rsid w:val="32B31CDC"/>
    <w:rsid w:val="32B36180"/>
    <w:rsid w:val="32B40693"/>
    <w:rsid w:val="32B759A1"/>
    <w:rsid w:val="32B75C71"/>
    <w:rsid w:val="32B85545"/>
    <w:rsid w:val="32BD2C24"/>
    <w:rsid w:val="32BE744E"/>
    <w:rsid w:val="32BF4B25"/>
    <w:rsid w:val="32C24615"/>
    <w:rsid w:val="32C43EEA"/>
    <w:rsid w:val="32C75788"/>
    <w:rsid w:val="32CB171C"/>
    <w:rsid w:val="32D16607"/>
    <w:rsid w:val="32D3412D"/>
    <w:rsid w:val="32D560F7"/>
    <w:rsid w:val="32D571A3"/>
    <w:rsid w:val="32D67C67"/>
    <w:rsid w:val="32D81743"/>
    <w:rsid w:val="32D87995"/>
    <w:rsid w:val="32DD144F"/>
    <w:rsid w:val="32E20814"/>
    <w:rsid w:val="32E77BD8"/>
    <w:rsid w:val="32EA7AB2"/>
    <w:rsid w:val="32EE0F67"/>
    <w:rsid w:val="32F04CDF"/>
    <w:rsid w:val="32F32A3D"/>
    <w:rsid w:val="32F36623"/>
    <w:rsid w:val="32F440A4"/>
    <w:rsid w:val="32F50547"/>
    <w:rsid w:val="32F83B93"/>
    <w:rsid w:val="32FB17B4"/>
    <w:rsid w:val="32FD22FD"/>
    <w:rsid w:val="32FE0260"/>
    <w:rsid w:val="33010C9A"/>
    <w:rsid w:val="3304078A"/>
    <w:rsid w:val="330469DC"/>
    <w:rsid w:val="330B1B18"/>
    <w:rsid w:val="330B7D6A"/>
    <w:rsid w:val="330C5891"/>
    <w:rsid w:val="330C763F"/>
    <w:rsid w:val="330D3AE3"/>
    <w:rsid w:val="330E1609"/>
    <w:rsid w:val="331309CD"/>
    <w:rsid w:val="331A65AF"/>
    <w:rsid w:val="331C3D26"/>
    <w:rsid w:val="331F3816"/>
    <w:rsid w:val="332143CC"/>
    <w:rsid w:val="33296443"/>
    <w:rsid w:val="33353039"/>
    <w:rsid w:val="333746BC"/>
    <w:rsid w:val="333A23FE"/>
    <w:rsid w:val="33437504"/>
    <w:rsid w:val="3344327C"/>
    <w:rsid w:val="33447CF9"/>
    <w:rsid w:val="33460DA3"/>
    <w:rsid w:val="334A7763"/>
    <w:rsid w:val="334B460B"/>
    <w:rsid w:val="334E5EA9"/>
    <w:rsid w:val="334E7C57"/>
    <w:rsid w:val="335039CF"/>
    <w:rsid w:val="335334BF"/>
    <w:rsid w:val="3353526D"/>
    <w:rsid w:val="33590AD6"/>
    <w:rsid w:val="335A65FC"/>
    <w:rsid w:val="335C05C6"/>
    <w:rsid w:val="335E1684"/>
    <w:rsid w:val="336254B1"/>
    <w:rsid w:val="33641229"/>
    <w:rsid w:val="33677B8F"/>
    <w:rsid w:val="33694A91"/>
    <w:rsid w:val="3369683F"/>
    <w:rsid w:val="336A2CE3"/>
    <w:rsid w:val="336E3E55"/>
    <w:rsid w:val="33705E1F"/>
    <w:rsid w:val="33745910"/>
    <w:rsid w:val="337551E4"/>
    <w:rsid w:val="337C47C4"/>
    <w:rsid w:val="338418CB"/>
    <w:rsid w:val="338D3D76"/>
    <w:rsid w:val="339935C8"/>
    <w:rsid w:val="33997124"/>
    <w:rsid w:val="339E473B"/>
    <w:rsid w:val="33A4500D"/>
    <w:rsid w:val="33AA7583"/>
    <w:rsid w:val="33AE06F6"/>
    <w:rsid w:val="33BE20D3"/>
    <w:rsid w:val="33BE7EEE"/>
    <w:rsid w:val="33C06DA7"/>
    <w:rsid w:val="33C543BD"/>
    <w:rsid w:val="33C65A3F"/>
    <w:rsid w:val="33C70135"/>
    <w:rsid w:val="33C81968"/>
    <w:rsid w:val="33C95001"/>
    <w:rsid w:val="33CD5020"/>
    <w:rsid w:val="33CF0D98"/>
    <w:rsid w:val="33D04B10"/>
    <w:rsid w:val="33D26ADA"/>
    <w:rsid w:val="33D4015C"/>
    <w:rsid w:val="33D53ED4"/>
    <w:rsid w:val="33D64A34"/>
    <w:rsid w:val="33D75E9F"/>
    <w:rsid w:val="33D95773"/>
    <w:rsid w:val="33E11B47"/>
    <w:rsid w:val="33E365F1"/>
    <w:rsid w:val="33E660E2"/>
    <w:rsid w:val="33E701B5"/>
    <w:rsid w:val="33E81E5A"/>
    <w:rsid w:val="33EF143A"/>
    <w:rsid w:val="33F22CD8"/>
    <w:rsid w:val="33F26834"/>
    <w:rsid w:val="33FC76B3"/>
    <w:rsid w:val="33FE342B"/>
    <w:rsid w:val="33FE78CF"/>
    <w:rsid w:val="340071A3"/>
    <w:rsid w:val="34014CC9"/>
    <w:rsid w:val="34034EE6"/>
    <w:rsid w:val="340842AA"/>
    <w:rsid w:val="340A6274"/>
    <w:rsid w:val="340F73E6"/>
    <w:rsid w:val="34126ED7"/>
    <w:rsid w:val="34140EA1"/>
    <w:rsid w:val="3416085D"/>
    <w:rsid w:val="34191C89"/>
    <w:rsid w:val="34210CBB"/>
    <w:rsid w:val="342D3D10"/>
    <w:rsid w:val="342D5ABF"/>
    <w:rsid w:val="3431735D"/>
    <w:rsid w:val="34346E4D"/>
    <w:rsid w:val="34394463"/>
    <w:rsid w:val="34395261"/>
    <w:rsid w:val="343D7DFF"/>
    <w:rsid w:val="343F6D1F"/>
    <w:rsid w:val="3442156A"/>
    <w:rsid w:val="344277BC"/>
    <w:rsid w:val="344C23E9"/>
    <w:rsid w:val="34515C51"/>
    <w:rsid w:val="34525300"/>
    <w:rsid w:val="34545741"/>
    <w:rsid w:val="34592D57"/>
    <w:rsid w:val="34655258"/>
    <w:rsid w:val="346C2A8B"/>
    <w:rsid w:val="346F257B"/>
    <w:rsid w:val="34713BFD"/>
    <w:rsid w:val="34785525"/>
    <w:rsid w:val="34790D04"/>
    <w:rsid w:val="34833930"/>
    <w:rsid w:val="34863867"/>
    <w:rsid w:val="34872CF7"/>
    <w:rsid w:val="348845FB"/>
    <w:rsid w:val="348953EB"/>
    <w:rsid w:val="348A1163"/>
    <w:rsid w:val="348A2F11"/>
    <w:rsid w:val="348E2A01"/>
    <w:rsid w:val="34993154"/>
    <w:rsid w:val="349D2C44"/>
    <w:rsid w:val="349F4C0E"/>
    <w:rsid w:val="34A02734"/>
    <w:rsid w:val="34A2025B"/>
    <w:rsid w:val="34A22009"/>
    <w:rsid w:val="34A87296"/>
    <w:rsid w:val="34A9783B"/>
    <w:rsid w:val="34AB35B3"/>
    <w:rsid w:val="34AF2977"/>
    <w:rsid w:val="34B306BA"/>
    <w:rsid w:val="34B561E0"/>
    <w:rsid w:val="34BA1A48"/>
    <w:rsid w:val="34BA37F6"/>
    <w:rsid w:val="34BD7C90"/>
    <w:rsid w:val="34C401D1"/>
    <w:rsid w:val="34D7310F"/>
    <w:rsid w:val="34D81ECE"/>
    <w:rsid w:val="34DB551B"/>
    <w:rsid w:val="34E316B2"/>
    <w:rsid w:val="34E41C88"/>
    <w:rsid w:val="34E72FB8"/>
    <w:rsid w:val="34EC597A"/>
    <w:rsid w:val="34EE7F06"/>
    <w:rsid w:val="34F36D08"/>
    <w:rsid w:val="34F51DC6"/>
    <w:rsid w:val="34F5482E"/>
    <w:rsid w:val="34F839CE"/>
    <w:rsid w:val="34FC399A"/>
    <w:rsid w:val="34FD1935"/>
    <w:rsid w:val="34FD7B87"/>
    <w:rsid w:val="350137AB"/>
    <w:rsid w:val="35050E48"/>
    <w:rsid w:val="350925D2"/>
    <w:rsid w:val="350B5E00"/>
    <w:rsid w:val="350C1B78"/>
    <w:rsid w:val="350E3A5C"/>
    <w:rsid w:val="350E58F0"/>
    <w:rsid w:val="35102DBF"/>
    <w:rsid w:val="3511718E"/>
    <w:rsid w:val="35131158"/>
    <w:rsid w:val="351849C1"/>
    <w:rsid w:val="351D3D85"/>
    <w:rsid w:val="352057FD"/>
    <w:rsid w:val="352073D1"/>
    <w:rsid w:val="35223149"/>
    <w:rsid w:val="35243365"/>
    <w:rsid w:val="352549E8"/>
    <w:rsid w:val="3529272A"/>
    <w:rsid w:val="352B0250"/>
    <w:rsid w:val="352E1AEE"/>
    <w:rsid w:val="352E5F92"/>
    <w:rsid w:val="352F7F42"/>
    <w:rsid w:val="35300883"/>
    <w:rsid w:val="35337105"/>
    <w:rsid w:val="35386E11"/>
    <w:rsid w:val="353A1D60"/>
    <w:rsid w:val="353A4937"/>
    <w:rsid w:val="354237EC"/>
    <w:rsid w:val="3542559A"/>
    <w:rsid w:val="35466E38"/>
    <w:rsid w:val="35494B7A"/>
    <w:rsid w:val="354B6B44"/>
    <w:rsid w:val="354F72C2"/>
    <w:rsid w:val="355157DD"/>
    <w:rsid w:val="35524794"/>
    <w:rsid w:val="35591A96"/>
    <w:rsid w:val="355E6877"/>
    <w:rsid w:val="355F7EFA"/>
    <w:rsid w:val="356674DA"/>
    <w:rsid w:val="35675000"/>
    <w:rsid w:val="356A0417"/>
    <w:rsid w:val="356D4F9D"/>
    <w:rsid w:val="3570514C"/>
    <w:rsid w:val="357059DA"/>
    <w:rsid w:val="35775243"/>
    <w:rsid w:val="35777939"/>
    <w:rsid w:val="3578720D"/>
    <w:rsid w:val="357F67EE"/>
    <w:rsid w:val="35812566"/>
    <w:rsid w:val="358160D1"/>
    <w:rsid w:val="3586192A"/>
    <w:rsid w:val="358D4A67"/>
    <w:rsid w:val="358F4C83"/>
    <w:rsid w:val="358F6E87"/>
    <w:rsid w:val="35951B6D"/>
    <w:rsid w:val="359528C1"/>
    <w:rsid w:val="35956BF6"/>
    <w:rsid w:val="35986E4F"/>
    <w:rsid w:val="35A3072E"/>
    <w:rsid w:val="35A53D8B"/>
    <w:rsid w:val="35A973C7"/>
    <w:rsid w:val="35AD5109"/>
    <w:rsid w:val="35AE1D1F"/>
    <w:rsid w:val="35AF0E81"/>
    <w:rsid w:val="35B04BF9"/>
    <w:rsid w:val="35B4360A"/>
    <w:rsid w:val="35B93AAE"/>
    <w:rsid w:val="35BB6E36"/>
    <w:rsid w:val="35BC359E"/>
    <w:rsid w:val="35C67F79"/>
    <w:rsid w:val="35CB1A33"/>
    <w:rsid w:val="35CB70D1"/>
    <w:rsid w:val="35D46B3A"/>
    <w:rsid w:val="35D52E6A"/>
    <w:rsid w:val="35D5640E"/>
    <w:rsid w:val="35DA3A24"/>
    <w:rsid w:val="35E36D7D"/>
    <w:rsid w:val="35E623C9"/>
    <w:rsid w:val="35E825E5"/>
    <w:rsid w:val="35F1149A"/>
    <w:rsid w:val="35F27157"/>
    <w:rsid w:val="35F76384"/>
    <w:rsid w:val="35FC1BEC"/>
    <w:rsid w:val="360016CD"/>
    <w:rsid w:val="360016DD"/>
    <w:rsid w:val="3602502C"/>
    <w:rsid w:val="36034D29"/>
    <w:rsid w:val="360B0081"/>
    <w:rsid w:val="360D3DFA"/>
    <w:rsid w:val="360E01D9"/>
    <w:rsid w:val="360F36CE"/>
    <w:rsid w:val="36127662"/>
    <w:rsid w:val="36133BB0"/>
    <w:rsid w:val="36140CE4"/>
    <w:rsid w:val="36160F00"/>
    <w:rsid w:val="36174C78"/>
    <w:rsid w:val="3619279E"/>
    <w:rsid w:val="361A4E3E"/>
    <w:rsid w:val="361B6516"/>
    <w:rsid w:val="361C403D"/>
    <w:rsid w:val="361D6A8E"/>
    <w:rsid w:val="361E7DB5"/>
    <w:rsid w:val="362058DB"/>
    <w:rsid w:val="362353CB"/>
    <w:rsid w:val="36266C69"/>
    <w:rsid w:val="36274FEC"/>
    <w:rsid w:val="36315D3A"/>
    <w:rsid w:val="36370E76"/>
    <w:rsid w:val="363C648D"/>
    <w:rsid w:val="363E0457"/>
    <w:rsid w:val="36405F7D"/>
    <w:rsid w:val="36455341"/>
    <w:rsid w:val="36484E32"/>
    <w:rsid w:val="364A2958"/>
    <w:rsid w:val="364C0B13"/>
    <w:rsid w:val="364D069A"/>
    <w:rsid w:val="36513CE6"/>
    <w:rsid w:val="36525CB0"/>
    <w:rsid w:val="3656754F"/>
    <w:rsid w:val="36581519"/>
    <w:rsid w:val="3659703F"/>
    <w:rsid w:val="365A15F9"/>
    <w:rsid w:val="365D5F63"/>
    <w:rsid w:val="365D6B2F"/>
    <w:rsid w:val="36642B6C"/>
    <w:rsid w:val="36647880"/>
    <w:rsid w:val="36657792"/>
    <w:rsid w:val="366859E7"/>
    <w:rsid w:val="366C6D72"/>
    <w:rsid w:val="366D6646"/>
    <w:rsid w:val="366F6336"/>
    <w:rsid w:val="36767BF1"/>
    <w:rsid w:val="367845C1"/>
    <w:rsid w:val="36794FEB"/>
    <w:rsid w:val="367A601A"/>
    <w:rsid w:val="367F74A1"/>
    <w:rsid w:val="36820D95"/>
    <w:rsid w:val="36857E34"/>
    <w:rsid w:val="36874BEE"/>
    <w:rsid w:val="368A544A"/>
    <w:rsid w:val="368E62C3"/>
    <w:rsid w:val="369342FF"/>
    <w:rsid w:val="36940077"/>
    <w:rsid w:val="369462C9"/>
    <w:rsid w:val="369B3F26"/>
    <w:rsid w:val="369B6B2C"/>
    <w:rsid w:val="369D33CF"/>
    <w:rsid w:val="369D517D"/>
    <w:rsid w:val="369E0EF6"/>
    <w:rsid w:val="36A03408"/>
    <w:rsid w:val="36A04C6E"/>
    <w:rsid w:val="36A14795"/>
    <w:rsid w:val="36A77DAA"/>
    <w:rsid w:val="36AA1648"/>
    <w:rsid w:val="36AA39B8"/>
    <w:rsid w:val="36AE738B"/>
    <w:rsid w:val="36B316DA"/>
    <w:rsid w:val="36B62551"/>
    <w:rsid w:val="36B74B2C"/>
    <w:rsid w:val="36BA5D2F"/>
    <w:rsid w:val="36BD137C"/>
    <w:rsid w:val="36BE50F4"/>
    <w:rsid w:val="36BF32BE"/>
    <w:rsid w:val="36C344B8"/>
    <w:rsid w:val="36C4095C"/>
    <w:rsid w:val="36C73FA8"/>
    <w:rsid w:val="36CA5847"/>
    <w:rsid w:val="36CE17DB"/>
    <w:rsid w:val="36CF7301"/>
    <w:rsid w:val="36D546CB"/>
    <w:rsid w:val="36D861B6"/>
    <w:rsid w:val="36D93CDC"/>
    <w:rsid w:val="36DA1F2E"/>
    <w:rsid w:val="36DB5CA6"/>
    <w:rsid w:val="36DD2B68"/>
    <w:rsid w:val="36E01FE0"/>
    <w:rsid w:val="36E508D2"/>
    <w:rsid w:val="36E65E63"/>
    <w:rsid w:val="36ED1EEB"/>
    <w:rsid w:val="36ED633C"/>
    <w:rsid w:val="36EE3C2B"/>
    <w:rsid w:val="36EF34FF"/>
    <w:rsid w:val="36F11025"/>
    <w:rsid w:val="36F47456"/>
    <w:rsid w:val="36F6663C"/>
    <w:rsid w:val="36FB1EA4"/>
    <w:rsid w:val="36FC292C"/>
    <w:rsid w:val="36FE0E31"/>
    <w:rsid w:val="36FE5B80"/>
    <w:rsid w:val="3701395E"/>
    <w:rsid w:val="37034BCF"/>
    <w:rsid w:val="37052D23"/>
    <w:rsid w:val="37054AD1"/>
    <w:rsid w:val="3707395A"/>
    <w:rsid w:val="370C5E5F"/>
    <w:rsid w:val="371371EE"/>
    <w:rsid w:val="37155B10"/>
    <w:rsid w:val="37164F30"/>
    <w:rsid w:val="37180854"/>
    <w:rsid w:val="371D006C"/>
    <w:rsid w:val="37227431"/>
    <w:rsid w:val="372C6501"/>
    <w:rsid w:val="372E13CA"/>
    <w:rsid w:val="372E5DD5"/>
    <w:rsid w:val="3733163E"/>
    <w:rsid w:val="373830F8"/>
    <w:rsid w:val="373A48BE"/>
    <w:rsid w:val="373B6744"/>
    <w:rsid w:val="373D426B"/>
    <w:rsid w:val="37420939"/>
    <w:rsid w:val="37424565"/>
    <w:rsid w:val="37425D25"/>
    <w:rsid w:val="374470BC"/>
    <w:rsid w:val="374675C3"/>
    <w:rsid w:val="37474C07"/>
    <w:rsid w:val="374B6019"/>
    <w:rsid w:val="374D6BA3"/>
    <w:rsid w:val="37500442"/>
    <w:rsid w:val="3756532C"/>
    <w:rsid w:val="37575712"/>
    <w:rsid w:val="375A7F25"/>
    <w:rsid w:val="375C0B95"/>
    <w:rsid w:val="375D116C"/>
    <w:rsid w:val="37620175"/>
    <w:rsid w:val="37643EED"/>
    <w:rsid w:val="37647A49"/>
    <w:rsid w:val="37682FD3"/>
    <w:rsid w:val="37691503"/>
    <w:rsid w:val="376B0DD8"/>
    <w:rsid w:val="376D2DA2"/>
    <w:rsid w:val="37737C8C"/>
    <w:rsid w:val="37760883"/>
    <w:rsid w:val="37781747"/>
    <w:rsid w:val="37783AA1"/>
    <w:rsid w:val="377F2AD5"/>
    <w:rsid w:val="377F4883"/>
    <w:rsid w:val="37893954"/>
    <w:rsid w:val="378A0189"/>
    <w:rsid w:val="378B4801"/>
    <w:rsid w:val="378B76CC"/>
    <w:rsid w:val="378D51F2"/>
    <w:rsid w:val="379E73FF"/>
    <w:rsid w:val="37A278A0"/>
    <w:rsid w:val="37AB3982"/>
    <w:rsid w:val="37AD0841"/>
    <w:rsid w:val="37AD7642"/>
    <w:rsid w:val="37B07132"/>
    <w:rsid w:val="37B54360"/>
    <w:rsid w:val="37B564F7"/>
    <w:rsid w:val="37BA58BB"/>
    <w:rsid w:val="37BD53AB"/>
    <w:rsid w:val="37C242B9"/>
    <w:rsid w:val="37C408B8"/>
    <w:rsid w:val="37C64260"/>
    <w:rsid w:val="37D20E57"/>
    <w:rsid w:val="37D351ED"/>
    <w:rsid w:val="37D54A07"/>
    <w:rsid w:val="37DC3A83"/>
    <w:rsid w:val="37DC7F27"/>
    <w:rsid w:val="37DE77FC"/>
    <w:rsid w:val="37E03F72"/>
    <w:rsid w:val="37E312B6"/>
    <w:rsid w:val="37E33064"/>
    <w:rsid w:val="37E44AA4"/>
    <w:rsid w:val="37E46AA7"/>
    <w:rsid w:val="37E62C43"/>
    <w:rsid w:val="37E666B0"/>
    <w:rsid w:val="37EB016A"/>
    <w:rsid w:val="37EB1F18"/>
    <w:rsid w:val="37EB70CB"/>
    <w:rsid w:val="37ED3EE3"/>
    <w:rsid w:val="37F64733"/>
    <w:rsid w:val="37FB65FF"/>
    <w:rsid w:val="37FD7DBA"/>
    <w:rsid w:val="37FE7E9E"/>
    <w:rsid w:val="38042FDA"/>
    <w:rsid w:val="38045A76"/>
    <w:rsid w:val="380D1E8F"/>
    <w:rsid w:val="380E117F"/>
    <w:rsid w:val="380F3E59"/>
    <w:rsid w:val="38190834"/>
    <w:rsid w:val="381921BA"/>
    <w:rsid w:val="381D4C13"/>
    <w:rsid w:val="38211DDE"/>
    <w:rsid w:val="382316B2"/>
    <w:rsid w:val="382947EF"/>
    <w:rsid w:val="382D2E86"/>
    <w:rsid w:val="383438BF"/>
    <w:rsid w:val="38367638"/>
    <w:rsid w:val="38392C84"/>
    <w:rsid w:val="38397128"/>
    <w:rsid w:val="383C5DD6"/>
    <w:rsid w:val="383E029A"/>
    <w:rsid w:val="383E473E"/>
    <w:rsid w:val="38471845"/>
    <w:rsid w:val="3848736B"/>
    <w:rsid w:val="384D672F"/>
    <w:rsid w:val="385201EA"/>
    <w:rsid w:val="38521F98"/>
    <w:rsid w:val="38563D6C"/>
    <w:rsid w:val="3857135C"/>
    <w:rsid w:val="38577975"/>
    <w:rsid w:val="385C6972"/>
    <w:rsid w:val="38657F1D"/>
    <w:rsid w:val="386E0B07"/>
    <w:rsid w:val="38740160"/>
    <w:rsid w:val="38752EFE"/>
    <w:rsid w:val="38832151"/>
    <w:rsid w:val="3885236D"/>
    <w:rsid w:val="388F4F9A"/>
    <w:rsid w:val="38910D12"/>
    <w:rsid w:val="38912AC0"/>
    <w:rsid w:val="38934A8A"/>
    <w:rsid w:val="389A0BB8"/>
    <w:rsid w:val="38A50319"/>
    <w:rsid w:val="38A5656B"/>
    <w:rsid w:val="38A87E0A"/>
    <w:rsid w:val="38AA3B82"/>
    <w:rsid w:val="38AF1198"/>
    <w:rsid w:val="38B30C88"/>
    <w:rsid w:val="38B62526"/>
    <w:rsid w:val="38B82D22"/>
    <w:rsid w:val="38B8629F"/>
    <w:rsid w:val="38BB18EB"/>
    <w:rsid w:val="38BD6B23"/>
    <w:rsid w:val="38C435DA"/>
    <w:rsid w:val="38C43E25"/>
    <w:rsid w:val="38CC58A6"/>
    <w:rsid w:val="38CC5B33"/>
    <w:rsid w:val="38CF183A"/>
    <w:rsid w:val="38CF35E8"/>
    <w:rsid w:val="38D37F4B"/>
    <w:rsid w:val="38D46E50"/>
    <w:rsid w:val="38D6668F"/>
    <w:rsid w:val="38D80B0A"/>
    <w:rsid w:val="38D97FC3"/>
    <w:rsid w:val="38DC14F7"/>
    <w:rsid w:val="38E36364"/>
    <w:rsid w:val="38EE1CC0"/>
    <w:rsid w:val="38EF5A38"/>
    <w:rsid w:val="38F17A02"/>
    <w:rsid w:val="38F65019"/>
    <w:rsid w:val="38F848ED"/>
    <w:rsid w:val="38F8669B"/>
    <w:rsid w:val="38FD1F03"/>
    <w:rsid w:val="390019F4"/>
    <w:rsid w:val="39012F5F"/>
    <w:rsid w:val="39050DB8"/>
    <w:rsid w:val="39113C01"/>
    <w:rsid w:val="391A2AB5"/>
    <w:rsid w:val="391F631E"/>
    <w:rsid w:val="39225E0E"/>
    <w:rsid w:val="3925145A"/>
    <w:rsid w:val="392A0C82"/>
    <w:rsid w:val="3930052B"/>
    <w:rsid w:val="39382F3B"/>
    <w:rsid w:val="39394BC4"/>
    <w:rsid w:val="393B53E7"/>
    <w:rsid w:val="393D0552"/>
    <w:rsid w:val="393D49F6"/>
    <w:rsid w:val="3942025E"/>
    <w:rsid w:val="394750CB"/>
    <w:rsid w:val="39494261"/>
    <w:rsid w:val="394C61B4"/>
    <w:rsid w:val="394E6C03"/>
    <w:rsid w:val="395064D7"/>
    <w:rsid w:val="39535FC7"/>
    <w:rsid w:val="395A05A6"/>
    <w:rsid w:val="39602492"/>
    <w:rsid w:val="396106E4"/>
    <w:rsid w:val="39627FB8"/>
    <w:rsid w:val="396957EB"/>
    <w:rsid w:val="396B7DEA"/>
    <w:rsid w:val="396E4BAF"/>
    <w:rsid w:val="39700927"/>
    <w:rsid w:val="39706B79"/>
    <w:rsid w:val="3971644D"/>
    <w:rsid w:val="397217C8"/>
    <w:rsid w:val="397A79F8"/>
    <w:rsid w:val="397C1E1E"/>
    <w:rsid w:val="397D1296"/>
    <w:rsid w:val="397D3044"/>
    <w:rsid w:val="3983100C"/>
    <w:rsid w:val="3986014B"/>
    <w:rsid w:val="3986639D"/>
    <w:rsid w:val="398E5251"/>
    <w:rsid w:val="39902180"/>
    <w:rsid w:val="3995213C"/>
    <w:rsid w:val="399A09D4"/>
    <w:rsid w:val="399C2A22"/>
    <w:rsid w:val="399E2974"/>
    <w:rsid w:val="39A131D7"/>
    <w:rsid w:val="39A46823"/>
    <w:rsid w:val="39A6259B"/>
    <w:rsid w:val="39A84565"/>
    <w:rsid w:val="39AB5E03"/>
    <w:rsid w:val="39AB7BB1"/>
    <w:rsid w:val="39AF6E3D"/>
    <w:rsid w:val="39B0341A"/>
    <w:rsid w:val="39B051C8"/>
    <w:rsid w:val="39B12CEE"/>
    <w:rsid w:val="39B90520"/>
    <w:rsid w:val="39BB78C7"/>
    <w:rsid w:val="39BF668E"/>
    <w:rsid w:val="39C11183"/>
    <w:rsid w:val="39C42A21"/>
    <w:rsid w:val="39C62978"/>
    <w:rsid w:val="39CB2002"/>
    <w:rsid w:val="39CD5D7A"/>
    <w:rsid w:val="39D32C64"/>
    <w:rsid w:val="39D8471E"/>
    <w:rsid w:val="39D96878"/>
    <w:rsid w:val="39DC5FBD"/>
    <w:rsid w:val="39DE7F87"/>
    <w:rsid w:val="39E2749E"/>
    <w:rsid w:val="39E3559D"/>
    <w:rsid w:val="39EA2D8B"/>
    <w:rsid w:val="39EB6200"/>
    <w:rsid w:val="39ED01CA"/>
    <w:rsid w:val="39EE5CF0"/>
    <w:rsid w:val="39F257E0"/>
    <w:rsid w:val="39FE1322"/>
    <w:rsid w:val="39FF1EC0"/>
    <w:rsid w:val="3A015A23"/>
    <w:rsid w:val="3A016441"/>
    <w:rsid w:val="3A0177D1"/>
    <w:rsid w:val="3A055283"/>
    <w:rsid w:val="3A092B2A"/>
    <w:rsid w:val="3A105C66"/>
    <w:rsid w:val="3A125E82"/>
    <w:rsid w:val="3A127C30"/>
    <w:rsid w:val="3A1439A9"/>
    <w:rsid w:val="3A190FBF"/>
    <w:rsid w:val="3A1A4D37"/>
    <w:rsid w:val="3A1F40FB"/>
    <w:rsid w:val="3A231646"/>
    <w:rsid w:val="3A250E0D"/>
    <w:rsid w:val="3A26548A"/>
    <w:rsid w:val="3A266CCC"/>
    <w:rsid w:val="3A2B0CF2"/>
    <w:rsid w:val="3A2B16AE"/>
    <w:rsid w:val="3A2B484E"/>
    <w:rsid w:val="3A323E2F"/>
    <w:rsid w:val="3A32526F"/>
    <w:rsid w:val="3A3556CD"/>
    <w:rsid w:val="3A396F6B"/>
    <w:rsid w:val="3A3E0A25"/>
    <w:rsid w:val="3A414072"/>
    <w:rsid w:val="3A451DB4"/>
    <w:rsid w:val="3A4D2A17"/>
    <w:rsid w:val="3A4E3759"/>
    <w:rsid w:val="3A4F2C33"/>
    <w:rsid w:val="3A4F49E1"/>
    <w:rsid w:val="3A522C54"/>
    <w:rsid w:val="3A573895"/>
    <w:rsid w:val="3A5E4C24"/>
    <w:rsid w:val="3A663AD8"/>
    <w:rsid w:val="3A685AA2"/>
    <w:rsid w:val="3A68758F"/>
    <w:rsid w:val="3A695377"/>
    <w:rsid w:val="3A6B10EF"/>
    <w:rsid w:val="3A6C475E"/>
    <w:rsid w:val="3A6D4E67"/>
    <w:rsid w:val="3A712BA9"/>
    <w:rsid w:val="3A7368B4"/>
    <w:rsid w:val="3A744447"/>
    <w:rsid w:val="3A751F6D"/>
    <w:rsid w:val="3A763C53"/>
    <w:rsid w:val="3A766411"/>
    <w:rsid w:val="3A78116B"/>
    <w:rsid w:val="3A791A5E"/>
    <w:rsid w:val="3A7E7074"/>
    <w:rsid w:val="3A810912"/>
    <w:rsid w:val="3A836438"/>
    <w:rsid w:val="3A84453E"/>
    <w:rsid w:val="3A8521B0"/>
    <w:rsid w:val="3A8601A8"/>
    <w:rsid w:val="3A8723CC"/>
    <w:rsid w:val="3A880D96"/>
    <w:rsid w:val="3A8827B8"/>
    <w:rsid w:val="3A8A3C6B"/>
    <w:rsid w:val="3A8B353F"/>
    <w:rsid w:val="3A91750A"/>
    <w:rsid w:val="3A9C574C"/>
    <w:rsid w:val="3A9C7348"/>
    <w:rsid w:val="3AA12D62"/>
    <w:rsid w:val="3AA20FB4"/>
    <w:rsid w:val="3AA41612"/>
    <w:rsid w:val="3AA45CB6"/>
    <w:rsid w:val="3AAA60BB"/>
    <w:rsid w:val="3AAB6C4F"/>
    <w:rsid w:val="3AB24F6F"/>
    <w:rsid w:val="3AB26D1E"/>
    <w:rsid w:val="3AC56A51"/>
    <w:rsid w:val="3AC76C6D"/>
    <w:rsid w:val="3AC802EF"/>
    <w:rsid w:val="3AD1189A"/>
    <w:rsid w:val="3AD4138A"/>
    <w:rsid w:val="3AD60C5E"/>
    <w:rsid w:val="3ADB0022"/>
    <w:rsid w:val="3ADC3D9A"/>
    <w:rsid w:val="3AE113B1"/>
    <w:rsid w:val="3AF235BE"/>
    <w:rsid w:val="3AF42149"/>
    <w:rsid w:val="3B00217F"/>
    <w:rsid w:val="3B003F2D"/>
    <w:rsid w:val="3B0312A1"/>
    <w:rsid w:val="3B084B8F"/>
    <w:rsid w:val="3B091033"/>
    <w:rsid w:val="3B0A4DAB"/>
    <w:rsid w:val="3B0C0B24"/>
    <w:rsid w:val="3B135A0E"/>
    <w:rsid w:val="3B16734F"/>
    <w:rsid w:val="3B167C0B"/>
    <w:rsid w:val="3B181276"/>
    <w:rsid w:val="3B1F0857"/>
    <w:rsid w:val="3B20637D"/>
    <w:rsid w:val="3B20692C"/>
    <w:rsid w:val="3B2319C9"/>
    <w:rsid w:val="3B240E97"/>
    <w:rsid w:val="3B247C1B"/>
    <w:rsid w:val="3B251BE5"/>
    <w:rsid w:val="3B255D13"/>
    <w:rsid w:val="3B27770B"/>
    <w:rsid w:val="3B374E9C"/>
    <w:rsid w:val="3B384E25"/>
    <w:rsid w:val="3B3911ED"/>
    <w:rsid w:val="3B3B6D13"/>
    <w:rsid w:val="3B3C718F"/>
    <w:rsid w:val="3B424545"/>
    <w:rsid w:val="3B4262F3"/>
    <w:rsid w:val="3B443E1A"/>
    <w:rsid w:val="3B460044"/>
    <w:rsid w:val="3B4C5C32"/>
    <w:rsid w:val="3B4C67D8"/>
    <w:rsid w:val="3B4E4C98"/>
    <w:rsid w:val="3B4F27BE"/>
    <w:rsid w:val="3B55139D"/>
    <w:rsid w:val="3B5A1C91"/>
    <w:rsid w:val="3B6B3A9C"/>
    <w:rsid w:val="3B6B584A"/>
    <w:rsid w:val="3B6E533A"/>
    <w:rsid w:val="3B6F4C0F"/>
    <w:rsid w:val="3B714E2B"/>
    <w:rsid w:val="3B722D63"/>
    <w:rsid w:val="3B783AC3"/>
    <w:rsid w:val="3B7A783B"/>
    <w:rsid w:val="3B7F30A4"/>
    <w:rsid w:val="3B806E1C"/>
    <w:rsid w:val="3B910593"/>
    <w:rsid w:val="3B985F13"/>
    <w:rsid w:val="3B99523B"/>
    <w:rsid w:val="3B9C4E79"/>
    <w:rsid w:val="3B9D352A"/>
    <w:rsid w:val="3B9F54F4"/>
    <w:rsid w:val="3BA1126C"/>
    <w:rsid w:val="3BA23236"/>
    <w:rsid w:val="3BA448B8"/>
    <w:rsid w:val="3BA9378A"/>
    <w:rsid w:val="3BA945C4"/>
    <w:rsid w:val="3BAC5E63"/>
    <w:rsid w:val="3BAE4FCF"/>
    <w:rsid w:val="3BB014AF"/>
    <w:rsid w:val="3BB0325D"/>
    <w:rsid w:val="3BB16FD5"/>
    <w:rsid w:val="3BB40E41"/>
    <w:rsid w:val="3BB4717C"/>
    <w:rsid w:val="3BB865B6"/>
    <w:rsid w:val="3BBA232E"/>
    <w:rsid w:val="3BBC42F8"/>
    <w:rsid w:val="3BBF5492"/>
    <w:rsid w:val="3BC1190E"/>
    <w:rsid w:val="3BC907C3"/>
    <w:rsid w:val="3BC91BD6"/>
    <w:rsid w:val="3BCE7B87"/>
    <w:rsid w:val="3BD76CB6"/>
    <w:rsid w:val="3BD81617"/>
    <w:rsid w:val="3BDD7DCA"/>
    <w:rsid w:val="3BE164EA"/>
    <w:rsid w:val="3BE23632"/>
    <w:rsid w:val="3BE45256"/>
    <w:rsid w:val="3BE60A52"/>
    <w:rsid w:val="3BE61128"/>
    <w:rsid w:val="3BE70C49"/>
    <w:rsid w:val="3BE86E9B"/>
    <w:rsid w:val="3BEC707E"/>
    <w:rsid w:val="3BF50BF3"/>
    <w:rsid w:val="3BF55114"/>
    <w:rsid w:val="3BFE66BE"/>
    <w:rsid w:val="3C096E11"/>
    <w:rsid w:val="3C0B0DDB"/>
    <w:rsid w:val="3C0D413C"/>
    <w:rsid w:val="3C0D4B53"/>
    <w:rsid w:val="3C0D65B5"/>
    <w:rsid w:val="3C123F18"/>
    <w:rsid w:val="3C17152E"/>
    <w:rsid w:val="3C1934F8"/>
    <w:rsid w:val="3C1A7270"/>
    <w:rsid w:val="3C1C6B44"/>
    <w:rsid w:val="3C1F3E60"/>
    <w:rsid w:val="3C217EE4"/>
    <w:rsid w:val="3C2E0626"/>
    <w:rsid w:val="3C357C06"/>
    <w:rsid w:val="3C391D8E"/>
    <w:rsid w:val="3C3A521C"/>
    <w:rsid w:val="3C4147FD"/>
    <w:rsid w:val="3C4605F3"/>
    <w:rsid w:val="3C461E13"/>
    <w:rsid w:val="3C471EF3"/>
    <w:rsid w:val="3C4E0CC8"/>
    <w:rsid w:val="3C4F6F1A"/>
    <w:rsid w:val="3C502C92"/>
    <w:rsid w:val="3C5A6340"/>
    <w:rsid w:val="3C5F4C83"/>
    <w:rsid w:val="3C6109FB"/>
    <w:rsid w:val="3C6127A9"/>
    <w:rsid w:val="3C683B38"/>
    <w:rsid w:val="3C691CF2"/>
    <w:rsid w:val="3C6978B0"/>
    <w:rsid w:val="3C6A11AE"/>
    <w:rsid w:val="3C6D55F2"/>
    <w:rsid w:val="3C706E90"/>
    <w:rsid w:val="3C7324DC"/>
    <w:rsid w:val="3C74072E"/>
    <w:rsid w:val="3C75078B"/>
    <w:rsid w:val="3C797AF3"/>
    <w:rsid w:val="3C7B3647"/>
    <w:rsid w:val="3C805325"/>
    <w:rsid w:val="3C860462"/>
    <w:rsid w:val="3C8D17A0"/>
    <w:rsid w:val="3C8F37BA"/>
    <w:rsid w:val="3C9506A5"/>
    <w:rsid w:val="3C983B5D"/>
    <w:rsid w:val="3C9A11D3"/>
    <w:rsid w:val="3C9B3F0D"/>
    <w:rsid w:val="3CA134EE"/>
    <w:rsid w:val="3CA37266"/>
    <w:rsid w:val="3CA60B04"/>
    <w:rsid w:val="3CA8662A"/>
    <w:rsid w:val="3CAB24D0"/>
    <w:rsid w:val="3CB72D11"/>
    <w:rsid w:val="3CB7686D"/>
    <w:rsid w:val="3CBC3E83"/>
    <w:rsid w:val="3CBE05CE"/>
    <w:rsid w:val="3CBE19AA"/>
    <w:rsid w:val="3CBE7BFC"/>
    <w:rsid w:val="3CC1149A"/>
    <w:rsid w:val="3CC21B20"/>
    <w:rsid w:val="3CCA02B2"/>
    <w:rsid w:val="3CCF044E"/>
    <w:rsid w:val="3CD016DD"/>
    <w:rsid w:val="3CD15B81"/>
    <w:rsid w:val="3CD1792F"/>
    <w:rsid w:val="3CD218F9"/>
    <w:rsid w:val="3CD967E3"/>
    <w:rsid w:val="3CDA57AD"/>
    <w:rsid w:val="3CDB69FF"/>
    <w:rsid w:val="3CE11114"/>
    <w:rsid w:val="3CE37662"/>
    <w:rsid w:val="3CE82ECA"/>
    <w:rsid w:val="3CF11D7F"/>
    <w:rsid w:val="3CF7310E"/>
    <w:rsid w:val="3CF772CF"/>
    <w:rsid w:val="3CF90C34"/>
    <w:rsid w:val="3CF947C0"/>
    <w:rsid w:val="3CF96E86"/>
    <w:rsid w:val="3CFB0E50"/>
    <w:rsid w:val="3CFE449C"/>
    <w:rsid w:val="3CFF7DD1"/>
    <w:rsid w:val="3D001FC2"/>
    <w:rsid w:val="3D023F8C"/>
    <w:rsid w:val="3D037D04"/>
    <w:rsid w:val="3D05582A"/>
    <w:rsid w:val="3D0715A3"/>
    <w:rsid w:val="3D076AAE"/>
    <w:rsid w:val="3D08531B"/>
    <w:rsid w:val="3D0870C9"/>
    <w:rsid w:val="3D0F48FB"/>
    <w:rsid w:val="3D12337E"/>
    <w:rsid w:val="3D184472"/>
    <w:rsid w:val="3D1D247A"/>
    <w:rsid w:val="3D1E68EC"/>
    <w:rsid w:val="3D2263DC"/>
    <w:rsid w:val="3D233F03"/>
    <w:rsid w:val="3D2C725B"/>
    <w:rsid w:val="3D2E2FD3"/>
    <w:rsid w:val="3D363C36"/>
    <w:rsid w:val="3D3B749E"/>
    <w:rsid w:val="3D402D06"/>
    <w:rsid w:val="3D406863"/>
    <w:rsid w:val="3D45031D"/>
    <w:rsid w:val="3D491BBB"/>
    <w:rsid w:val="3D4A2BD7"/>
    <w:rsid w:val="3D4C5F1D"/>
    <w:rsid w:val="3D516CC2"/>
    <w:rsid w:val="3D5227F9"/>
    <w:rsid w:val="3D536596"/>
    <w:rsid w:val="3D5F318D"/>
    <w:rsid w:val="3D605157"/>
    <w:rsid w:val="3D622C7D"/>
    <w:rsid w:val="3D65451B"/>
    <w:rsid w:val="3D670293"/>
    <w:rsid w:val="3D687B67"/>
    <w:rsid w:val="3D6A1B31"/>
    <w:rsid w:val="3D6A7D83"/>
    <w:rsid w:val="3D6C72B3"/>
    <w:rsid w:val="3D702C5A"/>
    <w:rsid w:val="3D712D52"/>
    <w:rsid w:val="3D7529B0"/>
    <w:rsid w:val="3D766728"/>
    <w:rsid w:val="3D7824A0"/>
    <w:rsid w:val="3D785FFC"/>
    <w:rsid w:val="3D790ED4"/>
    <w:rsid w:val="3D7A6218"/>
    <w:rsid w:val="3D7B3D3F"/>
    <w:rsid w:val="3D7B5AED"/>
    <w:rsid w:val="3D7D1865"/>
    <w:rsid w:val="3D7D7AB7"/>
    <w:rsid w:val="3D7F382F"/>
    <w:rsid w:val="3D840E45"/>
    <w:rsid w:val="3D842BF3"/>
    <w:rsid w:val="3D85696B"/>
    <w:rsid w:val="3D864BBD"/>
    <w:rsid w:val="3D874491"/>
    <w:rsid w:val="3D87623F"/>
    <w:rsid w:val="3D8D69A3"/>
    <w:rsid w:val="3D8E65E6"/>
    <w:rsid w:val="3D932E36"/>
    <w:rsid w:val="3D960B78"/>
    <w:rsid w:val="3D9B618F"/>
    <w:rsid w:val="3D9F7A2D"/>
    <w:rsid w:val="3DA037A5"/>
    <w:rsid w:val="3DA46DF1"/>
    <w:rsid w:val="3DA803B0"/>
    <w:rsid w:val="3DB246A5"/>
    <w:rsid w:val="3DB35286"/>
    <w:rsid w:val="3DBB413B"/>
    <w:rsid w:val="3DBD7EB3"/>
    <w:rsid w:val="3DBF1E7D"/>
    <w:rsid w:val="3DC15BF5"/>
    <w:rsid w:val="3DC2371B"/>
    <w:rsid w:val="3DC6320C"/>
    <w:rsid w:val="3DCC6348"/>
    <w:rsid w:val="3DCD7770"/>
    <w:rsid w:val="3DD0408A"/>
    <w:rsid w:val="3DD31EFC"/>
    <w:rsid w:val="3DD376D7"/>
    <w:rsid w:val="3DD84CED"/>
    <w:rsid w:val="3DDD2303"/>
    <w:rsid w:val="3DDE0AF1"/>
    <w:rsid w:val="3DE90CA8"/>
    <w:rsid w:val="3DEC2546"/>
    <w:rsid w:val="3DEE62BF"/>
    <w:rsid w:val="3DF153E6"/>
    <w:rsid w:val="3DF15DAF"/>
    <w:rsid w:val="3DF8538F"/>
    <w:rsid w:val="3DFA2EB5"/>
    <w:rsid w:val="3DFB09DB"/>
    <w:rsid w:val="3DFD29A6"/>
    <w:rsid w:val="3E014244"/>
    <w:rsid w:val="3E06185A"/>
    <w:rsid w:val="3E071210"/>
    <w:rsid w:val="3E07248B"/>
    <w:rsid w:val="3E1201FF"/>
    <w:rsid w:val="3E1677F2"/>
    <w:rsid w:val="3E18158D"/>
    <w:rsid w:val="3E1877DF"/>
    <w:rsid w:val="3E1F0B6E"/>
    <w:rsid w:val="3E1F291C"/>
    <w:rsid w:val="3E216046"/>
    <w:rsid w:val="3E246184"/>
    <w:rsid w:val="3E2B12C1"/>
    <w:rsid w:val="3E2B306F"/>
    <w:rsid w:val="3E2E064A"/>
    <w:rsid w:val="3E2E0DB1"/>
    <w:rsid w:val="3E2E7003"/>
    <w:rsid w:val="3E330175"/>
    <w:rsid w:val="3E3626AC"/>
    <w:rsid w:val="3E416D36"/>
    <w:rsid w:val="3E435CB3"/>
    <w:rsid w:val="3E4942AA"/>
    <w:rsid w:val="3E502554"/>
    <w:rsid w:val="3E5500EC"/>
    <w:rsid w:val="3E55633E"/>
    <w:rsid w:val="3E5716A8"/>
    <w:rsid w:val="3E587BDC"/>
    <w:rsid w:val="3E594080"/>
    <w:rsid w:val="3E5959D1"/>
    <w:rsid w:val="3E595E2E"/>
    <w:rsid w:val="3E5A3954"/>
    <w:rsid w:val="3E5C147A"/>
    <w:rsid w:val="3E5C591E"/>
    <w:rsid w:val="3E612F34"/>
    <w:rsid w:val="3E6350CC"/>
    <w:rsid w:val="3E682515"/>
    <w:rsid w:val="3E6B623F"/>
    <w:rsid w:val="3E6F5ADD"/>
    <w:rsid w:val="3E75078E"/>
    <w:rsid w:val="3E750F66"/>
    <w:rsid w:val="3E7964D0"/>
    <w:rsid w:val="3E7A1E9F"/>
    <w:rsid w:val="3E7A5DA4"/>
    <w:rsid w:val="3E7E5894"/>
    <w:rsid w:val="3E7F160D"/>
    <w:rsid w:val="3E810EE1"/>
    <w:rsid w:val="3E854E75"/>
    <w:rsid w:val="3E860BED"/>
    <w:rsid w:val="3E876CE6"/>
    <w:rsid w:val="3E8A248B"/>
    <w:rsid w:val="3E8E2DB7"/>
    <w:rsid w:val="3E8F1850"/>
    <w:rsid w:val="3E94330A"/>
    <w:rsid w:val="3E974BA8"/>
    <w:rsid w:val="3E9A1FA2"/>
    <w:rsid w:val="3EAD617A"/>
    <w:rsid w:val="3EB07A18"/>
    <w:rsid w:val="3EB412B6"/>
    <w:rsid w:val="3EBA2645"/>
    <w:rsid w:val="3EBF1A09"/>
    <w:rsid w:val="3EC62B88"/>
    <w:rsid w:val="3ECB4852"/>
    <w:rsid w:val="3ED6747E"/>
    <w:rsid w:val="3ED71449"/>
    <w:rsid w:val="3EDE4585"/>
    <w:rsid w:val="3EE17BD1"/>
    <w:rsid w:val="3EEA4CD8"/>
    <w:rsid w:val="3EED2A1A"/>
    <w:rsid w:val="3EF21DDE"/>
    <w:rsid w:val="3EF618CF"/>
    <w:rsid w:val="3EF868E3"/>
    <w:rsid w:val="3EF9316D"/>
    <w:rsid w:val="3EF94F1B"/>
    <w:rsid w:val="3EFD0EAF"/>
    <w:rsid w:val="3F025137"/>
    <w:rsid w:val="3F051B12"/>
    <w:rsid w:val="3F0A35CC"/>
    <w:rsid w:val="3F0A537A"/>
    <w:rsid w:val="3F0C10F2"/>
    <w:rsid w:val="3F0D09C6"/>
    <w:rsid w:val="3F0F473E"/>
    <w:rsid w:val="3F136CC1"/>
    <w:rsid w:val="3F163D1F"/>
    <w:rsid w:val="3F1735F3"/>
    <w:rsid w:val="3F1955BD"/>
    <w:rsid w:val="3F1E0E25"/>
    <w:rsid w:val="3F20694C"/>
    <w:rsid w:val="3F2301EA"/>
    <w:rsid w:val="3F235CAB"/>
    <w:rsid w:val="3F2521B4"/>
    <w:rsid w:val="3F277DAD"/>
    <w:rsid w:val="3F285C7B"/>
    <w:rsid w:val="3F2C3542"/>
    <w:rsid w:val="3F2F08A8"/>
    <w:rsid w:val="3F346B36"/>
    <w:rsid w:val="3F3D5750"/>
    <w:rsid w:val="3F422D66"/>
    <w:rsid w:val="3F485EA2"/>
    <w:rsid w:val="3F496996"/>
    <w:rsid w:val="3F4A39C9"/>
    <w:rsid w:val="3F4A5777"/>
    <w:rsid w:val="3F4D5267"/>
    <w:rsid w:val="3F56036D"/>
    <w:rsid w:val="3F5900B0"/>
    <w:rsid w:val="3F5D194E"/>
    <w:rsid w:val="3F6031EC"/>
    <w:rsid w:val="3F656A54"/>
    <w:rsid w:val="3F676329"/>
    <w:rsid w:val="3F6D40F6"/>
    <w:rsid w:val="3F7171A7"/>
    <w:rsid w:val="3F767786"/>
    <w:rsid w:val="3F786788"/>
    <w:rsid w:val="3F79526A"/>
    <w:rsid w:val="3F7A3AC2"/>
    <w:rsid w:val="3F7D3D9E"/>
    <w:rsid w:val="3F8073EA"/>
    <w:rsid w:val="3F830C89"/>
    <w:rsid w:val="3F841CFC"/>
    <w:rsid w:val="3F8838CF"/>
    <w:rsid w:val="3F890995"/>
    <w:rsid w:val="3F8C1CD0"/>
    <w:rsid w:val="3F8C3FE1"/>
    <w:rsid w:val="3F8E5FAB"/>
    <w:rsid w:val="3F9115F7"/>
    <w:rsid w:val="3F964E60"/>
    <w:rsid w:val="3F9904AC"/>
    <w:rsid w:val="3F9D4665"/>
    <w:rsid w:val="3FA05CDE"/>
    <w:rsid w:val="3FA07A8C"/>
    <w:rsid w:val="3FA27361"/>
    <w:rsid w:val="3FA330D9"/>
    <w:rsid w:val="3FA530A3"/>
    <w:rsid w:val="3FA56E51"/>
    <w:rsid w:val="3FAB68BC"/>
    <w:rsid w:val="3FAC38F4"/>
    <w:rsid w:val="3FB52739"/>
    <w:rsid w:val="3FBF6165"/>
    <w:rsid w:val="3FC76DC7"/>
    <w:rsid w:val="3FC90D91"/>
    <w:rsid w:val="3FC96FE3"/>
    <w:rsid w:val="3FCC262F"/>
    <w:rsid w:val="3FCF2120"/>
    <w:rsid w:val="3FCF6064"/>
    <w:rsid w:val="3FD12164"/>
    <w:rsid w:val="3FD6525C"/>
    <w:rsid w:val="3FDA0202"/>
    <w:rsid w:val="3FDA11F0"/>
    <w:rsid w:val="3FDB2873"/>
    <w:rsid w:val="3FE060DB"/>
    <w:rsid w:val="3FE212A4"/>
    <w:rsid w:val="3FE21E53"/>
    <w:rsid w:val="3FE77469"/>
    <w:rsid w:val="3FEC2CD2"/>
    <w:rsid w:val="3FF83425"/>
    <w:rsid w:val="3FFB0761"/>
    <w:rsid w:val="3FFB4CC3"/>
    <w:rsid w:val="3FFF4F2D"/>
    <w:rsid w:val="40026051"/>
    <w:rsid w:val="400B31BF"/>
    <w:rsid w:val="40153FD6"/>
    <w:rsid w:val="40195E74"/>
    <w:rsid w:val="401C35B7"/>
    <w:rsid w:val="401D6B00"/>
    <w:rsid w:val="4024246B"/>
    <w:rsid w:val="40242C9D"/>
    <w:rsid w:val="40251D40"/>
    <w:rsid w:val="40324B88"/>
    <w:rsid w:val="403703F1"/>
    <w:rsid w:val="403C77B5"/>
    <w:rsid w:val="403F1053"/>
    <w:rsid w:val="404831FE"/>
    <w:rsid w:val="404C3770"/>
    <w:rsid w:val="404E7113"/>
    <w:rsid w:val="40511B68"/>
    <w:rsid w:val="405F0517"/>
    <w:rsid w:val="4063054B"/>
    <w:rsid w:val="40644F5E"/>
    <w:rsid w:val="40646D0C"/>
    <w:rsid w:val="40664832"/>
    <w:rsid w:val="40672358"/>
    <w:rsid w:val="406D5BC1"/>
    <w:rsid w:val="40750F19"/>
    <w:rsid w:val="407A681D"/>
    <w:rsid w:val="407C5E04"/>
    <w:rsid w:val="407D392A"/>
    <w:rsid w:val="4081166C"/>
    <w:rsid w:val="40890521"/>
    <w:rsid w:val="40896772"/>
    <w:rsid w:val="408B4299"/>
    <w:rsid w:val="408B6047"/>
    <w:rsid w:val="408D0011"/>
    <w:rsid w:val="408D71EA"/>
    <w:rsid w:val="4093314D"/>
    <w:rsid w:val="40972C3D"/>
    <w:rsid w:val="4099576A"/>
    <w:rsid w:val="409A0980"/>
    <w:rsid w:val="40A47108"/>
    <w:rsid w:val="40A560BB"/>
    <w:rsid w:val="40A806BA"/>
    <w:rsid w:val="40AD67D4"/>
    <w:rsid w:val="40AF61D9"/>
    <w:rsid w:val="40B27A77"/>
    <w:rsid w:val="40B51316"/>
    <w:rsid w:val="40B97058"/>
    <w:rsid w:val="40BE466E"/>
    <w:rsid w:val="40C003E6"/>
    <w:rsid w:val="40C27F71"/>
    <w:rsid w:val="40C31C84"/>
    <w:rsid w:val="40C81049"/>
    <w:rsid w:val="40CC2FE3"/>
    <w:rsid w:val="40D23C76"/>
    <w:rsid w:val="40D774DE"/>
    <w:rsid w:val="40DA6FCE"/>
    <w:rsid w:val="40DF157D"/>
    <w:rsid w:val="40E35E83"/>
    <w:rsid w:val="40E562DD"/>
    <w:rsid w:val="40E63BC5"/>
    <w:rsid w:val="40E952E6"/>
    <w:rsid w:val="40ED1A7B"/>
    <w:rsid w:val="40F005A0"/>
    <w:rsid w:val="40F2256A"/>
    <w:rsid w:val="40F276D3"/>
    <w:rsid w:val="40F41E3E"/>
    <w:rsid w:val="40F736DC"/>
    <w:rsid w:val="40FA6487"/>
    <w:rsid w:val="40FC0CF2"/>
    <w:rsid w:val="410C362B"/>
    <w:rsid w:val="410D2F00"/>
    <w:rsid w:val="41103C6B"/>
    <w:rsid w:val="4110479E"/>
    <w:rsid w:val="41114BBA"/>
    <w:rsid w:val="41126AEB"/>
    <w:rsid w:val="41175793"/>
    <w:rsid w:val="411C3143"/>
    <w:rsid w:val="411C75E7"/>
    <w:rsid w:val="412169AB"/>
    <w:rsid w:val="41241D87"/>
    <w:rsid w:val="412546ED"/>
    <w:rsid w:val="4125649B"/>
    <w:rsid w:val="41287D39"/>
    <w:rsid w:val="412F0F7D"/>
    <w:rsid w:val="413466DE"/>
    <w:rsid w:val="41347F55"/>
    <w:rsid w:val="413A424B"/>
    <w:rsid w:val="413C37E5"/>
    <w:rsid w:val="413C5593"/>
    <w:rsid w:val="41410DFB"/>
    <w:rsid w:val="41410E54"/>
    <w:rsid w:val="41457180"/>
    <w:rsid w:val="41466412"/>
    <w:rsid w:val="4148218A"/>
    <w:rsid w:val="41483F38"/>
    <w:rsid w:val="414D4FAE"/>
    <w:rsid w:val="414F3518"/>
    <w:rsid w:val="414F52C6"/>
    <w:rsid w:val="41526B64"/>
    <w:rsid w:val="41540B2E"/>
    <w:rsid w:val="415428DD"/>
    <w:rsid w:val="41562AF9"/>
    <w:rsid w:val="41581D4D"/>
    <w:rsid w:val="41596145"/>
    <w:rsid w:val="41597EF3"/>
    <w:rsid w:val="415C79E3"/>
    <w:rsid w:val="41601281"/>
    <w:rsid w:val="416074D3"/>
    <w:rsid w:val="41630D72"/>
    <w:rsid w:val="41636FC4"/>
    <w:rsid w:val="416A65A4"/>
    <w:rsid w:val="416C126A"/>
    <w:rsid w:val="416C231C"/>
    <w:rsid w:val="41717932"/>
    <w:rsid w:val="41790595"/>
    <w:rsid w:val="4181094E"/>
    <w:rsid w:val="41840582"/>
    <w:rsid w:val="41866897"/>
    <w:rsid w:val="418807D8"/>
    <w:rsid w:val="41886A2A"/>
    <w:rsid w:val="418D5DEE"/>
    <w:rsid w:val="418E2292"/>
    <w:rsid w:val="419929E5"/>
    <w:rsid w:val="419C7ECA"/>
    <w:rsid w:val="419D24D5"/>
    <w:rsid w:val="419E1DAA"/>
    <w:rsid w:val="41A028AC"/>
    <w:rsid w:val="41A43864"/>
    <w:rsid w:val="41A5138A"/>
    <w:rsid w:val="41A82C28"/>
    <w:rsid w:val="41AA4BF2"/>
    <w:rsid w:val="41AC096A"/>
    <w:rsid w:val="41AE6491"/>
    <w:rsid w:val="41AF2209"/>
    <w:rsid w:val="41AF633F"/>
    <w:rsid w:val="41B07B63"/>
    <w:rsid w:val="41B56B45"/>
    <w:rsid w:val="41B80A98"/>
    <w:rsid w:val="41CA6CFC"/>
    <w:rsid w:val="41CA7043"/>
    <w:rsid w:val="41CB6863"/>
    <w:rsid w:val="41D028AB"/>
    <w:rsid w:val="41D13F2D"/>
    <w:rsid w:val="41D2798B"/>
    <w:rsid w:val="41D659E7"/>
    <w:rsid w:val="41D83E0A"/>
    <w:rsid w:val="41D852BC"/>
    <w:rsid w:val="41DF2AEE"/>
    <w:rsid w:val="41DF489C"/>
    <w:rsid w:val="41E225DE"/>
    <w:rsid w:val="41E53E7C"/>
    <w:rsid w:val="41E55C2A"/>
    <w:rsid w:val="41E579D9"/>
    <w:rsid w:val="41E73B64"/>
    <w:rsid w:val="41E9571B"/>
    <w:rsid w:val="41EB61F0"/>
    <w:rsid w:val="41ED183A"/>
    <w:rsid w:val="41EE2D31"/>
    <w:rsid w:val="41EE72BB"/>
    <w:rsid w:val="41F320F5"/>
    <w:rsid w:val="41F36599"/>
    <w:rsid w:val="41F45941"/>
    <w:rsid w:val="42027077"/>
    <w:rsid w:val="420E4058"/>
    <w:rsid w:val="42100EF9"/>
    <w:rsid w:val="421233DB"/>
    <w:rsid w:val="4216697D"/>
    <w:rsid w:val="421D1269"/>
    <w:rsid w:val="421F2EEA"/>
    <w:rsid w:val="422229DB"/>
    <w:rsid w:val="422468A6"/>
    <w:rsid w:val="422B5D33"/>
    <w:rsid w:val="422E312E"/>
    <w:rsid w:val="422E5CAE"/>
    <w:rsid w:val="42311FDE"/>
    <w:rsid w:val="423170C2"/>
    <w:rsid w:val="42350960"/>
    <w:rsid w:val="42397786"/>
    <w:rsid w:val="42417305"/>
    <w:rsid w:val="42440BA3"/>
    <w:rsid w:val="424B1F31"/>
    <w:rsid w:val="424B3CDF"/>
    <w:rsid w:val="425132C0"/>
    <w:rsid w:val="4251797B"/>
    <w:rsid w:val="42552DB0"/>
    <w:rsid w:val="425A03C6"/>
    <w:rsid w:val="425D7EB7"/>
    <w:rsid w:val="425E2DCE"/>
    <w:rsid w:val="42641245"/>
    <w:rsid w:val="426B0106"/>
    <w:rsid w:val="42723962"/>
    <w:rsid w:val="42725710"/>
    <w:rsid w:val="42731488"/>
    <w:rsid w:val="42734FE4"/>
    <w:rsid w:val="42755200"/>
    <w:rsid w:val="427A45C5"/>
    <w:rsid w:val="427C033D"/>
    <w:rsid w:val="427C658F"/>
    <w:rsid w:val="42905B96"/>
    <w:rsid w:val="42974BBA"/>
    <w:rsid w:val="42982C9D"/>
    <w:rsid w:val="42995053"/>
    <w:rsid w:val="429A3BAB"/>
    <w:rsid w:val="429A4C67"/>
    <w:rsid w:val="429C09DF"/>
    <w:rsid w:val="42A11B51"/>
    <w:rsid w:val="42A45AE6"/>
    <w:rsid w:val="42AB0C22"/>
    <w:rsid w:val="42AE5DE9"/>
    <w:rsid w:val="42B60ED1"/>
    <w:rsid w:val="42BA70B7"/>
    <w:rsid w:val="42C27D1A"/>
    <w:rsid w:val="42C7049C"/>
    <w:rsid w:val="42C77E4F"/>
    <w:rsid w:val="42C811FF"/>
    <w:rsid w:val="42C82CA2"/>
    <w:rsid w:val="42C910A8"/>
    <w:rsid w:val="42CE66BF"/>
    <w:rsid w:val="42D24401"/>
    <w:rsid w:val="42D261AF"/>
    <w:rsid w:val="42D34FAF"/>
    <w:rsid w:val="42D44F28"/>
    <w:rsid w:val="42D53EF1"/>
    <w:rsid w:val="42D56EED"/>
    <w:rsid w:val="42D64FF5"/>
    <w:rsid w:val="42D77C69"/>
    <w:rsid w:val="42E303BC"/>
    <w:rsid w:val="42E6709F"/>
    <w:rsid w:val="42ED2FE9"/>
    <w:rsid w:val="42F24B05"/>
    <w:rsid w:val="42F26851"/>
    <w:rsid w:val="42F27A5A"/>
    <w:rsid w:val="42F27D13"/>
    <w:rsid w:val="42F42673"/>
    <w:rsid w:val="42F44377"/>
    <w:rsid w:val="42F8192F"/>
    <w:rsid w:val="42F9198D"/>
    <w:rsid w:val="42FD47C4"/>
    <w:rsid w:val="42FE5942"/>
    <w:rsid w:val="42FF4ACA"/>
    <w:rsid w:val="43000F6E"/>
    <w:rsid w:val="43010842"/>
    <w:rsid w:val="43081BD1"/>
    <w:rsid w:val="430B346F"/>
    <w:rsid w:val="430E2866"/>
    <w:rsid w:val="430E5D85"/>
    <w:rsid w:val="430F51D8"/>
    <w:rsid w:val="43140575"/>
    <w:rsid w:val="43170066"/>
    <w:rsid w:val="431A7B56"/>
    <w:rsid w:val="431E7646"/>
    <w:rsid w:val="43212404"/>
    <w:rsid w:val="432664FB"/>
    <w:rsid w:val="43291B47"/>
    <w:rsid w:val="432A7D99"/>
    <w:rsid w:val="432B1D63"/>
    <w:rsid w:val="43317379"/>
    <w:rsid w:val="43340C18"/>
    <w:rsid w:val="43351583"/>
    <w:rsid w:val="433724B6"/>
    <w:rsid w:val="4339622E"/>
    <w:rsid w:val="434265FC"/>
    <w:rsid w:val="434314A4"/>
    <w:rsid w:val="434626F9"/>
    <w:rsid w:val="434846C3"/>
    <w:rsid w:val="434B7D0F"/>
    <w:rsid w:val="434D1CD9"/>
    <w:rsid w:val="43506584"/>
    <w:rsid w:val="4352109E"/>
    <w:rsid w:val="43526362"/>
    <w:rsid w:val="435272F0"/>
    <w:rsid w:val="43571A95"/>
    <w:rsid w:val="43591ADF"/>
    <w:rsid w:val="4359242C"/>
    <w:rsid w:val="435A7F52"/>
    <w:rsid w:val="435B2648"/>
    <w:rsid w:val="435B61A4"/>
    <w:rsid w:val="435D635D"/>
    <w:rsid w:val="436314FD"/>
    <w:rsid w:val="436332AB"/>
    <w:rsid w:val="43650DD1"/>
    <w:rsid w:val="43655275"/>
    <w:rsid w:val="43675B98"/>
    <w:rsid w:val="436A04F5"/>
    <w:rsid w:val="436D4129"/>
    <w:rsid w:val="436E31AC"/>
    <w:rsid w:val="43784FA8"/>
    <w:rsid w:val="4379487C"/>
    <w:rsid w:val="437B23A2"/>
    <w:rsid w:val="437B6846"/>
    <w:rsid w:val="43803E5D"/>
    <w:rsid w:val="43891CF7"/>
    <w:rsid w:val="438D20D6"/>
    <w:rsid w:val="43917E18"/>
    <w:rsid w:val="43923B90"/>
    <w:rsid w:val="43947908"/>
    <w:rsid w:val="439C52E2"/>
    <w:rsid w:val="43A06C82"/>
    <w:rsid w:val="43A55671"/>
    <w:rsid w:val="43A63197"/>
    <w:rsid w:val="43AA2C88"/>
    <w:rsid w:val="43B76E5D"/>
    <w:rsid w:val="43C52FFD"/>
    <w:rsid w:val="43C57E2B"/>
    <w:rsid w:val="43C81360"/>
    <w:rsid w:val="43C875B2"/>
    <w:rsid w:val="43C95804"/>
    <w:rsid w:val="43CA50D8"/>
    <w:rsid w:val="43CC0E50"/>
    <w:rsid w:val="43CE2E1A"/>
    <w:rsid w:val="43CF0940"/>
    <w:rsid w:val="43D87DEF"/>
    <w:rsid w:val="43DB5537"/>
    <w:rsid w:val="43DF35A3"/>
    <w:rsid w:val="43DF5027"/>
    <w:rsid w:val="43E22422"/>
    <w:rsid w:val="43E3619A"/>
    <w:rsid w:val="43E50164"/>
    <w:rsid w:val="43E837B0"/>
    <w:rsid w:val="43EA7528"/>
    <w:rsid w:val="43EE0AA5"/>
    <w:rsid w:val="43EF2D90"/>
    <w:rsid w:val="43EF4B3E"/>
    <w:rsid w:val="43F6411F"/>
    <w:rsid w:val="43F65ECD"/>
    <w:rsid w:val="43F72CBA"/>
    <w:rsid w:val="43FA3C0F"/>
    <w:rsid w:val="44004F9E"/>
    <w:rsid w:val="440305EA"/>
    <w:rsid w:val="44054362"/>
    <w:rsid w:val="44093E52"/>
    <w:rsid w:val="440E12B2"/>
    <w:rsid w:val="440E3217"/>
    <w:rsid w:val="44116432"/>
    <w:rsid w:val="44134942"/>
    <w:rsid w:val="4416031D"/>
    <w:rsid w:val="441E71D2"/>
    <w:rsid w:val="441F5424"/>
    <w:rsid w:val="442567B2"/>
    <w:rsid w:val="442671C8"/>
    <w:rsid w:val="4427252A"/>
    <w:rsid w:val="44276398"/>
    <w:rsid w:val="44281522"/>
    <w:rsid w:val="44281E17"/>
    <w:rsid w:val="44293363"/>
    <w:rsid w:val="442B1BAA"/>
    <w:rsid w:val="44304BA3"/>
    <w:rsid w:val="44307631"/>
    <w:rsid w:val="4436276D"/>
    <w:rsid w:val="443A225E"/>
    <w:rsid w:val="443A35FD"/>
    <w:rsid w:val="443F7874"/>
    <w:rsid w:val="444B446B"/>
    <w:rsid w:val="444F55DD"/>
    <w:rsid w:val="44501A81"/>
    <w:rsid w:val="445157F9"/>
    <w:rsid w:val="445A46AE"/>
    <w:rsid w:val="44615A3C"/>
    <w:rsid w:val="44654E01"/>
    <w:rsid w:val="446E6DAA"/>
    <w:rsid w:val="4475708D"/>
    <w:rsid w:val="44775260"/>
    <w:rsid w:val="447F2366"/>
    <w:rsid w:val="4484172B"/>
    <w:rsid w:val="448842E0"/>
    <w:rsid w:val="44894335"/>
    <w:rsid w:val="44896D41"/>
    <w:rsid w:val="448A36AA"/>
    <w:rsid w:val="448C4EE6"/>
    <w:rsid w:val="449750E1"/>
    <w:rsid w:val="44987A63"/>
    <w:rsid w:val="44995DA8"/>
    <w:rsid w:val="44A1052F"/>
    <w:rsid w:val="44A2243C"/>
    <w:rsid w:val="44A363BC"/>
    <w:rsid w:val="44AB315B"/>
    <w:rsid w:val="44AF063D"/>
    <w:rsid w:val="44B26298"/>
    <w:rsid w:val="44B32010"/>
    <w:rsid w:val="44B518E4"/>
    <w:rsid w:val="44B55D88"/>
    <w:rsid w:val="44BD176A"/>
    <w:rsid w:val="44C47D79"/>
    <w:rsid w:val="44C61D43"/>
    <w:rsid w:val="44C77996"/>
    <w:rsid w:val="44C85ABB"/>
    <w:rsid w:val="44C935E1"/>
    <w:rsid w:val="44CD1324"/>
    <w:rsid w:val="44D31E62"/>
    <w:rsid w:val="44D446A1"/>
    <w:rsid w:val="44DA57EF"/>
    <w:rsid w:val="44DB7445"/>
    <w:rsid w:val="44E328F5"/>
    <w:rsid w:val="44E421C9"/>
    <w:rsid w:val="44E87F0C"/>
    <w:rsid w:val="44F06DC0"/>
    <w:rsid w:val="44F208A0"/>
    <w:rsid w:val="44F93EC7"/>
    <w:rsid w:val="44FC7513"/>
    <w:rsid w:val="44FF0DB1"/>
    <w:rsid w:val="450E5498"/>
    <w:rsid w:val="450E6E58"/>
    <w:rsid w:val="45126D36"/>
    <w:rsid w:val="4513485D"/>
    <w:rsid w:val="451B0980"/>
    <w:rsid w:val="451E0AF1"/>
    <w:rsid w:val="45246A6A"/>
    <w:rsid w:val="4528655A"/>
    <w:rsid w:val="452E1696"/>
    <w:rsid w:val="45322F35"/>
    <w:rsid w:val="45387C9D"/>
    <w:rsid w:val="453A628D"/>
    <w:rsid w:val="453F38A4"/>
    <w:rsid w:val="454021E6"/>
    <w:rsid w:val="45451750"/>
    <w:rsid w:val="454809AA"/>
    <w:rsid w:val="454D5FC1"/>
    <w:rsid w:val="454F7F8B"/>
    <w:rsid w:val="45505AB1"/>
    <w:rsid w:val="455455A1"/>
    <w:rsid w:val="45575091"/>
    <w:rsid w:val="455B5F6E"/>
    <w:rsid w:val="455B6F58"/>
    <w:rsid w:val="455E1F7C"/>
    <w:rsid w:val="45605CF4"/>
    <w:rsid w:val="45636562"/>
    <w:rsid w:val="45687946"/>
    <w:rsid w:val="456A6B72"/>
    <w:rsid w:val="456C53D4"/>
    <w:rsid w:val="4570109D"/>
    <w:rsid w:val="45761EBB"/>
    <w:rsid w:val="457C68A6"/>
    <w:rsid w:val="457E36C4"/>
    <w:rsid w:val="45815C6A"/>
    <w:rsid w:val="45833790"/>
    <w:rsid w:val="458539AC"/>
    <w:rsid w:val="458614D2"/>
    <w:rsid w:val="45863281"/>
    <w:rsid w:val="4588524B"/>
    <w:rsid w:val="458F46CB"/>
    <w:rsid w:val="45935D6C"/>
    <w:rsid w:val="45943BEF"/>
    <w:rsid w:val="45964673"/>
    <w:rsid w:val="459736E0"/>
    <w:rsid w:val="459A3C5C"/>
    <w:rsid w:val="459B6D2C"/>
    <w:rsid w:val="459C0CF6"/>
    <w:rsid w:val="459C4852"/>
    <w:rsid w:val="45A33E32"/>
    <w:rsid w:val="45A7579D"/>
    <w:rsid w:val="45AF4585"/>
    <w:rsid w:val="45B147A1"/>
    <w:rsid w:val="45B55914"/>
    <w:rsid w:val="45B639A3"/>
    <w:rsid w:val="45BB117C"/>
    <w:rsid w:val="45BB5620"/>
    <w:rsid w:val="45BC0665"/>
    <w:rsid w:val="45BC630D"/>
    <w:rsid w:val="45BD5347"/>
    <w:rsid w:val="45C049E4"/>
    <w:rsid w:val="45C5024D"/>
    <w:rsid w:val="45C864B7"/>
    <w:rsid w:val="45CA7611"/>
    <w:rsid w:val="45CF2E79"/>
    <w:rsid w:val="45D221DF"/>
    <w:rsid w:val="45D3296A"/>
    <w:rsid w:val="45D40490"/>
    <w:rsid w:val="45DB5AC7"/>
    <w:rsid w:val="45DE4E6B"/>
    <w:rsid w:val="45E5269D"/>
    <w:rsid w:val="45EA380F"/>
    <w:rsid w:val="45EB0E25"/>
    <w:rsid w:val="45EB79E8"/>
    <w:rsid w:val="45EC546D"/>
    <w:rsid w:val="45EE1552"/>
    <w:rsid w:val="45F428E0"/>
    <w:rsid w:val="45F468CD"/>
    <w:rsid w:val="45F66A69"/>
    <w:rsid w:val="45F96148"/>
    <w:rsid w:val="45FB3C6E"/>
    <w:rsid w:val="45FB5A1D"/>
    <w:rsid w:val="45FD79E7"/>
    <w:rsid w:val="45FF375F"/>
    <w:rsid w:val="460076E6"/>
    <w:rsid w:val="46020C7E"/>
    <w:rsid w:val="460348D1"/>
    <w:rsid w:val="46080139"/>
    <w:rsid w:val="460A2104"/>
    <w:rsid w:val="460A3878"/>
    <w:rsid w:val="460A5C60"/>
    <w:rsid w:val="460C5E7C"/>
    <w:rsid w:val="460D5750"/>
    <w:rsid w:val="46130FB8"/>
    <w:rsid w:val="46195EA3"/>
    <w:rsid w:val="461D73F1"/>
    <w:rsid w:val="461E795D"/>
    <w:rsid w:val="462211FB"/>
    <w:rsid w:val="46244F73"/>
    <w:rsid w:val="46256F3D"/>
    <w:rsid w:val="46263727"/>
    <w:rsid w:val="46274A64"/>
    <w:rsid w:val="4629258A"/>
    <w:rsid w:val="462A00B0"/>
    <w:rsid w:val="462D264E"/>
    <w:rsid w:val="462F1C33"/>
    <w:rsid w:val="462F3918"/>
    <w:rsid w:val="46333408"/>
    <w:rsid w:val="46344E89"/>
    <w:rsid w:val="46366A55"/>
    <w:rsid w:val="463D2143"/>
    <w:rsid w:val="463D7C0A"/>
    <w:rsid w:val="463D7DE3"/>
    <w:rsid w:val="464253F9"/>
    <w:rsid w:val="46431460"/>
    <w:rsid w:val="464473C4"/>
    <w:rsid w:val="46470C62"/>
    <w:rsid w:val="4652776C"/>
    <w:rsid w:val="465313B5"/>
    <w:rsid w:val="46584C1D"/>
    <w:rsid w:val="465A6BE7"/>
    <w:rsid w:val="465E4B3A"/>
    <w:rsid w:val="465F5FAB"/>
    <w:rsid w:val="46601D24"/>
    <w:rsid w:val="466510E8"/>
    <w:rsid w:val="4666379B"/>
    <w:rsid w:val="466704B9"/>
    <w:rsid w:val="46671304"/>
    <w:rsid w:val="4669507C"/>
    <w:rsid w:val="466C2476"/>
    <w:rsid w:val="466C70B0"/>
    <w:rsid w:val="4670640B"/>
    <w:rsid w:val="46753A21"/>
    <w:rsid w:val="46794B93"/>
    <w:rsid w:val="467A1037"/>
    <w:rsid w:val="467C5DC4"/>
    <w:rsid w:val="46850939"/>
    <w:rsid w:val="4685178A"/>
    <w:rsid w:val="4689127A"/>
    <w:rsid w:val="468C0D6B"/>
    <w:rsid w:val="46903E9E"/>
    <w:rsid w:val="469043B7"/>
    <w:rsid w:val="469462AC"/>
    <w:rsid w:val="46977B86"/>
    <w:rsid w:val="469B0FAE"/>
    <w:rsid w:val="469B2D5C"/>
    <w:rsid w:val="469D6AD4"/>
    <w:rsid w:val="469E126A"/>
    <w:rsid w:val="469F0A9E"/>
    <w:rsid w:val="469F45FA"/>
    <w:rsid w:val="46A460B4"/>
    <w:rsid w:val="46A55988"/>
    <w:rsid w:val="46A600ED"/>
    <w:rsid w:val="46AE3F60"/>
    <w:rsid w:val="46B02CAB"/>
    <w:rsid w:val="46B34549"/>
    <w:rsid w:val="46B53E1D"/>
    <w:rsid w:val="46B61944"/>
    <w:rsid w:val="46BA58D8"/>
    <w:rsid w:val="46BC1650"/>
    <w:rsid w:val="46C04436"/>
    <w:rsid w:val="46CA3945"/>
    <w:rsid w:val="46CD560B"/>
    <w:rsid w:val="46D21AC8"/>
    <w:rsid w:val="46D324F5"/>
    <w:rsid w:val="46D53DA4"/>
    <w:rsid w:val="46D85D5E"/>
    <w:rsid w:val="46D87B0C"/>
    <w:rsid w:val="46D973C9"/>
    <w:rsid w:val="46DC75FC"/>
    <w:rsid w:val="46DD15C6"/>
    <w:rsid w:val="46DF0E9A"/>
    <w:rsid w:val="46DF533E"/>
    <w:rsid w:val="46E11293"/>
    <w:rsid w:val="46E666CD"/>
    <w:rsid w:val="46F012F9"/>
    <w:rsid w:val="46F06FEE"/>
    <w:rsid w:val="46F32B98"/>
    <w:rsid w:val="46F336A8"/>
    <w:rsid w:val="46FF153C"/>
    <w:rsid w:val="47017063"/>
    <w:rsid w:val="47046B53"/>
    <w:rsid w:val="47090486"/>
    <w:rsid w:val="4709474B"/>
    <w:rsid w:val="470B3A79"/>
    <w:rsid w:val="470D3C59"/>
    <w:rsid w:val="47136D96"/>
    <w:rsid w:val="471A6376"/>
    <w:rsid w:val="4723347D"/>
    <w:rsid w:val="47262F6D"/>
    <w:rsid w:val="472745EF"/>
    <w:rsid w:val="47280D7A"/>
    <w:rsid w:val="472856E5"/>
    <w:rsid w:val="472F1E22"/>
    <w:rsid w:val="473A07C7"/>
    <w:rsid w:val="47470193"/>
    <w:rsid w:val="47490A0A"/>
    <w:rsid w:val="474A6C5C"/>
    <w:rsid w:val="474B29D4"/>
    <w:rsid w:val="474D04FA"/>
    <w:rsid w:val="47503B46"/>
    <w:rsid w:val="47524A88"/>
    <w:rsid w:val="47525B10"/>
    <w:rsid w:val="47555600"/>
    <w:rsid w:val="475C698F"/>
    <w:rsid w:val="475E2EA5"/>
    <w:rsid w:val="47653A95"/>
    <w:rsid w:val="47655843"/>
    <w:rsid w:val="47694C08"/>
    <w:rsid w:val="476F66C2"/>
    <w:rsid w:val="47705F96"/>
    <w:rsid w:val="47723ABC"/>
    <w:rsid w:val="47737835"/>
    <w:rsid w:val="47741147"/>
    <w:rsid w:val="47767A51"/>
    <w:rsid w:val="477911B5"/>
    <w:rsid w:val="477E06B3"/>
    <w:rsid w:val="4780267D"/>
    <w:rsid w:val="478163F5"/>
    <w:rsid w:val="4783216D"/>
    <w:rsid w:val="47835CCA"/>
    <w:rsid w:val="47855EE6"/>
    <w:rsid w:val="47877015"/>
    <w:rsid w:val="478832E0"/>
    <w:rsid w:val="478B23DE"/>
    <w:rsid w:val="478C11D2"/>
    <w:rsid w:val="478E2BD5"/>
    <w:rsid w:val="478F0B12"/>
    <w:rsid w:val="47924127"/>
    <w:rsid w:val="479779C7"/>
    <w:rsid w:val="479C563B"/>
    <w:rsid w:val="479E2B03"/>
    <w:rsid w:val="47A07BBB"/>
    <w:rsid w:val="47AA76FA"/>
    <w:rsid w:val="47AB6FCE"/>
    <w:rsid w:val="47AD2D46"/>
    <w:rsid w:val="47AF4D11"/>
    <w:rsid w:val="47B16CDB"/>
    <w:rsid w:val="47B448F0"/>
    <w:rsid w:val="47B6609F"/>
    <w:rsid w:val="47B71E17"/>
    <w:rsid w:val="47B76DB7"/>
    <w:rsid w:val="47B93F31"/>
    <w:rsid w:val="47C702AC"/>
    <w:rsid w:val="47C76C5A"/>
    <w:rsid w:val="47C87B80"/>
    <w:rsid w:val="47CA38F8"/>
    <w:rsid w:val="47CD33E9"/>
    <w:rsid w:val="47DB4285"/>
    <w:rsid w:val="47DB5B06"/>
    <w:rsid w:val="47DD7AD0"/>
    <w:rsid w:val="47E2253F"/>
    <w:rsid w:val="47E50732"/>
    <w:rsid w:val="47E744AA"/>
    <w:rsid w:val="47ED5839"/>
    <w:rsid w:val="47ED75E7"/>
    <w:rsid w:val="47EF335F"/>
    <w:rsid w:val="47F210A1"/>
    <w:rsid w:val="47F40041"/>
    <w:rsid w:val="47F60B91"/>
    <w:rsid w:val="47F92430"/>
    <w:rsid w:val="47F941DE"/>
    <w:rsid w:val="47F95F8C"/>
    <w:rsid w:val="47FC782A"/>
    <w:rsid w:val="48013092"/>
    <w:rsid w:val="48027536"/>
    <w:rsid w:val="48052B82"/>
    <w:rsid w:val="48066D69"/>
    <w:rsid w:val="480908C5"/>
    <w:rsid w:val="480C3F11"/>
    <w:rsid w:val="4812704D"/>
    <w:rsid w:val="48153C8D"/>
    <w:rsid w:val="48194880"/>
    <w:rsid w:val="48205C0E"/>
    <w:rsid w:val="48217291"/>
    <w:rsid w:val="48236291"/>
    <w:rsid w:val="482C45B3"/>
    <w:rsid w:val="482E032B"/>
    <w:rsid w:val="483100AC"/>
    <w:rsid w:val="48346666"/>
    <w:rsid w:val="483671E0"/>
    <w:rsid w:val="4838292E"/>
    <w:rsid w:val="483925C3"/>
    <w:rsid w:val="48410CB9"/>
    <w:rsid w:val="48435459"/>
    <w:rsid w:val="48443BF6"/>
    <w:rsid w:val="48452B2F"/>
    <w:rsid w:val="484823A3"/>
    <w:rsid w:val="48486557"/>
    <w:rsid w:val="484A6384"/>
    <w:rsid w:val="4851401A"/>
    <w:rsid w:val="48545A7F"/>
    <w:rsid w:val="48547666"/>
    <w:rsid w:val="48550F4C"/>
    <w:rsid w:val="48567212"/>
    <w:rsid w:val="48577D5B"/>
    <w:rsid w:val="48584FE2"/>
    <w:rsid w:val="485E2293"/>
    <w:rsid w:val="485F6737"/>
    <w:rsid w:val="486331F4"/>
    <w:rsid w:val="48644E50"/>
    <w:rsid w:val="48647785"/>
    <w:rsid w:val="48650DF8"/>
    <w:rsid w:val="48684EBF"/>
    <w:rsid w:val="486C0E54"/>
    <w:rsid w:val="486D1153"/>
    <w:rsid w:val="48735D3E"/>
    <w:rsid w:val="48743864"/>
    <w:rsid w:val="48763A80"/>
    <w:rsid w:val="48764197"/>
    <w:rsid w:val="48773972"/>
    <w:rsid w:val="487970CD"/>
    <w:rsid w:val="487B4BF3"/>
    <w:rsid w:val="487D096B"/>
    <w:rsid w:val="48802C4C"/>
    <w:rsid w:val="488340A3"/>
    <w:rsid w:val="48847F4B"/>
    <w:rsid w:val="48897310"/>
    <w:rsid w:val="488C32A4"/>
    <w:rsid w:val="489167A2"/>
    <w:rsid w:val="48945CB4"/>
    <w:rsid w:val="489E30D7"/>
    <w:rsid w:val="489E7916"/>
    <w:rsid w:val="489F24E0"/>
    <w:rsid w:val="48A04659"/>
    <w:rsid w:val="48A26623"/>
    <w:rsid w:val="48A759E8"/>
    <w:rsid w:val="48AE321A"/>
    <w:rsid w:val="48B40105"/>
    <w:rsid w:val="48B545A9"/>
    <w:rsid w:val="48B76708"/>
    <w:rsid w:val="48BB1E89"/>
    <w:rsid w:val="48BF2D31"/>
    <w:rsid w:val="48C20A74"/>
    <w:rsid w:val="48C22822"/>
    <w:rsid w:val="48C42A3E"/>
    <w:rsid w:val="48C52312"/>
    <w:rsid w:val="48D11FCA"/>
    <w:rsid w:val="48D12A65"/>
    <w:rsid w:val="48D32C81"/>
    <w:rsid w:val="48D34A2F"/>
    <w:rsid w:val="48D6451F"/>
    <w:rsid w:val="48D80297"/>
    <w:rsid w:val="48D82045"/>
    <w:rsid w:val="48DA5DBD"/>
    <w:rsid w:val="48DC7D87"/>
    <w:rsid w:val="48E11FE9"/>
    <w:rsid w:val="48E1714C"/>
    <w:rsid w:val="48E7672C"/>
    <w:rsid w:val="48E82D4D"/>
    <w:rsid w:val="48E96000"/>
    <w:rsid w:val="48F055E1"/>
    <w:rsid w:val="48F7696F"/>
    <w:rsid w:val="48FC21D7"/>
    <w:rsid w:val="48FF3A76"/>
    <w:rsid w:val="4904108C"/>
    <w:rsid w:val="49051D27"/>
    <w:rsid w:val="49054987"/>
    <w:rsid w:val="49064E04"/>
    <w:rsid w:val="4907292A"/>
    <w:rsid w:val="49090450"/>
    <w:rsid w:val="490C7F41"/>
    <w:rsid w:val="490D6193"/>
    <w:rsid w:val="491325C4"/>
    <w:rsid w:val="49180694"/>
    <w:rsid w:val="49184B37"/>
    <w:rsid w:val="492139EC"/>
    <w:rsid w:val="492601CA"/>
    <w:rsid w:val="492852F0"/>
    <w:rsid w:val="49304650"/>
    <w:rsid w:val="49325BF9"/>
    <w:rsid w:val="4933371F"/>
    <w:rsid w:val="493556E9"/>
    <w:rsid w:val="49380D36"/>
    <w:rsid w:val="493A087A"/>
    <w:rsid w:val="493C0826"/>
    <w:rsid w:val="493C6A78"/>
    <w:rsid w:val="493D634C"/>
    <w:rsid w:val="493E4372"/>
    <w:rsid w:val="493F0316"/>
    <w:rsid w:val="49425710"/>
    <w:rsid w:val="49461447"/>
    <w:rsid w:val="49486249"/>
    <w:rsid w:val="49521DF7"/>
    <w:rsid w:val="49566508"/>
    <w:rsid w:val="495711BC"/>
    <w:rsid w:val="496555C4"/>
    <w:rsid w:val="496702A5"/>
    <w:rsid w:val="49680B13"/>
    <w:rsid w:val="49696171"/>
    <w:rsid w:val="49791E13"/>
    <w:rsid w:val="497E13D0"/>
    <w:rsid w:val="497F6965"/>
    <w:rsid w:val="49804BB7"/>
    <w:rsid w:val="49836455"/>
    <w:rsid w:val="4989182E"/>
    <w:rsid w:val="4989333F"/>
    <w:rsid w:val="498A77E3"/>
    <w:rsid w:val="498D72D3"/>
    <w:rsid w:val="49971F00"/>
    <w:rsid w:val="499917D4"/>
    <w:rsid w:val="499A72FA"/>
    <w:rsid w:val="499C7517"/>
    <w:rsid w:val="49A21DDA"/>
    <w:rsid w:val="49A34401"/>
    <w:rsid w:val="49A62143"/>
    <w:rsid w:val="49A85EBB"/>
    <w:rsid w:val="49A95790"/>
    <w:rsid w:val="49AA1C33"/>
    <w:rsid w:val="49AD702E"/>
    <w:rsid w:val="49BA799D"/>
    <w:rsid w:val="49CF169A"/>
    <w:rsid w:val="49CF3448"/>
    <w:rsid w:val="49D2118A"/>
    <w:rsid w:val="49D60C91"/>
    <w:rsid w:val="49D97E23"/>
    <w:rsid w:val="49E05655"/>
    <w:rsid w:val="49E113CD"/>
    <w:rsid w:val="49E36EF3"/>
    <w:rsid w:val="49E84459"/>
    <w:rsid w:val="49F27137"/>
    <w:rsid w:val="49F44C5D"/>
    <w:rsid w:val="49F509D5"/>
    <w:rsid w:val="49FA5FEB"/>
    <w:rsid w:val="49FC1D63"/>
    <w:rsid w:val="49FE1F7F"/>
    <w:rsid w:val="49FF7F76"/>
    <w:rsid w:val="4A001853"/>
    <w:rsid w:val="4A02485B"/>
    <w:rsid w:val="4A037596"/>
    <w:rsid w:val="4A05330E"/>
    <w:rsid w:val="4A080708"/>
    <w:rsid w:val="4A0F1A96"/>
    <w:rsid w:val="4A113A61"/>
    <w:rsid w:val="4A190B67"/>
    <w:rsid w:val="4A1A5F35"/>
    <w:rsid w:val="4A1B4023"/>
    <w:rsid w:val="4A1D5D99"/>
    <w:rsid w:val="4A1E75C0"/>
    <w:rsid w:val="4A2D63C1"/>
    <w:rsid w:val="4A3239D7"/>
    <w:rsid w:val="4A3414FD"/>
    <w:rsid w:val="4A366656"/>
    <w:rsid w:val="4A3D2AA8"/>
    <w:rsid w:val="4A3E05CE"/>
    <w:rsid w:val="4A407EA2"/>
    <w:rsid w:val="4A442959"/>
    <w:rsid w:val="4A484FA8"/>
    <w:rsid w:val="4A4861AE"/>
    <w:rsid w:val="4A4F6337"/>
    <w:rsid w:val="4A513E5D"/>
    <w:rsid w:val="4A547DF1"/>
    <w:rsid w:val="4A590F64"/>
    <w:rsid w:val="4A5E47CC"/>
    <w:rsid w:val="4A600544"/>
    <w:rsid w:val="4A623EAE"/>
    <w:rsid w:val="4A677B24"/>
    <w:rsid w:val="4A6873F9"/>
    <w:rsid w:val="4A712751"/>
    <w:rsid w:val="4A7162AD"/>
    <w:rsid w:val="4A746B40"/>
    <w:rsid w:val="4A756F9E"/>
    <w:rsid w:val="4A757163"/>
    <w:rsid w:val="4A7638C4"/>
    <w:rsid w:val="4A775DA4"/>
    <w:rsid w:val="4A7E7BF1"/>
    <w:rsid w:val="4A8204BA"/>
    <w:rsid w:val="4A82670C"/>
    <w:rsid w:val="4A83494B"/>
    <w:rsid w:val="4A8A3813"/>
    <w:rsid w:val="4A8C1339"/>
    <w:rsid w:val="4A8C30E7"/>
    <w:rsid w:val="4A9111A3"/>
    <w:rsid w:val="4A9326C8"/>
    <w:rsid w:val="4A9804CE"/>
    <w:rsid w:val="4A9F72BE"/>
    <w:rsid w:val="4AA2290B"/>
    <w:rsid w:val="4AA246B9"/>
    <w:rsid w:val="4AA64DBF"/>
    <w:rsid w:val="4AAB17DF"/>
    <w:rsid w:val="4AB12B4E"/>
    <w:rsid w:val="4AB83EDC"/>
    <w:rsid w:val="4AB915D4"/>
    <w:rsid w:val="4AC00E34"/>
    <w:rsid w:val="4AC26B09"/>
    <w:rsid w:val="4AC62BC0"/>
    <w:rsid w:val="4AC705C3"/>
    <w:rsid w:val="4AC76815"/>
    <w:rsid w:val="4ACA1E61"/>
    <w:rsid w:val="4ACD77C9"/>
    <w:rsid w:val="4ACE7349"/>
    <w:rsid w:val="4AD131F0"/>
    <w:rsid w:val="4AD36F68"/>
    <w:rsid w:val="4AD66A58"/>
    <w:rsid w:val="4AD7075F"/>
    <w:rsid w:val="4ADA6548"/>
    <w:rsid w:val="4ADB1B7B"/>
    <w:rsid w:val="4ADB7BCB"/>
    <w:rsid w:val="4ADD1B95"/>
    <w:rsid w:val="4AE029E3"/>
    <w:rsid w:val="4AE20F59"/>
    <w:rsid w:val="4AE41175"/>
    <w:rsid w:val="4AE9678B"/>
    <w:rsid w:val="4AEE55F3"/>
    <w:rsid w:val="4AEE78FE"/>
    <w:rsid w:val="4AF73AD6"/>
    <w:rsid w:val="4AFD2EF8"/>
    <w:rsid w:val="4B045373"/>
    <w:rsid w:val="4B09298A"/>
    <w:rsid w:val="4B0B04B0"/>
    <w:rsid w:val="4B0B4954"/>
    <w:rsid w:val="4B0B5621"/>
    <w:rsid w:val="4B0E1D4E"/>
    <w:rsid w:val="4B1530DD"/>
    <w:rsid w:val="4B1A05AF"/>
    <w:rsid w:val="4B217CD3"/>
    <w:rsid w:val="4B221C9D"/>
    <w:rsid w:val="4B245A16"/>
    <w:rsid w:val="4B3A55EB"/>
    <w:rsid w:val="4B3A746D"/>
    <w:rsid w:val="4B3C4B0D"/>
    <w:rsid w:val="4B3F45FD"/>
    <w:rsid w:val="4B3F63AB"/>
    <w:rsid w:val="4B427C4A"/>
    <w:rsid w:val="4B4A0B1E"/>
    <w:rsid w:val="4B4B73DD"/>
    <w:rsid w:val="4B4D48CE"/>
    <w:rsid w:val="4B4D6D1A"/>
    <w:rsid w:val="4B4F5ACD"/>
    <w:rsid w:val="4B5005B9"/>
    <w:rsid w:val="4B517E8D"/>
    <w:rsid w:val="4B5300A9"/>
    <w:rsid w:val="4B53748E"/>
    <w:rsid w:val="4B5447A1"/>
    <w:rsid w:val="4B5A4F93"/>
    <w:rsid w:val="4B5D2CD5"/>
    <w:rsid w:val="4B6202EC"/>
    <w:rsid w:val="4B645E12"/>
    <w:rsid w:val="4B675475"/>
    <w:rsid w:val="4B756271"/>
    <w:rsid w:val="4B7778F3"/>
    <w:rsid w:val="4B7854A6"/>
    <w:rsid w:val="4B797B0F"/>
    <w:rsid w:val="4B7A73E4"/>
    <w:rsid w:val="4B7D6C6A"/>
    <w:rsid w:val="4B803312"/>
    <w:rsid w:val="4B814C16"/>
    <w:rsid w:val="4B83098E"/>
    <w:rsid w:val="4B83273C"/>
    <w:rsid w:val="4B846F4F"/>
    <w:rsid w:val="4B851076"/>
    <w:rsid w:val="4B871B00"/>
    <w:rsid w:val="4B8A2BD1"/>
    <w:rsid w:val="4B8B339F"/>
    <w:rsid w:val="4B8B4870"/>
    <w:rsid w:val="4B8E10E1"/>
    <w:rsid w:val="4B9009B5"/>
    <w:rsid w:val="4B9366F7"/>
    <w:rsid w:val="4B9868B7"/>
    <w:rsid w:val="4BA91A77"/>
    <w:rsid w:val="4BB36023"/>
    <w:rsid w:val="4BB5041C"/>
    <w:rsid w:val="4BB943B0"/>
    <w:rsid w:val="4BBC369E"/>
    <w:rsid w:val="4BBE3774"/>
    <w:rsid w:val="4BC36FDC"/>
    <w:rsid w:val="4BC845F3"/>
    <w:rsid w:val="4BCA036B"/>
    <w:rsid w:val="4BCC0FE5"/>
    <w:rsid w:val="4BD439FC"/>
    <w:rsid w:val="4BE233FC"/>
    <w:rsid w:val="4BE34975"/>
    <w:rsid w:val="4BE86A43"/>
    <w:rsid w:val="4BEF7DD1"/>
    <w:rsid w:val="4BF278C2"/>
    <w:rsid w:val="4BF52F0E"/>
    <w:rsid w:val="4BF61160"/>
    <w:rsid w:val="4BF87D30"/>
    <w:rsid w:val="4BFA6AB7"/>
    <w:rsid w:val="4BFE0015"/>
    <w:rsid w:val="4C001FDF"/>
    <w:rsid w:val="4C0118B3"/>
    <w:rsid w:val="4C0513A3"/>
    <w:rsid w:val="4C080E93"/>
    <w:rsid w:val="4C0B2731"/>
    <w:rsid w:val="4C0D64AA"/>
    <w:rsid w:val="4C107D48"/>
    <w:rsid w:val="4C116304"/>
    <w:rsid w:val="4C1524C5"/>
    <w:rsid w:val="4C1710D6"/>
    <w:rsid w:val="4C177328"/>
    <w:rsid w:val="4C1B0BC7"/>
    <w:rsid w:val="4C1B2975"/>
    <w:rsid w:val="4C1E0C2D"/>
    <w:rsid w:val="4C231829"/>
    <w:rsid w:val="4C242852"/>
    <w:rsid w:val="4C261319"/>
    <w:rsid w:val="4C263D9D"/>
    <w:rsid w:val="4C2832E3"/>
    <w:rsid w:val="4C285091"/>
    <w:rsid w:val="4C2A0E0A"/>
    <w:rsid w:val="4C2D26A8"/>
    <w:rsid w:val="4C303F46"/>
    <w:rsid w:val="4C343A36"/>
    <w:rsid w:val="4C3F126C"/>
    <w:rsid w:val="4C40066C"/>
    <w:rsid w:val="4C404189"/>
    <w:rsid w:val="4C454024"/>
    <w:rsid w:val="4C4579F1"/>
    <w:rsid w:val="4C462BF6"/>
    <w:rsid w:val="4C485734"/>
    <w:rsid w:val="4C4874E2"/>
    <w:rsid w:val="4C4B0D80"/>
    <w:rsid w:val="4C4F6AC2"/>
    <w:rsid w:val="4C523EBC"/>
    <w:rsid w:val="4C5440D8"/>
    <w:rsid w:val="4C545E87"/>
    <w:rsid w:val="4C583BC9"/>
    <w:rsid w:val="4C6247DB"/>
    <w:rsid w:val="4C673E0C"/>
    <w:rsid w:val="4C681932"/>
    <w:rsid w:val="4C6A56AA"/>
    <w:rsid w:val="4C6B4F7E"/>
    <w:rsid w:val="4C6C1422"/>
    <w:rsid w:val="4C6D6F48"/>
    <w:rsid w:val="4C6E0E52"/>
    <w:rsid w:val="4C7327B1"/>
    <w:rsid w:val="4C786019"/>
    <w:rsid w:val="4C7C718B"/>
    <w:rsid w:val="4C7E4CB1"/>
    <w:rsid w:val="4C800A2A"/>
    <w:rsid w:val="4C804ECE"/>
    <w:rsid w:val="4C820C46"/>
    <w:rsid w:val="4C83051A"/>
    <w:rsid w:val="4C891FD4"/>
    <w:rsid w:val="4C8C5620"/>
    <w:rsid w:val="4C8C73CE"/>
    <w:rsid w:val="4C9124AD"/>
    <w:rsid w:val="4C9444D5"/>
    <w:rsid w:val="4C975D73"/>
    <w:rsid w:val="4C991AEB"/>
    <w:rsid w:val="4C995102"/>
    <w:rsid w:val="4C995F8F"/>
    <w:rsid w:val="4CA42662"/>
    <w:rsid w:val="4CA46E0E"/>
    <w:rsid w:val="4CA87F80"/>
    <w:rsid w:val="4CB41CD6"/>
    <w:rsid w:val="4CB42DC9"/>
    <w:rsid w:val="4CB46925"/>
    <w:rsid w:val="4CB9218D"/>
    <w:rsid w:val="4CBA03DF"/>
    <w:rsid w:val="4CBE3B8B"/>
    <w:rsid w:val="4CBF2812"/>
    <w:rsid w:val="4CBF59F6"/>
    <w:rsid w:val="4CC27294"/>
    <w:rsid w:val="4CC36B68"/>
    <w:rsid w:val="4CC528E0"/>
    <w:rsid w:val="4CC56D84"/>
    <w:rsid w:val="4CC72AFC"/>
    <w:rsid w:val="4CC90623"/>
    <w:rsid w:val="4CCA439B"/>
    <w:rsid w:val="4CCF375F"/>
    <w:rsid w:val="4CCF550D"/>
    <w:rsid w:val="4CD15729"/>
    <w:rsid w:val="4CD4593A"/>
    <w:rsid w:val="4CD55219"/>
    <w:rsid w:val="4CD6689C"/>
    <w:rsid w:val="4CD86AB8"/>
    <w:rsid w:val="4CD97E11"/>
    <w:rsid w:val="4CDD1363"/>
    <w:rsid w:val="4CE1708E"/>
    <w:rsid w:val="4CE90CC5"/>
    <w:rsid w:val="4CE94821"/>
    <w:rsid w:val="4CEC2563"/>
    <w:rsid w:val="4CF03E01"/>
    <w:rsid w:val="4CF124D7"/>
    <w:rsid w:val="4CF136D5"/>
    <w:rsid w:val="4CF431C6"/>
    <w:rsid w:val="4CF84A64"/>
    <w:rsid w:val="4CFA1B21"/>
    <w:rsid w:val="4CFA6A2E"/>
    <w:rsid w:val="4CFE5DF2"/>
    <w:rsid w:val="4D005E2E"/>
    <w:rsid w:val="4D007DBC"/>
    <w:rsid w:val="4D0C050F"/>
    <w:rsid w:val="4D0F1DAD"/>
    <w:rsid w:val="4D0F61C4"/>
    <w:rsid w:val="4D185106"/>
    <w:rsid w:val="4D1A1D0C"/>
    <w:rsid w:val="4D1C074A"/>
    <w:rsid w:val="4D244F88"/>
    <w:rsid w:val="4D267823"/>
    <w:rsid w:val="4D2A6BE7"/>
    <w:rsid w:val="4D3006A2"/>
    <w:rsid w:val="4D322037"/>
    <w:rsid w:val="4D386DDA"/>
    <w:rsid w:val="4D387556"/>
    <w:rsid w:val="4D38766A"/>
    <w:rsid w:val="4D3D691B"/>
    <w:rsid w:val="4D405E8D"/>
    <w:rsid w:val="4D44414D"/>
    <w:rsid w:val="4D4E01F5"/>
    <w:rsid w:val="4D5123C6"/>
    <w:rsid w:val="4D534390"/>
    <w:rsid w:val="4D555CC4"/>
    <w:rsid w:val="4D572760"/>
    <w:rsid w:val="4D5D3C89"/>
    <w:rsid w:val="4D6420F9"/>
    <w:rsid w:val="4D695962"/>
    <w:rsid w:val="4D6B4B4B"/>
    <w:rsid w:val="4D6C0FAE"/>
    <w:rsid w:val="4D6E11CA"/>
    <w:rsid w:val="4D6E6C73"/>
    <w:rsid w:val="4D782FD9"/>
    <w:rsid w:val="4D785BA5"/>
    <w:rsid w:val="4D79174D"/>
    <w:rsid w:val="4D7F6F33"/>
    <w:rsid w:val="4D812CAB"/>
    <w:rsid w:val="4D821B8C"/>
    <w:rsid w:val="4D886C44"/>
    <w:rsid w:val="4D8C324F"/>
    <w:rsid w:val="4D8E7176"/>
    <w:rsid w:val="4D911D44"/>
    <w:rsid w:val="4D9643D3"/>
    <w:rsid w:val="4D987FF5"/>
    <w:rsid w:val="4D9B0602"/>
    <w:rsid w:val="4D9C0FDC"/>
    <w:rsid w:val="4D9C7C8B"/>
    <w:rsid w:val="4D9E1AAF"/>
    <w:rsid w:val="4DA370C6"/>
    <w:rsid w:val="4DA60964"/>
    <w:rsid w:val="4DA62CD8"/>
    <w:rsid w:val="4DAB1AD6"/>
    <w:rsid w:val="4DAB41CC"/>
    <w:rsid w:val="4DAB5F7A"/>
    <w:rsid w:val="4DB766CD"/>
    <w:rsid w:val="4DBC5B34"/>
    <w:rsid w:val="4DC06044"/>
    <w:rsid w:val="4DC31516"/>
    <w:rsid w:val="4DC808DA"/>
    <w:rsid w:val="4DC86B2C"/>
    <w:rsid w:val="4DCB03CA"/>
    <w:rsid w:val="4DCB3F26"/>
    <w:rsid w:val="4DCD7C9F"/>
    <w:rsid w:val="4DD27745"/>
    <w:rsid w:val="4DD3102D"/>
    <w:rsid w:val="4DDC4386"/>
    <w:rsid w:val="4DDC6134"/>
    <w:rsid w:val="4DE14C7E"/>
    <w:rsid w:val="4DE374C2"/>
    <w:rsid w:val="4DE4148C"/>
    <w:rsid w:val="4DE6024A"/>
    <w:rsid w:val="4DEE4A39"/>
    <w:rsid w:val="4DF01BDF"/>
    <w:rsid w:val="4DF01E53"/>
    <w:rsid w:val="4DF74D1B"/>
    <w:rsid w:val="4DFC67D6"/>
    <w:rsid w:val="4DFF1E22"/>
    <w:rsid w:val="4E00263F"/>
    <w:rsid w:val="4E035DB6"/>
    <w:rsid w:val="4E045131"/>
    <w:rsid w:val="4E0A0EF3"/>
    <w:rsid w:val="4E0B6496"/>
    <w:rsid w:val="4E0F02B7"/>
    <w:rsid w:val="4E10402F"/>
    <w:rsid w:val="4E1545A9"/>
    <w:rsid w:val="4E184ECF"/>
    <w:rsid w:val="4E18612D"/>
    <w:rsid w:val="4E192EE4"/>
    <w:rsid w:val="4E1A4EAE"/>
    <w:rsid w:val="4E1C6E78"/>
    <w:rsid w:val="4E1E499E"/>
    <w:rsid w:val="4E200716"/>
    <w:rsid w:val="4E223A1D"/>
    <w:rsid w:val="4E231FB4"/>
    <w:rsid w:val="4E2D4BE1"/>
    <w:rsid w:val="4E2F0959"/>
    <w:rsid w:val="4E30022D"/>
    <w:rsid w:val="4E30647F"/>
    <w:rsid w:val="4E345F70"/>
    <w:rsid w:val="4E3715BC"/>
    <w:rsid w:val="4E3C4E24"/>
    <w:rsid w:val="4E3C4FB1"/>
    <w:rsid w:val="4E402B66"/>
    <w:rsid w:val="4E41243B"/>
    <w:rsid w:val="4E446BEC"/>
    <w:rsid w:val="4E481A1B"/>
    <w:rsid w:val="4E4837C9"/>
    <w:rsid w:val="4E487C6D"/>
    <w:rsid w:val="4E4A12EF"/>
    <w:rsid w:val="4E4C2032"/>
    <w:rsid w:val="4E4D7031"/>
    <w:rsid w:val="4E5263F6"/>
    <w:rsid w:val="4E5377DA"/>
    <w:rsid w:val="4E5403C0"/>
    <w:rsid w:val="4E556430"/>
    <w:rsid w:val="4E606D65"/>
    <w:rsid w:val="4E654842"/>
    <w:rsid w:val="4E683E6B"/>
    <w:rsid w:val="4E6920B3"/>
    <w:rsid w:val="4E6D1482"/>
    <w:rsid w:val="4E6F4101"/>
    <w:rsid w:val="4E6F6FA8"/>
    <w:rsid w:val="4E7C09F9"/>
    <w:rsid w:val="4E8567CB"/>
    <w:rsid w:val="4E8B0A28"/>
    <w:rsid w:val="4E8C1327"/>
    <w:rsid w:val="4E8F31A6"/>
    <w:rsid w:val="4E944C60"/>
    <w:rsid w:val="4E975330"/>
    <w:rsid w:val="4E984750"/>
    <w:rsid w:val="4EA00746"/>
    <w:rsid w:val="4EA1206A"/>
    <w:rsid w:val="4EA2112B"/>
    <w:rsid w:val="4EA3285D"/>
    <w:rsid w:val="4EA34EA3"/>
    <w:rsid w:val="4EB51578"/>
    <w:rsid w:val="4EB64BD7"/>
    <w:rsid w:val="4EB70E3E"/>
    <w:rsid w:val="4EBD5F65"/>
    <w:rsid w:val="4EBF33BF"/>
    <w:rsid w:val="4EC01F05"/>
    <w:rsid w:val="4EC05A55"/>
    <w:rsid w:val="4EC12B91"/>
    <w:rsid w:val="4EC2357B"/>
    <w:rsid w:val="4EC45545"/>
    <w:rsid w:val="4EC54E1A"/>
    <w:rsid w:val="4EC76DE4"/>
    <w:rsid w:val="4EC92B5C"/>
    <w:rsid w:val="4ECC61A8"/>
    <w:rsid w:val="4ED03843"/>
    <w:rsid w:val="4ED079B5"/>
    <w:rsid w:val="4ED24BC6"/>
    <w:rsid w:val="4ED27537"/>
    <w:rsid w:val="4ED4505D"/>
    <w:rsid w:val="4EE02FF7"/>
    <w:rsid w:val="4EE47996"/>
    <w:rsid w:val="4EE50468"/>
    <w:rsid w:val="4EE74081"/>
    <w:rsid w:val="4EF07467"/>
    <w:rsid w:val="4EF13E61"/>
    <w:rsid w:val="4EF179BD"/>
    <w:rsid w:val="4EF456FF"/>
    <w:rsid w:val="4EF65EE6"/>
    <w:rsid w:val="4EF86F9D"/>
    <w:rsid w:val="4EF94AC3"/>
    <w:rsid w:val="4EFB6A8D"/>
    <w:rsid w:val="4F02606E"/>
    <w:rsid w:val="4F027E1C"/>
    <w:rsid w:val="4F032DA5"/>
    <w:rsid w:val="4F073684"/>
    <w:rsid w:val="4F0911AA"/>
    <w:rsid w:val="4F0A10D5"/>
    <w:rsid w:val="4F11005F"/>
    <w:rsid w:val="4F111E0D"/>
    <w:rsid w:val="4F132029"/>
    <w:rsid w:val="4F194B69"/>
    <w:rsid w:val="4F1A0BCA"/>
    <w:rsid w:val="4F1B712F"/>
    <w:rsid w:val="4F2608AE"/>
    <w:rsid w:val="4F271D3E"/>
    <w:rsid w:val="4F31425D"/>
    <w:rsid w:val="4F3A75B6"/>
    <w:rsid w:val="4F3D2C02"/>
    <w:rsid w:val="4F3F1455"/>
    <w:rsid w:val="4F4026F2"/>
    <w:rsid w:val="4F42290E"/>
    <w:rsid w:val="4F45117A"/>
    <w:rsid w:val="4F457D08"/>
    <w:rsid w:val="4F4977F9"/>
    <w:rsid w:val="4F4C72E9"/>
    <w:rsid w:val="4F4F0B87"/>
    <w:rsid w:val="4F505507"/>
    <w:rsid w:val="4F506DD9"/>
    <w:rsid w:val="4F52414B"/>
    <w:rsid w:val="4F55619D"/>
    <w:rsid w:val="4F5B577E"/>
    <w:rsid w:val="4F5F526E"/>
    <w:rsid w:val="4F602D94"/>
    <w:rsid w:val="4F6603AB"/>
    <w:rsid w:val="4F672375"/>
    <w:rsid w:val="4F674123"/>
    <w:rsid w:val="4F6F15E1"/>
    <w:rsid w:val="4F756840"/>
    <w:rsid w:val="4F764366"/>
    <w:rsid w:val="4F77327D"/>
    <w:rsid w:val="4F7800DE"/>
    <w:rsid w:val="4F7A3E56"/>
    <w:rsid w:val="4F7B372A"/>
    <w:rsid w:val="4F7D74A2"/>
    <w:rsid w:val="4F801F1C"/>
    <w:rsid w:val="4F806F93"/>
    <w:rsid w:val="4F807D78"/>
    <w:rsid w:val="4F813436"/>
    <w:rsid w:val="4F90367A"/>
    <w:rsid w:val="4F960564"/>
    <w:rsid w:val="4F9B5B7A"/>
    <w:rsid w:val="4FA42C81"/>
    <w:rsid w:val="4FA61921"/>
    <w:rsid w:val="4FAD422B"/>
    <w:rsid w:val="4FAF16B5"/>
    <w:rsid w:val="4FB1539E"/>
    <w:rsid w:val="4FB31116"/>
    <w:rsid w:val="4FB37368"/>
    <w:rsid w:val="4FB8497E"/>
    <w:rsid w:val="4FBC446F"/>
    <w:rsid w:val="4FC357FD"/>
    <w:rsid w:val="4FCA3333"/>
    <w:rsid w:val="4FD01CC8"/>
    <w:rsid w:val="4FD2395D"/>
    <w:rsid w:val="4FD25A40"/>
    <w:rsid w:val="4FD535CD"/>
    <w:rsid w:val="4FD94922"/>
    <w:rsid w:val="4FD95020"/>
    <w:rsid w:val="4FE25169"/>
    <w:rsid w:val="4FEA6D37"/>
    <w:rsid w:val="50010F5D"/>
    <w:rsid w:val="50016554"/>
    <w:rsid w:val="50041972"/>
    <w:rsid w:val="50091D29"/>
    <w:rsid w:val="501047BA"/>
    <w:rsid w:val="501301BD"/>
    <w:rsid w:val="50141FA4"/>
    <w:rsid w:val="5015592D"/>
    <w:rsid w:val="501778F7"/>
    <w:rsid w:val="5019366F"/>
    <w:rsid w:val="501E0EA8"/>
    <w:rsid w:val="501F6277"/>
    <w:rsid w:val="50243DC2"/>
    <w:rsid w:val="50265D8C"/>
    <w:rsid w:val="502838B2"/>
    <w:rsid w:val="502D757B"/>
    <w:rsid w:val="502D7C51"/>
    <w:rsid w:val="502E4997"/>
    <w:rsid w:val="502F4C40"/>
    <w:rsid w:val="503009B9"/>
    <w:rsid w:val="50306C0B"/>
    <w:rsid w:val="5031142E"/>
    <w:rsid w:val="5032028D"/>
    <w:rsid w:val="50324731"/>
    <w:rsid w:val="503404A9"/>
    <w:rsid w:val="503C7AAB"/>
    <w:rsid w:val="503E4E84"/>
    <w:rsid w:val="503F3AD0"/>
    <w:rsid w:val="50406E4E"/>
    <w:rsid w:val="50433E79"/>
    <w:rsid w:val="50447FC0"/>
    <w:rsid w:val="50463D38"/>
    <w:rsid w:val="50483F54"/>
    <w:rsid w:val="50487AB0"/>
    <w:rsid w:val="504F52E3"/>
    <w:rsid w:val="504F7091"/>
    <w:rsid w:val="5052092F"/>
    <w:rsid w:val="505446A7"/>
    <w:rsid w:val="5055041F"/>
    <w:rsid w:val="50574197"/>
    <w:rsid w:val="50575F45"/>
    <w:rsid w:val="50597F0F"/>
    <w:rsid w:val="505F4DFA"/>
    <w:rsid w:val="50691B4D"/>
    <w:rsid w:val="506F7733"/>
    <w:rsid w:val="50724B2D"/>
    <w:rsid w:val="507C1E50"/>
    <w:rsid w:val="507E1724"/>
    <w:rsid w:val="5080549C"/>
    <w:rsid w:val="50810B36"/>
    <w:rsid w:val="50812FC2"/>
    <w:rsid w:val="50893447"/>
    <w:rsid w:val="508A631B"/>
    <w:rsid w:val="508D49F6"/>
    <w:rsid w:val="508D7BB9"/>
    <w:rsid w:val="50923421"/>
    <w:rsid w:val="50940F47"/>
    <w:rsid w:val="5095081C"/>
    <w:rsid w:val="509B0528"/>
    <w:rsid w:val="509E3B74"/>
    <w:rsid w:val="50A00F4B"/>
    <w:rsid w:val="50A05B3E"/>
    <w:rsid w:val="50A218B6"/>
    <w:rsid w:val="50A373DC"/>
    <w:rsid w:val="50AA42C7"/>
    <w:rsid w:val="50AC6291"/>
    <w:rsid w:val="50B415EA"/>
    <w:rsid w:val="50BD049E"/>
    <w:rsid w:val="50C23D07"/>
    <w:rsid w:val="50C335DB"/>
    <w:rsid w:val="50C86E43"/>
    <w:rsid w:val="50CA30CD"/>
    <w:rsid w:val="50CA3508"/>
    <w:rsid w:val="50CB7569"/>
    <w:rsid w:val="50CC09F9"/>
    <w:rsid w:val="50CC6933"/>
    <w:rsid w:val="50CD6207"/>
    <w:rsid w:val="50CE26AB"/>
    <w:rsid w:val="50CE6F9F"/>
    <w:rsid w:val="50D91050"/>
    <w:rsid w:val="50D94BAC"/>
    <w:rsid w:val="50DA0833"/>
    <w:rsid w:val="50DB6B76"/>
    <w:rsid w:val="50DB7A39"/>
    <w:rsid w:val="50E0418D"/>
    <w:rsid w:val="50E05F3B"/>
    <w:rsid w:val="50E7254E"/>
    <w:rsid w:val="50EA0B67"/>
    <w:rsid w:val="50EA6DB9"/>
    <w:rsid w:val="50ED7D32"/>
    <w:rsid w:val="50EE4AFC"/>
    <w:rsid w:val="50F25C6E"/>
    <w:rsid w:val="50F43794"/>
    <w:rsid w:val="50F639B0"/>
    <w:rsid w:val="50FD6AED"/>
    <w:rsid w:val="5100482F"/>
    <w:rsid w:val="51023F76"/>
    <w:rsid w:val="51044B29"/>
    <w:rsid w:val="510507A1"/>
    <w:rsid w:val="510559A1"/>
    <w:rsid w:val="510A1DF1"/>
    <w:rsid w:val="510D2AA8"/>
    <w:rsid w:val="510F1C3C"/>
    <w:rsid w:val="511030CC"/>
    <w:rsid w:val="51111E2A"/>
    <w:rsid w:val="51136310"/>
    <w:rsid w:val="51143E36"/>
    <w:rsid w:val="51156A77"/>
    <w:rsid w:val="5116195C"/>
    <w:rsid w:val="51165E00"/>
    <w:rsid w:val="511B3417"/>
    <w:rsid w:val="511C421F"/>
    <w:rsid w:val="511D718F"/>
    <w:rsid w:val="511F2F07"/>
    <w:rsid w:val="51220301"/>
    <w:rsid w:val="51234079"/>
    <w:rsid w:val="512651A9"/>
    <w:rsid w:val="51275918"/>
    <w:rsid w:val="51281690"/>
    <w:rsid w:val="512D6CA6"/>
    <w:rsid w:val="512F6EC2"/>
    <w:rsid w:val="513149E8"/>
    <w:rsid w:val="5133250E"/>
    <w:rsid w:val="513A1AEF"/>
    <w:rsid w:val="513C0BD2"/>
    <w:rsid w:val="513F5357"/>
    <w:rsid w:val="51422751"/>
    <w:rsid w:val="51426BF5"/>
    <w:rsid w:val="514351EF"/>
    <w:rsid w:val="51453FF0"/>
    <w:rsid w:val="514F30C0"/>
    <w:rsid w:val="515801C7"/>
    <w:rsid w:val="51597A9B"/>
    <w:rsid w:val="515D3A2F"/>
    <w:rsid w:val="515D57DD"/>
    <w:rsid w:val="515E0E17"/>
    <w:rsid w:val="516052CE"/>
    <w:rsid w:val="51625545"/>
    <w:rsid w:val="5164091A"/>
    <w:rsid w:val="51654692"/>
    <w:rsid w:val="51656440"/>
    <w:rsid w:val="516A1CA8"/>
    <w:rsid w:val="516A3A56"/>
    <w:rsid w:val="516C5A20"/>
    <w:rsid w:val="516E3547"/>
    <w:rsid w:val="51701F58"/>
    <w:rsid w:val="51711289"/>
    <w:rsid w:val="517148AA"/>
    <w:rsid w:val="517320C3"/>
    <w:rsid w:val="517A638F"/>
    <w:rsid w:val="517F5754"/>
    <w:rsid w:val="51850890"/>
    <w:rsid w:val="518906F0"/>
    <w:rsid w:val="518C60C3"/>
    <w:rsid w:val="51915487"/>
    <w:rsid w:val="51945C61"/>
    <w:rsid w:val="51A67184"/>
    <w:rsid w:val="51AC5E5D"/>
    <w:rsid w:val="51AE6039"/>
    <w:rsid w:val="51AE7211"/>
    <w:rsid w:val="51AF4F86"/>
    <w:rsid w:val="51B178D7"/>
    <w:rsid w:val="51B86EB8"/>
    <w:rsid w:val="51C159B6"/>
    <w:rsid w:val="51C2088C"/>
    <w:rsid w:val="51C27D36"/>
    <w:rsid w:val="51C70EA9"/>
    <w:rsid w:val="51C8234F"/>
    <w:rsid w:val="51C904BB"/>
    <w:rsid w:val="51CF19F5"/>
    <w:rsid w:val="51CF6F3E"/>
    <w:rsid w:val="51D07D5D"/>
    <w:rsid w:val="51D57A6A"/>
    <w:rsid w:val="51DA5080"/>
    <w:rsid w:val="51DB6702"/>
    <w:rsid w:val="51DD247A"/>
    <w:rsid w:val="51DF61F2"/>
    <w:rsid w:val="51E25CE3"/>
    <w:rsid w:val="51E4360B"/>
    <w:rsid w:val="51E67581"/>
    <w:rsid w:val="51EE28D9"/>
    <w:rsid w:val="51F55A16"/>
    <w:rsid w:val="51F83758"/>
    <w:rsid w:val="51FF4AE6"/>
    <w:rsid w:val="5201085F"/>
    <w:rsid w:val="5201260D"/>
    <w:rsid w:val="52036385"/>
    <w:rsid w:val="52075749"/>
    <w:rsid w:val="5208399B"/>
    <w:rsid w:val="5209326F"/>
    <w:rsid w:val="5214298C"/>
    <w:rsid w:val="52171E30"/>
    <w:rsid w:val="521B6C41"/>
    <w:rsid w:val="521C11F4"/>
    <w:rsid w:val="521C7446"/>
    <w:rsid w:val="522105B9"/>
    <w:rsid w:val="52285DEB"/>
    <w:rsid w:val="52293911"/>
    <w:rsid w:val="52326C6A"/>
    <w:rsid w:val="523924E1"/>
    <w:rsid w:val="523B7711"/>
    <w:rsid w:val="523F3135"/>
    <w:rsid w:val="5242431B"/>
    <w:rsid w:val="524349D3"/>
    <w:rsid w:val="5248023B"/>
    <w:rsid w:val="52541382"/>
    <w:rsid w:val="5256161C"/>
    <w:rsid w:val="5257047F"/>
    <w:rsid w:val="52592449"/>
    <w:rsid w:val="525B3FFE"/>
    <w:rsid w:val="525C7843"/>
    <w:rsid w:val="525E35BB"/>
    <w:rsid w:val="525F10E1"/>
    <w:rsid w:val="525F5585"/>
    <w:rsid w:val="52650DED"/>
    <w:rsid w:val="52716224"/>
    <w:rsid w:val="527171A4"/>
    <w:rsid w:val="52725202"/>
    <w:rsid w:val="527458E8"/>
    <w:rsid w:val="527728CF"/>
    <w:rsid w:val="527A416D"/>
    <w:rsid w:val="528154FB"/>
    <w:rsid w:val="52825B1B"/>
    <w:rsid w:val="52862B12"/>
    <w:rsid w:val="528F19C6"/>
    <w:rsid w:val="528F408F"/>
    <w:rsid w:val="528F7C18"/>
    <w:rsid w:val="52946FDD"/>
    <w:rsid w:val="529D3DB1"/>
    <w:rsid w:val="529E7E5B"/>
    <w:rsid w:val="52A26B1F"/>
    <w:rsid w:val="52A336C4"/>
    <w:rsid w:val="52B0193D"/>
    <w:rsid w:val="52B256B5"/>
    <w:rsid w:val="52B2639C"/>
    <w:rsid w:val="52B437F7"/>
    <w:rsid w:val="52BA27BB"/>
    <w:rsid w:val="52BB1129"/>
    <w:rsid w:val="52BC29D7"/>
    <w:rsid w:val="52C33D66"/>
    <w:rsid w:val="52C6187C"/>
    <w:rsid w:val="52CB6777"/>
    <w:rsid w:val="52CB6E2F"/>
    <w:rsid w:val="52D90E94"/>
    <w:rsid w:val="52DB2E5E"/>
    <w:rsid w:val="52E02222"/>
    <w:rsid w:val="52E73786"/>
    <w:rsid w:val="52E8648C"/>
    <w:rsid w:val="52E87329"/>
    <w:rsid w:val="52EB49DD"/>
    <w:rsid w:val="52EF487C"/>
    <w:rsid w:val="52F42171"/>
    <w:rsid w:val="52F60E0C"/>
    <w:rsid w:val="52F97788"/>
    <w:rsid w:val="52FB3500"/>
    <w:rsid w:val="52FC4B82"/>
    <w:rsid w:val="52FC57CF"/>
    <w:rsid w:val="53000B16"/>
    <w:rsid w:val="5302663C"/>
    <w:rsid w:val="530323D9"/>
    <w:rsid w:val="53035F10"/>
    <w:rsid w:val="53073C53"/>
    <w:rsid w:val="530879CB"/>
    <w:rsid w:val="530C74BB"/>
    <w:rsid w:val="5311092D"/>
    <w:rsid w:val="53117559"/>
    <w:rsid w:val="5322283B"/>
    <w:rsid w:val="532F4F57"/>
    <w:rsid w:val="53315D89"/>
    <w:rsid w:val="5338205E"/>
    <w:rsid w:val="53394028"/>
    <w:rsid w:val="533B7DA0"/>
    <w:rsid w:val="53430A03"/>
    <w:rsid w:val="53452EE6"/>
    <w:rsid w:val="53456529"/>
    <w:rsid w:val="5349426B"/>
    <w:rsid w:val="534B0014"/>
    <w:rsid w:val="53507E24"/>
    <w:rsid w:val="53542C10"/>
    <w:rsid w:val="535449BE"/>
    <w:rsid w:val="5356205A"/>
    <w:rsid w:val="53566988"/>
    <w:rsid w:val="53591FD4"/>
    <w:rsid w:val="535E045A"/>
    <w:rsid w:val="535F3A8F"/>
    <w:rsid w:val="535F717D"/>
    <w:rsid w:val="5363629A"/>
    <w:rsid w:val="53650979"/>
    <w:rsid w:val="53654B22"/>
    <w:rsid w:val="53662E9D"/>
    <w:rsid w:val="536E5A80"/>
    <w:rsid w:val="53721D2E"/>
    <w:rsid w:val="5373753A"/>
    <w:rsid w:val="53740BBC"/>
    <w:rsid w:val="53764934"/>
    <w:rsid w:val="537806AC"/>
    <w:rsid w:val="537868FE"/>
    <w:rsid w:val="537B63EF"/>
    <w:rsid w:val="53837051"/>
    <w:rsid w:val="5385101B"/>
    <w:rsid w:val="538A26DB"/>
    <w:rsid w:val="538A6632"/>
    <w:rsid w:val="538D4809"/>
    <w:rsid w:val="53986FA1"/>
    <w:rsid w:val="539B25ED"/>
    <w:rsid w:val="539D601D"/>
    <w:rsid w:val="53A04DAC"/>
    <w:rsid w:val="53A05E55"/>
    <w:rsid w:val="53A07C03"/>
    <w:rsid w:val="53A45945"/>
    <w:rsid w:val="53A771E4"/>
    <w:rsid w:val="53A96AB8"/>
    <w:rsid w:val="53AC0356"/>
    <w:rsid w:val="53B079A2"/>
    <w:rsid w:val="53B12890"/>
    <w:rsid w:val="53B13BBE"/>
    <w:rsid w:val="53BF0089"/>
    <w:rsid w:val="53C41B44"/>
    <w:rsid w:val="53C47D96"/>
    <w:rsid w:val="53C51418"/>
    <w:rsid w:val="53C5246A"/>
    <w:rsid w:val="53C77F81"/>
    <w:rsid w:val="53CE651E"/>
    <w:rsid w:val="53CF54F2"/>
    <w:rsid w:val="53D22156"/>
    <w:rsid w:val="53DA3115"/>
    <w:rsid w:val="53DC242E"/>
    <w:rsid w:val="53E45D42"/>
    <w:rsid w:val="53EE4E13"/>
    <w:rsid w:val="53F1045F"/>
    <w:rsid w:val="53F64465"/>
    <w:rsid w:val="53F817ED"/>
    <w:rsid w:val="53FD5056"/>
    <w:rsid w:val="53FF0DCE"/>
    <w:rsid w:val="54014B46"/>
    <w:rsid w:val="540168F4"/>
    <w:rsid w:val="54040192"/>
    <w:rsid w:val="54061D8D"/>
    <w:rsid w:val="54063F0A"/>
    <w:rsid w:val="54093709"/>
    <w:rsid w:val="540939FA"/>
    <w:rsid w:val="540C7047"/>
    <w:rsid w:val="540D20E2"/>
    <w:rsid w:val="54102FDB"/>
    <w:rsid w:val="54166797"/>
    <w:rsid w:val="542425E2"/>
    <w:rsid w:val="54271E31"/>
    <w:rsid w:val="542919A7"/>
    <w:rsid w:val="542B3971"/>
    <w:rsid w:val="542B571F"/>
    <w:rsid w:val="542E4991"/>
    <w:rsid w:val="54302D35"/>
    <w:rsid w:val="54305A86"/>
    <w:rsid w:val="543071D9"/>
    <w:rsid w:val="54316AAD"/>
    <w:rsid w:val="5435127D"/>
    <w:rsid w:val="543C3DD0"/>
    <w:rsid w:val="543C5B7E"/>
    <w:rsid w:val="544113E6"/>
    <w:rsid w:val="54444A33"/>
    <w:rsid w:val="54482775"/>
    <w:rsid w:val="544E58B1"/>
    <w:rsid w:val="54516500"/>
    <w:rsid w:val="54517DF8"/>
    <w:rsid w:val="545473CA"/>
    <w:rsid w:val="54556C40"/>
    <w:rsid w:val="545A24A8"/>
    <w:rsid w:val="54624EB9"/>
    <w:rsid w:val="5463135D"/>
    <w:rsid w:val="54640C31"/>
    <w:rsid w:val="546724CF"/>
    <w:rsid w:val="54703A7A"/>
    <w:rsid w:val="54741EC7"/>
    <w:rsid w:val="54754BEC"/>
    <w:rsid w:val="5477021B"/>
    <w:rsid w:val="547C67AB"/>
    <w:rsid w:val="547E09F5"/>
    <w:rsid w:val="547F7730"/>
    <w:rsid w:val="548E5CAE"/>
    <w:rsid w:val="54917C49"/>
    <w:rsid w:val="54920562"/>
    <w:rsid w:val="54921C42"/>
    <w:rsid w:val="54931516"/>
    <w:rsid w:val="549332C4"/>
    <w:rsid w:val="549A036C"/>
    <w:rsid w:val="549F1A7B"/>
    <w:rsid w:val="54A454D1"/>
    <w:rsid w:val="54AC2F51"/>
    <w:rsid w:val="54AE00FE"/>
    <w:rsid w:val="54B13782"/>
    <w:rsid w:val="54B25E40"/>
    <w:rsid w:val="54B35714"/>
    <w:rsid w:val="54B61E08"/>
    <w:rsid w:val="54B716A8"/>
    <w:rsid w:val="54B73456"/>
    <w:rsid w:val="54BB183C"/>
    <w:rsid w:val="54C70CF8"/>
    <w:rsid w:val="54C81203"/>
    <w:rsid w:val="54C87412"/>
    <w:rsid w:val="54CB6F02"/>
    <w:rsid w:val="54CC5154"/>
    <w:rsid w:val="54CD2C7A"/>
    <w:rsid w:val="54CD4A28"/>
    <w:rsid w:val="54CE266B"/>
    <w:rsid w:val="54CF3934"/>
    <w:rsid w:val="54D2203E"/>
    <w:rsid w:val="54D50C36"/>
    <w:rsid w:val="54D93EFE"/>
    <w:rsid w:val="54D9507B"/>
    <w:rsid w:val="54DC4C6B"/>
    <w:rsid w:val="54DE4E87"/>
    <w:rsid w:val="54E22DEA"/>
    <w:rsid w:val="54EF45FD"/>
    <w:rsid w:val="54F062A2"/>
    <w:rsid w:val="55020B76"/>
    <w:rsid w:val="55023F28"/>
    <w:rsid w:val="55052414"/>
    <w:rsid w:val="55067F3A"/>
    <w:rsid w:val="55083CB2"/>
    <w:rsid w:val="5511706B"/>
    <w:rsid w:val="551268DF"/>
    <w:rsid w:val="55175CA3"/>
    <w:rsid w:val="551E34D6"/>
    <w:rsid w:val="551E7032"/>
    <w:rsid w:val="55256612"/>
    <w:rsid w:val="55295C69"/>
    <w:rsid w:val="553B5E36"/>
    <w:rsid w:val="553E5926"/>
    <w:rsid w:val="5542457E"/>
    <w:rsid w:val="55434CEA"/>
    <w:rsid w:val="55456CB4"/>
    <w:rsid w:val="554967A4"/>
    <w:rsid w:val="554A030E"/>
    <w:rsid w:val="554A7E27"/>
    <w:rsid w:val="554C3B9F"/>
    <w:rsid w:val="554C7D7D"/>
    <w:rsid w:val="554E24EC"/>
    <w:rsid w:val="555111B5"/>
    <w:rsid w:val="55560EC1"/>
    <w:rsid w:val="55572544"/>
    <w:rsid w:val="555869E7"/>
    <w:rsid w:val="555C7B5A"/>
    <w:rsid w:val="556422EE"/>
    <w:rsid w:val="55652EB2"/>
    <w:rsid w:val="556741A0"/>
    <w:rsid w:val="55684751"/>
    <w:rsid w:val="55693404"/>
    <w:rsid w:val="556C09CA"/>
    <w:rsid w:val="556C2493"/>
    <w:rsid w:val="557032EB"/>
    <w:rsid w:val="557355CF"/>
    <w:rsid w:val="55760C1C"/>
    <w:rsid w:val="55767585"/>
    <w:rsid w:val="5577646D"/>
    <w:rsid w:val="557931CB"/>
    <w:rsid w:val="55794BB0"/>
    <w:rsid w:val="5579695E"/>
    <w:rsid w:val="557B0928"/>
    <w:rsid w:val="557B33C0"/>
    <w:rsid w:val="557D644E"/>
    <w:rsid w:val="557E5D22"/>
    <w:rsid w:val="557F47C0"/>
    <w:rsid w:val="5587107B"/>
    <w:rsid w:val="558863EB"/>
    <w:rsid w:val="55911EF9"/>
    <w:rsid w:val="55915A56"/>
    <w:rsid w:val="55935C72"/>
    <w:rsid w:val="559519EA"/>
    <w:rsid w:val="559B4B26"/>
    <w:rsid w:val="559D43FA"/>
    <w:rsid w:val="559F4616"/>
    <w:rsid w:val="55A57753"/>
    <w:rsid w:val="55A90FF1"/>
    <w:rsid w:val="55AC6E9D"/>
    <w:rsid w:val="55AD05A3"/>
    <w:rsid w:val="55AF05D2"/>
    <w:rsid w:val="55B313A7"/>
    <w:rsid w:val="55B42837"/>
    <w:rsid w:val="55B47996"/>
    <w:rsid w:val="55B55F10"/>
    <w:rsid w:val="55BD1053"/>
    <w:rsid w:val="55C0458D"/>
    <w:rsid w:val="55C71477"/>
    <w:rsid w:val="55C73B6D"/>
    <w:rsid w:val="55C844F0"/>
    <w:rsid w:val="55C951EF"/>
    <w:rsid w:val="55CA0F67"/>
    <w:rsid w:val="55CC1183"/>
    <w:rsid w:val="55CE5FAF"/>
    <w:rsid w:val="55CF47D0"/>
    <w:rsid w:val="55D05E26"/>
    <w:rsid w:val="55D63DB0"/>
    <w:rsid w:val="55D65B5E"/>
    <w:rsid w:val="55D7191A"/>
    <w:rsid w:val="55D87B28"/>
    <w:rsid w:val="55D909B9"/>
    <w:rsid w:val="55DA564E"/>
    <w:rsid w:val="55DB3175"/>
    <w:rsid w:val="55E11FCA"/>
    <w:rsid w:val="55E31575"/>
    <w:rsid w:val="55E42029"/>
    <w:rsid w:val="55E464CD"/>
    <w:rsid w:val="55E97640"/>
    <w:rsid w:val="55F04E72"/>
    <w:rsid w:val="55F06C20"/>
    <w:rsid w:val="55F10BEA"/>
    <w:rsid w:val="55F54D3B"/>
    <w:rsid w:val="55F61D5C"/>
    <w:rsid w:val="55FA184D"/>
    <w:rsid w:val="560162DD"/>
    <w:rsid w:val="56051FA0"/>
    <w:rsid w:val="560E3442"/>
    <w:rsid w:val="561072C2"/>
    <w:rsid w:val="561346BC"/>
    <w:rsid w:val="561C5C67"/>
    <w:rsid w:val="561D1AA7"/>
    <w:rsid w:val="56204D1B"/>
    <w:rsid w:val="56226FF5"/>
    <w:rsid w:val="56232843"/>
    <w:rsid w:val="562763BA"/>
    <w:rsid w:val="56292132"/>
    <w:rsid w:val="562A237D"/>
    <w:rsid w:val="562C598F"/>
    <w:rsid w:val="562C5B54"/>
    <w:rsid w:val="562D159C"/>
    <w:rsid w:val="562E70CC"/>
    <w:rsid w:val="563A60ED"/>
    <w:rsid w:val="563D3E2F"/>
    <w:rsid w:val="563F226F"/>
    <w:rsid w:val="5640122A"/>
    <w:rsid w:val="56407A11"/>
    <w:rsid w:val="56410EA1"/>
    <w:rsid w:val="56464A92"/>
    <w:rsid w:val="564B20A8"/>
    <w:rsid w:val="565166AD"/>
    <w:rsid w:val="565306E5"/>
    <w:rsid w:val="565432B3"/>
    <w:rsid w:val="565A05B8"/>
    <w:rsid w:val="565F437A"/>
    <w:rsid w:val="56665134"/>
    <w:rsid w:val="56680EAC"/>
    <w:rsid w:val="566E5D97"/>
    <w:rsid w:val="56725887"/>
    <w:rsid w:val="56761C39"/>
    <w:rsid w:val="56777341"/>
    <w:rsid w:val="567B233F"/>
    <w:rsid w:val="567F7FA4"/>
    <w:rsid w:val="56814E3E"/>
    <w:rsid w:val="5681771D"/>
    <w:rsid w:val="56876E58"/>
    <w:rsid w:val="568F468B"/>
    <w:rsid w:val="5697353F"/>
    <w:rsid w:val="569752EE"/>
    <w:rsid w:val="56982E14"/>
    <w:rsid w:val="56993F21"/>
    <w:rsid w:val="569E667C"/>
    <w:rsid w:val="56A27718"/>
    <w:rsid w:val="56A54D17"/>
    <w:rsid w:val="56AC7030"/>
    <w:rsid w:val="56B20379"/>
    <w:rsid w:val="56B23ED5"/>
    <w:rsid w:val="56B37C4E"/>
    <w:rsid w:val="56B51C18"/>
    <w:rsid w:val="56B714EC"/>
    <w:rsid w:val="56BC2FA6"/>
    <w:rsid w:val="56BC6214"/>
    <w:rsid w:val="56BD287A"/>
    <w:rsid w:val="56C836F9"/>
    <w:rsid w:val="56C854A7"/>
    <w:rsid w:val="56CA56C3"/>
    <w:rsid w:val="56CD0D0F"/>
    <w:rsid w:val="56CD6F61"/>
    <w:rsid w:val="56CF2CD9"/>
    <w:rsid w:val="56D20B13"/>
    <w:rsid w:val="56D54068"/>
    <w:rsid w:val="56D57BC4"/>
    <w:rsid w:val="56D95906"/>
    <w:rsid w:val="56DA342C"/>
    <w:rsid w:val="56DC53F6"/>
    <w:rsid w:val="56DE2F1C"/>
    <w:rsid w:val="56E04EE6"/>
    <w:rsid w:val="56E85B49"/>
    <w:rsid w:val="56ED13B1"/>
    <w:rsid w:val="56F16594"/>
    <w:rsid w:val="56F269C8"/>
    <w:rsid w:val="56F42740"/>
    <w:rsid w:val="56F91B04"/>
    <w:rsid w:val="56FB3ACE"/>
    <w:rsid w:val="57016C0B"/>
    <w:rsid w:val="57034731"/>
    <w:rsid w:val="570566FB"/>
    <w:rsid w:val="57087F99"/>
    <w:rsid w:val="570B1838"/>
    <w:rsid w:val="570F757A"/>
    <w:rsid w:val="57106E4E"/>
    <w:rsid w:val="5712700E"/>
    <w:rsid w:val="57184072"/>
    <w:rsid w:val="57253D43"/>
    <w:rsid w:val="572A6725"/>
    <w:rsid w:val="572B451F"/>
    <w:rsid w:val="572F19CA"/>
    <w:rsid w:val="572F3778"/>
    <w:rsid w:val="57315742"/>
    <w:rsid w:val="573174F0"/>
    <w:rsid w:val="57364B06"/>
    <w:rsid w:val="57390153"/>
    <w:rsid w:val="57396991"/>
    <w:rsid w:val="57405985"/>
    <w:rsid w:val="57407733"/>
    <w:rsid w:val="574134AB"/>
    <w:rsid w:val="574216FD"/>
    <w:rsid w:val="57437223"/>
    <w:rsid w:val="574A05B2"/>
    <w:rsid w:val="574B60D8"/>
    <w:rsid w:val="57534858"/>
    <w:rsid w:val="575371C8"/>
    <w:rsid w:val="57566F57"/>
    <w:rsid w:val="57574A7D"/>
    <w:rsid w:val="575C534A"/>
    <w:rsid w:val="57600001"/>
    <w:rsid w:val="57603931"/>
    <w:rsid w:val="57623B4D"/>
    <w:rsid w:val="57686C8A"/>
    <w:rsid w:val="576E2576"/>
    <w:rsid w:val="576E3115"/>
    <w:rsid w:val="576E6AFE"/>
    <w:rsid w:val="5770468E"/>
    <w:rsid w:val="57723665"/>
    <w:rsid w:val="57770C7B"/>
    <w:rsid w:val="57782CA7"/>
    <w:rsid w:val="57790E97"/>
    <w:rsid w:val="577C44E3"/>
    <w:rsid w:val="577D0987"/>
    <w:rsid w:val="577E64AD"/>
    <w:rsid w:val="57802226"/>
    <w:rsid w:val="5780751F"/>
    <w:rsid w:val="57835EA0"/>
    <w:rsid w:val="578515EA"/>
    <w:rsid w:val="57862E29"/>
    <w:rsid w:val="57875362"/>
    <w:rsid w:val="578A6E9D"/>
    <w:rsid w:val="578C0BCA"/>
    <w:rsid w:val="579655A5"/>
    <w:rsid w:val="579D4B86"/>
    <w:rsid w:val="579F66F9"/>
    <w:rsid w:val="57A35F14"/>
    <w:rsid w:val="57B0377C"/>
    <w:rsid w:val="57B179A7"/>
    <w:rsid w:val="57B40121"/>
    <w:rsid w:val="57B43C7D"/>
    <w:rsid w:val="57CB2D12"/>
    <w:rsid w:val="57D63BF4"/>
    <w:rsid w:val="57D8796C"/>
    <w:rsid w:val="57DD1426"/>
    <w:rsid w:val="57DE10B6"/>
    <w:rsid w:val="57E04A72"/>
    <w:rsid w:val="57E207EA"/>
    <w:rsid w:val="57E26A3C"/>
    <w:rsid w:val="57E72C95"/>
    <w:rsid w:val="57E83927"/>
    <w:rsid w:val="57E9601D"/>
    <w:rsid w:val="57FA1966"/>
    <w:rsid w:val="57FB7AFE"/>
    <w:rsid w:val="58003366"/>
    <w:rsid w:val="58006EC2"/>
    <w:rsid w:val="5804270C"/>
    <w:rsid w:val="58056B37"/>
    <w:rsid w:val="58070251"/>
    <w:rsid w:val="580B5F93"/>
    <w:rsid w:val="580F7106"/>
    <w:rsid w:val="58112E7E"/>
    <w:rsid w:val="58133665"/>
    <w:rsid w:val="58163104"/>
    <w:rsid w:val="581B1F4E"/>
    <w:rsid w:val="58226E39"/>
    <w:rsid w:val="58240E03"/>
    <w:rsid w:val="58254B7B"/>
    <w:rsid w:val="58256929"/>
    <w:rsid w:val="5829466B"/>
    <w:rsid w:val="583067EF"/>
    <w:rsid w:val="58351494"/>
    <w:rsid w:val="58366D88"/>
    <w:rsid w:val="583D1EC5"/>
    <w:rsid w:val="58443253"/>
    <w:rsid w:val="58450D79"/>
    <w:rsid w:val="58474AF1"/>
    <w:rsid w:val="5847689F"/>
    <w:rsid w:val="58482C7F"/>
    <w:rsid w:val="584C5771"/>
    <w:rsid w:val="584C64D4"/>
    <w:rsid w:val="584D3288"/>
    <w:rsid w:val="584D4CEE"/>
    <w:rsid w:val="5855720E"/>
    <w:rsid w:val="58573625"/>
    <w:rsid w:val="58586CFE"/>
    <w:rsid w:val="585B5A65"/>
    <w:rsid w:val="585D2567"/>
    <w:rsid w:val="585F3F16"/>
    <w:rsid w:val="586A6A88"/>
    <w:rsid w:val="586C27AA"/>
    <w:rsid w:val="586C6306"/>
    <w:rsid w:val="58710E2D"/>
    <w:rsid w:val="58782EFD"/>
    <w:rsid w:val="587A0A23"/>
    <w:rsid w:val="58842427"/>
    <w:rsid w:val="588440C7"/>
    <w:rsid w:val="588850A8"/>
    <w:rsid w:val="588C69A8"/>
    <w:rsid w:val="58920462"/>
    <w:rsid w:val="5895585D"/>
    <w:rsid w:val="589A2E73"/>
    <w:rsid w:val="589C308F"/>
    <w:rsid w:val="58A77AFF"/>
    <w:rsid w:val="58A837E2"/>
    <w:rsid w:val="58A957AC"/>
    <w:rsid w:val="58AB5080"/>
    <w:rsid w:val="58AB6E2E"/>
    <w:rsid w:val="58AC2BA6"/>
    <w:rsid w:val="58AD0DF8"/>
    <w:rsid w:val="58B02697"/>
    <w:rsid w:val="58B32187"/>
    <w:rsid w:val="58B702DB"/>
    <w:rsid w:val="58BA31BA"/>
    <w:rsid w:val="58BC07AC"/>
    <w:rsid w:val="58BC728D"/>
    <w:rsid w:val="58BE6386"/>
    <w:rsid w:val="58C104BC"/>
    <w:rsid w:val="58C425E6"/>
    <w:rsid w:val="58C61EBA"/>
    <w:rsid w:val="58C77D96"/>
    <w:rsid w:val="58C919AA"/>
    <w:rsid w:val="58C93758"/>
    <w:rsid w:val="58C93772"/>
    <w:rsid w:val="58CA7BFC"/>
    <w:rsid w:val="58CE6FC1"/>
    <w:rsid w:val="58D2260D"/>
    <w:rsid w:val="58D26AB1"/>
    <w:rsid w:val="58D97E3F"/>
    <w:rsid w:val="58DE7204"/>
    <w:rsid w:val="58E10AA2"/>
    <w:rsid w:val="58E32A6C"/>
    <w:rsid w:val="58E40592"/>
    <w:rsid w:val="58ED38EB"/>
    <w:rsid w:val="58F447DB"/>
    <w:rsid w:val="58FB7741"/>
    <w:rsid w:val="58FD5D9D"/>
    <w:rsid w:val="59034B0E"/>
    <w:rsid w:val="59060509"/>
    <w:rsid w:val="590617C1"/>
    <w:rsid w:val="590649AC"/>
    <w:rsid w:val="59066C26"/>
    <w:rsid w:val="590824D3"/>
    <w:rsid w:val="590B1FC3"/>
    <w:rsid w:val="590B22B6"/>
    <w:rsid w:val="590B3D71"/>
    <w:rsid w:val="590D7AE9"/>
    <w:rsid w:val="59103135"/>
    <w:rsid w:val="591075D9"/>
    <w:rsid w:val="59123351"/>
    <w:rsid w:val="59140E77"/>
    <w:rsid w:val="59162E41"/>
    <w:rsid w:val="591A7294"/>
    <w:rsid w:val="591B63F2"/>
    <w:rsid w:val="591F781C"/>
    <w:rsid w:val="59213594"/>
    <w:rsid w:val="592D1D9B"/>
    <w:rsid w:val="592D1F39"/>
    <w:rsid w:val="593C217C"/>
    <w:rsid w:val="593E58F0"/>
    <w:rsid w:val="593F3A1A"/>
    <w:rsid w:val="594159E5"/>
    <w:rsid w:val="59464DA9"/>
    <w:rsid w:val="5947124D"/>
    <w:rsid w:val="59484FC5"/>
    <w:rsid w:val="594D4389"/>
    <w:rsid w:val="594E3CA4"/>
    <w:rsid w:val="5955323E"/>
    <w:rsid w:val="595C45CC"/>
    <w:rsid w:val="596733BB"/>
    <w:rsid w:val="59680B5D"/>
    <w:rsid w:val="596A4F3B"/>
    <w:rsid w:val="596D67DA"/>
    <w:rsid w:val="596F26C8"/>
    <w:rsid w:val="596F4300"/>
    <w:rsid w:val="5971703E"/>
    <w:rsid w:val="59723DF0"/>
    <w:rsid w:val="597436C4"/>
    <w:rsid w:val="5976568E"/>
    <w:rsid w:val="59766ED3"/>
    <w:rsid w:val="59777658"/>
    <w:rsid w:val="597D18F3"/>
    <w:rsid w:val="597D4C6F"/>
    <w:rsid w:val="597E4543"/>
    <w:rsid w:val="5980475F"/>
    <w:rsid w:val="59822285"/>
    <w:rsid w:val="59843637"/>
    <w:rsid w:val="59851D75"/>
    <w:rsid w:val="59861649"/>
    <w:rsid w:val="59883613"/>
    <w:rsid w:val="598B6C60"/>
    <w:rsid w:val="5991500E"/>
    <w:rsid w:val="599B50F5"/>
    <w:rsid w:val="599C2C1B"/>
    <w:rsid w:val="599F37FD"/>
    <w:rsid w:val="59A321FB"/>
    <w:rsid w:val="59A55F73"/>
    <w:rsid w:val="59A65848"/>
    <w:rsid w:val="59A73A9A"/>
    <w:rsid w:val="59AA17DC"/>
    <w:rsid w:val="59AD307A"/>
    <w:rsid w:val="59B47F65"/>
    <w:rsid w:val="59B57CBC"/>
    <w:rsid w:val="59B9557B"/>
    <w:rsid w:val="59BC4885"/>
    <w:rsid w:val="59BD660D"/>
    <w:rsid w:val="59BF753B"/>
    <w:rsid w:val="59C14B78"/>
    <w:rsid w:val="59C21551"/>
    <w:rsid w:val="59C77C52"/>
    <w:rsid w:val="59CF2FF0"/>
    <w:rsid w:val="59CF4D9E"/>
    <w:rsid w:val="59D2663D"/>
    <w:rsid w:val="59D93E6F"/>
    <w:rsid w:val="59DB1995"/>
    <w:rsid w:val="59DB7BE7"/>
    <w:rsid w:val="59DE1886"/>
    <w:rsid w:val="59E00D5A"/>
    <w:rsid w:val="59E06FAB"/>
    <w:rsid w:val="59E208A7"/>
    <w:rsid w:val="59E35ED0"/>
    <w:rsid w:val="59E940B2"/>
    <w:rsid w:val="59EF5395"/>
    <w:rsid w:val="59EF5441"/>
    <w:rsid w:val="59EF71EF"/>
    <w:rsid w:val="59F1740B"/>
    <w:rsid w:val="59F20A8D"/>
    <w:rsid w:val="59F36CDF"/>
    <w:rsid w:val="59F44805"/>
    <w:rsid w:val="59F51775"/>
    <w:rsid w:val="59F519C7"/>
    <w:rsid w:val="59F91E1B"/>
    <w:rsid w:val="59FA28A1"/>
    <w:rsid w:val="5A0013FC"/>
    <w:rsid w:val="5A0031AA"/>
    <w:rsid w:val="5A04713E"/>
    <w:rsid w:val="5A0A4028"/>
    <w:rsid w:val="5A0E1D6B"/>
    <w:rsid w:val="5A0F163F"/>
    <w:rsid w:val="5A1350B0"/>
    <w:rsid w:val="5A1530F9"/>
    <w:rsid w:val="5A1D0200"/>
    <w:rsid w:val="5A1D1FAE"/>
    <w:rsid w:val="5A250854"/>
    <w:rsid w:val="5A2570B4"/>
    <w:rsid w:val="5A2A46CB"/>
    <w:rsid w:val="5A344EA3"/>
    <w:rsid w:val="5A3572F7"/>
    <w:rsid w:val="5A3617D9"/>
    <w:rsid w:val="5A3665E1"/>
    <w:rsid w:val="5A366BCB"/>
    <w:rsid w:val="5A380B96"/>
    <w:rsid w:val="5A382944"/>
    <w:rsid w:val="5A4532B2"/>
    <w:rsid w:val="5A461504"/>
    <w:rsid w:val="5A47527D"/>
    <w:rsid w:val="5A47702B"/>
    <w:rsid w:val="5A4B6B1B"/>
    <w:rsid w:val="5A4D76B3"/>
    <w:rsid w:val="5A4F7C8D"/>
    <w:rsid w:val="5A513A05"/>
    <w:rsid w:val="5A5359CF"/>
    <w:rsid w:val="5A601E9A"/>
    <w:rsid w:val="5A643739"/>
    <w:rsid w:val="5A647BDD"/>
    <w:rsid w:val="5A6776CD"/>
    <w:rsid w:val="5A6B1B59"/>
    <w:rsid w:val="5A6B2D19"/>
    <w:rsid w:val="5A701946"/>
    <w:rsid w:val="5A7046F8"/>
    <w:rsid w:val="5A715E71"/>
    <w:rsid w:val="5A7B0A82"/>
    <w:rsid w:val="5A7C4F26"/>
    <w:rsid w:val="5A845CF1"/>
    <w:rsid w:val="5A8913F1"/>
    <w:rsid w:val="5A8935B7"/>
    <w:rsid w:val="5A8A2017"/>
    <w:rsid w:val="5A902780"/>
    <w:rsid w:val="5A913507"/>
    <w:rsid w:val="5A99726A"/>
    <w:rsid w:val="5A9A53AC"/>
    <w:rsid w:val="5A9D2A59"/>
    <w:rsid w:val="5A9F6E67"/>
    <w:rsid w:val="5AA1498D"/>
    <w:rsid w:val="5AA24261"/>
    <w:rsid w:val="5AAB1367"/>
    <w:rsid w:val="5AAC584A"/>
    <w:rsid w:val="5AAD1584"/>
    <w:rsid w:val="5ABA5A4E"/>
    <w:rsid w:val="5AC10B8B"/>
    <w:rsid w:val="5AC60A34"/>
    <w:rsid w:val="5AC62645"/>
    <w:rsid w:val="5ACB37B8"/>
    <w:rsid w:val="5ACE14FA"/>
    <w:rsid w:val="5AD1390C"/>
    <w:rsid w:val="5AD240D0"/>
    <w:rsid w:val="5AD3266C"/>
    <w:rsid w:val="5AD54636"/>
    <w:rsid w:val="5AD73617"/>
    <w:rsid w:val="5AD92379"/>
    <w:rsid w:val="5ADB4394"/>
    <w:rsid w:val="5ADF54B5"/>
    <w:rsid w:val="5AE14981"/>
    <w:rsid w:val="5AE34FA5"/>
    <w:rsid w:val="5AE445AB"/>
    <w:rsid w:val="5AE57473"/>
    <w:rsid w:val="5AE825BC"/>
    <w:rsid w:val="5AED1980"/>
    <w:rsid w:val="5AEF41DC"/>
    <w:rsid w:val="5AF008CF"/>
    <w:rsid w:val="5AF078D1"/>
    <w:rsid w:val="5AF251E8"/>
    <w:rsid w:val="5AF365A6"/>
    <w:rsid w:val="5AF56A87"/>
    <w:rsid w:val="5AF7469F"/>
    <w:rsid w:val="5AFB7C61"/>
    <w:rsid w:val="5AFD15E4"/>
    <w:rsid w:val="5AFF16B3"/>
    <w:rsid w:val="5AFF7905"/>
    <w:rsid w:val="5B04316E"/>
    <w:rsid w:val="5B060C94"/>
    <w:rsid w:val="5B0867BA"/>
    <w:rsid w:val="5B0D3DD0"/>
    <w:rsid w:val="5B0E4CE8"/>
    <w:rsid w:val="5B150ED7"/>
    <w:rsid w:val="5B15555B"/>
    <w:rsid w:val="5B16743A"/>
    <w:rsid w:val="5B174656"/>
    <w:rsid w:val="5B18349B"/>
    <w:rsid w:val="5B1E5FDD"/>
    <w:rsid w:val="5B1F1D55"/>
    <w:rsid w:val="5B21215C"/>
    <w:rsid w:val="5B231356"/>
    <w:rsid w:val="5B231846"/>
    <w:rsid w:val="5B2348F0"/>
    <w:rsid w:val="5B2863F4"/>
    <w:rsid w:val="5B295620"/>
    <w:rsid w:val="5B2A3D99"/>
    <w:rsid w:val="5B2D6220"/>
    <w:rsid w:val="5B303F63"/>
    <w:rsid w:val="5B305D11"/>
    <w:rsid w:val="5B33135D"/>
    <w:rsid w:val="5B340130"/>
    <w:rsid w:val="5B340651"/>
    <w:rsid w:val="5B3475AF"/>
    <w:rsid w:val="5B37709F"/>
    <w:rsid w:val="5B394BC5"/>
    <w:rsid w:val="5B3D3F8A"/>
    <w:rsid w:val="5B413A7A"/>
    <w:rsid w:val="5B427303"/>
    <w:rsid w:val="5B5C08B4"/>
    <w:rsid w:val="5B5C6B06"/>
    <w:rsid w:val="5B5F2152"/>
    <w:rsid w:val="5B613BBD"/>
    <w:rsid w:val="5B61411C"/>
    <w:rsid w:val="5B637E94"/>
    <w:rsid w:val="5B687259"/>
    <w:rsid w:val="5B6D0D13"/>
    <w:rsid w:val="5B6D2AC1"/>
    <w:rsid w:val="5B745BFD"/>
    <w:rsid w:val="5B761E9C"/>
    <w:rsid w:val="5B7756EE"/>
    <w:rsid w:val="5B7857A8"/>
    <w:rsid w:val="5B7B3430"/>
    <w:rsid w:val="5B7C2D04"/>
    <w:rsid w:val="5B7C71A8"/>
    <w:rsid w:val="5B8322E4"/>
    <w:rsid w:val="5B8A5421"/>
    <w:rsid w:val="5B8A78EA"/>
    <w:rsid w:val="5B8C2D50"/>
    <w:rsid w:val="5B8D4F11"/>
    <w:rsid w:val="5B8D6CBF"/>
    <w:rsid w:val="5B915EEE"/>
    <w:rsid w:val="5B9242D5"/>
    <w:rsid w:val="5B962018"/>
    <w:rsid w:val="5B981FE8"/>
    <w:rsid w:val="5B9B13DC"/>
    <w:rsid w:val="5BA364E3"/>
    <w:rsid w:val="5BAC2376"/>
    <w:rsid w:val="5BAD7361"/>
    <w:rsid w:val="5BB436C1"/>
    <w:rsid w:val="5BBD4F0B"/>
    <w:rsid w:val="5BBE331C"/>
    <w:rsid w:val="5BBF7D40"/>
    <w:rsid w:val="5BC07095"/>
    <w:rsid w:val="5BC70423"/>
    <w:rsid w:val="5BC92803"/>
    <w:rsid w:val="5BD33445"/>
    <w:rsid w:val="5BDD5DA4"/>
    <w:rsid w:val="5BDE39BF"/>
    <w:rsid w:val="5BE2525D"/>
    <w:rsid w:val="5BEA7272"/>
    <w:rsid w:val="5BEB0156"/>
    <w:rsid w:val="5BFA246A"/>
    <w:rsid w:val="5BFB1E7B"/>
    <w:rsid w:val="5C0056E3"/>
    <w:rsid w:val="5C073450"/>
    <w:rsid w:val="5C084598"/>
    <w:rsid w:val="5C0A0310"/>
    <w:rsid w:val="5C0E0CC2"/>
    <w:rsid w:val="5C0F3B78"/>
    <w:rsid w:val="5C1A24BE"/>
    <w:rsid w:val="5C1D6295"/>
    <w:rsid w:val="5C1E200D"/>
    <w:rsid w:val="5C217E2B"/>
    <w:rsid w:val="5C2238AB"/>
    <w:rsid w:val="5C381321"/>
    <w:rsid w:val="5C384E7D"/>
    <w:rsid w:val="5C392AD6"/>
    <w:rsid w:val="5C3D6937"/>
    <w:rsid w:val="5C430981"/>
    <w:rsid w:val="5C473312"/>
    <w:rsid w:val="5C4750C0"/>
    <w:rsid w:val="5C4837B2"/>
    <w:rsid w:val="5C4A4BB0"/>
    <w:rsid w:val="5C4B6CC8"/>
    <w:rsid w:val="5C4C26D6"/>
    <w:rsid w:val="5C4E0C1B"/>
    <w:rsid w:val="5C4E28F2"/>
    <w:rsid w:val="5C58551F"/>
    <w:rsid w:val="5C5B500F"/>
    <w:rsid w:val="5C5B6DBD"/>
    <w:rsid w:val="5C5D2B35"/>
    <w:rsid w:val="5C643EC4"/>
    <w:rsid w:val="5C673B45"/>
    <w:rsid w:val="5C693288"/>
    <w:rsid w:val="5C69772C"/>
    <w:rsid w:val="5C6A5252"/>
    <w:rsid w:val="5C6B60E0"/>
    <w:rsid w:val="5C6E089F"/>
    <w:rsid w:val="5C706FAD"/>
    <w:rsid w:val="5C725121"/>
    <w:rsid w:val="5C735EB5"/>
    <w:rsid w:val="5C761E49"/>
    <w:rsid w:val="5C7A36E7"/>
    <w:rsid w:val="5C7B276E"/>
    <w:rsid w:val="5C8207EE"/>
    <w:rsid w:val="5C8C51C9"/>
    <w:rsid w:val="5C8C6F77"/>
    <w:rsid w:val="5C930305"/>
    <w:rsid w:val="5C9347A9"/>
    <w:rsid w:val="5C966047"/>
    <w:rsid w:val="5C9A1694"/>
    <w:rsid w:val="5CA02A22"/>
    <w:rsid w:val="5CA4759E"/>
    <w:rsid w:val="5CAC13C7"/>
    <w:rsid w:val="5CB00D05"/>
    <w:rsid w:val="5CB00EB7"/>
    <w:rsid w:val="5CB5471F"/>
    <w:rsid w:val="5CB87D6C"/>
    <w:rsid w:val="5CBC5AAE"/>
    <w:rsid w:val="5CBD1826"/>
    <w:rsid w:val="5CC10AD7"/>
    <w:rsid w:val="5CC83DC7"/>
    <w:rsid w:val="5CC9164A"/>
    <w:rsid w:val="5CCE758F"/>
    <w:rsid w:val="5CD01559"/>
    <w:rsid w:val="5CDC6150"/>
    <w:rsid w:val="5CE04865"/>
    <w:rsid w:val="5CE605C8"/>
    <w:rsid w:val="5CE648D9"/>
    <w:rsid w:val="5CE70651"/>
    <w:rsid w:val="5CEC55E4"/>
    <w:rsid w:val="5CEE19DF"/>
    <w:rsid w:val="5CF35248"/>
    <w:rsid w:val="5CF52D6E"/>
    <w:rsid w:val="5CF86C73"/>
    <w:rsid w:val="5CFA65D6"/>
    <w:rsid w:val="5D017965"/>
    <w:rsid w:val="5D064F7B"/>
    <w:rsid w:val="5D07484F"/>
    <w:rsid w:val="5D0D455B"/>
    <w:rsid w:val="5D0E3E30"/>
    <w:rsid w:val="5D150CA6"/>
    <w:rsid w:val="5D276544"/>
    <w:rsid w:val="5D2D2508"/>
    <w:rsid w:val="5D310D37"/>
    <w:rsid w:val="5D323FC2"/>
    <w:rsid w:val="5D385794"/>
    <w:rsid w:val="5D3B7AC8"/>
    <w:rsid w:val="5D3C4DB4"/>
    <w:rsid w:val="5D3F66DF"/>
    <w:rsid w:val="5D4930BA"/>
    <w:rsid w:val="5D4B0BE0"/>
    <w:rsid w:val="5D4D2BAA"/>
    <w:rsid w:val="5D5850AB"/>
    <w:rsid w:val="5D5E4DB7"/>
    <w:rsid w:val="5D656145"/>
    <w:rsid w:val="5D6B74D4"/>
    <w:rsid w:val="5D6F0D72"/>
    <w:rsid w:val="5D74605B"/>
    <w:rsid w:val="5D74628C"/>
    <w:rsid w:val="5D746389"/>
    <w:rsid w:val="5D7739CD"/>
    <w:rsid w:val="5D7874FB"/>
    <w:rsid w:val="5D79399F"/>
    <w:rsid w:val="5D7E2D63"/>
    <w:rsid w:val="5D810FF7"/>
    <w:rsid w:val="5D850596"/>
    <w:rsid w:val="5D8660BC"/>
    <w:rsid w:val="5D8B31E3"/>
    <w:rsid w:val="5D8F5802"/>
    <w:rsid w:val="5D8F6D1E"/>
    <w:rsid w:val="5D900CE9"/>
    <w:rsid w:val="5D915A0E"/>
    <w:rsid w:val="5D92680F"/>
    <w:rsid w:val="5D972077"/>
    <w:rsid w:val="5D9B663A"/>
    <w:rsid w:val="5DA56542"/>
    <w:rsid w:val="5DA64068"/>
    <w:rsid w:val="5DA778E4"/>
    <w:rsid w:val="5DAB78D0"/>
    <w:rsid w:val="5DAC0C7A"/>
    <w:rsid w:val="5DAF116F"/>
    <w:rsid w:val="5DB03139"/>
    <w:rsid w:val="5DB449D7"/>
    <w:rsid w:val="5DB9327E"/>
    <w:rsid w:val="5DBC388C"/>
    <w:rsid w:val="5DC310BE"/>
    <w:rsid w:val="5DC42740"/>
    <w:rsid w:val="5DC472D4"/>
    <w:rsid w:val="5DCA7D57"/>
    <w:rsid w:val="5DCB3ACF"/>
    <w:rsid w:val="5DD047C5"/>
    <w:rsid w:val="5DD04BD2"/>
    <w:rsid w:val="5DD230AF"/>
    <w:rsid w:val="5DD24E5D"/>
    <w:rsid w:val="5DD40BD5"/>
    <w:rsid w:val="5DDA5439"/>
    <w:rsid w:val="5DDE1552"/>
    <w:rsid w:val="5DE030A9"/>
    <w:rsid w:val="5DE30E18"/>
    <w:rsid w:val="5DE43D51"/>
    <w:rsid w:val="5DED7EE9"/>
    <w:rsid w:val="5DFB2606"/>
    <w:rsid w:val="5DFD6560"/>
    <w:rsid w:val="5E007C1C"/>
    <w:rsid w:val="5E0303E5"/>
    <w:rsid w:val="5E03770C"/>
    <w:rsid w:val="5E04332E"/>
    <w:rsid w:val="5E064172"/>
    <w:rsid w:val="5E091947"/>
    <w:rsid w:val="5E127950"/>
    <w:rsid w:val="5E1611EE"/>
    <w:rsid w:val="5E176D14"/>
    <w:rsid w:val="5E192A8C"/>
    <w:rsid w:val="5E1B2CA8"/>
    <w:rsid w:val="5E1B6804"/>
    <w:rsid w:val="5E1D124D"/>
    <w:rsid w:val="5E20206C"/>
    <w:rsid w:val="5E2077EC"/>
    <w:rsid w:val="5E211941"/>
    <w:rsid w:val="5E225DE5"/>
    <w:rsid w:val="5E27164D"/>
    <w:rsid w:val="5E2A4C99"/>
    <w:rsid w:val="5E2C0A11"/>
    <w:rsid w:val="5E2E3482"/>
    <w:rsid w:val="5E2E58FB"/>
    <w:rsid w:val="5E2F3662"/>
    <w:rsid w:val="5E3133D3"/>
    <w:rsid w:val="5E315F82"/>
    <w:rsid w:val="5E316028"/>
    <w:rsid w:val="5E345B18"/>
    <w:rsid w:val="5E355D93"/>
    <w:rsid w:val="5E39312E"/>
    <w:rsid w:val="5E3C677A"/>
    <w:rsid w:val="5E413D91"/>
    <w:rsid w:val="5E4A70E9"/>
    <w:rsid w:val="5E4B23E2"/>
    <w:rsid w:val="5E4D0988"/>
    <w:rsid w:val="5E4F4700"/>
    <w:rsid w:val="5E51429A"/>
    <w:rsid w:val="5E5B4E53"/>
    <w:rsid w:val="5E5D50D2"/>
    <w:rsid w:val="5E604B5F"/>
    <w:rsid w:val="5E6463FD"/>
    <w:rsid w:val="5E692E96"/>
    <w:rsid w:val="5E6A153A"/>
    <w:rsid w:val="5E6C3504"/>
    <w:rsid w:val="5E6E2DD8"/>
    <w:rsid w:val="5E736640"/>
    <w:rsid w:val="5E744166"/>
    <w:rsid w:val="5E766130"/>
    <w:rsid w:val="5E785D0C"/>
    <w:rsid w:val="5E7B7098"/>
    <w:rsid w:val="5E7E0E34"/>
    <w:rsid w:val="5E7F3237"/>
    <w:rsid w:val="5E802B0B"/>
    <w:rsid w:val="5E836CBA"/>
    <w:rsid w:val="5E856373"/>
    <w:rsid w:val="5E873E9A"/>
    <w:rsid w:val="5E895E64"/>
    <w:rsid w:val="5E8C7702"/>
    <w:rsid w:val="5E8E5228"/>
    <w:rsid w:val="5E8E6FD6"/>
    <w:rsid w:val="5E934044"/>
    <w:rsid w:val="5E937ADD"/>
    <w:rsid w:val="5E9D3AC8"/>
    <w:rsid w:val="5E9F11E3"/>
    <w:rsid w:val="5EA0677E"/>
    <w:rsid w:val="5EA762EA"/>
    <w:rsid w:val="5EA902B4"/>
    <w:rsid w:val="5EAB6C27"/>
    <w:rsid w:val="5EAE1426"/>
    <w:rsid w:val="5EAE58CA"/>
    <w:rsid w:val="5EAE6EA2"/>
    <w:rsid w:val="5EB6652D"/>
    <w:rsid w:val="5EBA601D"/>
    <w:rsid w:val="5EBB2DEA"/>
    <w:rsid w:val="5EBB3B43"/>
    <w:rsid w:val="5EC37085"/>
    <w:rsid w:val="5EC549C2"/>
    <w:rsid w:val="5EC56770"/>
    <w:rsid w:val="5EC93EDE"/>
    <w:rsid w:val="5ECF75EF"/>
    <w:rsid w:val="5ED03A93"/>
    <w:rsid w:val="5ED05841"/>
    <w:rsid w:val="5ED15115"/>
    <w:rsid w:val="5ED510A9"/>
    <w:rsid w:val="5ED66BCF"/>
    <w:rsid w:val="5EE148FA"/>
    <w:rsid w:val="5EE17A4E"/>
    <w:rsid w:val="5EE25574"/>
    <w:rsid w:val="5EE370C8"/>
    <w:rsid w:val="5EE44E48"/>
    <w:rsid w:val="5EE72758"/>
    <w:rsid w:val="5EEB267A"/>
    <w:rsid w:val="5EEC63F2"/>
    <w:rsid w:val="5EF86B45"/>
    <w:rsid w:val="5EFD0600"/>
    <w:rsid w:val="5F011E9E"/>
    <w:rsid w:val="5F0454EA"/>
    <w:rsid w:val="5F08322C"/>
    <w:rsid w:val="5F096FA4"/>
    <w:rsid w:val="5F100333"/>
    <w:rsid w:val="5F105C3D"/>
    <w:rsid w:val="5F1C0A86"/>
    <w:rsid w:val="5F1C6CD8"/>
    <w:rsid w:val="5F1D47FE"/>
    <w:rsid w:val="5F1F2324"/>
    <w:rsid w:val="5F2008E0"/>
    <w:rsid w:val="5F230066"/>
    <w:rsid w:val="5F295B30"/>
    <w:rsid w:val="5F296CFF"/>
    <w:rsid w:val="5F2D3AFE"/>
    <w:rsid w:val="5F2E484C"/>
    <w:rsid w:val="5F304531"/>
    <w:rsid w:val="5F3131CD"/>
    <w:rsid w:val="5F3202A9"/>
    <w:rsid w:val="5F322812"/>
    <w:rsid w:val="5F335DCF"/>
    <w:rsid w:val="5F3758C0"/>
    <w:rsid w:val="5F3F29C6"/>
    <w:rsid w:val="5F42509B"/>
    <w:rsid w:val="5F427DC1"/>
    <w:rsid w:val="5F443B39"/>
    <w:rsid w:val="5F4F0E5B"/>
    <w:rsid w:val="5F507610"/>
    <w:rsid w:val="5F5521EA"/>
    <w:rsid w:val="5F553F98"/>
    <w:rsid w:val="5F585836"/>
    <w:rsid w:val="5F5A15AE"/>
    <w:rsid w:val="5F5A6691"/>
    <w:rsid w:val="5F630463"/>
    <w:rsid w:val="5F6661A5"/>
    <w:rsid w:val="5F6830DC"/>
    <w:rsid w:val="5F6B7317"/>
    <w:rsid w:val="5F700DD2"/>
    <w:rsid w:val="5F720D05"/>
    <w:rsid w:val="5F724B4A"/>
    <w:rsid w:val="5F7E34EF"/>
    <w:rsid w:val="5F813C55"/>
    <w:rsid w:val="5F8623A3"/>
    <w:rsid w:val="5F880A83"/>
    <w:rsid w:val="5F881C77"/>
    <w:rsid w:val="5F8B6CA4"/>
    <w:rsid w:val="5F8E3006"/>
    <w:rsid w:val="5F8F52CB"/>
    <w:rsid w:val="5F944E8A"/>
    <w:rsid w:val="5F953183"/>
    <w:rsid w:val="5F9E5AEE"/>
    <w:rsid w:val="5F9E76ED"/>
    <w:rsid w:val="5FA016B7"/>
    <w:rsid w:val="5FA41DAE"/>
    <w:rsid w:val="5FA42829"/>
    <w:rsid w:val="5FA840C8"/>
    <w:rsid w:val="5FA97E40"/>
    <w:rsid w:val="5FAA1A62"/>
    <w:rsid w:val="5FAD3EA6"/>
    <w:rsid w:val="5FAE4872"/>
    <w:rsid w:val="5FAF541F"/>
    <w:rsid w:val="5FBA3DFB"/>
    <w:rsid w:val="5FBB4DA3"/>
    <w:rsid w:val="5FC1162D"/>
    <w:rsid w:val="5FC5111D"/>
    <w:rsid w:val="5FC71BCD"/>
    <w:rsid w:val="5FC8476A"/>
    <w:rsid w:val="5FCB6008"/>
    <w:rsid w:val="5FD27396"/>
    <w:rsid w:val="5FD41360"/>
    <w:rsid w:val="5FD819E0"/>
    <w:rsid w:val="5FDE21DF"/>
    <w:rsid w:val="5FDE3F8D"/>
    <w:rsid w:val="5FE231E0"/>
    <w:rsid w:val="5FE33B7B"/>
    <w:rsid w:val="5FEA46E0"/>
    <w:rsid w:val="5FEB2206"/>
    <w:rsid w:val="5FEC289C"/>
    <w:rsid w:val="5FED5F7E"/>
    <w:rsid w:val="5FF437B1"/>
    <w:rsid w:val="5FF4730D"/>
    <w:rsid w:val="5FF53085"/>
    <w:rsid w:val="5FF5332F"/>
    <w:rsid w:val="5FF94438"/>
    <w:rsid w:val="5FFC2665"/>
    <w:rsid w:val="60011A2A"/>
    <w:rsid w:val="6008663C"/>
    <w:rsid w:val="600B0A7A"/>
    <w:rsid w:val="600F05EB"/>
    <w:rsid w:val="60171F35"/>
    <w:rsid w:val="60182CB2"/>
    <w:rsid w:val="60194FC5"/>
    <w:rsid w:val="60196D73"/>
    <w:rsid w:val="601B0D3D"/>
    <w:rsid w:val="60310561"/>
    <w:rsid w:val="603242D9"/>
    <w:rsid w:val="60343BAD"/>
    <w:rsid w:val="60396BAB"/>
    <w:rsid w:val="60397415"/>
    <w:rsid w:val="603F2C27"/>
    <w:rsid w:val="604069F6"/>
    <w:rsid w:val="60427C5D"/>
    <w:rsid w:val="60430294"/>
    <w:rsid w:val="604527A6"/>
    <w:rsid w:val="604751DF"/>
    <w:rsid w:val="604C0EF7"/>
    <w:rsid w:val="6051475F"/>
    <w:rsid w:val="60534318"/>
    <w:rsid w:val="60542072"/>
    <w:rsid w:val="605424A1"/>
    <w:rsid w:val="60567FC7"/>
    <w:rsid w:val="605E5565"/>
    <w:rsid w:val="606049A2"/>
    <w:rsid w:val="60636240"/>
    <w:rsid w:val="60712CDB"/>
    <w:rsid w:val="60771CEC"/>
    <w:rsid w:val="607829F8"/>
    <w:rsid w:val="607A0954"/>
    <w:rsid w:val="607B17DC"/>
    <w:rsid w:val="607E321C"/>
    <w:rsid w:val="60805044"/>
    <w:rsid w:val="60822B6A"/>
    <w:rsid w:val="6082700E"/>
    <w:rsid w:val="608B2917"/>
    <w:rsid w:val="608E3692"/>
    <w:rsid w:val="608E7761"/>
    <w:rsid w:val="608F34D9"/>
    <w:rsid w:val="60912DAE"/>
    <w:rsid w:val="609603C4"/>
    <w:rsid w:val="60A056E7"/>
    <w:rsid w:val="60A2320D"/>
    <w:rsid w:val="60AF592A"/>
    <w:rsid w:val="60B116A2"/>
    <w:rsid w:val="60B151FE"/>
    <w:rsid w:val="60B44CEE"/>
    <w:rsid w:val="60BD3BA3"/>
    <w:rsid w:val="60C413D5"/>
    <w:rsid w:val="60C427F5"/>
    <w:rsid w:val="60C546D6"/>
    <w:rsid w:val="60C56EFB"/>
    <w:rsid w:val="60C63929"/>
    <w:rsid w:val="60D64C64"/>
    <w:rsid w:val="60DB04CD"/>
    <w:rsid w:val="60DD4245"/>
    <w:rsid w:val="60DD5FF3"/>
    <w:rsid w:val="60E0197E"/>
    <w:rsid w:val="60E16353"/>
    <w:rsid w:val="60E43825"/>
    <w:rsid w:val="60EA6962"/>
    <w:rsid w:val="60EE6214"/>
    <w:rsid w:val="60EF6A3B"/>
    <w:rsid w:val="60F021CA"/>
    <w:rsid w:val="60F668A1"/>
    <w:rsid w:val="60FF240D"/>
    <w:rsid w:val="61001CE1"/>
    <w:rsid w:val="610213CF"/>
    <w:rsid w:val="61021EFD"/>
    <w:rsid w:val="6105554A"/>
    <w:rsid w:val="61112C38"/>
    <w:rsid w:val="611539DF"/>
    <w:rsid w:val="61167757"/>
    <w:rsid w:val="611759A9"/>
    <w:rsid w:val="611834CF"/>
    <w:rsid w:val="611A0EA3"/>
    <w:rsid w:val="611A0FF5"/>
    <w:rsid w:val="61241E74"/>
    <w:rsid w:val="61271964"/>
    <w:rsid w:val="612754C0"/>
    <w:rsid w:val="61281730"/>
    <w:rsid w:val="61330309"/>
    <w:rsid w:val="61355E2F"/>
    <w:rsid w:val="61493688"/>
    <w:rsid w:val="614B11AE"/>
    <w:rsid w:val="614D0B2B"/>
    <w:rsid w:val="614E0C9F"/>
    <w:rsid w:val="614E6EF1"/>
    <w:rsid w:val="614F39EC"/>
    <w:rsid w:val="61536800"/>
    <w:rsid w:val="615D5386"/>
    <w:rsid w:val="615E6BC8"/>
    <w:rsid w:val="616044A2"/>
    <w:rsid w:val="6162291E"/>
    <w:rsid w:val="61671D60"/>
    <w:rsid w:val="61686BC3"/>
    <w:rsid w:val="616B7AA3"/>
    <w:rsid w:val="616C3E03"/>
    <w:rsid w:val="616D55C9"/>
    <w:rsid w:val="616E30EF"/>
    <w:rsid w:val="616F44C9"/>
    <w:rsid w:val="617050B9"/>
    <w:rsid w:val="617478C1"/>
    <w:rsid w:val="6175447D"/>
    <w:rsid w:val="617701F5"/>
    <w:rsid w:val="617866B8"/>
    <w:rsid w:val="617A1A94"/>
    <w:rsid w:val="617A7CE6"/>
    <w:rsid w:val="617E77D6"/>
    <w:rsid w:val="617F354E"/>
    <w:rsid w:val="61824E34"/>
    <w:rsid w:val="61826B9A"/>
    <w:rsid w:val="61860438"/>
    <w:rsid w:val="61882403"/>
    <w:rsid w:val="61891CD7"/>
    <w:rsid w:val="61897F29"/>
    <w:rsid w:val="6192502F"/>
    <w:rsid w:val="61932B55"/>
    <w:rsid w:val="61942BFF"/>
    <w:rsid w:val="619459BA"/>
    <w:rsid w:val="619743F4"/>
    <w:rsid w:val="619B7808"/>
    <w:rsid w:val="619C7C5C"/>
    <w:rsid w:val="619F599E"/>
    <w:rsid w:val="61A22D98"/>
    <w:rsid w:val="61A27381"/>
    <w:rsid w:val="61A30FEA"/>
    <w:rsid w:val="61A52B04"/>
    <w:rsid w:val="61A66D2D"/>
    <w:rsid w:val="61A67AA2"/>
    <w:rsid w:val="61B431F8"/>
    <w:rsid w:val="61B50D1E"/>
    <w:rsid w:val="61BE5E24"/>
    <w:rsid w:val="61C022D5"/>
    <w:rsid w:val="61C24DE8"/>
    <w:rsid w:val="61C471B3"/>
    <w:rsid w:val="61C62F2B"/>
    <w:rsid w:val="61C80A51"/>
    <w:rsid w:val="61CA6B5B"/>
    <w:rsid w:val="61D373F6"/>
    <w:rsid w:val="61D54F1C"/>
    <w:rsid w:val="61D75138"/>
    <w:rsid w:val="61DC44FC"/>
    <w:rsid w:val="61DF5D9B"/>
    <w:rsid w:val="61E055B5"/>
    <w:rsid w:val="61E31E84"/>
    <w:rsid w:val="61E45946"/>
    <w:rsid w:val="61E643A1"/>
    <w:rsid w:val="61E7706B"/>
    <w:rsid w:val="61EB26C7"/>
    <w:rsid w:val="61ED6709"/>
    <w:rsid w:val="61F01D56"/>
    <w:rsid w:val="61F45CEA"/>
    <w:rsid w:val="61F555BE"/>
    <w:rsid w:val="6200468F"/>
    <w:rsid w:val="6202723B"/>
    <w:rsid w:val="62065F65"/>
    <w:rsid w:val="620B4DE2"/>
    <w:rsid w:val="620F48D2"/>
    <w:rsid w:val="62106C7C"/>
    <w:rsid w:val="62143C96"/>
    <w:rsid w:val="62175534"/>
    <w:rsid w:val="621912AD"/>
    <w:rsid w:val="62195750"/>
    <w:rsid w:val="621F43E9"/>
    <w:rsid w:val="6220088D"/>
    <w:rsid w:val="62285198"/>
    <w:rsid w:val="622A6484"/>
    <w:rsid w:val="622B0FE0"/>
    <w:rsid w:val="622E2F59"/>
    <w:rsid w:val="622F3C7D"/>
    <w:rsid w:val="62312A9A"/>
    <w:rsid w:val="62353C0D"/>
    <w:rsid w:val="623B56C7"/>
    <w:rsid w:val="623D4B40"/>
    <w:rsid w:val="623F0640"/>
    <w:rsid w:val="623F0BA1"/>
    <w:rsid w:val="62467BC8"/>
    <w:rsid w:val="624A069A"/>
    <w:rsid w:val="624E2FF1"/>
    <w:rsid w:val="624F1172"/>
    <w:rsid w:val="625642AF"/>
    <w:rsid w:val="62590CC8"/>
    <w:rsid w:val="625B18C5"/>
    <w:rsid w:val="625C73EB"/>
    <w:rsid w:val="625E13B5"/>
    <w:rsid w:val="626003B8"/>
    <w:rsid w:val="626369CC"/>
    <w:rsid w:val="626A7D5A"/>
    <w:rsid w:val="626B762E"/>
    <w:rsid w:val="626D15F8"/>
    <w:rsid w:val="626E3B17"/>
    <w:rsid w:val="626F35C2"/>
    <w:rsid w:val="626F5370"/>
    <w:rsid w:val="62791D4B"/>
    <w:rsid w:val="628030DA"/>
    <w:rsid w:val="62843025"/>
    <w:rsid w:val="62853336"/>
    <w:rsid w:val="62867EBF"/>
    <w:rsid w:val="628726BA"/>
    <w:rsid w:val="628870E6"/>
    <w:rsid w:val="628A5D32"/>
    <w:rsid w:val="628C1A7E"/>
    <w:rsid w:val="628D57F7"/>
    <w:rsid w:val="629341F9"/>
    <w:rsid w:val="629B43B7"/>
    <w:rsid w:val="62A3326C"/>
    <w:rsid w:val="62A55DE6"/>
    <w:rsid w:val="62A72D5C"/>
    <w:rsid w:val="62AC3ECF"/>
    <w:rsid w:val="62AF1C11"/>
    <w:rsid w:val="62AF39BF"/>
    <w:rsid w:val="62B31701"/>
    <w:rsid w:val="62B463B4"/>
    <w:rsid w:val="62B62F9F"/>
    <w:rsid w:val="62BB2364"/>
    <w:rsid w:val="62BB6808"/>
    <w:rsid w:val="62C423F5"/>
    <w:rsid w:val="62C51434"/>
    <w:rsid w:val="62CA25A7"/>
    <w:rsid w:val="62D81168"/>
    <w:rsid w:val="62D82F16"/>
    <w:rsid w:val="62DF24F6"/>
    <w:rsid w:val="62E278F0"/>
    <w:rsid w:val="62E80C7F"/>
    <w:rsid w:val="62EA49F7"/>
    <w:rsid w:val="62ED7408"/>
    <w:rsid w:val="62EF200D"/>
    <w:rsid w:val="62EF64B1"/>
    <w:rsid w:val="62F15D85"/>
    <w:rsid w:val="62F37D50"/>
    <w:rsid w:val="62FA10DE"/>
    <w:rsid w:val="62FC3808"/>
    <w:rsid w:val="63015C1A"/>
    <w:rsid w:val="63021D41"/>
    <w:rsid w:val="63036478"/>
    <w:rsid w:val="630C0E11"/>
    <w:rsid w:val="631101D6"/>
    <w:rsid w:val="63123525"/>
    <w:rsid w:val="631A52DC"/>
    <w:rsid w:val="631B72A6"/>
    <w:rsid w:val="631F6D97"/>
    <w:rsid w:val="63224191"/>
    <w:rsid w:val="632443AD"/>
    <w:rsid w:val="63253C81"/>
    <w:rsid w:val="632717A7"/>
    <w:rsid w:val="632E6FDA"/>
    <w:rsid w:val="63304B00"/>
    <w:rsid w:val="63316ACA"/>
    <w:rsid w:val="63352116"/>
    <w:rsid w:val="633635FA"/>
    <w:rsid w:val="633D721D"/>
    <w:rsid w:val="633E4CE0"/>
    <w:rsid w:val="633F11E7"/>
    <w:rsid w:val="63402869"/>
    <w:rsid w:val="63424833"/>
    <w:rsid w:val="6349032F"/>
    <w:rsid w:val="634C7460"/>
    <w:rsid w:val="63500C1D"/>
    <w:rsid w:val="635527B8"/>
    <w:rsid w:val="63626C83"/>
    <w:rsid w:val="63660521"/>
    <w:rsid w:val="63696264"/>
    <w:rsid w:val="636B5B38"/>
    <w:rsid w:val="636E387A"/>
    <w:rsid w:val="637013A0"/>
    <w:rsid w:val="637075F2"/>
    <w:rsid w:val="63736E25"/>
    <w:rsid w:val="637473B8"/>
    <w:rsid w:val="63750765"/>
    <w:rsid w:val="637B1AF3"/>
    <w:rsid w:val="637F3391"/>
    <w:rsid w:val="638B442C"/>
    <w:rsid w:val="638C3D00"/>
    <w:rsid w:val="638D1F52"/>
    <w:rsid w:val="63901A42"/>
    <w:rsid w:val="639037F0"/>
    <w:rsid w:val="6392476A"/>
    <w:rsid w:val="63927568"/>
    <w:rsid w:val="63936E3D"/>
    <w:rsid w:val="639826A5"/>
    <w:rsid w:val="639C2195"/>
    <w:rsid w:val="639F3A33"/>
    <w:rsid w:val="63A1155A"/>
    <w:rsid w:val="63A454EE"/>
    <w:rsid w:val="63A57A90"/>
    <w:rsid w:val="63A948B2"/>
    <w:rsid w:val="63AA3442"/>
    <w:rsid w:val="63B32720"/>
    <w:rsid w:val="63BE65AF"/>
    <w:rsid w:val="63C17E4E"/>
    <w:rsid w:val="63C80FC1"/>
    <w:rsid w:val="63C90AB0"/>
    <w:rsid w:val="63CB65D6"/>
    <w:rsid w:val="63CC234F"/>
    <w:rsid w:val="63CE4319"/>
    <w:rsid w:val="63D23E09"/>
    <w:rsid w:val="63D7141F"/>
    <w:rsid w:val="63D731CD"/>
    <w:rsid w:val="63DA2CBD"/>
    <w:rsid w:val="63DD455C"/>
    <w:rsid w:val="63E1229E"/>
    <w:rsid w:val="63E37DC4"/>
    <w:rsid w:val="63E43B3C"/>
    <w:rsid w:val="63E56E61"/>
    <w:rsid w:val="63E63410"/>
    <w:rsid w:val="63E91153"/>
    <w:rsid w:val="63EB0A27"/>
    <w:rsid w:val="63ED07DB"/>
    <w:rsid w:val="63ED479F"/>
    <w:rsid w:val="63F10007"/>
    <w:rsid w:val="63F26395"/>
    <w:rsid w:val="63F27C99"/>
    <w:rsid w:val="63FC0E86"/>
    <w:rsid w:val="63FF0976"/>
    <w:rsid w:val="6408782B"/>
    <w:rsid w:val="64122457"/>
    <w:rsid w:val="64191A38"/>
    <w:rsid w:val="641A755E"/>
    <w:rsid w:val="641C32D6"/>
    <w:rsid w:val="641E0DFC"/>
    <w:rsid w:val="64243F39"/>
    <w:rsid w:val="642A1C4A"/>
    <w:rsid w:val="642D7291"/>
    <w:rsid w:val="642F3009"/>
    <w:rsid w:val="642F4DB7"/>
    <w:rsid w:val="643E4FFA"/>
    <w:rsid w:val="64414AEB"/>
    <w:rsid w:val="64422EE1"/>
    <w:rsid w:val="64440394"/>
    <w:rsid w:val="64446389"/>
    <w:rsid w:val="64470E7C"/>
    <w:rsid w:val="6448464F"/>
    <w:rsid w:val="64487C27"/>
    <w:rsid w:val="644A1BF1"/>
    <w:rsid w:val="644B15DB"/>
    <w:rsid w:val="644C3BBB"/>
    <w:rsid w:val="644D5289"/>
    <w:rsid w:val="6454481E"/>
    <w:rsid w:val="64552344"/>
    <w:rsid w:val="64590086"/>
    <w:rsid w:val="64591E34"/>
    <w:rsid w:val="645A5BAC"/>
    <w:rsid w:val="645B0956"/>
    <w:rsid w:val="64602371"/>
    <w:rsid w:val="646031C3"/>
    <w:rsid w:val="64622E98"/>
    <w:rsid w:val="64664551"/>
    <w:rsid w:val="646709F5"/>
    <w:rsid w:val="646C4FF0"/>
    <w:rsid w:val="646F5DDE"/>
    <w:rsid w:val="64721148"/>
    <w:rsid w:val="64722EF6"/>
    <w:rsid w:val="64754794"/>
    <w:rsid w:val="6476379D"/>
    <w:rsid w:val="647C3D75"/>
    <w:rsid w:val="64813139"/>
    <w:rsid w:val="648D5F82"/>
    <w:rsid w:val="649A32C7"/>
    <w:rsid w:val="649C5F21"/>
    <w:rsid w:val="649D4417"/>
    <w:rsid w:val="64A31301"/>
    <w:rsid w:val="64AA6B34"/>
    <w:rsid w:val="64AC6408"/>
    <w:rsid w:val="64AE0E8C"/>
    <w:rsid w:val="64AF414A"/>
    <w:rsid w:val="64B4350F"/>
    <w:rsid w:val="64B74DAD"/>
    <w:rsid w:val="64C00108"/>
    <w:rsid w:val="64C42DBE"/>
    <w:rsid w:val="64C5571C"/>
    <w:rsid w:val="64D12312"/>
    <w:rsid w:val="64D265D3"/>
    <w:rsid w:val="64D70FAB"/>
    <w:rsid w:val="64D75934"/>
    <w:rsid w:val="64D911C7"/>
    <w:rsid w:val="64DB4F3F"/>
    <w:rsid w:val="64DE616D"/>
    <w:rsid w:val="64E02555"/>
    <w:rsid w:val="64E10284"/>
    <w:rsid w:val="64E21E2A"/>
    <w:rsid w:val="64E53367"/>
    <w:rsid w:val="64E536C8"/>
    <w:rsid w:val="64EC0EFA"/>
    <w:rsid w:val="64EE4C72"/>
    <w:rsid w:val="64EF2799"/>
    <w:rsid w:val="64F031D4"/>
    <w:rsid w:val="64F25DE5"/>
    <w:rsid w:val="64F32289"/>
    <w:rsid w:val="64F47DAF"/>
    <w:rsid w:val="64F56864"/>
    <w:rsid w:val="64F56A29"/>
    <w:rsid w:val="64F8164D"/>
    <w:rsid w:val="6501769D"/>
    <w:rsid w:val="6502427A"/>
    <w:rsid w:val="65046244"/>
    <w:rsid w:val="65053D6A"/>
    <w:rsid w:val="650A312E"/>
    <w:rsid w:val="650D2C1F"/>
    <w:rsid w:val="650E0E71"/>
    <w:rsid w:val="650E70C3"/>
    <w:rsid w:val="651D5558"/>
    <w:rsid w:val="651E4C38"/>
    <w:rsid w:val="6522491C"/>
    <w:rsid w:val="652266CA"/>
    <w:rsid w:val="652341F0"/>
    <w:rsid w:val="65285B05"/>
    <w:rsid w:val="652C5AFB"/>
    <w:rsid w:val="652C7549"/>
    <w:rsid w:val="652D1B5C"/>
    <w:rsid w:val="652E506F"/>
    <w:rsid w:val="653308D7"/>
    <w:rsid w:val="65363F24"/>
    <w:rsid w:val="65377536"/>
    <w:rsid w:val="653A1C66"/>
    <w:rsid w:val="65406257"/>
    <w:rsid w:val="65426D6C"/>
    <w:rsid w:val="65450A41"/>
    <w:rsid w:val="6546685C"/>
    <w:rsid w:val="65493C57"/>
    <w:rsid w:val="6549634D"/>
    <w:rsid w:val="654C1999"/>
    <w:rsid w:val="65515201"/>
    <w:rsid w:val="65534AD5"/>
    <w:rsid w:val="65566374"/>
    <w:rsid w:val="6558033E"/>
    <w:rsid w:val="655D5954"/>
    <w:rsid w:val="655F16CC"/>
    <w:rsid w:val="65622F6B"/>
    <w:rsid w:val="65626E56"/>
    <w:rsid w:val="65646CE3"/>
    <w:rsid w:val="656661C8"/>
    <w:rsid w:val="656960A7"/>
    <w:rsid w:val="65736F26"/>
    <w:rsid w:val="657C227E"/>
    <w:rsid w:val="657D6AE4"/>
    <w:rsid w:val="6582360D"/>
    <w:rsid w:val="658630FD"/>
    <w:rsid w:val="658D65D9"/>
    <w:rsid w:val="658F0577"/>
    <w:rsid w:val="658F5EAE"/>
    <w:rsid w:val="65907AD8"/>
    <w:rsid w:val="65931376"/>
    <w:rsid w:val="659B0B9A"/>
    <w:rsid w:val="659B647C"/>
    <w:rsid w:val="659F09EE"/>
    <w:rsid w:val="65A2780B"/>
    <w:rsid w:val="65AD2209"/>
    <w:rsid w:val="65AE7F5E"/>
    <w:rsid w:val="65B15345"/>
    <w:rsid w:val="65B433A9"/>
    <w:rsid w:val="65BB267B"/>
    <w:rsid w:val="65BC0577"/>
    <w:rsid w:val="65BD4645"/>
    <w:rsid w:val="65BE41D5"/>
    <w:rsid w:val="65BF03BD"/>
    <w:rsid w:val="65BF660F"/>
    <w:rsid w:val="65C07D27"/>
    <w:rsid w:val="65C14135"/>
    <w:rsid w:val="65C459D3"/>
    <w:rsid w:val="65D35C16"/>
    <w:rsid w:val="65D3619D"/>
    <w:rsid w:val="65D80B7F"/>
    <w:rsid w:val="65E11CB1"/>
    <w:rsid w:val="65E16585"/>
    <w:rsid w:val="65E362B1"/>
    <w:rsid w:val="65E9368C"/>
    <w:rsid w:val="65EC4433"/>
    <w:rsid w:val="65EF46DD"/>
    <w:rsid w:val="65F90E7C"/>
    <w:rsid w:val="65FC6F1B"/>
    <w:rsid w:val="65FD355F"/>
    <w:rsid w:val="66062D44"/>
    <w:rsid w:val="66065FEC"/>
    <w:rsid w:val="66081D64"/>
    <w:rsid w:val="660979AD"/>
    <w:rsid w:val="661108C1"/>
    <w:rsid w:val="661632D0"/>
    <w:rsid w:val="661A0911"/>
    <w:rsid w:val="66236B9E"/>
    <w:rsid w:val="662D3578"/>
    <w:rsid w:val="662E109F"/>
    <w:rsid w:val="662F5543"/>
    <w:rsid w:val="66303069"/>
    <w:rsid w:val="66326DE1"/>
    <w:rsid w:val="66377785"/>
    <w:rsid w:val="66395563"/>
    <w:rsid w:val="663A30CA"/>
    <w:rsid w:val="663A5C95"/>
    <w:rsid w:val="663C1A0D"/>
    <w:rsid w:val="663F32AC"/>
    <w:rsid w:val="663F505A"/>
    <w:rsid w:val="66432D9C"/>
    <w:rsid w:val="664408C2"/>
    <w:rsid w:val="6646463A"/>
    <w:rsid w:val="664856F2"/>
    <w:rsid w:val="664B39FF"/>
    <w:rsid w:val="664B7EA3"/>
    <w:rsid w:val="664C2FA5"/>
    <w:rsid w:val="664D3C1B"/>
    <w:rsid w:val="664D7777"/>
    <w:rsid w:val="6650370B"/>
    <w:rsid w:val="66551CC6"/>
    <w:rsid w:val="665925BF"/>
    <w:rsid w:val="665C5C0C"/>
    <w:rsid w:val="66615387"/>
    <w:rsid w:val="66664368"/>
    <w:rsid w:val="66680A54"/>
    <w:rsid w:val="666B22F3"/>
    <w:rsid w:val="66707FEA"/>
    <w:rsid w:val="667271DD"/>
    <w:rsid w:val="6679056C"/>
    <w:rsid w:val="667967BE"/>
    <w:rsid w:val="667A42E4"/>
    <w:rsid w:val="667C1E0A"/>
    <w:rsid w:val="667C4500"/>
    <w:rsid w:val="6683763C"/>
    <w:rsid w:val="668533B4"/>
    <w:rsid w:val="6685680F"/>
    <w:rsid w:val="66884C53"/>
    <w:rsid w:val="66886A01"/>
    <w:rsid w:val="66901E43"/>
    <w:rsid w:val="6692787F"/>
    <w:rsid w:val="669435F8"/>
    <w:rsid w:val="6694497A"/>
    <w:rsid w:val="669811DF"/>
    <w:rsid w:val="669E0B12"/>
    <w:rsid w:val="669F2EC7"/>
    <w:rsid w:val="66A00B1A"/>
    <w:rsid w:val="66A82BFF"/>
    <w:rsid w:val="66A84C39"/>
    <w:rsid w:val="66AB0941"/>
    <w:rsid w:val="66AB26EF"/>
    <w:rsid w:val="66AC6B93"/>
    <w:rsid w:val="66B141AA"/>
    <w:rsid w:val="66B47C99"/>
    <w:rsid w:val="66B90C2B"/>
    <w:rsid w:val="66BA2932"/>
    <w:rsid w:val="66C37A39"/>
    <w:rsid w:val="66C814F3"/>
    <w:rsid w:val="66C8643E"/>
    <w:rsid w:val="66CC6405"/>
    <w:rsid w:val="66CE1496"/>
    <w:rsid w:val="66D24120"/>
    <w:rsid w:val="66D32372"/>
    <w:rsid w:val="66D439F4"/>
    <w:rsid w:val="66DE0D17"/>
    <w:rsid w:val="66E005EB"/>
    <w:rsid w:val="66E57795"/>
    <w:rsid w:val="66EA76BB"/>
    <w:rsid w:val="66EC2DE8"/>
    <w:rsid w:val="66EC2F44"/>
    <w:rsid w:val="66ED0F5A"/>
    <w:rsid w:val="66EF6A80"/>
    <w:rsid w:val="66F2031E"/>
    <w:rsid w:val="66F45E44"/>
    <w:rsid w:val="66FB71D3"/>
    <w:rsid w:val="66FE4F15"/>
    <w:rsid w:val="67000C8D"/>
    <w:rsid w:val="67006EDF"/>
    <w:rsid w:val="6700790A"/>
    <w:rsid w:val="670A5668"/>
    <w:rsid w:val="670B6618"/>
    <w:rsid w:val="670D6F06"/>
    <w:rsid w:val="670F2C7E"/>
    <w:rsid w:val="67114C48"/>
    <w:rsid w:val="6712451C"/>
    <w:rsid w:val="671309C0"/>
    <w:rsid w:val="67140294"/>
    <w:rsid w:val="671D35ED"/>
    <w:rsid w:val="671E1113"/>
    <w:rsid w:val="671E7365"/>
    <w:rsid w:val="67222094"/>
    <w:rsid w:val="6723175B"/>
    <w:rsid w:val="6723497B"/>
    <w:rsid w:val="67237D4A"/>
    <w:rsid w:val="67242BCD"/>
    <w:rsid w:val="6727621A"/>
    <w:rsid w:val="67283D40"/>
    <w:rsid w:val="672A7AB8"/>
    <w:rsid w:val="67310E46"/>
    <w:rsid w:val="673426E5"/>
    <w:rsid w:val="673821D5"/>
    <w:rsid w:val="67395F4D"/>
    <w:rsid w:val="673B3A73"/>
    <w:rsid w:val="673F4CC4"/>
    <w:rsid w:val="6740552D"/>
    <w:rsid w:val="674072DB"/>
    <w:rsid w:val="67430B7A"/>
    <w:rsid w:val="67446DCC"/>
    <w:rsid w:val="67542D87"/>
    <w:rsid w:val="67550FD9"/>
    <w:rsid w:val="67564D51"/>
    <w:rsid w:val="675B2367"/>
    <w:rsid w:val="676A6106"/>
    <w:rsid w:val="676B07FC"/>
    <w:rsid w:val="676D025A"/>
    <w:rsid w:val="676E209B"/>
    <w:rsid w:val="676E5BF7"/>
    <w:rsid w:val="67762CFD"/>
    <w:rsid w:val="6777664F"/>
    <w:rsid w:val="67825B46"/>
    <w:rsid w:val="6782764B"/>
    <w:rsid w:val="678418BE"/>
    <w:rsid w:val="67852F40"/>
    <w:rsid w:val="67874F0A"/>
    <w:rsid w:val="67890C82"/>
    <w:rsid w:val="678B616D"/>
    <w:rsid w:val="678C2521"/>
    <w:rsid w:val="678E0047"/>
    <w:rsid w:val="678E0566"/>
    <w:rsid w:val="6790177A"/>
    <w:rsid w:val="67937902"/>
    <w:rsid w:val="67966EFB"/>
    <w:rsid w:val="67980EC5"/>
    <w:rsid w:val="679F6EB4"/>
    <w:rsid w:val="67A1421E"/>
    <w:rsid w:val="67A63A9A"/>
    <w:rsid w:val="67AE06E9"/>
    <w:rsid w:val="67B0620F"/>
    <w:rsid w:val="67B83316"/>
    <w:rsid w:val="67BA0E3C"/>
    <w:rsid w:val="67BC1058"/>
    <w:rsid w:val="67C036F4"/>
    <w:rsid w:val="67CC6DC1"/>
    <w:rsid w:val="67CE0D8B"/>
    <w:rsid w:val="67D068B1"/>
    <w:rsid w:val="67D16185"/>
    <w:rsid w:val="67D31EFE"/>
    <w:rsid w:val="67D53EC8"/>
    <w:rsid w:val="67D75E41"/>
    <w:rsid w:val="67DA7730"/>
    <w:rsid w:val="67DD4B2A"/>
    <w:rsid w:val="67E97973"/>
    <w:rsid w:val="67EC1211"/>
    <w:rsid w:val="67ED1A09"/>
    <w:rsid w:val="67F027BB"/>
    <w:rsid w:val="67F307F2"/>
    <w:rsid w:val="67F500C6"/>
    <w:rsid w:val="67FA7D4C"/>
    <w:rsid w:val="67FC1454"/>
    <w:rsid w:val="67FC6A66"/>
    <w:rsid w:val="67FD51CC"/>
    <w:rsid w:val="67FD6528"/>
    <w:rsid w:val="67FE01D8"/>
    <w:rsid w:val="680622D3"/>
    <w:rsid w:val="68077DF9"/>
    <w:rsid w:val="680848B9"/>
    <w:rsid w:val="680C5BF3"/>
    <w:rsid w:val="680E73DA"/>
    <w:rsid w:val="68104F00"/>
    <w:rsid w:val="681432BF"/>
    <w:rsid w:val="68180E35"/>
    <w:rsid w:val="681E586F"/>
    <w:rsid w:val="681F15E7"/>
    <w:rsid w:val="681F5BC7"/>
    <w:rsid w:val="68260162"/>
    <w:rsid w:val="68264723"/>
    <w:rsid w:val="68277C2A"/>
    <w:rsid w:val="6828049B"/>
    <w:rsid w:val="682D3D04"/>
    <w:rsid w:val="6832131A"/>
    <w:rsid w:val="68336E40"/>
    <w:rsid w:val="68376930"/>
    <w:rsid w:val="684626D0"/>
    <w:rsid w:val="684D3A5E"/>
    <w:rsid w:val="685017A0"/>
    <w:rsid w:val="68511B1C"/>
    <w:rsid w:val="68520577"/>
    <w:rsid w:val="68523A33"/>
    <w:rsid w:val="68553916"/>
    <w:rsid w:val="68572B2F"/>
    <w:rsid w:val="685C1EF3"/>
    <w:rsid w:val="685E5C6B"/>
    <w:rsid w:val="686007CB"/>
    <w:rsid w:val="68692862"/>
    <w:rsid w:val="686A0AB4"/>
    <w:rsid w:val="686B0388"/>
    <w:rsid w:val="68785E71"/>
    <w:rsid w:val="687C07E7"/>
    <w:rsid w:val="687F0310"/>
    <w:rsid w:val="687F107F"/>
    <w:rsid w:val="68923B67"/>
    <w:rsid w:val="68975621"/>
    <w:rsid w:val="689E706D"/>
    <w:rsid w:val="68AD09A1"/>
    <w:rsid w:val="68AD6BF3"/>
    <w:rsid w:val="68AF16DD"/>
    <w:rsid w:val="68AF4719"/>
    <w:rsid w:val="68B202C6"/>
    <w:rsid w:val="68B57855"/>
    <w:rsid w:val="68B910F3"/>
    <w:rsid w:val="68B9168D"/>
    <w:rsid w:val="68BC6E36"/>
    <w:rsid w:val="68C06926"/>
    <w:rsid w:val="68C21D29"/>
    <w:rsid w:val="68C33D20"/>
    <w:rsid w:val="68D26659"/>
    <w:rsid w:val="68D51CA5"/>
    <w:rsid w:val="68DB550E"/>
    <w:rsid w:val="68DD74D8"/>
    <w:rsid w:val="68DE6DAC"/>
    <w:rsid w:val="68E36170"/>
    <w:rsid w:val="68E36491"/>
    <w:rsid w:val="68E550C3"/>
    <w:rsid w:val="68E5638C"/>
    <w:rsid w:val="68EA5751"/>
    <w:rsid w:val="68ED6FEF"/>
    <w:rsid w:val="68EF720B"/>
    <w:rsid w:val="68F00A95"/>
    <w:rsid w:val="69020CEC"/>
    <w:rsid w:val="69021082"/>
    <w:rsid w:val="69036813"/>
    <w:rsid w:val="69076303"/>
    <w:rsid w:val="690F0C92"/>
    <w:rsid w:val="69132EFA"/>
    <w:rsid w:val="69146C72"/>
    <w:rsid w:val="691722BE"/>
    <w:rsid w:val="69196EEA"/>
    <w:rsid w:val="691C6F33"/>
    <w:rsid w:val="6920000C"/>
    <w:rsid w:val="69201173"/>
    <w:rsid w:val="69232A11"/>
    <w:rsid w:val="69236EB5"/>
    <w:rsid w:val="69274C15"/>
    <w:rsid w:val="69280027"/>
    <w:rsid w:val="692844CB"/>
    <w:rsid w:val="692C5D69"/>
    <w:rsid w:val="692C7B17"/>
    <w:rsid w:val="692D0C83"/>
    <w:rsid w:val="692F13B6"/>
    <w:rsid w:val="692F61D9"/>
    <w:rsid w:val="693764BC"/>
    <w:rsid w:val="69380883"/>
    <w:rsid w:val="69390486"/>
    <w:rsid w:val="693B7D5A"/>
    <w:rsid w:val="693C3AD3"/>
    <w:rsid w:val="693D709C"/>
    <w:rsid w:val="693E5A9D"/>
    <w:rsid w:val="69401815"/>
    <w:rsid w:val="69470DF5"/>
    <w:rsid w:val="69490DE0"/>
    <w:rsid w:val="694C640B"/>
    <w:rsid w:val="69513A22"/>
    <w:rsid w:val="6953779A"/>
    <w:rsid w:val="695452C0"/>
    <w:rsid w:val="69603C65"/>
    <w:rsid w:val="69633987"/>
    <w:rsid w:val="6965127B"/>
    <w:rsid w:val="69692B1A"/>
    <w:rsid w:val="696C43B8"/>
    <w:rsid w:val="696E6382"/>
    <w:rsid w:val="69733998"/>
    <w:rsid w:val="697C309E"/>
    <w:rsid w:val="698060B5"/>
    <w:rsid w:val="69823BDB"/>
    <w:rsid w:val="69882D82"/>
    <w:rsid w:val="69886D18"/>
    <w:rsid w:val="698B7FC2"/>
    <w:rsid w:val="698F62F8"/>
    <w:rsid w:val="6993437B"/>
    <w:rsid w:val="699833FF"/>
    <w:rsid w:val="699B0FC8"/>
    <w:rsid w:val="699B2EEF"/>
    <w:rsid w:val="699B4C9D"/>
    <w:rsid w:val="699D6C67"/>
    <w:rsid w:val="69A2602B"/>
    <w:rsid w:val="69A41DA4"/>
    <w:rsid w:val="69A91168"/>
    <w:rsid w:val="69AB1384"/>
    <w:rsid w:val="69AC2A06"/>
    <w:rsid w:val="69B0699A"/>
    <w:rsid w:val="69B144C0"/>
    <w:rsid w:val="69B31FE7"/>
    <w:rsid w:val="69B33D95"/>
    <w:rsid w:val="69B55D5F"/>
    <w:rsid w:val="69B8584F"/>
    <w:rsid w:val="69BA15C7"/>
    <w:rsid w:val="69BF098B"/>
    <w:rsid w:val="69C2222A"/>
    <w:rsid w:val="69C35833"/>
    <w:rsid w:val="69C441F4"/>
    <w:rsid w:val="69C53AC8"/>
    <w:rsid w:val="69C935B8"/>
    <w:rsid w:val="69D02B99"/>
    <w:rsid w:val="69D1246D"/>
    <w:rsid w:val="69D72179"/>
    <w:rsid w:val="69DD3414"/>
    <w:rsid w:val="69E421A0"/>
    <w:rsid w:val="69EA09DE"/>
    <w:rsid w:val="69EA352F"/>
    <w:rsid w:val="69EE4313"/>
    <w:rsid w:val="69F4587B"/>
    <w:rsid w:val="69F53287"/>
    <w:rsid w:val="69F54D2E"/>
    <w:rsid w:val="69F66377"/>
    <w:rsid w:val="69FA0715"/>
    <w:rsid w:val="69FA7C16"/>
    <w:rsid w:val="69FB017C"/>
    <w:rsid w:val="69FB573C"/>
    <w:rsid w:val="69FF18D3"/>
    <w:rsid w:val="69FF347E"/>
    <w:rsid w:val="6A0171F6"/>
    <w:rsid w:val="6A070584"/>
    <w:rsid w:val="6A0A597F"/>
    <w:rsid w:val="6A0D4150"/>
    <w:rsid w:val="6A10568B"/>
    <w:rsid w:val="6A124842"/>
    <w:rsid w:val="6A1A02B8"/>
    <w:rsid w:val="6A1B047E"/>
    <w:rsid w:val="6A1D1C45"/>
    <w:rsid w:val="6A1D56B2"/>
    <w:rsid w:val="6A222CC8"/>
    <w:rsid w:val="6A22716C"/>
    <w:rsid w:val="6A227D0E"/>
    <w:rsid w:val="6A2D7FEB"/>
    <w:rsid w:val="6A303637"/>
    <w:rsid w:val="6A350C4E"/>
    <w:rsid w:val="6A3B3D8A"/>
    <w:rsid w:val="6A3C022E"/>
    <w:rsid w:val="6A3F1ACC"/>
    <w:rsid w:val="6A426CC9"/>
    <w:rsid w:val="6A460CA7"/>
    <w:rsid w:val="6A4610AD"/>
    <w:rsid w:val="6A484E25"/>
    <w:rsid w:val="6A486BD3"/>
    <w:rsid w:val="6A4D41E9"/>
    <w:rsid w:val="6A4E61B3"/>
    <w:rsid w:val="6A4E7F61"/>
    <w:rsid w:val="6A5135AE"/>
    <w:rsid w:val="6A54261C"/>
    <w:rsid w:val="6A585D0E"/>
    <w:rsid w:val="6A5A06B4"/>
    <w:rsid w:val="6A5D1B9C"/>
    <w:rsid w:val="6A5F5CCB"/>
    <w:rsid w:val="6A635FA8"/>
    <w:rsid w:val="6A6E23B2"/>
    <w:rsid w:val="6A707ED8"/>
    <w:rsid w:val="6A7115D6"/>
    <w:rsid w:val="6A745C1A"/>
    <w:rsid w:val="6A767F57"/>
    <w:rsid w:val="6A793230"/>
    <w:rsid w:val="6A7B27A9"/>
    <w:rsid w:val="6A7D43A3"/>
    <w:rsid w:val="6A8120E5"/>
    <w:rsid w:val="6A845731"/>
    <w:rsid w:val="6A876FCF"/>
    <w:rsid w:val="6A894958"/>
    <w:rsid w:val="6A8B4D12"/>
    <w:rsid w:val="6A902328"/>
    <w:rsid w:val="6A9040D6"/>
    <w:rsid w:val="6A941E18"/>
    <w:rsid w:val="6A9811DC"/>
    <w:rsid w:val="6A9A4F55"/>
    <w:rsid w:val="6A9A6D03"/>
    <w:rsid w:val="6A9C0CCD"/>
    <w:rsid w:val="6A9E3B91"/>
    <w:rsid w:val="6AA45DD3"/>
    <w:rsid w:val="6AA638F9"/>
    <w:rsid w:val="6AA87672"/>
    <w:rsid w:val="6AA95BC6"/>
    <w:rsid w:val="6AAA163C"/>
    <w:rsid w:val="6AAF0A00"/>
    <w:rsid w:val="6AB204F0"/>
    <w:rsid w:val="6AB26742"/>
    <w:rsid w:val="6AB35899"/>
    <w:rsid w:val="6AB778B5"/>
    <w:rsid w:val="6AB9362D"/>
    <w:rsid w:val="6ABA55F7"/>
    <w:rsid w:val="6AC26F41"/>
    <w:rsid w:val="6AC33DB7"/>
    <w:rsid w:val="6AC63F9C"/>
    <w:rsid w:val="6ACA583A"/>
    <w:rsid w:val="6ACC2C9C"/>
    <w:rsid w:val="6AD05313"/>
    <w:rsid w:val="6AD466B8"/>
    <w:rsid w:val="6AD77F57"/>
    <w:rsid w:val="6AD8071A"/>
    <w:rsid w:val="6AE023C2"/>
    <w:rsid w:val="6AE306AA"/>
    <w:rsid w:val="6AE61F48"/>
    <w:rsid w:val="6AEA5EDC"/>
    <w:rsid w:val="6AEB57B0"/>
    <w:rsid w:val="6AED1528"/>
    <w:rsid w:val="6AED777A"/>
    <w:rsid w:val="6AEF52A0"/>
    <w:rsid w:val="6AEF704E"/>
    <w:rsid w:val="6AF9611F"/>
    <w:rsid w:val="6AFB1E97"/>
    <w:rsid w:val="6AFF300A"/>
    <w:rsid w:val="6B014FD4"/>
    <w:rsid w:val="6B016D82"/>
    <w:rsid w:val="6B030D4C"/>
    <w:rsid w:val="6B040620"/>
    <w:rsid w:val="6B080110"/>
    <w:rsid w:val="6B0C26B5"/>
    <w:rsid w:val="6B1271E1"/>
    <w:rsid w:val="6B1765A5"/>
    <w:rsid w:val="6B1860D6"/>
    <w:rsid w:val="6B19056F"/>
    <w:rsid w:val="6B19231D"/>
    <w:rsid w:val="6B1B42E7"/>
    <w:rsid w:val="6B1C1E0E"/>
    <w:rsid w:val="6B1E157D"/>
    <w:rsid w:val="6B1E2C4D"/>
    <w:rsid w:val="6B2034A7"/>
    <w:rsid w:val="6B2313EE"/>
    <w:rsid w:val="6B264A3A"/>
    <w:rsid w:val="6B272FFA"/>
    <w:rsid w:val="6B2A0087"/>
    <w:rsid w:val="6B301415"/>
    <w:rsid w:val="6B340F05"/>
    <w:rsid w:val="6B39200D"/>
    <w:rsid w:val="6B3D24B0"/>
    <w:rsid w:val="6B3E3B32"/>
    <w:rsid w:val="6B457CC4"/>
    <w:rsid w:val="6B476E8A"/>
    <w:rsid w:val="6B4A0729"/>
    <w:rsid w:val="6B4A697B"/>
    <w:rsid w:val="6B511AB7"/>
    <w:rsid w:val="6B563571"/>
    <w:rsid w:val="6B592977"/>
    <w:rsid w:val="6B594E10"/>
    <w:rsid w:val="6B5A2FD8"/>
    <w:rsid w:val="6B5E2426"/>
    <w:rsid w:val="6B623CC4"/>
    <w:rsid w:val="6B630500"/>
    <w:rsid w:val="6B685053"/>
    <w:rsid w:val="6B6C4B43"/>
    <w:rsid w:val="6B712159"/>
    <w:rsid w:val="6B761553"/>
    <w:rsid w:val="6B7632CC"/>
    <w:rsid w:val="6B7C2964"/>
    <w:rsid w:val="6B7C51E5"/>
    <w:rsid w:val="6B7D28AC"/>
    <w:rsid w:val="6B8005EE"/>
    <w:rsid w:val="6B836E07"/>
    <w:rsid w:val="6B841E74"/>
    <w:rsid w:val="6B842A13"/>
    <w:rsid w:val="6B854729"/>
    <w:rsid w:val="6B863F8C"/>
    <w:rsid w:val="6B8C2426"/>
    <w:rsid w:val="6B8E7776"/>
    <w:rsid w:val="6B947BF6"/>
    <w:rsid w:val="6B99520C"/>
    <w:rsid w:val="6B9B0F84"/>
    <w:rsid w:val="6B9F6960"/>
    <w:rsid w:val="6BA234A1"/>
    <w:rsid w:val="6BA350A4"/>
    <w:rsid w:val="6BA46CEF"/>
    <w:rsid w:val="6BA53BB1"/>
    <w:rsid w:val="6BA8544F"/>
    <w:rsid w:val="6BAA7419"/>
    <w:rsid w:val="6BAC4F3F"/>
    <w:rsid w:val="6BAE0CB8"/>
    <w:rsid w:val="6BAF2C82"/>
    <w:rsid w:val="6BB107A8"/>
    <w:rsid w:val="6BB35604"/>
    <w:rsid w:val="6BB661EC"/>
    <w:rsid w:val="6BB70F10"/>
    <w:rsid w:val="6BBB1626"/>
    <w:rsid w:val="6BBB33D4"/>
    <w:rsid w:val="6BBD539F"/>
    <w:rsid w:val="6BBE4C73"/>
    <w:rsid w:val="6BC06C3D"/>
    <w:rsid w:val="6BC57F00"/>
    <w:rsid w:val="6BC73B27"/>
    <w:rsid w:val="6BCF6E80"/>
    <w:rsid w:val="6BD050D2"/>
    <w:rsid w:val="6BD3071E"/>
    <w:rsid w:val="6BD821D8"/>
    <w:rsid w:val="6BDB5825"/>
    <w:rsid w:val="6BDF5315"/>
    <w:rsid w:val="6BE65489"/>
    <w:rsid w:val="6BE73BFE"/>
    <w:rsid w:val="6BE741CA"/>
    <w:rsid w:val="6BE96194"/>
    <w:rsid w:val="6BEC17E0"/>
    <w:rsid w:val="6BEC7A32"/>
    <w:rsid w:val="6BF07522"/>
    <w:rsid w:val="6BF25356"/>
    <w:rsid w:val="6BF44EAF"/>
    <w:rsid w:val="6BF6265F"/>
    <w:rsid w:val="6BF66731"/>
    <w:rsid w:val="6C083EDD"/>
    <w:rsid w:val="6C0B610A"/>
    <w:rsid w:val="6C0C1250"/>
    <w:rsid w:val="6C0F0DFC"/>
    <w:rsid w:val="6C136D6D"/>
    <w:rsid w:val="6C141D47"/>
    <w:rsid w:val="6C164AAF"/>
    <w:rsid w:val="6C1672C1"/>
    <w:rsid w:val="6C17459F"/>
    <w:rsid w:val="6C180827"/>
    <w:rsid w:val="6C1F3963"/>
    <w:rsid w:val="6C2076DB"/>
    <w:rsid w:val="6C264CF2"/>
    <w:rsid w:val="6C270246"/>
    <w:rsid w:val="6C2B1DC9"/>
    <w:rsid w:val="6C2C7E2E"/>
    <w:rsid w:val="6C2E004A"/>
    <w:rsid w:val="6C327B3B"/>
    <w:rsid w:val="6C3513D9"/>
    <w:rsid w:val="6C375151"/>
    <w:rsid w:val="6C3C4515"/>
    <w:rsid w:val="6C3D64DF"/>
    <w:rsid w:val="6C417D7E"/>
    <w:rsid w:val="6C423CA9"/>
    <w:rsid w:val="6C4537CF"/>
    <w:rsid w:val="6C457946"/>
    <w:rsid w:val="6C4B4A70"/>
    <w:rsid w:val="6C4C04D0"/>
    <w:rsid w:val="6C4D3E71"/>
    <w:rsid w:val="6C515AE7"/>
    <w:rsid w:val="6C5775A1"/>
    <w:rsid w:val="6C580C23"/>
    <w:rsid w:val="6C586E75"/>
    <w:rsid w:val="6C5B4ADD"/>
    <w:rsid w:val="6C5B7766"/>
    <w:rsid w:val="6C5C11C9"/>
    <w:rsid w:val="6C5D26DE"/>
    <w:rsid w:val="6C6972D4"/>
    <w:rsid w:val="6C6A16B7"/>
    <w:rsid w:val="6C6B6BA9"/>
    <w:rsid w:val="6C6B6C2A"/>
    <w:rsid w:val="6C6E6699"/>
    <w:rsid w:val="6C702411"/>
    <w:rsid w:val="6C72227A"/>
    <w:rsid w:val="6C757A27"/>
    <w:rsid w:val="6C7672FB"/>
    <w:rsid w:val="6C7A3290"/>
    <w:rsid w:val="6C81017A"/>
    <w:rsid w:val="6C815AC2"/>
    <w:rsid w:val="6C823EF2"/>
    <w:rsid w:val="6C845EBC"/>
    <w:rsid w:val="6C885039"/>
    <w:rsid w:val="6C8859AD"/>
    <w:rsid w:val="6C8C6B1F"/>
    <w:rsid w:val="6C90660F"/>
    <w:rsid w:val="6C9205D9"/>
    <w:rsid w:val="6C97174C"/>
    <w:rsid w:val="6C9A123C"/>
    <w:rsid w:val="6C9A56E0"/>
    <w:rsid w:val="6C9F4AA4"/>
    <w:rsid w:val="6CA4030D"/>
    <w:rsid w:val="6CAB7E55"/>
    <w:rsid w:val="6CB5251A"/>
    <w:rsid w:val="6CB56076"/>
    <w:rsid w:val="6CB87914"/>
    <w:rsid w:val="6CBA0FE1"/>
    <w:rsid w:val="6CBE317C"/>
    <w:rsid w:val="6CC14A1B"/>
    <w:rsid w:val="6CC22541"/>
    <w:rsid w:val="6CC27C76"/>
    <w:rsid w:val="6CC30793"/>
    <w:rsid w:val="6CC354FC"/>
    <w:rsid w:val="6CC462B9"/>
    <w:rsid w:val="6CC938CF"/>
    <w:rsid w:val="6CD209D6"/>
    <w:rsid w:val="6CD306F8"/>
    <w:rsid w:val="6CD81D64"/>
    <w:rsid w:val="6CD97FB6"/>
    <w:rsid w:val="6CDD60A6"/>
    <w:rsid w:val="6CDE737B"/>
    <w:rsid w:val="6CE30E35"/>
    <w:rsid w:val="6CE4695B"/>
    <w:rsid w:val="6CE81FA7"/>
    <w:rsid w:val="6CE8644B"/>
    <w:rsid w:val="6CE93F71"/>
    <w:rsid w:val="6CEB1A97"/>
    <w:rsid w:val="6CED3A62"/>
    <w:rsid w:val="6CF04751"/>
    <w:rsid w:val="6CF22E26"/>
    <w:rsid w:val="6CF52916"/>
    <w:rsid w:val="6CFA617E"/>
    <w:rsid w:val="6CFC5A53"/>
    <w:rsid w:val="6CFE7A1D"/>
    <w:rsid w:val="6D0019E7"/>
    <w:rsid w:val="6D035033"/>
    <w:rsid w:val="6D090170"/>
    <w:rsid w:val="6D0A4613"/>
    <w:rsid w:val="6D0B3EE8"/>
    <w:rsid w:val="6D1234C8"/>
    <w:rsid w:val="6D1E3C1B"/>
    <w:rsid w:val="6D1F412E"/>
    <w:rsid w:val="6D266F73"/>
    <w:rsid w:val="6D2B458A"/>
    <w:rsid w:val="6D2B6338"/>
    <w:rsid w:val="6D34343E"/>
    <w:rsid w:val="6D3451EC"/>
    <w:rsid w:val="6D350F65"/>
    <w:rsid w:val="6D3A5127"/>
    <w:rsid w:val="6D3E06C9"/>
    <w:rsid w:val="6D3E250F"/>
    <w:rsid w:val="6D3F7117"/>
    <w:rsid w:val="6D467052"/>
    <w:rsid w:val="6D4E3543"/>
    <w:rsid w:val="6D4F2026"/>
    <w:rsid w:val="6D505D9E"/>
    <w:rsid w:val="6D512242"/>
    <w:rsid w:val="6D513FF0"/>
    <w:rsid w:val="6D521B17"/>
    <w:rsid w:val="6D5238C5"/>
    <w:rsid w:val="6D561607"/>
    <w:rsid w:val="6D570025"/>
    <w:rsid w:val="6D5B4E6F"/>
    <w:rsid w:val="6D5B6C1D"/>
    <w:rsid w:val="6D611D5A"/>
    <w:rsid w:val="6D616AB2"/>
    <w:rsid w:val="6D617FAC"/>
    <w:rsid w:val="6D642862"/>
    <w:rsid w:val="6D657A9C"/>
    <w:rsid w:val="6D667370"/>
    <w:rsid w:val="6D6B5FE5"/>
    <w:rsid w:val="6D6D6950"/>
    <w:rsid w:val="6D745F31"/>
    <w:rsid w:val="6D747729"/>
    <w:rsid w:val="6D747CDF"/>
    <w:rsid w:val="6D7952F5"/>
    <w:rsid w:val="6D7A61C9"/>
    <w:rsid w:val="6D832679"/>
    <w:rsid w:val="6D8617C0"/>
    <w:rsid w:val="6D8F4B19"/>
    <w:rsid w:val="6D91263F"/>
    <w:rsid w:val="6D9D7236"/>
    <w:rsid w:val="6D9E4D5C"/>
    <w:rsid w:val="6DA51372"/>
    <w:rsid w:val="6DA700B4"/>
    <w:rsid w:val="6DAC1227"/>
    <w:rsid w:val="6DAC2834"/>
    <w:rsid w:val="6DAD4F9F"/>
    <w:rsid w:val="6DB1683D"/>
    <w:rsid w:val="6DB225B5"/>
    <w:rsid w:val="6DB35745"/>
    <w:rsid w:val="6DBA39B1"/>
    <w:rsid w:val="6DBC2D09"/>
    <w:rsid w:val="6DBC51E2"/>
    <w:rsid w:val="6DC21DEE"/>
    <w:rsid w:val="6DC81DD9"/>
    <w:rsid w:val="6DC9002B"/>
    <w:rsid w:val="6DC9627D"/>
    <w:rsid w:val="6DD135E5"/>
    <w:rsid w:val="6DD32C57"/>
    <w:rsid w:val="6DD864C0"/>
    <w:rsid w:val="6DD93FE6"/>
    <w:rsid w:val="6DD95C8D"/>
    <w:rsid w:val="6DDD3AD6"/>
    <w:rsid w:val="6DE05CD4"/>
    <w:rsid w:val="6DE24C48"/>
    <w:rsid w:val="6DE309C1"/>
    <w:rsid w:val="6DE5298B"/>
    <w:rsid w:val="6DE85FD7"/>
    <w:rsid w:val="6DE9247B"/>
    <w:rsid w:val="6DEC3D19"/>
    <w:rsid w:val="6DED3309"/>
    <w:rsid w:val="6DEE7A91"/>
    <w:rsid w:val="6DEF3809"/>
    <w:rsid w:val="6DF36E56"/>
    <w:rsid w:val="6DF606F4"/>
    <w:rsid w:val="6DF64282"/>
    <w:rsid w:val="6DF80910"/>
    <w:rsid w:val="6DF901E4"/>
    <w:rsid w:val="6DFA4688"/>
    <w:rsid w:val="6DFB3F5C"/>
    <w:rsid w:val="6DFF4B3E"/>
    <w:rsid w:val="6DFF5B12"/>
    <w:rsid w:val="6E02353D"/>
    <w:rsid w:val="6E0659AC"/>
    <w:rsid w:val="6E096679"/>
    <w:rsid w:val="6E0C6169"/>
    <w:rsid w:val="6E105EB1"/>
    <w:rsid w:val="6E1312A6"/>
    <w:rsid w:val="6E176DA8"/>
    <w:rsid w:val="6E184B0E"/>
    <w:rsid w:val="6E1D0376"/>
    <w:rsid w:val="6E1F7C4B"/>
    <w:rsid w:val="6E201C15"/>
    <w:rsid w:val="6E223498"/>
    <w:rsid w:val="6E22773B"/>
    <w:rsid w:val="6E263B15"/>
    <w:rsid w:val="6E2A4841"/>
    <w:rsid w:val="6E2E4332"/>
    <w:rsid w:val="6E3000AA"/>
    <w:rsid w:val="6E4B6C92"/>
    <w:rsid w:val="6E4C0396"/>
    <w:rsid w:val="6E522CAD"/>
    <w:rsid w:val="6E5377EC"/>
    <w:rsid w:val="6E565636"/>
    <w:rsid w:val="6E5A5127"/>
    <w:rsid w:val="6E5C19CE"/>
    <w:rsid w:val="6E5F273D"/>
    <w:rsid w:val="6E62342C"/>
    <w:rsid w:val="6E6733A0"/>
    <w:rsid w:val="6E6B10E2"/>
    <w:rsid w:val="6E6D676C"/>
    <w:rsid w:val="6E6E472E"/>
    <w:rsid w:val="6E7A0843"/>
    <w:rsid w:val="6E7B6E4B"/>
    <w:rsid w:val="6E7D0E15"/>
    <w:rsid w:val="6E804461"/>
    <w:rsid w:val="6E810905"/>
    <w:rsid w:val="6E8126B3"/>
    <w:rsid w:val="6E89335C"/>
    <w:rsid w:val="6E8A03A5"/>
    <w:rsid w:val="6E8C40E8"/>
    <w:rsid w:val="6E91041D"/>
    <w:rsid w:val="6E91558C"/>
    <w:rsid w:val="6E922B12"/>
    <w:rsid w:val="6E941653"/>
    <w:rsid w:val="6E9879FD"/>
    <w:rsid w:val="6E9E14B7"/>
    <w:rsid w:val="6EA25D30"/>
    <w:rsid w:val="6EAD16FA"/>
    <w:rsid w:val="6EB10C80"/>
    <w:rsid w:val="6EB365E5"/>
    <w:rsid w:val="6EB60DF0"/>
    <w:rsid w:val="6EB8009F"/>
    <w:rsid w:val="6EB93430"/>
    <w:rsid w:val="6EC24A7A"/>
    <w:rsid w:val="6EC32CCC"/>
    <w:rsid w:val="6EC4452A"/>
    <w:rsid w:val="6EC67DFF"/>
    <w:rsid w:val="6EC9405A"/>
    <w:rsid w:val="6ECA36D3"/>
    <w:rsid w:val="6ECC76A7"/>
    <w:rsid w:val="6ECD2716"/>
    <w:rsid w:val="6ECE55DC"/>
    <w:rsid w:val="6ED053E9"/>
    <w:rsid w:val="6ED44ED9"/>
    <w:rsid w:val="6EE51CFE"/>
    <w:rsid w:val="6EE64C0C"/>
    <w:rsid w:val="6EE82E45"/>
    <w:rsid w:val="6EEB2223"/>
    <w:rsid w:val="6EEE586F"/>
    <w:rsid w:val="6EF00DC8"/>
    <w:rsid w:val="6EF56BFD"/>
    <w:rsid w:val="6EF8049C"/>
    <w:rsid w:val="6EFA4214"/>
    <w:rsid w:val="6EFD09F1"/>
    <w:rsid w:val="6EFE3D04"/>
    <w:rsid w:val="6EFF7A7C"/>
    <w:rsid w:val="6F0230C8"/>
    <w:rsid w:val="6F0440B7"/>
    <w:rsid w:val="6F084B83"/>
    <w:rsid w:val="6F0A08FB"/>
    <w:rsid w:val="6F143527"/>
    <w:rsid w:val="6F16554D"/>
    <w:rsid w:val="6F190B3E"/>
    <w:rsid w:val="6F1928EC"/>
    <w:rsid w:val="6F1E43A6"/>
    <w:rsid w:val="6F213E96"/>
    <w:rsid w:val="6F215C44"/>
    <w:rsid w:val="6F255735"/>
    <w:rsid w:val="6F26325B"/>
    <w:rsid w:val="6F2861E7"/>
    <w:rsid w:val="6F2B3057"/>
    <w:rsid w:val="6F2C5FF8"/>
    <w:rsid w:val="6F2D283B"/>
    <w:rsid w:val="6F2F210F"/>
    <w:rsid w:val="6F340B5E"/>
    <w:rsid w:val="6F345978"/>
    <w:rsid w:val="6F3C5AED"/>
    <w:rsid w:val="6F40431D"/>
    <w:rsid w:val="6F437969"/>
    <w:rsid w:val="6F441EB0"/>
    <w:rsid w:val="6F466764"/>
    <w:rsid w:val="6F481423"/>
    <w:rsid w:val="6F4B4A6F"/>
    <w:rsid w:val="6F4B7F29"/>
    <w:rsid w:val="6F51652A"/>
    <w:rsid w:val="6F547DC8"/>
    <w:rsid w:val="6F563B40"/>
    <w:rsid w:val="6F5778B8"/>
    <w:rsid w:val="6F5C6C7D"/>
    <w:rsid w:val="6F5D12B3"/>
    <w:rsid w:val="6F5D1A70"/>
    <w:rsid w:val="6F6049BF"/>
    <w:rsid w:val="6F60676D"/>
    <w:rsid w:val="6F6618A9"/>
    <w:rsid w:val="6F683873"/>
    <w:rsid w:val="6F6840AB"/>
    <w:rsid w:val="6F6A1399"/>
    <w:rsid w:val="6F6A5F99"/>
    <w:rsid w:val="6F6D49E6"/>
    <w:rsid w:val="6F6E3364"/>
    <w:rsid w:val="6F6F075E"/>
    <w:rsid w:val="6F7264A0"/>
    <w:rsid w:val="6F742218"/>
    <w:rsid w:val="6F773AB6"/>
    <w:rsid w:val="6F7E3097"/>
    <w:rsid w:val="6F83245B"/>
    <w:rsid w:val="6F8C7562"/>
    <w:rsid w:val="6F8D27C3"/>
    <w:rsid w:val="6F8D3F04"/>
    <w:rsid w:val="6F8D6E36"/>
    <w:rsid w:val="6F9401C4"/>
    <w:rsid w:val="6F966EFB"/>
    <w:rsid w:val="6F9E54E7"/>
    <w:rsid w:val="6FA06B69"/>
    <w:rsid w:val="6FA128E1"/>
    <w:rsid w:val="6FA523D2"/>
    <w:rsid w:val="6FA7614A"/>
    <w:rsid w:val="6FA81A3C"/>
    <w:rsid w:val="6FAF14A2"/>
    <w:rsid w:val="6FB10D76"/>
    <w:rsid w:val="6FB16FC8"/>
    <w:rsid w:val="6FB22D40"/>
    <w:rsid w:val="6FB2689C"/>
    <w:rsid w:val="6FB35C1F"/>
    <w:rsid w:val="6FB67229"/>
    <w:rsid w:val="6FC14D32"/>
    <w:rsid w:val="6FC447D3"/>
    <w:rsid w:val="6FC84312"/>
    <w:rsid w:val="6FC9117A"/>
    <w:rsid w:val="6FCA008A"/>
    <w:rsid w:val="6FCD1928"/>
    <w:rsid w:val="6FCE7B7A"/>
    <w:rsid w:val="6FCF38F2"/>
    <w:rsid w:val="6FD40F09"/>
    <w:rsid w:val="6FD44A65"/>
    <w:rsid w:val="6FD736E6"/>
    <w:rsid w:val="6FDC1B6B"/>
    <w:rsid w:val="6FDD1EA3"/>
    <w:rsid w:val="6FE0165C"/>
    <w:rsid w:val="6FE4739E"/>
    <w:rsid w:val="6FE50A20"/>
    <w:rsid w:val="6FE54EC4"/>
    <w:rsid w:val="6FE74798"/>
    <w:rsid w:val="6FEA3A6A"/>
    <w:rsid w:val="6FEB7D36"/>
    <w:rsid w:val="6FED5B27"/>
    <w:rsid w:val="6FF003F1"/>
    <w:rsid w:val="6FF173C5"/>
    <w:rsid w:val="6FF3138F"/>
    <w:rsid w:val="6FF46EB5"/>
    <w:rsid w:val="6FF70753"/>
    <w:rsid w:val="6FFA2E4B"/>
    <w:rsid w:val="6FFB46E7"/>
    <w:rsid w:val="7003534A"/>
    <w:rsid w:val="70061528"/>
    <w:rsid w:val="700C2451"/>
    <w:rsid w:val="700D682A"/>
    <w:rsid w:val="700E441B"/>
    <w:rsid w:val="70115CB9"/>
    <w:rsid w:val="70117A67"/>
    <w:rsid w:val="701337DF"/>
    <w:rsid w:val="701557A9"/>
    <w:rsid w:val="70230A50"/>
    <w:rsid w:val="702A6D7B"/>
    <w:rsid w:val="702C48A1"/>
    <w:rsid w:val="702F613F"/>
    <w:rsid w:val="70310109"/>
    <w:rsid w:val="70313C65"/>
    <w:rsid w:val="70390D6C"/>
    <w:rsid w:val="70390E66"/>
    <w:rsid w:val="70393D95"/>
    <w:rsid w:val="703C3572"/>
    <w:rsid w:val="703D6AAE"/>
    <w:rsid w:val="7040659E"/>
    <w:rsid w:val="704716DB"/>
    <w:rsid w:val="7047792D"/>
    <w:rsid w:val="70485CE6"/>
    <w:rsid w:val="704C0A9F"/>
    <w:rsid w:val="704C6CF1"/>
    <w:rsid w:val="7053007F"/>
    <w:rsid w:val="70562E59"/>
    <w:rsid w:val="705838E8"/>
    <w:rsid w:val="705878A5"/>
    <w:rsid w:val="705C54C7"/>
    <w:rsid w:val="705D0EFE"/>
    <w:rsid w:val="705D2CAC"/>
    <w:rsid w:val="70624A53"/>
    <w:rsid w:val="70657DB3"/>
    <w:rsid w:val="70695446"/>
    <w:rsid w:val="706F1805"/>
    <w:rsid w:val="70765B1C"/>
    <w:rsid w:val="707A560C"/>
    <w:rsid w:val="707D50FC"/>
    <w:rsid w:val="7080244B"/>
    <w:rsid w:val="7080699B"/>
    <w:rsid w:val="70814BED"/>
    <w:rsid w:val="708C533F"/>
    <w:rsid w:val="70916390"/>
    <w:rsid w:val="70983692"/>
    <w:rsid w:val="70A07186"/>
    <w:rsid w:val="70A628A5"/>
    <w:rsid w:val="70A94143"/>
    <w:rsid w:val="70AF6D48"/>
    <w:rsid w:val="70B054D2"/>
    <w:rsid w:val="70BB79D3"/>
    <w:rsid w:val="70C04FE9"/>
    <w:rsid w:val="70C1148D"/>
    <w:rsid w:val="70C152B0"/>
    <w:rsid w:val="70C42D2B"/>
    <w:rsid w:val="70C60851"/>
    <w:rsid w:val="70C64CF5"/>
    <w:rsid w:val="70C8271B"/>
    <w:rsid w:val="70C920F0"/>
    <w:rsid w:val="70D016D0"/>
    <w:rsid w:val="70D25448"/>
    <w:rsid w:val="70D31FDB"/>
    <w:rsid w:val="70DE203F"/>
    <w:rsid w:val="70DF7B65"/>
    <w:rsid w:val="70E138DD"/>
    <w:rsid w:val="70E64CAA"/>
    <w:rsid w:val="70E87D2E"/>
    <w:rsid w:val="70E92792"/>
    <w:rsid w:val="70EB650A"/>
    <w:rsid w:val="70ED2282"/>
    <w:rsid w:val="70EE0E01"/>
    <w:rsid w:val="70F25AEA"/>
    <w:rsid w:val="70F31F92"/>
    <w:rsid w:val="70F520ED"/>
    <w:rsid w:val="70F52EE5"/>
    <w:rsid w:val="70F65EBA"/>
    <w:rsid w:val="70F73101"/>
    <w:rsid w:val="70F7672F"/>
    <w:rsid w:val="70FA674D"/>
    <w:rsid w:val="70FC0717"/>
    <w:rsid w:val="7101667B"/>
    <w:rsid w:val="71035221"/>
    <w:rsid w:val="710D6480"/>
    <w:rsid w:val="711041C2"/>
    <w:rsid w:val="711200BC"/>
    <w:rsid w:val="7113780F"/>
    <w:rsid w:val="71153587"/>
    <w:rsid w:val="711D243B"/>
    <w:rsid w:val="7121200D"/>
    <w:rsid w:val="71213827"/>
    <w:rsid w:val="71245578"/>
    <w:rsid w:val="712573E8"/>
    <w:rsid w:val="712612F0"/>
    <w:rsid w:val="712832BA"/>
    <w:rsid w:val="712864D5"/>
    <w:rsid w:val="712A5284"/>
    <w:rsid w:val="71332BBF"/>
    <w:rsid w:val="713752AB"/>
    <w:rsid w:val="713C0B14"/>
    <w:rsid w:val="713C53B2"/>
    <w:rsid w:val="71494FDF"/>
    <w:rsid w:val="714B51FB"/>
    <w:rsid w:val="714F0C57"/>
    <w:rsid w:val="714F6A99"/>
    <w:rsid w:val="71566079"/>
    <w:rsid w:val="715A543E"/>
    <w:rsid w:val="715E1BEB"/>
    <w:rsid w:val="716770E4"/>
    <w:rsid w:val="716A5681"/>
    <w:rsid w:val="716D33C3"/>
    <w:rsid w:val="716E686F"/>
    <w:rsid w:val="716F0EE9"/>
    <w:rsid w:val="716F2C97"/>
    <w:rsid w:val="717007BD"/>
    <w:rsid w:val="71706A0F"/>
    <w:rsid w:val="71725BB0"/>
    <w:rsid w:val="71731C06"/>
    <w:rsid w:val="71771B4C"/>
    <w:rsid w:val="717B788E"/>
    <w:rsid w:val="717C7162"/>
    <w:rsid w:val="718A5D23"/>
    <w:rsid w:val="71900E5F"/>
    <w:rsid w:val="71922E29"/>
    <w:rsid w:val="71940950"/>
    <w:rsid w:val="719646C8"/>
    <w:rsid w:val="71995F66"/>
    <w:rsid w:val="719C7804"/>
    <w:rsid w:val="71A072F4"/>
    <w:rsid w:val="71A2244A"/>
    <w:rsid w:val="71A41A51"/>
    <w:rsid w:val="71A42811"/>
    <w:rsid w:val="71A861A9"/>
    <w:rsid w:val="71AA0173"/>
    <w:rsid w:val="71AB5C99"/>
    <w:rsid w:val="71B047FB"/>
    <w:rsid w:val="71B15784"/>
    <w:rsid w:val="71B20DD6"/>
    <w:rsid w:val="71B21F4E"/>
    <w:rsid w:val="71B2527A"/>
    <w:rsid w:val="71B44B4E"/>
    <w:rsid w:val="71B72890"/>
    <w:rsid w:val="71BC7EA6"/>
    <w:rsid w:val="71C01745"/>
    <w:rsid w:val="71C07997"/>
    <w:rsid w:val="71C31235"/>
    <w:rsid w:val="71C72AD3"/>
    <w:rsid w:val="71C867F5"/>
    <w:rsid w:val="71CA376C"/>
    <w:rsid w:val="71CD3E62"/>
    <w:rsid w:val="71D13952"/>
    <w:rsid w:val="71D1444C"/>
    <w:rsid w:val="71D64AC4"/>
    <w:rsid w:val="71DC5E53"/>
    <w:rsid w:val="71DE0782"/>
    <w:rsid w:val="71DE1BCB"/>
    <w:rsid w:val="71E03B95"/>
    <w:rsid w:val="71E847F7"/>
    <w:rsid w:val="71F238C8"/>
    <w:rsid w:val="71F633B8"/>
    <w:rsid w:val="71F9130C"/>
    <w:rsid w:val="71FE226D"/>
    <w:rsid w:val="72007D93"/>
    <w:rsid w:val="720553A9"/>
    <w:rsid w:val="720C6738"/>
    <w:rsid w:val="7215759C"/>
    <w:rsid w:val="7220374A"/>
    <w:rsid w:val="722241AD"/>
    <w:rsid w:val="72256230"/>
    <w:rsid w:val="72273572"/>
    <w:rsid w:val="722C0B88"/>
    <w:rsid w:val="722C6DDA"/>
    <w:rsid w:val="722E4900"/>
    <w:rsid w:val="722F2426"/>
    <w:rsid w:val="722F68CA"/>
    <w:rsid w:val="72304797"/>
    <w:rsid w:val="7231619E"/>
    <w:rsid w:val="72395053"/>
    <w:rsid w:val="723D0FE7"/>
    <w:rsid w:val="723F6274"/>
    <w:rsid w:val="72442376"/>
    <w:rsid w:val="7245773D"/>
    <w:rsid w:val="724834E8"/>
    <w:rsid w:val="7249040E"/>
    <w:rsid w:val="724C4D86"/>
    <w:rsid w:val="724E4FA2"/>
    <w:rsid w:val="72536115"/>
    <w:rsid w:val="72555F92"/>
    <w:rsid w:val="72565C05"/>
    <w:rsid w:val="726522EC"/>
    <w:rsid w:val="7265409A"/>
    <w:rsid w:val="726739D4"/>
    <w:rsid w:val="726E11A1"/>
    <w:rsid w:val="7270316B"/>
    <w:rsid w:val="727047CE"/>
    <w:rsid w:val="72712A3F"/>
    <w:rsid w:val="727367B7"/>
    <w:rsid w:val="72750781"/>
    <w:rsid w:val="7275252F"/>
    <w:rsid w:val="727B1B10"/>
    <w:rsid w:val="72824C4C"/>
    <w:rsid w:val="728409C4"/>
    <w:rsid w:val="7284346E"/>
    <w:rsid w:val="72850298"/>
    <w:rsid w:val="728564EA"/>
    <w:rsid w:val="728C6806"/>
    <w:rsid w:val="728C7879"/>
    <w:rsid w:val="728D72D4"/>
    <w:rsid w:val="728F1117"/>
    <w:rsid w:val="72936E59"/>
    <w:rsid w:val="7295118A"/>
    <w:rsid w:val="72955A66"/>
    <w:rsid w:val="7298446F"/>
    <w:rsid w:val="729B5D0E"/>
    <w:rsid w:val="729D1A86"/>
    <w:rsid w:val="729D3834"/>
    <w:rsid w:val="72A252EE"/>
    <w:rsid w:val="72A5093A"/>
    <w:rsid w:val="72A63904"/>
    <w:rsid w:val="72A66B8C"/>
    <w:rsid w:val="72A9042B"/>
    <w:rsid w:val="72AC1CC9"/>
    <w:rsid w:val="72AE2AAD"/>
    <w:rsid w:val="72B017B9"/>
    <w:rsid w:val="72B90194"/>
    <w:rsid w:val="72BA43E6"/>
    <w:rsid w:val="72BD7A32"/>
    <w:rsid w:val="72BF19FC"/>
    <w:rsid w:val="72C2329A"/>
    <w:rsid w:val="72CC4119"/>
    <w:rsid w:val="72CE5BB2"/>
    <w:rsid w:val="72CE60E3"/>
    <w:rsid w:val="72D6565A"/>
    <w:rsid w:val="72DB610A"/>
    <w:rsid w:val="72DC25AE"/>
    <w:rsid w:val="72DE2C3D"/>
    <w:rsid w:val="72DF5BFA"/>
    <w:rsid w:val="72E27499"/>
    <w:rsid w:val="72E70F53"/>
    <w:rsid w:val="72E927FF"/>
    <w:rsid w:val="72EB27F1"/>
    <w:rsid w:val="72EC0317"/>
    <w:rsid w:val="72EC65AF"/>
    <w:rsid w:val="72ED217D"/>
    <w:rsid w:val="72EE22E1"/>
    <w:rsid w:val="72F80E64"/>
    <w:rsid w:val="72F912A8"/>
    <w:rsid w:val="73012015"/>
    <w:rsid w:val="73043513"/>
    <w:rsid w:val="730613D9"/>
    <w:rsid w:val="7306587D"/>
    <w:rsid w:val="730B2E93"/>
    <w:rsid w:val="730B69EF"/>
    <w:rsid w:val="730C2768"/>
    <w:rsid w:val="730D09BA"/>
    <w:rsid w:val="730F1287"/>
    <w:rsid w:val="730F44AC"/>
    <w:rsid w:val="731358A4"/>
    <w:rsid w:val="73171838"/>
    <w:rsid w:val="731F249B"/>
    <w:rsid w:val="731F2D71"/>
    <w:rsid w:val="73201B9F"/>
    <w:rsid w:val="73217FC1"/>
    <w:rsid w:val="73231CF3"/>
    <w:rsid w:val="732D105C"/>
    <w:rsid w:val="733034AE"/>
    <w:rsid w:val="73306456"/>
    <w:rsid w:val="73335F46"/>
    <w:rsid w:val="7334649C"/>
    <w:rsid w:val="73351CBE"/>
    <w:rsid w:val="73396415"/>
    <w:rsid w:val="733E17AF"/>
    <w:rsid w:val="733F48EB"/>
    <w:rsid w:val="734819F2"/>
    <w:rsid w:val="734939BC"/>
    <w:rsid w:val="734D525A"/>
    <w:rsid w:val="73506AF8"/>
    <w:rsid w:val="73530396"/>
    <w:rsid w:val="73566CAF"/>
    <w:rsid w:val="73571880"/>
    <w:rsid w:val="735760D9"/>
    <w:rsid w:val="735859AD"/>
    <w:rsid w:val="735C36EF"/>
    <w:rsid w:val="735C724B"/>
    <w:rsid w:val="735E1215"/>
    <w:rsid w:val="736425A4"/>
    <w:rsid w:val="736507F6"/>
    <w:rsid w:val="73661E78"/>
    <w:rsid w:val="736B3932"/>
    <w:rsid w:val="736B748E"/>
    <w:rsid w:val="736D3206"/>
    <w:rsid w:val="737067CE"/>
    <w:rsid w:val="7370719A"/>
    <w:rsid w:val="7375655F"/>
    <w:rsid w:val="73766299"/>
    <w:rsid w:val="73770529"/>
    <w:rsid w:val="737722D7"/>
    <w:rsid w:val="7379604F"/>
    <w:rsid w:val="73797DFD"/>
    <w:rsid w:val="737A3B75"/>
    <w:rsid w:val="737C1488"/>
    <w:rsid w:val="737C169B"/>
    <w:rsid w:val="737E6763"/>
    <w:rsid w:val="73842D8A"/>
    <w:rsid w:val="73856327"/>
    <w:rsid w:val="738644F9"/>
    <w:rsid w:val="73893DB8"/>
    <w:rsid w:val="738B18DE"/>
    <w:rsid w:val="738B7B30"/>
    <w:rsid w:val="73944C37"/>
    <w:rsid w:val="73A00CA7"/>
    <w:rsid w:val="73A3131E"/>
    <w:rsid w:val="73AB01D2"/>
    <w:rsid w:val="73AC6367"/>
    <w:rsid w:val="73AF1A71"/>
    <w:rsid w:val="73AF515A"/>
    <w:rsid w:val="73B057E9"/>
    <w:rsid w:val="73B1065D"/>
    <w:rsid w:val="73B13A3B"/>
    <w:rsid w:val="73B250BD"/>
    <w:rsid w:val="73B452D9"/>
    <w:rsid w:val="73B47087"/>
    <w:rsid w:val="73BC418E"/>
    <w:rsid w:val="73BE1CB4"/>
    <w:rsid w:val="73C27AB3"/>
    <w:rsid w:val="73C33969"/>
    <w:rsid w:val="73C372CA"/>
    <w:rsid w:val="73C84DFA"/>
    <w:rsid w:val="73CA0659"/>
    <w:rsid w:val="73CC5F32"/>
    <w:rsid w:val="73CD1EF7"/>
    <w:rsid w:val="73D03795"/>
    <w:rsid w:val="73D9089C"/>
    <w:rsid w:val="73D96AEE"/>
    <w:rsid w:val="73DA4614"/>
    <w:rsid w:val="73E00E2F"/>
    <w:rsid w:val="73E6120B"/>
    <w:rsid w:val="73EF4563"/>
    <w:rsid w:val="73EF6311"/>
    <w:rsid w:val="73F6144E"/>
    <w:rsid w:val="73F90F3E"/>
    <w:rsid w:val="740050F0"/>
    <w:rsid w:val="74026044"/>
    <w:rsid w:val="74065409"/>
    <w:rsid w:val="7407365B"/>
    <w:rsid w:val="74081181"/>
    <w:rsid w:val="740873D3"/>
    <w:rsid w:val="740A4EF9"/>
    <w:rsid w:val="740D49E9"/>
    <w:rsid w:val="740D6797"/>
    <w:rsid w:val="74143FCA"/>
    <w:rsid w:val="74147B26"/>
    <w:rsid w:val="7416564C"/>
    <w:rsid w:val="74192A9B"/>
    <w:rsid w:val="74205599"/>
    <w:rsid w:val="74277859"/>
    <w:rsid w:val="742D385E"/>
    <w:rsid w:val="742F2BB2"/>
    <w:rsid w:val="74367A9C"/>
    <w:rsid w:val="743774E1"/>
    <w:rsid w:val="743A4358"/>
    <w:rsid w:val="74435A84"/>
    <w:rsid w:val="74471CA9"/>
    <w:rsid w:val="74477EFB"/>
    <w:rsid w:val="74485A21"/>
    <w:rsid w:val="744A1799"/>
    <w:rsid w:val="744C3764"/>
    <w:rsid w:val="744F5002"/>
    <w:rsid w:val="74534AF2"/>
    <w:rsid w:val="74546174"/>
    <w:rsid w:val="745C0AF6"/>
    <w:rsid w:val="745C662B"/>
    <w:rsid w:val="74654825"/>
    <w:rsid w:val="74674561"/>
    <w:rsid w:val="746A1E3C"/>
    <w:rsid w:val="746C5BB4"/>
    <w:rsid w:val="746D0255"/>
    <w:rsid w:val="746F26E3"/>
    <w:rsid w:val="74704AA1"/>
    <w:rsid w:val="747131CA"/>
    <w:rsid w:val="7480205F"/>
    <w:rsid w:val="748A428C"/>
    <w:rsid w:val="748A7DE8"/>
    <w:rsid w:val="748C1DB2"/>
    <w:rsid w:val="748D0ADA"/>
    <w:rsid w:val="748F3650"/>
    <w:rsid w:val="7491561A"/>
    <w:rsid w:val="74934EEE"/>
    <w:rsid w:val="749D7B1B"/>
    <w:rsid w:val="74A0585D"/>
    <w:rsid w:val="74A62C0B"/>
    <w:rsid w:val="74AC4D85"/>
    <w:rsid w:val="74AF784E"/>
    <w:rsid w:val="74B11819"/>
    <w:rsid w:val="74B35591"/>
    <w:rsid w:val="74B3733F"/>
    <w:rsid w:val="74B51309"/>
    <w:rsid w:val="74C14349"/>
    <w:rsid w:val="74C27582"/>
    <w:rsid w:val="74C3319E"/>
    <w:rsid w:val="74C4154C"/>
    <w:rsid w:val="74C5589B"/>
    <w:rsid w:val="74C72DEA"/>
    <w:rsid w:val="74CA4688"/>
    <w:rsid w:val="74CC5BBB"/>
    <w:rsid w:val="74D20D69"/>
    <w:rsid w:val="74D6127F"/>
    <w:rsid w:val="74D97F76"/>
    <w:rsid w:val="74DA0950"/>
    <w:rsid w:val="74DC4AE7"/>
    <w:rsid w:val="74E05C5A"/>
    <w:rsid w:val="74E25198"/>
    <w:rsid w:val="74E403D4"/>
    <w:rsid w:val="74E63744"/>
    <w:rsid w:val="74E92D60"/>
    <w:rsid w:val="74E97204"/>
    <w:rsid w:val="74F00593"/>
    <w:rsid w:val="74F23177"/>
    <w:rsid w:val="74F31E31"/>
    <w:rsid w:val="74F51B52"/>
    <w:rsid w:val="74F6722B"/>
    <w:rsid w:val="74FA4F6E"/>
    <w:rsid w:val="74FF2584"/>
    <w:rsid w:val="74FF4B63"/>
    <w:rsid w:val="75047B9A"/>
    <w:rsid w:val="750758DC"/>
    <w:rsid w:val="75091655"/>
    <w:rsid w:val="750D7D7F"/>
    <w:rsid w:val="751029E3"/>
    <w:rsid w:val="75127B90"/>
    <w:rsid w:val="7513273D"/>
    <w:rsid w:val="7513602F"/>
    <w:rsid w:val="75153B55"/>
    <w:rsid w:val="7519760D"/>
    <w:rsid w:val="751D21C1"/>
    <w:rsid w:val="75241FEA"/>
    <w:rsid w:val="752913AF"/>
    <w:rsid w:val="752D5343"/>
    <w:rsid w:val="753007A1"/>
    <w:rsid w:val="75327179"/>
    <w:rsid w:val="753871DF"/>
    <w:rsid w:val="753B196C"/>
    <w:rsid w:val="753C37D8"/>
    <w:rsid w:val="753F36F1"/>
    <w:rsid w:val="753F6E24"/>
    <w:rsid w:val="75502DDF"/>
    <w:rsid w:val="75510906"/>
    <w:rsid w:val="75530B22"/>
    <w:rsid w:val="75556648"/>
    <w:rsid w:val="755B49B2"/>
    <w:rsid w:val="755E5AEA"/>
    <w:rsid w:val="756578D8"/>
    <w:rsid w:val="75671015"/>
    <w:rsid w:val="7568637B"/>
    <w:rsid w:val="75695C4F"/>
    <w:rsid w:val="756B19C7"/>
    <w:rsid w:val="757132D1"/>
    <w:rsid w:val="75720FA8"/>
    <w:rsid w:val="7577036C"/>
    <w:rsid w:val="757765BE"/>
    <w:rsid w:val="75790588"/>
    <w:rsid w:val="757C1E26"/>
    <w:rsid w:val="758331B5"/>
    <w:rsid w:val="75856EB5"/>
    <w:rsid w:val="758B206A"/>
    <w:rsid w:val="758D193E"/>
    <w:rsid w:val="758D4498"/>
    <w:rsid w:val="759206C7"/>
    <w:rsid w:val="75931266"/>
    <w:rsid w:val="75954C96"/>
    <w:rsid w:val="75956A44"/>
    <w:rsid w:val="759B5BFF"/>
    <w:rsid w:val="759F5B15"/>
    <w:rsid w:val="75A44ED9"/>
    <w:rsid w:val="75A66E6C"/>
    <w:rsid w:val="75AB44BA"/>
    <w:rsid w:val="75B46F90"/>
    <w:rsid w:val="75B65E96"/>
    <w:rsid w:val="75B73ED4"/>
    <w:rsid w:val="75BC4A71"/>
    <w:rsid w:val="75BC5722"/>
    <w:rsid w:val="75C12BF5"/>
    <w:rsid w:val="75C17839"/>
    <w:rsid w:val="75C72748"/>
    <w:rsid w:val="75CE0FA0"/>
    <w:rsid w:val="75D21A46"/>
    <w:rsid w:val="75D752AF"/>
    <w:rsid w:val="75E4177A"/>
    <w:rsid w:val="75E91A34"/>
    <w:rsid w:val="75EB48B6"/>
    <w:rsid w:val="75F06371"/>
    <w:rsid w:val="75F32F93"/>
    <w:rsid w:val="75F73F89"/>
    <w:rsid w:val="75F75951"/>
    <w:rsid w:val="75F776FF"/>
    <w:rsid w:val="75FC2F67"/>
    <w:rsid w:val="75FE5C0C"/>
    <w:rsid w:val="76004806"/>
    <w:rsid w:val="76011BC9"/>
    <w:rsid w:val="760140DA"/>
    <w:rsid w:val="76052D17"/>
    <w:rsid w:val="76091264"/>
    <w:rsid w:val="7610256F"/>
    <w:rsid w:val="761262E7"/>
    <w:rsid w:val="7614205F"/>
    <w:rsid w:val="76157B85"/>
    <w:rsid w:val="76173158"/>
    <w:rsid w:val="761D53B8"/>
    <w:rsid w:val="761E4C8C"/>
    <w:rsid w:val="76235D60"/>
    <w:rsid w:val="762A7AD4"/>
    <w:rsid w:val="762B1157"/>
    <w:rsid w:val="76326989"/>
    <w:rsid w:val="76366479"/>
    <w:rsid w:val="763B75EC"/>
    <w:rsid w:val="763E70DC"/>
    <w:rsid w:val="76404C02"/>
    <w:rsid w:val="76432944"/>
    <w:rsid w:val="764811BC"/>
    <w:rsid w:val="764A782F"/>
    <w:rsid w:val="76504CBE"/>
    <w:rsid w:val="76515061"/>
    <w:rsid w:val="765320E5"/>
    <w:rsid w:val="76544B51"/>
    <w:rsid w:val="765661D4"/>
    <w:rsid w:val="76592168"/>
    <w:rsid w:val="765A3553"/>
    <w:rsid w:val="765B5EE0"/>
    <w:rsid w:val="765C5EF1"/>
    <w:rsid w:val="765D7381"/>
    <w:rsid w:val="76607052"/>
    <w:rsid w:val="7662101C"/>
    <w:rsid w:val="76654669"/>
    <w:rsid w:val="76676633"/>
    <w:rsid w:val="766823AB"/>
    <w:rsid w:val="766A6E7D"/>
    <w:rsid w:val="76740D50"/>
    <w:rsid w:val="76746FA2"/>
    <w:rsid w:val="7677439C"/>
    <w:rsid w:val="76790114"/>
    <w:rsid w:val="7681460D"/>
    <w:rsid w:val="768371E5"/>
    <w:rsid w:val="7689645A"/>
    <w:rsid w:val="768F7938"/>
    <w:rsid w:val="76960CC6"/>
    <w:rsid w:val="76962A74"/>
    <w:rsid w:val="769709D0"/>
    <w:rsid w:val="76982C90"/>
    <w:rsid w:val="76992564"/>
    <w:rsid w:val="769942BD"/>
    <w:rsid w:val="76A72ED3"/>
    <w:rsid w:val="76AF17F9"/>
    <w:rsid w:val="76AF3B36"/>
    <w:rsid w:val="76B13D52"/>
    <w:rsid w:val="76B15B00"/>
    <w:rsid w:val="76B178AE"/>
    <w:rsid w:val="76B26CEA"/>
    <w:rsid w:val="76B4114C"/>
    <w:rsid w:val="76B850E0"/>
    <w:rsid w:val="76B92C06"/>
    <w:rsid w:val="76B949B4"/>
    <w:rsid w:val="76BD26F7"/>
    <w:rsid w:val="76C53359"/>
    <w:rsid w:val="76C577FD"/>
    <w:rsid w:val="76C70E7F"/>
    <w:rsid w:val="76C9109B"/>
    <w:rsid w:val="76CC0B8C"/>
    <w:rsid w:val="76CC0D21"/>
    <w:rsid w:val="76CD220E"/>
    <w:rsid w:val="76D10663"/>
    <w:rsid w:val="76D55C89"/>
    <w:rsid w:val="76D66663"/>
    <w:rsid w:val="76DC0816"/>
    <w:rsid w:val="76DD5309"/>
    <w:rsid w:val="76DF3B1A"/>
    <w:rsid w:val="76E21799"/>
    <w:rsid w:val="76E62CF0"/>
    <w:rsid w:val="76ED481A"/>
    <w:rsid w:val="76EE5C21"/>
    <w:rsid w:val="76F31C74"/>
    <w:rsid w:val="76F61765"/>
    <w:rsid w:val="76F8372F"/>
    <w:rsid w:val="76FC05B4"/>
    <w:rsid w:val="77057BFA"/>
    <w:rsid w:val="77071BC4"/>
    <w:rsid w:val="77075720"/>
    <w:rsid w:val="770D60E9"/>
    <w:rsid w:val="77101B8D"/>
    <w:rsid w:val="771542E1"/>
    <w:rsid w:val="7715608F"/>
    <w:rsid w:val="77170059"/>
    <w:rsid w:val="771A36A5"/>
    <w:rsid w:val="771C566F"/>
    <w:rsid w:val="771F673E"/>
    <w:rsid w:val="771F6F0D"/>
    <w:rsid w:val="7722255A"/>
    <w:rsid w:val="77297D8C"/>
    <w:rsid w:val="772A140E"/>
    <w:rsid w:val="7730111A"/>
    <w:rsid w:val="77356731"/>
    <w:rsid w:val="7737771B"/>
    <w:rsid w:val="773D3837"/>
    <w:rsid w:val="77420E4E"/>
    <w:rsid w:val="77422BFC"/>
    <w:rsid w:val="77433F56"/>
    <w:rsid w:val="77440722"/>
    <w:rsid w:val="7746169E"/>
    <w:rsid w:val="77476464"/>
    <w:rsid w:val="774A4354"/>
    <w:rsid w:val="774B1AB0"/>
    <w:rsid w:val="774C5829"/>
    <w:rsid w:val="77513458"/>
    <w:rsid w:val="775C313C"/>
    <w:rsid w:val="775D3592"/>
    <w:rsid w:val="776143DD"/>
    <w:rsid w:val="7762504C"/>
    <w:rsid w:val="77626DFA"/>
    <w:rsid w:val="7767181A"/>
    <w:rsid w:val="77691D85"/>
    <w:rsid w:val="776963DA"/>
    <w:rsid w:val="776B5CAF"/>
    <w:rsid w:val="776E49BD"/>
    <w:rsid w:val="77701517"/>
    <w:rsid w:val="77754D7F"/>
    <w:rsid w:val="777A05E8"/>
    <w:rsid w:val="777C4360"/>
    <w:rsid w:val="777F364F"/>
    <w:rsid w:val="777F5BFE"/>
    <w:rsid w:val="777F79AC"/>
    <w:rsid w:val="7783749C"/>
    <w:rsid w:val="77843214"/>
    <w:rsid w:val="77876861"/>
    <w:rsid w:val="778C10EB"/>
    <w:rsid w:val="778D20C9"/>
    <w:rsid w:val="77925931"/>
    <w:rsid w:val="7794726C"/>
    <w:rsid w:val="77955421"/>
    <w:rsid w:val="7798554B"/>
    <w:rsid w:val="779A30DE"/>
    <w:rsid w:val="779A44A7"/>
    <w:rsid w:val="779A47E6"/>
    <w:rsid w:val="779D6084"/>
    <w:rsid w:val="779D7E32"/>
    <w:rsid w:val="779F1DFC"/>
    <w:rsid w:val="779F6E07"/>
    <w:rsid w:val="77A15B74"/>
    <w:rsid w:val="77A45665"/>
    <w:rsid w:val="77A6318B"/>
    <w:rsid w:val="77A86F03"/>
    <w:rsid w:val="77A93E46"/>
    <w:rsid w:val="77A967D7"/>
    <w:rsid w:val="77B070F5"/>
    <w:rsid w:val="77B227F5"/>
    <w:rsid w:val="77B27D81"/>
    <w:rsid w:val="77B37656"/>
    <w:rsid w:val="77B5517C"/>
    <w:rsid w:val="77B74817"/>
    <w:rsid w:val="77B84C6C"/>
    <w:rsid w:val="77BA09E4"/>
    <w:rsid w:val="77BD2282"/>
    <w:rsid w:val="77C35AEB"/>
    <w:rsid w:val="77C45C0E"/>
    <w:rsid w:val="77C6655A"/>
    <w:rsid w:val="77C70EBD"/>
    <w:rsid w:val="77CB0E43"/>
    <w:rsid w:val="77D01FB6"/>
    <w:rsid w:val="77D1684F"/>
    <w:rsid w:val="77D575CC"/>
    <w:rsid w:val="77D71596"/>
    <w:rsid w:val="77DA1086"/>
    <w:rsid w:val="77DE1622"/>
    <w:rsid w:val="77E441F4"/>
    <w:rsid w:val="77EA683A"/>
    <w:rsid w:val="77EB0615"/>
    <w:rsid w:val="77EB7A4D"/>
    <w:rsid w:val="77F162D0"/>
    <w:rsid w:val="77F17064"/>
    <w:rsid w:val="77F42148"/>
    <w:rsid w:val="77F51A1C"/>
    <w:rsid w:val="77F9775E"/>
    <w:rsid w:val="780350F4"/>
    <w:rsid w:val="7805128C"/>
    <w:rsid w:val="780649BD"/>
    <w:rsid w:val="780835EF"/>
    <w:rsid w:val="78085BF3"/>
    <w:rsid w:val="780F06C0"/>
    <w:rsid w:val="781379F5"/>
    <w:rsid w:val="781400F4"/>
    <w:rsid w:val="78174088"/>
    <w:rsid w:val="781E371F"/>
    <w:rsid w:val="781F63BA"/>
    <w:rsid w:val="7820118F"/>
    <w:rsid w:val="7820259C"/>
    <w:rsid w:val="78212811"/>
    <w:rsid w:val="78216CB5"/>
    <w:rsid w:val="78224195"/>
    <w:rsid w:val="782642CC"/>
    <w:rsid w:val="78270007"/>
    <w:rsid w:val="782765AD"/>
    <w:rsid w:val="782A0E50"/>
    <w:rsid w:val="782A2DB5"/>
    <w:rsid w:val="7836450F"/>
    <w:rsid w:val="78372035"/>
    <w:rsid w:val="783764D9"/>
    <w:rsid w:val="78393FFF"/>
    <w:rsid w:val="783B7D77"/>
    <w:rsid w:val="783E33C3"/>
    <w:rsid w:val="78454752"/>
    <w:rsid w:val="78465777"/>
    <w:rsid w:val="78482494"/>
    <w:rsid w:val="78490394"/>
    <w:rsid w:val="784A5D07"/>
    <w:rsid w:val="784F55D0"/>
    <w:rsid w:val="78511348"/>
    <w:rsid w:val="78535B94"/>
    <w:rsid w:val="78536178"/>
    <w:rsid w:val="785726D7"/>
    <w:rsid w:val="78572CA3"/>
    <w:rsid w:val="785B5D23"/>
    <w:rsid w:val="785D5F3F"/>
    <w:rsid w:val="785E4C0A"/>
    <w:rsid w:val="786064CE"/>
    <w:rsid w:val="78615304"/>
    <w:rsid w:val="78632E2A"/>
    <w:rsid w:val="78650950"/>
    <w:rsid w:val="78670B6C"/>
    <w:rsid w:val="7868692A"/>
    <w:rsid w:val="78727511"/>
    <w:rsid w:val="787B63C5"/>
    <w:rsid w:val="787D5FEB"/>
    <w:rsid w:val="78801C2E"/>
    <w:rsid w:val="78845416"/>
    <w:rsid w:val="788650FD"/>
    <w:rsid w:val="78874D6A"/>
    <w:rsid w:val="78967146"/>
    <w:rsid w:val="78986F77"/>
    <w:rsid w:val="78A05E2C"/>
    <w:rsid w:val="78B673FD"/>
    <w:rsid w:val="78BC253A"/>
    <w:rsid w:val="78BD69DE"/>
    <w:rsid w:val="78C22246"/>
    <w:rsid w:val="78C65643"/>
    <w:rsid w:val="78CF6711"/>
    <w:rsid w:val="78D12489"/>
    <w:rsid w:val="78D43D28"/>
    <w:rsid w:val="78DB58DC"/>
    <w:rsid w:val="78DC699B"/>
    <w:rsid w:val="78DE0702"/>
    <w:rsid w:val="78E421BD"/>
    <w:rsid w:val="78EC1071"/>
    <w:rsid w:val="78F47F26"/>
    <w:rsid w:val="78FA1EA3"/>
    <w:rsid w:val="78FB7506"/>
    <w:rsid w:val="78FD2652"/>
    <w:rsid w:val="78FD327E"/>
    <w:rsid w:val="79002D6F"/>
    <w:rsid w:val="79022643"/>
    <w:rsid w:val="790463BB"/>
    <w:rsid w:val="790740FD"/>
    <w:rsid w:val="790E2D96"/>
    <w:rsid w:val="790E7239"/>
    <w:rsid w:val="790F4D60"/>
    <w:rsid w:val="79110AD8"/>
    <w:rsid w:val="79134850"/>
    <w:rsid w:val="79181E66"/>
    <w:rsid w:val="79183C14"/>
    <w:rsid w:val="791D3F2D"/>
    <w:rsid w:val="79202AC9"/>
    <w:rsid w:val="79231957"/>
    <w:rsid w:val="79240BAB"/>
    <w:rsid w:val="79273E57"/>
    <w:rsid w:val="792A1003"/>
    <w:rsid w:val="792C76C0"/>
    <w:rsid w:val="792D7857"/>
    <w:rsid w:val="79330A4E"/>
    <w:rsid w:val="79346574"/>
    <w:rsid w:val="793A002E"/>
    <w:rsid w:val="793E2FB5"/>
    <w:rsid w:val="79462067"/>
    <w:rsid w:val="7947274B"/>
    <w:rsid w:val="794830FC"/>
    <w:rsid w:val="794E14FB"/>
    <w:rsid w:val="794E5888"/>
    <w:rsid w:val="794F33AE"/>
    <w:rsid w:val="7950014D"/>
    <w:rsid w:val="795135CA"/>
    <w:rsid w:val="7956298E"/>
    <w:rsid w:val="79570BE0"/>
    <w:rsid w:val="795804B5"/>
    <w:rsid w:val="79592461"/>
    <w:rsid w:val="795B1D53"/>
    <w:rsid w:val="795B7FA5"/>
    <w:rsid w:val="795E27B4"/>
    <w:rsid w:val="796055BB"/>
    <w:rsid w:val="796432FD"/>
    <w:rsid w:val="796450AB"/>
    <w:rsid w:val="796926C2"/>
    <w:rsid w:val="796C5D0E"/>
    <w:rsid w:val="796E1A86"/>
    <w:rsid w:val="79701CA2"/>
    <w:rsid w:val="797057FE"/>
    <w:rsid w:val="797846B3"/>
    <w:rsid w:val="797A667D"/>
    <w:rsid w:val="797D43BF"/>
    <w:rsid w:val="79807AE3"/>
    <w:rsid w:val="798205F9"/>
    <w:rsid w:val="79865022"/>
    <w:rsid w:val="79870D9A"/>
    <w:rsid w:val="798A5143"/>
    <w:rsid w:val="798F5890"/>
    <w:rsid w:val="799040F2"/>
    <w:rsid w:val="79954710"/>
    <w:rsid w:val="799F60E4"/>
    <w:rsid w:val="79A656C4"/>
    <w:rsid w:val="79A66F05"/>
    <w:rsid w:val="79AC0800"/>
    <w:rsid w:val="79AD6A52"/>
    <w:rsid w:val="79B274E9"/>
    <w:rsid w:val="79B3354A"/>
    <w:rsid w:val="79B3393D"/>
    <w:rsid w:val="79B50A3B"/>
    <w:rsid w:val="79BF6786"/>
    <w:rsid w:val="79C36276"/>
    <w:rsid w:val="79C478F8"/>
    <w:rsid w:val="79C6083B"/>
    <w:rsid w:val="79C618C2"/>
    <w:rsid w:val="79C773E8"/>
    <w:rsid w:val="79C85CD9"/>
    <w:rsid w:val="79C913B2"/>
    <w:rsid w:val="79CA0341"/>
    <w:rsid w:val="79D42567"/>
    <w:rsid w:val="79D54FEF"/>
    <w:rsid w:val="79D833A4"/>
    <w:rsid w:val="79DA536E"/>
    <w:rsid w:val="79E166FC"/>
    <w:rsid w:val="79E306C6"/>
    <w:rsid w:val="79E3753B"/>
    <w:rsid w:val="79E47F9A"/>
    <w:rsid w:val="79E81839"/>
    <w:rsid w:val="79EB108E"/>
    <w:rsid w:val="79EB1329"/>
    <w:rsid w:val="79EE3136"/>
    <w:rsid w:val="79F20909"/>
    <w:rsid w:val="79F503F9"/>
    <w:rsid w:val="79F75F20"/>
    <w:rsid w:val="79F91C98"/>
    <w:rsid w:val="79FC7092"/>
    <w:rsid w:val="79FE105C"/>
    <w:rsid w:val="79FF4DD4"/>
    <w:rsid w:val="7A025901"/>
    <w:rsid w:val="7A04063C"/>
    <w:rsid w:val="7A0423EA"/>
    <w:rsid w:val="7A067F11"/>
    <w:rsid w:val="7A070125"/>
    <w:rsid w:val="7A080AFF"/>
    <w:rsid w:val="7A0A5C53"/>
    <w:rsid w:val="7A0C6902"/>
    <w:rsid w:val="7A1B7E60"/>
    <w:rsid w:val="7A2025CB"/>
    <w:rsid w:val="7A230AC3"/>
    <w:rsid w:val="7A2455EA"/>
    <w:rsid w:val="7A2465E9"/>
    <w:rsid w:val="7A2921ED"/>
    <w:rsid w:val="7A293BFF"/>
    <w:rsid w:val="7A3525A4"/>
    <w:rsid w:val="7A3A5E0C"/>
    <w:rsid w:val="7A3D7DFA"/>
    <w:rsid w:val="7A3E3B4E"/>
    <w:rsid w:val="7A41363F"/>
    <w:rsid w:val="7A432F13"/>
    <w:rsid w:val="7A456C8B"/>
    <w:rsid w:val="7A4A24F3"/>
    <w:rsid w:val="7A4A42A1"/>
    <w:rsid w:val="7A4F70AE"/>
    <w:rsid w:val="7A505630"/>
    <w:rsid w:val="7A5213A8"/>
    <w:rsid w:val="7A523156"/>
    <w:rsid w:val="7A546ECE"/>
    <w:rsid w:val="7A5549F4"/>
    <w:rsid w:val="7A611EC9"/>
    <w:rsid w:val="7A6443AD"/>
    <w:rsid w:val="7A652E89"/>
    <w:rsid w:val="7A6B15C4"/>
    <w:rsid w:val="7A6B4218"/>
    <w:rsid w:val="7A74131E"/>
    <w:rsid w:val="7A772BBC"/>
    <w:rsid w:val="7A772DBA"/>
    <w:rsid w:val="7A7C6425"/>
    <w:rsid w:val="7A7F2DCF"/>
    <w:rsid w:val="7A810FFC"/>
    <w:rsid w:val="7A8772A3"/>
    <w:rsid w:val="7A8A0B42"/>
    <w:rsid w:val="7A8A28F0"/>
    <w:rsid w:val="7A9674E6"/>
    <w:rsid w:val="7A9719D9"/>
    <w:rsid w:val="7A980FBD"/>
    <w:rsid w:val="7A993CB5"/>
    <w:rsid w:val="7A9B2D4F"/>
    <w:rsid w:val="7A9B68AB"/>
    <w:rsid w:val="7AA339B1"/>
    <w:rsid w:val="7AA36941"/>
    <w:rsid w:val="7AAD4830"/>
    <w:rsid w:val="7AB12572"/>
    <w:rsid w:val="7ABB6F4D"/>
    <w:rsid w:val="7AC04563"/>
    <w:rsid w:val="7AC06311"/>
    <w:rsid w:val="7AC3005A"/>
    <w:rsid w:val="7ACF29F8"/>
    <w:rsid w:val="7AD07CBE"/>
    <w:rsid w:val="7AD1051F"/>
    <w:rsid w:val="7AD3663F"/>
    <w:rsid w:val="7AD36F66"/>
    <w:rsid w:val="7AD5178A"/>
    <w:rsid w:val="7AD5360C"/>
    <w:rsid w:val="7ADD5115"/>
    <w:rsid w:val="7AE21CA9"/>
    <w:rsid w:val="7AEC5D56"/>
    <w:rsid w:val="7AEE2205"/>
    <w:rsid w:val="7AF4420D"/>
    <w:rsid w:val="7AF81F4F"/>
    <w:rsid w:val="7AFD57B8"/>
    <w:rsid w:val="7B000E04"/>
    <w:rsid w:val="7B024B7C"/>
    <w:rsid w:val="7B043FDD"/>
    <w:rsid w:val="7B05641A"/>
    <w:rsid w:val="7B0C1557"/>
    <w:rsid w:val="7B160627"/>
    <w:rsid w:val="7B1623D5"/>
    <w:rsid w:val="7B174702"/>
    <w:rsid w:val="7B1E74DC"/>
    <w:rsid w:val="7B252618"/>
    <w:rsid w:val="7B256ABC"/>
    <w:rsid w:val="7B265853"/>
    <w:rsid w:val="7B312C81"/>
    <w:rsid w:val="7B326164"/>
    <w:rsid w:val="7B3459C8"/>
    <w:rsid w:val="7B38059E"/>
    <w:rsid w:val="7B395539"/>
    <w:rsid w:val="7B396001"/>
    <w:rsid w:val="7B4038F6"/>
    <w:rsid w:val="7B424F78"/>
    <w:rsid w:val="7B430CF1"/>
    <w:rsid w:val="7B4E7DC1"/>
    <w:rsid w:val="7B4F58E7"/>
    <w:rsid w:val="7B51340D"/>
    <w:rsid w:val="7B564EC8"/>
    <w:rsid w:val="7B5A2BED"/>
    <w:rsid w:val="7B5B428C"/>
    <w:rsid w:val="7B6018A2"/>
    <w:rsid w:val="7B6969A9"/>
    <w:rsid w:val="7B6E3FBF"/>
    <w:rsid w:val="7B6F4892"/>
    <w:rsid w:val="7B71246B"/>
    <w:rsid w:val="7B7F481D"/>
    <w:rsid w:val="7B7F61CD"/>
    <w:rsid w:val="7B826C46"/>
    <w:rsid w:val="7B861AB8"/>
    <w:rsid w:val="7B871525"/>
    <w:rsid w:val="7B8749B6"/>
    <w:rsid w:val="7B893F18"/>
    <w:rsid w:val="7B8B2DC3"/>
    <w:rsid w:val="7B8B4B71"/>
    <w:rsid w:val="7B8F3F36"/>
    <w:rsid w:val="7B900EAA"/>
    <w:rsid w:val="7B95779E"/>
    <w:rsid w:val="7B98728E"/>
    <w:rsid w:val="7B9A21F0"/>
    <w:rsid w:val="7B9F061D"/>
    <w:rsid w:val="7B9F23CB"/>
    <w:rsid w:val="7BA2010D"/>
    <w:rsid w:val="7BA7127F"/>
    <w:rsid w:val="7BAB6FC2"/>
    <w:rsid w:val="7BAE55A6"/>
    <w:rsid w:val="7BAE67AF"/>
    <w:rsid w:val="7BB10350"/>
    <w:rsid w:val="7BB309E9"/>
    <w:rsid w:val="7BB31FE0"/>
    <w:rsid w:val="7BB514DD"/>
    <w:rsid w:val="7BBA3565"/>
    <w:rsid w:val="7BBC11CF"/>
    <w:rsid w:val="7BC260B9"/>
    <w:rsid w:val="7BC27D34"/>
    <w:rsid w:val="7BC50C8F"/>
    <w:rsid w:val="7BCB31C0"/>
    <w:rsid w:val="7BCC6F38"/>
    <w:rsid w:val="7BCD518A"/>
    <w:rsid w:val="7BCF5287"/>
    <w:rsid w:val="7BD1454E"/>
    <w:rsid w:val="7BD16399"/>
    <w:rsid w:val="7BD323FA"/>
    <w:rsid w:val="7BD4388A"/>
    <w:rsid w:val="7BD57E03"/>
    <w:rsid w:val="7BD61B65"/>
    <w:rsid w:val="7BDC361F"/>
    <w:rsid w:val="7BDC53CD"/>
    <w:rsid w:val="7BDD1145"/>
    <w:rsid w:val="7BDF338E"/>
    <w:rsid w:val="7BE20509"/>
    <w:rsid w:val="7BE527D1"/>
    <w:rsid w:val="7BE91898"/>
    <w:rsid w:val="7BE92EDF"/>
    <w:rsid w:val="7BE94A5A"/>
    <w:rsid w:val="7BEC3136"/>
    <w:rsid w:val="7BF2699E"/>
    <w:rsid w:val="7BF86B05"/>
    <w:rsid w:val="7BFC3D4D"/>
    <w:rsid w:val="7BFD3595"/>
    <w:rsid w:val="7C02295A"/>
    <w:rsid w:val="7C084414"/>
    <w:rsid w:val="7C0E12FE"/>
    <w:rsid w:val="7C1032C9"/>
    <w:rsid w:val="7C134B67"/>
    <w:rsid w:val="7C183F2B"/>
    <w:rsid w:val="7C1C7EBF"/>
    <w:rsid w:val="7C26489A"/>
    <w:rsid w:val="7C2B0102"/>
    <w:rsid w:val="7C2B1EB0"/>
    <w:rsid w:val="7C2E5873"/>
    <w:rsid w:val="7C336FB7"/>
    <w:rsid w:val="7C352C27"/>
    <w:rsid w:val="7C3859AC"/>
    <w:rsid w:val="7C3C5E6C"/>
    <w:rsid w:val="7C4116D4"/>
    <w:rsid w:val="7C414BA4"/>
    <w:rsid w:val="7C43369E"/>
    <w:rsid w:val="7C466CEA"/>
    <w:rsid w:val="7C484810"/>
    <w:rsid w:val="7C4D62CB"/>
    <w:rsid w:val="7C532BE5"/>
    <w:rsid w:val="7C5331B5"/>
    <w:rsid w:val="7C5533D1"/>
    <w:rsid w:val="7C55517F"/>
    <w:rsid w:val="7C5D4691"/>
    <w:rsid w:val="7C5E077A"/>
    <w:rsid w:val="7C5E4034"/>
    <w:rsid w:val="7C5F566E"/>
    <w:rsid w:val="7C624DBC"/>
    <w:rsid w:val="7C63789C"/>
    <w:rsid w:val="7C655D5E"/>
    <w:rsid w:val="7C6B04FF"/>
    <w:rsid w:val="7C6F7FEF"/>
    <w:rsid w:val="7C7216E7"/>
    <w:rsid w:val="7C745605"/>
    <w:rsid w:val="7C7575D0"/>
    <w:rsid w:val="7C80044E"/>
    <w:rsid w:val="7C86358B"/>
    <w:rsid w:val="7C8B7BB3"/>
    <w:rsid w:val="7C9020F0"/>
    <w:rsid w:val="7C943EFA"/>
    <w:rsid w:val="7CA0289E"/>
    <w:rsid w:val="7CA22801"/>
    <w:rsid w:val="7CA3339F"/>
    <w:rsid w:val="7CAE47CA"/>
    <w:rsid w:val="7CB50753"/>
    <w:rsid w:val="7CBE2D25"/>
    <w:rsid w:val="7CBE4AD3"/>
    <w:rsid w:val="7CBF48B5"/>
    <w:rsid w:val="7CC84A54"/>
    <w:rsid w:val="7CCA791B"/>
    <w:rsid w:val="7CCC5441"/>
    <w:rsid w:val="7CCD4D16"/>
    <w:rsid w:val="7CCD740C"/>
    <w:rsid w:val="7CD12A58"/>
    <w:rsid w:val="7CD47820"/>
    <w:rsid w:val="7CD561F5"/>
    <w:rsid w:val="7CD67752"/>
    <w:rsid w:val="7CD67C72"/>
    <w:rsid w:val="7CD824D6"/>
    <w:rsid w:val="7CDB7433"/>
    <w:rsid w:val="7CE22E28"/>
    <w:rsid w:val="7CE24C65"/>
    <w:rsid w:val="7CE46E89"/>
    <w:rsid w:val="7CEC1640"/>
    <w:rsid w:val="7CED360A"/>
    <w:rsid w:val="7CEF2EDE"/>
    <w:rsid w:val="7CF7272E"/>
    <w:rsid w:val="7CF77FE5"/>
    <w:rsid w:val="7D050953"/>
    <w:rsid w:val="7D0D7525"/>
    <w:rsid w:val="7D11554A"/>
    <w:rsid w:val="7D1172F8"/>
    <w:rsid w:val="7D142945"/>
    <w:rsid w:val="7D197F5B"/>
    <w:rsid w:val="7D1A586A"/>
    <w:rsid w:val="7D23702C"/>
    <w:rsid w:val="7D252DA4"/>
    <w:rsid w:val="7D2A2168"/>
    <w:rsid w:val="7D2C4132"/>
    <w:rsid w:val="7D341239"/>
    <w:rsid w:val="7D366C7B"/>
    <w:rsid w:val="7D3923AB"/>
    <w:rsid w:val="7D39684F"/>
    <w:rsid w:val="7D3E3E65"/>
    <w:rsid w:val="7D484972"/>
    <w:rsid w:val="7D4D20CE"/>
    <w:rsid w:val="7D4D5E56"/>
    <w:rsid w:val="7D5471E5"/>
    <w:rsid w:val="7D567401"/>
    <w:rsid w:val="7D625F21"/>
    <w:rsid w:val="7D63567A"/>
    <w:rsid w:val="7D675200"/>
    <w:rsid w:val="7D676FBC"/>
    <w:rsid w:val="7D6A07B6"/>
    <w:rsid w:val="7D717D97"/>
    <w:rsid w:val="7D7243AD"/>
    <w:rsid w:val="7D733B0F"/>
    <w:rsid w:val="7D7653AD"/>
    <w:rsid w:val="7D777879"/>
    <w:rsid w:val="7D7F0706"/>
    <w:rsid w:val="7D821FA4"/>
    <w:rsid w:val="7D8C4BD1"/>
    <w:rsid w:val="7D8E0949"/>
    <w:rsid w:val="7D9121E7"/>
    <w:rsid w:val="7D9237C6"/>
    <w:rsid w:val="7D9615AC"/>
    <w:rsid w:val="7D985324"/>
    <w:rsid w:val="7D9A5540"/>
    <w:rsid w:val="7D9D293A"/>
    <w:rsid w:val="7D9F2B56"/>
    <w:rsid w:val="7DA16BFB"/>
    <w:rsid w:val="7DA43CC8"/>
    <w:rsid w:val="7DA57A41"/>
    <w:rsid w:val="7DA912DF"/>
    <w:rsid w:val="7DA95783"/>
    <w:rsid w:val="7DAD1B95"/>
    <w:rsid w:val="7DAE0FEB"/>
    <w:rsid w:val="7DAF3A78"/>
    <w:rsid w:val="7DB303AF"/>
    <w:rsid w:val="7DC1794C"/>
    <w:rsid w:val="7DC26844"/>
    <w:rsid w:val="7DC336BA"/>
    <w:rsid w:val="7DC4436B"/>
    <w:rsid w:val="7DC477E3"/>
    <w:rsid w:val="7DC538DA"/>
    <w:rsid w:val="7DD33150"/>
    <w:rsid w:val="7DDA1DE0"/>
    <w:rsid w:val="7DDB020A"/>
    <w:rsid w:val="7DDC1631"/>
    <w:rsid w:val="7DE1316F"/>
    <w:rsid w:val="7DE44A0D"/>
    <w:rsid w:val="7DE74A45"/>
    <w:rsid w:val="7DE84635"/>
    <w:rsid w:val="7DEA4547"/>
    <w:rsid w:val="7DEE6EE1"/>
    <w:rsid w:val="7DF804B8"/>
    <w:rsid w:val="7DF82266"/>
    <w:rsid w:val="7DF84EB1"/>
    <w:rsid w:val="7DFA4230"/>
    <w:rsid w:val="7DFB58B2"/>
    <w:rsid w:val="7E00216C"/>
    <w:rsid w:val="7E01736D"/>
    <w:rsid w:val="7E096221"/>
    <w:rsid w:val="7E0B01EB"/>
    <w:rsid w:val="7E0D3F64"/>
    <w:rsid w:val="7E124581"/>
    <w:rsid w:val="7E1621A7"/>
    <w:rsid w:val="7E1C7D03"/>
    <w:rsid w:val="7E266DD3"/>
    <w:rsid w:val="7E287508"/>
    <w:rsid w:val="7E292420"/>
    <w:rsid w:val="7E2A06FB"/>
    <w:rsid w:val="7E2D0162"/>
    <w:rsid w:val="7E2D1F10"/>
    <w:rsid w:val="7E327526"/>
    <w:rsid w:val="7E357016"/>
    <w:rsid w:val="7E3F2791"/>
    <w:rsid w:val="7E3F60E7"/>
    <w:rsid w:val="7E4B05E8"/>
    <w:rsid w:val="7E4B4A8C"/>
    <w:rsid w:val="7E4B683A"/>
    <w:rsid w:val="7E4C610E"/>
    <w:rsid w:val="7E4D4360"/>
    <w:rsid w:val="7E4F49A7"/>
    <w:rsid w:val="7E527BC8"/>
    <w:rsid w:val="7E532EA4"/>
    <w:rsid w:val="7E535DCD"/>
    <w:rsid w:val="7E5576B9"/>
    <w:rsid w:val="7E5C0A47"/>
    <w:rsid w:val="7E633B84"/>
    <w:rsid w:val="7E6A7C63"/>
    <w:rsid w:val="7E6B23A3"/>
    <w:rsid w:val="7E6B47E6"/>
    <w:rsid w:val="7E6D4A02"/>
    <w:rsid w:val="7E725B75"/>
    <w:rsid w:val="7E7318ED"/>
    <w:rsid w:val="7E77762F"/>
    <w:rsid w:val="7E891110"/>
    <w:rsid w:val="7E8B30DA"/>
    <w:rsid w:val="7E8D29AE"/>
    <w:rsid w:val="7E9006F1"/>
    <w:rsid w:val="7E90249F"/>
    <w:rsid w:val="7E927FC5"/>
    <w:rsid w:val="7E941F8F"/>
    <w:rsid w:val="7E991353"/>
    <w:rsid w:val="7E9C2A65"/>
    <w:rsid w:val="7E9F624D"/>
    <w:rsid w:val="7EA146AC"/>
    <w:rsid w:val="7EA62CDF"/>
    <w:rsid w:val="7EA67F14"/>
    <w:rsid w:val="7EA72608"/>
    <w:rsid w:val="7EA83C8C"/>
    <w:rsid w:val="7EAA3560"/>
    <w:rsid w:val="7EAD3051"/>
    <w:rsid w:val="7EB10D93"/>
    <w:rsid w:val="7EB22415"/>
    <w:rsid w:val="7EB42631"/>
    <w:rsid w:val="7EB517AA"/>
    <w:rsid w:val="7EB64B61"/>
    <w:rsid w:val="7EB81876"/>
    <w:rsid w:val="7EBC7738"/>
    <w:rsid w:val="7EC34622"/>
    <w:rsid w:val="7EC35CD5"/>
    <w:rsid w:val="7EC42148"/>
    <w:rsid w:val="7EC55299"/>
    <w:rsid w:val="7ECA3C03"/>
    <w:rsid w:val="7ECB1729"/>
    <w:rsid w:val="7ECF0F9A"/>
    <w:rsid w:val="7ED625A7"/>
    <w:rsid w:val="7ED92098"/>
    <w:rsid w:val="7EDA196C"/>
    <w:rsid w:val="7EE30820"/>
    <w:rsid w:val="7EF24F07"/>
    <w:rsid w:val="7EF96296"/>
    <w:rsid w:val="7EFB3DBC"/>
    <w:rsid w:val="7EFC5948"/>
    <w:rsid w:val="7EFC5D86"/>
    <w:rsid w:val="7EFE1AFE"/>
    <w:rsid w:val="7F0013D2"/>
    <w:rsid w:val="7F037115"/>
    <w:rsid w:val="7F0B394B"/>
    <w:rsid w:val="7F0E027B"/>
    <w:rsid w:val="7F0F5AB9"/>
    <w:rsid w:val="7F0F7867"/>
    <w:rsid w:val="7F1135E0"/>
    <w:rsid w:val="7F141322"/>
    <w:rsid w:val="7F1906E6"/>
    <w:rsid w:val="7F192494"/>
    <w:rsid w:val="7F207CC7"/>
    <w:rsid w:val="7F233313"/>
    <w:rsid w:val="7F2D4191"/>
    <w:rsid w:val="7F3177DE"/>
    <w:rsid w:val="7F343772"/>
    <w:rsid w:val="7F361298"/>
    <w:rsid w:val="7F385010"/>
    <w:rsid w:val="7F3B240A"/>
    <w:rsid w:val="7F3D15CE"/>
    <w:rsid w:val="7F402117"/>
    <w:rsid w:val="7F460DAF"/>
    <w:rsid w:val="7F482D79"/>
    <w:rsid w:val="7F4D0390"/>
    <w:rsid w:val="7F4F4108"/>
    <w:rsid w:val="7F596D35"/>
    <w:rsid w:val="7F5B3A4C"/>
    <w:rsid w:val="7F5B485B"/>
    <w:rsid w:val="7F5E259D"/>
    <w:rsid w:val="7F604567"/>
    <w:rsid w:val="7F6573DA"/>
    <w:rsid w:val="7F6A37A6"/>
    <w:rsid w:val="7F6B7807"/>
    <w:rsid w:val="7F6C7FA9"/>
    <w:rsid w:val="7F765B38"/>
    <w:rsid w:val="7F840255"/>
    <w:rsid w:val="7F8B5460"/>
    <w:rsid w:val="7F8C7F60"/>
    <w:rsid w:val="7F8D69DE"/>
    <w:rsid w:val="7F8E0DA1"/>
    <w:rsid w:val="7F8E2E82"/>
    <w:rsid w:val="7F911521"/>
    <w:rsid w:val="7F923FF5"/>
    <w:rsid w:val="7F930498"/>
    <w:rsid w:val="7F932E5A"/>
    <w:rsid w:val="7F9562A7"/>
    <w:rsid w:val="7F956761"/>
    <w:rsid w:val="7F9A2B41"/>
    <w:rsid w:val="7F9B10FB"/>
    <w:rsid w:val="7F9B559F"/>
    <w:rsid w:val="7F9B734D"/>
    <w:rsid w:val="7F9F5B66"/>
    <w:rsid w:val="7FA2248A"/>
    <w:rsid w:val="7FA93818"/>
    <w:rsid w:val="7FAA7590"/>
    <w:rsid w:val="7FAB3A34"/>
    <w:rsid w:val="7FB1091F"/>
    <w:rsid w:val="7FBA072D"/>
    <w:rsid w:val="7FBA3C77"/>
    <w:rsid w:val="7FBC2E67"/>
    <w:rsid w:val="7FC40652"/>
    <w:rsid w:val="7FC543CA"/>
    <w:rsid w:val="7FC56178"/>
    <w:rsid w:val="7FC76394"/>
    <w:rsid w:val="7FCA0AE5"/>
    <w:rsid w:val="7FD13DE3"/>
    <w:rsid w:val="7FD178C3"/>
    <w:rsid w:val="7FD55335"/>
    <w:rsid w:val="7FDA65D6"/>
    <w:rsid w:val="7FE231CE"/>
    <w:rsid w:val="7FE505C8"/>
    <w:rsid w:val="7FE83B07"/>
    <w:rsid w:val="7FEC6AD2"/>
    <w:rsid w:val="7FF30F37"/>
    <w:rsid w:val="7FF35CED"/>
    <w:rsid w:val="7FF56A5D"/>
    <w:rsid w:val="7FFE4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autoRedefine/>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autoRedefine/>
    <w:unhideWhenUsed/>
    <w:qFormat/>
    <w:uiPriority w:val="0"/>
    <w:pPr>
      <w:ind w:firstLine="420"/>
    </w:pPr>
    <w:rPr>
      <w:szCs w:val="20"/>
    </w:rPr>
  </w:style>
  <w:style w:type="paragraph" w:styleId="6">
    <w:name w:val="annotation text"/>
    <w:basedOn w:val="1"/>
    <w:link w:val="49"/>
    <w:qFormat/>
    <w:uiPriority w:val="0"/>
    <w:pPr>
      <w:jc w:val="left"/>
    </w:pPr>
  </w:style>
  <w:style w:type="paragraph" w:styleId="7">
    <w:name w:val="Body Text"/>
    <w:basedOn w:val="1"/>
    <w:next w:val="8"/>
    <w:autoRedefine/>
    <w:qFormat/>
    <w:uiPriority w:val="0"/>
    <w:pPr>
      <w:widowControl/>
      <w:snapToGrid w:val="0"/>
      <w:spacing w:before="60" w:after="160" w:line="259" w:lineRule="auto"/>
      <w:ind w:right="113"/>
    </w:pPr>
    <w:rPr>
      <w:kern w:val="0"/>
      <w:sz w:val="18"/>
      <w:szCs w:val="20"/>
    </w:rPr>
  </w:style>
  <w:style w:type="paragraph" w:styleId="8">
    <w:name w:val="Date"/>
    <w:basedOn w:val="1"/>
    <w:next w:val="1"/>
    <w:qFormat/>
    <w:uiPriority w:val="0"/>
    <w:rPr>
      <w:sz w:val="28"/>
    </w:rPr>
  </w:style>
  <w:style w:type="paragraph" w:styleId="9">
    <w:name w:val="Body Text Indent"/>
    <w:basedOn w:val="1"/>
    <w:autoRedefine/>
    <w:qFormat/>
    <w:uiPriority w:val="0"/>
    <w:pPr>
      <w:spacing w:after="120"/>
      <w:ind w:left="420" w:leftChars="200"/>
    </w:pPr>
    <w:rPr>
      <w:kern w:val="0"/>
      <w:sz w:val="24"/>
      <w:szCs w:val="20"/>
    </w:rPr>
  </w:style>
  <w:style w:type="paragraph" w:styleId="10">
    <w:name w:val="Plain Text"/>
    <w:basedOn w:val="1"/>
    <w:autoRedefine/>
    <w:unhideWhenUsed/>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paragraph" w:styleId="11">
    <w:name w:val="footer"/>
    <w:basedOn w:val="1"/>
    <w:autoRedefine/>
    <w:qFormat/>
    <w:uiPriority w:val="99"/>
    <w:pPr>
      <w:tabs>
        <w:tab w:val="center" w:pos="4153"/>
        <w:tab w:val="right" w:pos="8306"/>
      </w:tabs>
      <w:snapToGrid w:val="0"/>
      <w:jc w:val="left"/>
    </w:pPr>
    <w:rPr>
      <w:kern w:val="0"/>
      <w:sz w:val="18"/>
      <w:szCs w:val="20"/>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4">
    <w:name w:val="Normal (Web)"/>
    <w:basedOn w:val="1"/>
    <w:autoRedefine/>
    <w:qFormat/>
    <w:uiPriority w:val="0"/>
    <w:pPr>
      <w:widowControl/>
      <w:spacing w:before="100" w:beforeAutospacing="1" w:after="100" w:afterAutospacing="1"/>
      <w:jc w:val="left"/>
    </w:pPr>
    <w:rPr>
      <w:rFonts w:ascii="宋体" w:hAnsi="宋体"/>
      <w:kern w:val="0"/>
      <w:sz w:val="24"/>
      <w:szCs w:val="20"/>
    </w:rPr>
  </w:style>
  <w:style w:type="paragraph" w:styleId="15">
    <w:name w:val="annotation subject"/>
    <w:basedOn w:val="6"/>
    <w:next w:val="6"/>
    <w:link w:val="50"/>
    <w:qFormat/>
    <w:uiPriority w:val="0"/>
    <w:rPr>
      <w:b/>
      <w:bCs/>
    </w:rPr>
  </w:style>
  <w:style w:type="paragraph" w:styleId="16">
    <w:name w:val="Body Text First Indent 2"/>
    <w:basedOn w:val="9"/>
    <w:autoRedefine/>
    <w:unhideWhenUsed/>
    <w:qFormat/>
    <w:uiPriority w:val="0"/>
    <w:pPr>
      <w:ind w:firstLine="420" w:firstLineChars="200"/>
    </w:pPr>
    <w:rPr>
      <w:kern w:val="2"/>
      <w:sz w:val="21"/>
      <w:szCs w:val="24"/>
    </w:rPr>
  </w:style>
  <w:style w:type="table" w:styleId="18">
    <w:name w:val="Table Grid"/>
    <w:basedOn w:val="17"/>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autoRedefine/>
    <w:qFormat/>
    <w:uiPriority w:val="0"/>
  </w:style>
  <w:style w:type="character" w:styleId="22">
    <w:name w:val="Emphasis"/>
    <w:basedOn w:val="19"/>
    <w:autoRedefine/>
    <w:qFormat/>
    <w:uiPriority w:val="20"/>
    <w:rPr>
      <w:i/>
      <w:iCs/>
    </w:rPr>
  </w:style>
  <w:style w:type="character" w:styleId="23">
    <w:name w:val="Hyperlink"/>
    <w:basedOn w:val="19"/>
    <w:autoRedefine/>
    <w:unhideWhenUsed/>
    <w:qFormat/>
    <w:uiPriority w:val="99"/>
    <w:rPr>
      <w:color w:val="0000FF"/>
      <w:u w:val="single"/>
    </w:rPr>
  </w:style>
  <w:style w:type="character" w:styleId="24">
    <w:name w:val="annotation reference"/>
    <w:basedOn w:val="19"/>
    <w:qFormat/>
    <w:uiPriority w:val="0"/>
    <w:rPr>
      <w:sz w:val="21"/>
      <w:szCs w:val="21"/>
    </w:rPr>
  </w:style>
  <w:style w:type="character" w:customStyle="1" w:styleId="25">
    <w:name w:val="fontstyle01"/>
    <w:basedOn w:val="19"/>
    <w:autoRedefine/>
    <w:qFormat/>
    <w:uiPriority w:val="0"/>
    <w:rPr>
      <w:rFonts w:hint="eastAsia" w:ascii="宋体" w:hAnsi="宋体" w:eastAsia="宋体"/>
      <w:color w:val="000000"/>
      <w:sz w:val="24"/>
      <w:szCs w:val="24"/>
    </w:rPr>
  </w:style>
  <w:style w:type="character" w:customStyle="1" w:styleId="26">
    <w:name w:val="fontstyle11"/>
    <w:basedOn w:val="19"/>
    <w:autoRedefine/>
    <w:qFormat/>
    <w:uiPriority w:val="0"/>
    <w:rPr>
      <w:rFonts w:hint="default" w:ascii="TimesNewRoman" w:hAnsi="TimesNewRoman"/>
      <w:color w:val="000000"/>
      <w:sz w:val="24"/>
      <w:szCs w:val="24"/>
    </w:rPr>
  </w:style>
  <w:style w:type="character" w:customStyle="1" w:styleId="27">
    <w:name w:val="fontstyle21"/>
    <w:basedOn w:val="19"/>
    <w:autoRedefine/>
    <w:qFormat/>
    <w:uiPriority w:val="0"/>
    <w:rPr>
      <w:rFonts w:hint="default" w:ascii="TimesNewRoman" w:hAnsi="TimesNewRoman"/>
      <w:color w:val="000000"/>
      <w:sz w:val="24"/>
      <w:szCs w:val="24"/>
    </w:rPr>
  </w:style>
  <w:style w:type="character" w:customStyle="1" w:styleId="28">
    <w:name w:val="font11"/>
    <w:basedOn w:val="19"/>
    <w:autoRedefine/>
    <w:qFormat/>
    <w:uiPriority w:val="0"/>
    <w:rPr>
      <w:rFonts w:hint="eastAsia" w:ascii="宋体" w:hAnsi="宋体" w:eastAsia="宋体" w:cs="宋体"/>
      <w:color w:val="000000"/>
      <w:sz w:val="21"/>
      <w:szCs w:val="21"/>
      <w:u w:val="none"/>
    </w:rPr>
  </w:style>
  <w:style w:type="character" w:customStyle="1" w:styleId="29">
    <w:name w:val="font41"/>
    <w:basedOn w:val="19"/>
    <w:autoRedefine/>
    <w:qFormat/>
    <w:uiPriority w:val="0"/>
    <w:rPr>
      <w:rFonts w:hint="default" w:ascii="Times New Roman" w:hAnsi="Times New Roman" w:cs="Times New Roman"/>
      <w:color w:val="000000"/>
      <w:sz w:val="21"/>
      <w:szCs w:val="21"/>
      <w:u w:val="none"/>
    </w:rPr>
  </w:style>
  <w:style w:type="character" w:customStyle="1" w:styleId="30">
    <w:name w:val="font21"/>
    <w:basedOn w:val="19"/>
    <w:autoRedefine/>
    <w:qFormat/>
    <w:uiPriority w:val="0"/>
    <w:rPr>
      <w:rFonts w:hint="eastAsia" w:ascii="宋体" w:hAnsi="宋体" w:eastAsia="宋体" w:cs="宋体"/>
      <w:color w:val="000000"/>
      <w:sz w:val="21"/>
      <w:szCs w:val="21"/>
      <w:u w:val="none"/>
    </w:rPr>
  </w:style>
  <w:style w:type="paragraph" w:customStyle="1" w:styleId="31">
    <w:name w:val="表文"/>
    <w:basedOn w:val="1"/>
    <w:autoRedefine/>
    <w:qFormat/>
    <w:uiPriority w:val="0"/>
    <w:pPr>
      <w:jc w:val="center"/>
    </w:pPr>
    <w:rPr>
      <w:rFonts w:ascii="仿宋" w:hAnsi="仿宋" w:eastAsia="仿宋"/>
      <w:szCs w:val="21"/>
    </w:rPr>
  </w:style>
  <w:style w:type="paragraph" w:customStyle="1" w:styleId="32">
    <w:name w:val="正文东铝"/>
    <w:basedOn w:val="1"/>
    <w:autoRedefine/>
    <w:qFormat/>
    <w:uiPriority w:val="0"/>
    <w:pPr>
      <w:spacing w:line="520" w:lineRule="exact"/>
      <w:ind w:firstLine="200" w:firstLineChars="200"/>
      <w:jc w:val="left"/>
    </w:pPr>
    <w:rPr>
      <w:color w:val="000000"/>
      <w:sz w:val="24"/>
    </w:rPr>
  </w:style>
  <w:style w:type="paragraph" w:styleId="33">
    <w:name w:val="List Paragraph"/>
    <w:basedOn w:val="1"/>
    <w:autoRedefine/>
    <w:qFormat/>
    <w:uiPriority w:val="34"/>
    <w:pPr>
      <w:widowControl/>
      <w:adjustRightInd w:val="0"/>
      <w:snapToGrid w:val="0"/>
      <w:spacing w:after="200"/>
      <w:ind w:firstLine="420" w:firstLineChars="200"/>
      <w:jc w:val="left"/>
    </w:pPr>
    <w:rPr>
      <w:rFonts w:ascii="Tahoma" w:hAnsi="Tahoma"/>
      <w:kern w:val="0"/>
      <w:sz w:val="22"/>
      <w:szCs w:val="22"/>
    </w:rPr>
  </w:style>
  <w:style w:type="paragraph" w:customStyle="1" w:styleId="34">
    <w:name w:val="其他标题"/>
    <w:basedOn w:val="1"/>
    <w:autoRedefine/>
    <w:qFormat/>
    <w:uiPriority w:val="0"/>
    <w:pPr>
      <w:tabs>
        <w:tab w:val="left" w:pos="2757"/>
      </w:tabs>
      <w:spacing w:beforeLines="50" w:line="360" w:lineRule="auto"/>
      <w:jc w:val="left"/>
    </w:pPr>
    <w:rPr>
      <w:rFonts w:ascii="宋体" w:hAnsi="宋体"/>
      <w:b/>
      <w:sz w:val="28"/>
    </w:rPr>
  </w:style>
  <w:style w:type="paragraph" w:customStyle="1" w:styleId="35">
    <w:name w:val="表格文字"/>
    <w:basedOn w:val="1"/>
    <w:autoRedefine/>
    <w:qFormat/>
    <w:uiPriority w:val="0"/>
    <w:pPr>
      <w:spacing w:line="280" w:lineRule="exact"/>
    </w:pPr>
    <w:rPr>
      <w:rFonts w:ascii="宋体" w:hAnsi="宋体" w:eastAsiaTheme="minorEastAsia" w:cstheme="minorBidi"/>
      <w:sz w:val="18"/>
      <w:szCs w:val="18"/>
    </w:rPr>
  </w:style>
  <w:style w:type="paragraph" w:customStyle="1" w:styleId="36">
    <w:name w:val="正文文本 21"/>
    <w:basedOn w:val="1"/>
    <w:autoRedefine/>
    <w:qFormat/>
    <w:uiPriority w:val="0"/>
    <w:pPr>
      <w:overflowPunct w:val="0"/>
      <w:autoSpaceDE w:val="0"/>
      <w:autoSpaceDN w:val="0"/>
      <w:adjustRightInd w:val="0"/>
      <w:spacing w:line="360" w:lineRule="auto"/>
      <w:ind w:firstLine="425"/>
    </w:pPr>
    <w:rPr>
      <w:sz w:val="24"/>
      <w:szCs w:val="20"/>
    </w:rPr>
  </w:style>
  <w:style w:type="character" w:customStyle="1" w:styleId="37">
    <w:name w:val="标题 1 字符"/>
    <w:basedOn w:val="19"/>
    <w:link w:val="2"/>
    <w:autoRedefine/>
    <w:qFormat/>
    <w:uiPriority w:val="99"/>
    <w:rPr>
      <w:rFonts w:eastAsia="黑体"/>
      <w:b/>
      <w:bCs/>
      <w:color w:val="000000"/>
      <w:kern w:val="44"/>
      <w:sz w:val="30"/>
      <w:szCs w:val="30"/>
    </w:rPr>
  </w:style>
  <w:style w:type="paragraph" w:customStyle="1" w:styleId="38">
    <w:name w:val="表格"/>
    <w:basedOn w:val="1"/>
    <w:autoRedefine/>
    <w:qFormat/>
    <w:uiPriority w:val="0"/>
    <w:pPr>
      <w:adjustRightInd w:val="0"/>
      <w:snapToGrid w:val="0"/>
      <w:spacing w:beforeLines="10" w:afterLines="10" w:line="259" w:lineRule="auto"/>
      <w:jc w:val="center"/>
    </w:pPr>
    <w:rPr>
      <w:rFonts w:ascii="宋体" w:hAnsiTheme="minorHAnsi" w:eastAsiaTheme="minorEastAsia" w:cstheme="minorBidi"/>
      <w:szCs w:val="22"/>
    </w:rPr>
  </w:style>
  <w:style w:type="paragraph" w:customStyle="1" w:styleId="39">
    <w:name w:val="Other|1"/>
    <w:basedOn w:val="1"/>
    <w:autoRedefine/>
    <w:qFormat/>
    <w:uiPriority w:val="0"/>
    <w:pPr>
      <w:jc w:val="center"/>
    </w:pPr>
    <w:rPr>
      <w:rFonts w:ascii="宋体" w:hAnsi="宋体" w:cs="宋体"/>
      <w:sz w:val="20"/>
      <w:szCs w:val="20"/>
      <w:lang w:val="zh-TW" w:eastAsia="zh-TW" w:bidi="zh-TW"/>
    </w:rPr>
  </w:style>
  <w:style w:type="character" w:customStyle="1" w:styleId="40">
    <w:name w:val="font01"/>
    <w:basedOn w:val="19"/>
    <w:autoRedefine/>
    <w:qFormat/>
    <w:uiPriority w:val="0"/>
    <w:rPr>
      <w:rFonts w:hint="eastAsia" w:ascii="宋体" w:hAnsi="宋体" w:eastAsia="宋体" w:cs="宋体"/>
      <w:color w:val="000000"/>
      <w:sz w:val="22"/>
      <w:szCs w:val="22"/>
      <w:u w:val="none"/>
    </w:rPr>
  </w:style>
  <w:style w:type="paragraph" w:customStyle="1" w:styleId="41">
    <w:name w:val="Default"/>
    <w:autoRedefine/>
    <w:qFormat/>
    <w:uiPriority w:val="0"/>
    <w:pPr>
      <w:widowControl w:val="0"/>
      <w:autoSpaceDE w:val="0"/>
      <w:autoSpaceDN w:val="0"/>
      <w:adjustRightInd w:val="0"/>
    </w:pPr>
    <w:rPr>
      <w:rFonts w:ascii="宋体" w:hAnsi="宋体" w:eastAsia="宋体" w:cs="Times New Roman"/>
      <w:color w:val="000000"/>
      <w:sz w:val="24"/>
      <w:szCs w:val="24"/>
      <w:lang w:val="en-US" w:eastAsia="zh-CN" w:bidi="ar-SA"/>
    </w:rPr>
  </w:style>
  <w:style w:type="paragraph" w:customStyle="1" w:styleId="42">
    <w:name w:val="Table Paragraph"/>
    <w:basedOn w:val="1"/>
    <w:autoRedefine/>
    <w:qFormat/>
    <w:uiPriority w:val="1"/>
    <w:pPr>
      <w:spacing w:before="22"/>
      <w:jc w:val="center"/>
    </w:pPr>
    <w:rPr>
      <w:rFonts w:ascii="宋体" w:hAnsi="宋体" w:cs="宋体"/>
      <w:lang w:val="zh-CN" w:bidi="zh-CN"/>
    </w:rPr>
  </w:style>
  <w:style w:type="paragraph" w:customStyle="1" w:styleId="43">
    <w:name w:val="Table Text"/>
    <w:basedOn w:val="1"/>
    <w:semiHidden/>
    <w:qFormat/>
    <w:uiPriority w:val="0"/>
    <w:rPr>
      <w:rFonts w:ascii="宋体" w:hAnsi="宋体" w:cs="宋体"/>
      <w:sz w:val="20"/>
      <w:szCs w:val="20"/>
      <w:lang w:eastAsia="en-US"/>
    </w:rPr>
  </w:style>
  <w:style w:type="table" w:customStyle="1" w:styleId="44">
    <w:name w:val="Table Normal"/>
    <w:semiHidden/>
    <w:unhideWhenUsed/>
    <w:qFormat/>
    <w:uiPriority w:val="0"/>
    <w:tblPr>
      <w:tblCellMar>
        <w:top w:w="0" w:type="dxa"/>
        <w:left w:w="0" w:type="dxa"/>
        <w:bottom w:w="0" w:type="dxa"/>
        <w:right w:w="0" w:type="dxa"/>
      </w:tblCellMar>
    </w:tblPr>
  </w:style>
  <w:style w:type="character" w:customStyle="1" w:styleId="45">
    <w:name w:val="font31"/>
    <w:basedOn w:val="19"/>
    <w:qFormat/>
    <w:uiPriority w:val="0"/>
    <w:rPr>
      <w:rFonts w:hint="eastAsia" w:ascii="宋体" w:hAnsi="宋体" w:eastAsia="宋体" w:cs="宋体"/>
      <w:color w:val="000000"/>
      <w:sz w:val="21"/>
      <w:szCs w:val="21"/>
      <w:u w:val="none"/>
    </w:rPr>
  </w:style>
  <w:style w:type="character" w:customStyle="1" w:styleId="46">
    <w:name w:val="font81"/>
    <w:basedOn w:val="19"/>
    <w:qFormat/>
    <w:uiPriority w:val="0"/>
    <w:rPr>
      <w:rFonts w:hint="eastAsia" w:ascii="宋体" w:hAnsi="宋体" w:eastAsia="宋体" w:cs="宋体"/>
      <w:color w:val="000000"/>
      <w:sz w:val="20"/>
      <w:szCs w:val="20"/>
      <w:u w:val="none"/>
    </w:rPr>
  </w:style>
  <w:style w:type="character" w:customStyle="1" w:styleId="47">
    <w:name w:val="font61"/>
    <w:basedOn w:val="19"/>
    <w:qFormat/>
    <w:uiPriority w:val="0"/>
    <w:rPr>
      <w:rFonts w:hint="eastAsia" w:ascii="宋体" w:hAnsi="宋体" w:eastAsia="宋体" w:cs="宋体"/>
      <w:b/>
      <w:bCs/>
      <w:color w:val="000000"/>
      <w:sz w:val="20"/>
      <w:szCs w:val="20"/>
      <w:u w:val="none"/>
    </w:rPr>
  </w:style>
  <w:style w:type="character" w:customStyle="1" w:styleId="48">
    <w:name w:val="font71"/>
    <w:basedOn w:val="19"/>
    <w:qFormat/>
    <w:uiPriority w:val="0"/>
    <w:rPr>
      <w:rFonts w:hint="default" w:ascii="Times New Roman" w:hAnsi="Times New Roman" w:cs="Times New Roman"/>
      <w:b/>
      <w:bCs/>
      <w:color w:val="000000"/>
      <w:sz w:val="20"/>
      <w:szCs w:val="20"/>
      <w:u w:val="none"/>
      <w:vertAlign w:val="superscript"/>
    </w:rPr>
  </w:style>
  <w:style w:type="character" w:customStyle="1" w:styleId="49">
    <w:name w:val="批注文字 字符"/>
    <w:basedOn w:val="19"/>
    <w:link w:val="6"/>
    <w:qFormat/>
    <w:uiPriority w:val="0"/>
    <w:rPr>
      <w:kern w:val="2"/>
      <w:sz w:val="21"/>
      <w:szCs w:val="24"/>
    </w:rPr>
  </w:style>
  <w:style w:type="character" w:customStyle="1" w:styleId="50">
    <w:name w:val="批注主题 字符"/>
    <w:basedOn w:val="49"/>
    <w:link w:val="15"/>
    <w:qFormat/>
    <w:uiPriority w:val="0"/>
    <w:rPr>
      <w:b/>
      <w:bCs/>
      <w:kern w:val="2"/>
      <w:sz w:val="21"/>
      <w:szCs w:val="24"/>
    </w:rPr>
  </w:style>
  <w:style w:type="character" w:customStyle="1" w:styleId="51">
    <w:name w:val="font51"/>
    <w:basedOn w:val="19"/>
    <w:qFormat/>
    <w:uiPriority w:val="0"/>
    <w:rPr>
      <w:rFonts w:hint="eastAsia" w:ascii="宋体" w:hAnsi="宋体" w:eastAsia="宋体" w:cs="宋体"/>
      <w:b/>
      <w:bCs/>
      <w:color w:val="000000"/>
      <w:sz w:val="21"/>
      <w:szCs w:val="21"/>
      <w:u w:val="none"/>
    </w:rPr>
  </w:style>
  <w:style w:type="paragraph" w:customStyle="1" w:styleId="52">
    <w:name w:val="表格文本"/>
    <w:basedOn w:val="1"/>
    <w:next w:val="1"/>
    <w:qFormat/>
    <w:uiPriority w:val="0"/>
    <w:pPr>
      <w:spacing w:line="288" w:lineRule="auto"/>
      <w:ind w:firstLine="0" w:firstLineChars="0"/>
      <w:jc w:val="center"/>
    </w:pPr>
    <w:rPr>
      <w:rFonts w:ascii="Times New Roman" w:hAnsi="Times New Roman" w:eastAsia="宋体"/>
      <w:sz w:val="21"/>
    </w:rPr>
  </w:style>
  <w:style w:type="paragraph" w:customStyle="1" w:styleId="53">
    <w:name w:val="表注图注"/>
    <w:basedOn w:val="1"/>
    <w:qFormat/>
    <w:uiPriority w:val="0"/>
    <w:pPr>
      <w:ind w:firstLine="0" w:firstLineChars="0"/>
      <w:jc w:val="center"/>
    </w:pPr>
    <w:rPr>
      <w:b/>
      <w:bCs/>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jpeg"/><Relationship Id="rId54" Type="http://schemas.openxmlformats.org/officeDocument/2006/relationships/fontTable" Target="fontTable.xml"/><Relationship Id="rId53" Type="http://schemas.openxmlformats.org/officeDocument/2006/relationships/numbering" Target="numbering.xml"/><Relationship Id="rId52" Type="http://schemas.openxmlformats.org/officeDocument/2006/relationships/customXml" Target="../customXml/item1.xml"/><Relationship Id="rId51" Type="http://schemas.openxmlformats.org/officeDocument/2006/relationships/image" Target="media/image40.png"/><Relationship Id="rId50" Type="http://schemas.openxmlformats.org/officeDocument/2006/relationships/image" Target="media/image39.png"/><Relationship Id="rId5" Type="http://schemas.openxmlformats.org/officeDocument/2006/relationships/theme" Target="theme/theme1.xml"/><Relationship Id="rId49" Type="http://schemas.openxmlformats.org/officeDocument/2006/relationships/image" Target="media/image38.png"/><Relationship Id="rId48" Type="http://schemas.openxmlformats.org/officeDocument/2006/relationships/image" Target="media/image37.png"/><Relationship Id="rId47" Type="http://schemas.openxmlformats.org/officeDocument/2006/relationships/image" Target="media/image36.png"/><Relationship Id="rId46" Type="http://schemas.openxmlformats.org/officeDocument/2006/relationships/image" Target="media/image35.png"/><Relationship Id="rId45" Type="http://schemas.openxmlformats.org/officeDocument/2006/relationships/image" Target="media/image34.png"/><Relationship Id="rId44" Type="http://schemas.openxmlformats.org/officeDocument/2006/relationships/image" Target="media/image33.png"/><Relationship Id="rId43" Type="http://schemas.openxmlformats.org/officeDocument/2006/relationships/image" Target="media/image32.png"/><Relationship Id="rId42" Type="http://schemas.openxmlformats.org/officeDocument/2006/relationships/image" Target="media/image31.png"/><Relationship Id="rId41" Type="http://schemas.openxmlformats.org/officeDocument/2006/relationships/image" Target="media/image30.png"/><Relationship Id="rId40" Type="http://schemas.openxmlformats.org/officeDocument/2006/relationships/image" Target="media/image29.png"/><Relationship Id="rId4" Type="http://schemas.openxmlformats.org/officeDocument/2006/relationships/footer" Target="footer1.xml"/><Relationship Id="rId39" Type="http://schemas.openxmlformats.org/officeDocument/2006/relationships/image" Target="media/image28.png"/><Relationship Id="rId38" Type="http://schemas.openxmlformats.org/officeDocument/2006/relationships/image" Target="media/image27.png"/><Relationship Id="rId37" Type="http://schemas.openxmlformats.org/officeDocument/2006/relationships/image" Target="media/image26.png"/><Relationship Id="rId36" Type="http://schemas.openxmlformats.org/officeDocument/2006/relationships/image" Target="media/image25.png"/><Relationship Id="rId35" Type="http://schemas.openxmlformats.org/officeDocument/2006/relationships/image" Target="media/image24.png"/><Relationship Id="rId34" Type="http://schemas.openxmlformats.org/officeDocument/2006/relationships/image" Target="media/image23.png"/><Relationship Id="rId33" Type="http://schemas.openxmlformats.org/officeDocument/2006/relationships/image" Target="media/image22.png"/><Relationship Id="rId32" Type="http://schemas.openxmlformats.org/officeDocument/2006/relationships/image" Target="media/image21.png"/><Relationship Id="rId31" Type="http://schemas.openxmlformats.org/officeDocument/2006/relationships/image" Target="../../Administrator/AppData/Roaming/Tencent/Users/106562794/QQ/WinTemp/RichOle/3%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5bHA_)5@93(CJOQJQ(ZBZ59.png" TargetMode="External"/><Relationship Id="rId30" Type="http://schemas.openxmlformats.org/officeDocument/2006/relationships/image" Target="media/image20.png"/><Relationship Id="rId3" Type="http://schemas.openxmlformats.org/officeDocument/2006/relationships/header" Target="header1.xml"/><Relationship Id="rId29" Type="http://schemas.openxmlformats.org/officeDocument/2006/relationships/image" Target="media/image19.png"/><Relationship Id="rId28" Type="http://schemas.openxmlformats.org/officeDocument/2006/relationships/image" Target="media/image18.jpeg"/><Relationship Id="rId27" Type="http://schemas.openxmlformats.org/officeDocument/2006/relationships/image" Target="media/image17.png"/><Relationship Id="rId26" Type="http://schemas.openxmlformats.org/officeDocument/2006/relationships/image" Target="media/image16.png"/><Relationship Id="rId25" Type="http://schemas.openxmlformats.org/officeDocument/2006/relationships/image" Target="media/image15.wmf"/><Relationship Id="rId24" Type="http://schemas.openxmlformats.org/officeDocument/2006/relationships/oleObject" Target="embeddings/oleObject6.bin"/><Relationship Id="rId23" Type="http://schemas.openxmlformats.org/officeDocument/2006/relationships/image" Target="media/image14.jpeg"/><Relationship Id="rId22" Type="http://schemas.openxmlformats.org/officeDocument/2006/relationships/image" Target="media/image13.jpeg"/><Relationship Id="rId21" Type="http://schemas.openxmlformats.org/officeDocument/2006/relationships/image" Target="media/image12.emf"/><Relationship Id="rId20" Type="http://schemas.openxmlformats.org/officeDocument/2006/relationships/oleObject" Target="embeddings/oleObject5.bin"/><Relationship Id="rId2" Type="http://schemas.openxmlformats.org/officeDocument/2006/relationships/settings" Target="settings.xml"/><Relationship Id="rId19" Type="http://schemas.openxmlformats.org/officeDocument/2006/relationships/image" Target="media/image11.emf"/><Relationship Id="rId18" Type="http://schemas.openxmlformats.org/officeDocument/2006/relationships/oleObject" Target="embeddings/oleObject4.bin"/><Relationship Id="rId17" Type="http://schemas.openxmlformats.org/officeDocument/2006/relationships/image" Target="media/image10.emf"/><Relationship Id="rId16" Type="http://schemas.openxmlformats.org/officeDocument/2006/relationships/oleObject" Target="embeddings/oleObject3.bin"/><Relationship Id="rId15" Type="http://schemas.openxmlformats.org/officeDocument/2006/relationships/image" Target="media/image9.png"/><Relationship Id="rId14" Type="http://schemas.openxmlformats.org/officeDocument/2006/relationships/image" Target="media/image8.emf"/><Relationship Id="rId13" Type="http://schemas.openxmlformats.org/officeDocument/2006/relationships/oleObject" Target="embeddings/oleObject2.bin"/><Relationship Id="rId12" Type="http://schemas.openxmlformats.org/officeDocument/2006/relationships/image" Target="media/image7.emf"/><Relationship Id="rId11" Type="http://schemas.openxmlformats.org/officeDocument/2006/relationships/oleObject" Target="embeddings/oleObject1.bin"/><Relationship Id="rId10" Type="http://schemas.openxmlformats.org/officeDocument/2006/relationships/image" Target="media/image6.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customShpInfo spid="_x0000_s1026" textRotate="1"/>
  </customShpExts>
  <extobjs>
    <extobj name="ECB019B1-382A-4266-B25C-5B523AA43C14-1">
      <extobjdata type="ECB019B1-382A-4266-B25C-5B523AA43C14" data="ewoJIkZpbGVJZCIgOiAiMzUwNDU1OTQ1NjA5IiwKCSJHcm91cElkIiA6ICIzMzYxMzI3MzkiLAoJIkltYWdlIiA6ICJpVkJPUncwS0dnb0FBQUFOU1VoRVVnQUFBMGNBQUFFUkNBWUFBQUN3OHR4QUFBQUFBWE5TUjBJQXJzNGM2UUFBSUFCSlJFRlVlSnpzM1hsOEZQWDlQL0RYZTJhVGJFSUNoRXZVV0tPR2drdU9uVTI5cW1pMTNrcTFvclZGV3crODhTZW9yVlZyYTYwSDBnSWVwZDZpRmtWcnJiYlVBeFcxQ2xZOHNyTTVES0RSUm9rZ0VrRWhrRTJ5TysvZkg5bk5kNU5za2czazJ1VDFmRHg4c0puNXpHZmVpMHgyM3pPZnovc0RFQ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OZmYvV1orUTA2WG5hbDhBQUFBQVNVVk9SSzVDWUlJPS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96</Pages>
  <Words>4681</Words>
  <Characters>4961</Characters>
  <Lines>526</Lines>
  <Paragraphs>148</Paragraphs>
  <TotalTime>21</TotalTime>
  <ScaleCrop>false</ScaleCrop>
  <LinksUpToDate>false</LinksUpToDate>
  <CharactersWithSpaces>5002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2023-02-22T05:08:00Z</dcterms:created>
  <dc:creator>Administrator</dc:creator>
  <cp:lastModifiedBy>ZY</cp:lastModifiedBy>
  <cp:lastPrinted>2025-06-29T01:15:00Z</cp:lastPrinted>
  <dcterms:modified xsi:type="dcterms:W3CDTF">2025-07-09T02:43:05Z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38E0C0B270404D8A98104CA9B41FA6AF_13</vt:lpwstr>
  </property>
  <property fmtid="{D5CDD505-2E9C-101B-9397-08002B2CF9AE}" pid="4" name="KSOTemplateDocerSaveRecord">
    <vt:lpwstr>eyJoZGlkIjoiMTZjYzBmYjFhNTNhOWU5YWExOGQxZWIyY2JkMzU0ZGQiLCJ1c2VySWQiOiI1OTQ0Nzk4OTIifQ==</vt:lpwstr>
  </property>
  <property fmtid="{D5CDD505-2E9C-101B-9397-08002B2CF9AE}" pid="5" name="_IPGFID">
    <vt:lpwstr>[DocID]=9CD1F02A-9F42-4C76-A2E7-6B19E35009CD</vt:lpwstr>
  </property>
</Properties>
</file>