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jpeg" ContentType="image/jpeg"/>
  <Default Extension="JPG" ContentType="image/.jpg"/>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94E984">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eastAsia="宋体"/>
          <w:color w:val="auto"/>
          <w:lang w:eastAsia="zh-CN"/>
        </w:rPr>
      </w:pPr>
      <w:r>
        <w:drawing>
          <wp:inline distT="0" distB="0" distL="114300" distR="114300">
            <wp:extent cx="5286375" cy="7524750"/>
            <wp:effectExtent l="0" t="0" r="9525" b="0"/>
            <wp:docPr id="5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3"/>
                    <pic:cNvPicPr>
                      <a:picLocks noChangeAspect="1"/>
                    </pic:cNvPicPr>
                  </pic:nvPicPr>
                  <pic:blipFill>
                    <a:blip r:embed="rId10"/>
                    <a:stretch>
                      <a:fillRect/>
                    </a:stretch>
                  </pic:blipFill>
                  <pic:spPr>
                    <a:xfrm>
                      <a:off x="0" y="0"/>
                      <a:ext cx="5286375" cy="7524750"/>
                    </a:xfrm>
                    <a:prstGeom prst="rect">
                      <a:avLst/>
                    </a:prstGeom>
                    <a:noFill/>
                    <a:ln>
                      <a:noFill/>
                    </a:ln>
                  </pic:spPr>
                </pic:pic>
              </a:graphicData>
            </a:graphic>
          </wp:inline>
        </w:drawing>
      </w:r>
    </w:p>
    <w:p w14:paraId="2A4F0325">
      <w:pPr>
        <w:rPr>
          <w:rFonts w:hint="eastAsia" w:eastAsia="宋体"/>
          <w:color w:val="auto"/>
          <w:lang w:eastAsia="zh-CN"/>
        </w:rPr>
      </w:pPr>
    </w:p>
    <w:p w14:paraId="2BA78106">
      <w:pPr>
        <w:pStyle w:val="2"/>
        <w:jc w:val="center"/>
        <w:rPr>
          <w:rFonts w:hint="eastAsia" w:ascii="黑体" w:hAnsi="黑体" w:eastAsia="黑体" w:cs="黑体"/>
          <w:color w:val="auto"/>
          <w:sz w:val="30"/>
          <w:szCs w:val="30"/>
          <w:highlight w:val="none"/>
        </w:rPr>
        <w:sectPr>
          <w:footerReference r:id="rId5" w:type="default"/>
          <w:pgSz w:w="11905" w:h="16838"/>
          <w:pgMar w:top="1814" w:right="1474" w:bottom="1474" w:left="1474" w:header="850" w:footer="850" w:gutter="0"/>
          <w:pgBorders>
            <w:top w:val="none" w:sz="0" w:space="0"/>
            <w:left w:val="none" w:sz="0" w:space="0"/>
            <w:bottom w:val="none" w:sz="0" w:space="0"/>
            <w:right w:val="none" w:sz="0" w:space="0"/>
          </w:pgBorders>
          <w:pgNumType w:start="1"/>
          <w:cols w:space="0" w:num="1"/>
          <w:docGrid w:linePitch="312" w:charSpace="0"/>
        </w:sectPr>
      </w:pPr>
    </w:p>
    <w:p w14:paraId="3EC7CDB8">
      <w:pPr>
        <w:pStyle w:val="2"/>
        <w:bidi w:val="0"/>
        <w:rPr>
          <w:color w:val="auto"/>
        </w:rPr>
      </w:pPr>
      <w:r>
        <w:rPr>
          <w:rFonts w:hint="eastAsia"/>
          <w:color w:val="auto"/>
        </w:rPr>
        <w:t>一、建设项目基本情况</w:t>
      </w:r>
    </w:p>
    <w:tbl>
      <w:tblPr>
        <w:tblStyle w:val="12"/>
        <w:tblW w:w="4988"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1386"/>
        <w:gridCol w:w="2706"/>
        <w:gridCol w:w="1947"/>
        <w:gridCol w:w="2922"/>
      </w:tblGrid>
      <w:tr w14:paraId="2BFD579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73" w:type="pct"/>
            <w:tcMar>
              <w:top w:w="16" w:type="dxa"/>
              <w:left w:w="16" w:type="dxa"/>
              <w:right w:w="16" w:type="dxa"/>
            </w:tcMar>
            <w:vAlign w:val="center"/>
          </w:tcPr>
          <w:p w14:paraId="0320F785">
            <w:pPr>
              <w:pStyle w:val="32"/>
              <w:keepNext w:val="0"/>
              <w:keepLines w:val="0"/>
              <w:suppressLineNumbers w:val="0"/>
              <w:bidi w:val="0"/>
              <w:spacing w:before="0" w:beforeAutospacing="0" w:after="0" w:afterAutospacing="0"/>
              <w:ind w:left="0" w:right="0"/>
              <w:rPr>
                <w:rFonts w:hint="default"/>
              </w:rPr>
            </w:pPr>
            <w:r>
              <w:rPr>
                <w:rFonts w:hint="default"/>
              </w:rPr>
              <w:t>建设项目</w:t>
            </w:r>
          </w:p>
          <w:p w14:paraId="1159804A">
            <w:pPr>
              <w:pStyle w:val="32"/>
              <w:keepNext w:val="0"/>
              <w:keepLines w:val="0"/>
              <w:suppressLineNumbers w:val="0"/>
              <w:bidi w:val="0"/>
              <w:spacing w:before="0" w:beforeAutospacing="0" w:after="0" w:afterAutospacing="0"/>
              <w:ind w:left="0" w:right="0"/>
              <w:rPr>
                <w:rFonts w:hint="default"/>
              </w:rPr>
            </w:pPr>
            <w:r>
              <w:rPr>
                <w:rFonts w:hint="default"/>
              </w:rPr>
              <w:t>名称</w:t>
            </w:r>
          </w:p>
        </w:tc>
        <w:tc>
          <w:tcPr>
            <w:tcW w:w="4226" w:type="pct"/>
            <w:gridSpan w:val="3"/>
            <w:vAlign w:val="center"/>
          </w:tcPr>
          <w:p w14:paraId="613D2A11">
            <w:pPr>
              <w:pStyle w:val="32"/>
              <w:keepNext w:val="0"/>
              <w:keepLines w:val="0"/>
              <w:suppressLineNumbers w:val="0"/>
              <w:bidi w:val="0"/>
              <w:spacing w:before="0" w:beforeAutospacing="0" w:after="0" w:afterAutospacing="0"/>
              <w:ind w:left="0" w:right="0"/>
              <w:rPr>
                <w:rFonts w:hint="default"/>
                <w:lang w:val="en-US" w:eastAsia="zh-CN"/>
              </w:rPr>
            </w:pPr>
            <w:r>
              <w:rPr>
                <w:rFonts w:hint="eastAsia"/>
                <w:lang w:val="en-US" w:eastAsia="zh-CN"/>
              </w:rPr>
              <w:t>中医医院建设项目</w:t>
            </w:r>
          </w:p>
        </w:tc>
      </w:tr>
      <w:tr w14:paraId="3DE70A5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73" w:type="pct"/>
            <w:tcMar>
              <w:top w:w="16" w:type="dxa"/>
              <w:left w:w="16" w:type="dxa"/>
              <w:right w:w="16" w:type="dxa"/>
            </w:tcMar>
            <w:vAlign w:val="center"/>
          </w:tcPr>
          <w:p w14:paraId="202E7D37">
            <w:pPr>
              <w:pStyle w:val="32"/>
              <w:keepNext w:val="0"/>
              <w:keepLines w:val="0"/>
              <w:suppressLineNumbers w:val="0"/>
              <w:bidi w:val="0"/>
              <w:spacing w:before="0" w:beforeAutospacing="0" w:after="0" w:afterAutospacing="0"/>
              <w:ind w:left="0" w:right="0"/>
              <w:rPr>
                <w:rFonts w:hint="default"/>
              </w:rPr>
            </w:pPr>
            <w:r>
              <w:rPr>
                <w:rFonts w:hint="default"/>
              </w:rPr>
              <w:t>项目代码</w:t>
            </w:r>
          </w:p>
        </w:tc>
        <w:tc>
          <w:tcPr>
            <w:tcW w:w="4226" w:type="pct"/>
            <w:gridSpan w:val="3"/>
            <w:vAlign w:val="center"/>
          </w:tcPr>
          <w:p w14:paraId="7E3124A5">
            <w:pPr>
              <w:pStyle w:val="32"/>
              <w:keepNext w:val="0"/>
              <w:keepLines w:val="0"/>
              <w:suppressLineNumbers w:val="0"/>
              <w:bidi w:val="0"/>
              <w:spacing w:before="0" w:beforeAutospacing="0" w:after="0" w:afterAutospacing="0"/>
              <w:ind w:left="0" w:right="0"/>
              <w:rPr>
                <w:rFonts w:hint="default"/>
                <w:lang w:val="en-US" w:eastAsia="zh-CN"/>
              </w:rPr>
            </w:pPr>
            <w:r>
              <w:rPr>
                <w:rFonts w:hint="eastAsia"/>
                <w:lang w:val="en-US" w:eastAsia="zh-CN"/>
              </w:rPr>
              <w:t>无</w:t>
            </w:r>
          </w:p>
        </w:tc>
      </w:tr>
      <w:tr w14:paraId="6A0AA2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73" w:type="pct"/>
            <w:tcMar>
              <w:top w:w="16" w:type="dxa"/>
              <w:left w:w="16" w:type="dxa"/>
              <w:right w:w="16" w:type="dxa"/>
            </w:tcMar>
            <w:vAlign w:val="center"/>
          </w:tcPr>
          <w:p w14:paraId="310BDF74">
            <w:pPr>
              <w:pStyle w:val="32"/>
              <w:keepNext w:val="0"/>
              <w:keepLines w:val="0"/>
              <w:suppressLineNumbers w:val="0"/>
              <w:bidi w:val="0"/>
              <w:spacing w:before="0" w:beforeAutospacing="0" w:after="0" w:afterAutospacing="0"/>
              <w:ind w:left="0" w:right="0"/>
              <w:rPr>
                <w:rFonts w:hint="default"/>
              </w:rPr>
            </w:pPr>
            <w:r>
              <w:rPr>
                <w:rFonts w:hint="default"/>
              </w:rPr>
              <w:t>建设单位</w:t>
            </w:r>
          </w:p>
          <w:p w14:paraId="307B39F5">
            <w:pPr>
              <w:pStyle w:val="32"/>
              <w:keepNext w:val="0"/>
              <w:keepLines w:val="0"/>
              <w:suppressLineNumbers w:val="0"/>
              <w:bidi w:val="0"/>
              <w:spacing w:before="0" w:beforeAutospacing="0" w:after="0" w:afterAutospacing="0"/>
              <w:ind w:left="0" w:right="0"/>
              <w:rPr>
                <w:rFonts w:hint="default"/>
              </w:rPr>
            </w:pPr>
            <w:r>
              <w:rPr>
                <w:rFonts w:hint="default"/>
              </w:rPr>
              <w:t>联系人</w:t>
            </w:r>
          </w:p>
        </w:tc>
        <w:tc>
          <w:tcPr>
            <w:tcW w:w="1509" w:type="pct"/>
            <w:vAlign w:val="center"/>
          </w:tcPr>
          <w:p w14:paraId="036828BB">
            <w:pPr>
              <w:pStyle w:val="32"/>
              <w:keepNext w:val="0"/>
              <w:keepLines w:val="0"/>
              <w:suppressLineNumbers w:val="0"/>
              <w:bidi w:val="0"/>
              <w:spacing w:before="0" w:beforeAutospacing="0" w:after="0" w:afterAutospacing="0"/>
              <w:ind w:left="0" w:right="0"/>
              <w:rPr>
                <w:rFonts w:hint="default"/>
                <w:lang w:val="en-US" w:eastAsia="zh-CN"/>
              </w:rPr>
            </w:pPr>
            <w:r>
              <w:rPr>
                <w:rFonts w:hint="eastAsia"/>
                <w:lang w:val="en-US" w:eastAsia="zh-CN"/>
              </w:rPr>
              <w:t>樊中州</w:t>
            </w:r>
          </w:p>
        </w:tc>
        <w:tc>
          <w:tcPr>
            <w:tcW w:w="1086" w:type="pct"/>
            <w:vAlign w:val="center"/>
          </w:tcPr>
          <w:p w14:paraId="4267CA38">
            <w:pPr>
              <w:pStyle w:val="32"/>
              <w:keepNext w:val="0"/>
              <w:keepLines w:val="0"/>
              <w:suppressLineNumbers w:val="0"/>
              <w:bidi w:val="0"/>
              <w:spacing w:before="0" w:beforeAutospacing="0" w:after="0" w:afterAutospacing="0"/>
              <w:ind w:left="0" w:right="0"/>
              <w:rPr>
                <w:rFonts w:hint="default"/>
              </w:rPr>
            </w:pPr>
            <w:r>
              <w:rPr>
                <w:rFonts w:hint="default"/>
              </w:rPr>
              <w:t>联系方式</w:t>
            </w:r>
          </w:p>
        </w:tc>
        <w:tc>
          <w:tcPr>
            <w:tcW w:w="1630" w:type="pct"/>
            <w:vAlign w:val="center"/>
          </w:tcPr>
          <w:p w14:paraId="3CCE80ED">
            <w:pPr>
              <w:pStyle w:val="32"/>
              <w:keepNext w:val="0"/>
              <w:keepLines w:val="0"/>
              <w:suppressLineNumbers w:val="0"/>
              <w:bidi w:val="0"/>
              <w:spacing w:before="0" w:beforeAutospacing="0" w:after="0" w:afterAutospacing="0"/>
              <w:ind w:left="0" w:right="0"/>
              <w:rPr>
                <w:rFonts w:hint="default"/>
                <w:lang w:val="en-US" w:eastAsia="zh-CN"/>
              </w:rPr>
            </w:pPr>
            <w:r>
              <w:rPr>
                <w:rFonts w:hint="eastAsia"/>
                <w:lang w:val="en-US" w:eastAsia="zh-CN"/>
              </w:rPr>
              <w:t>18515307015</w:t>
            </w:r>
          </w:p>
        </w:tc>
      </w:tr>
      <w:tr w14:paraId="69B2BE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73" w:type="pct"/>
            <w:tcMar>
              <w:top w:w="16" w:type="dxa"/>
              <w:left w:w="16" w:type="dxa"/>
              <w:right w:w="16" w:type="dxa"/>
            </w:tcMar>
            <w:vAlign w:val="center"/>
          </w:tcPr>
          <w:p w14:paraId="7555657C">
            <w:pPr>
              <w:pStyle w:val="32"/>
              <w:keepNext w:val="0"/>
              <w:keepLines w:val="0"/>
              <w:suppressLineNumbers w:val="0"/>
              <w:bidi w:val="0"/>
              <w:spacing w:before="0" w:beforeAutospacing="0" w:after="0" w:afterAutospacing="0"/>
              <w:ind w:left="0" w:right="0"/>
              <w:rPr>
                <w:rFonts w:hint="default"/>
              </w:rPr>
            </w:pPr>
            <w:r>
              <w:rPr>
                <w:rFonts w:hint="default"/>
              </w:rPr>
              <w:t>建设地点</w:t>
            </w:r>
          </w:p>
        </w:tc>
        <w:tc>
          <w:tcPr>
            <w:tcW w:w="4226" w:type="pct"/>
            <w:gridSpan w:val="3"/>
            <w:vAlign w:val="center"/>
          </w:tcPr>
          <w:p w14:paraId="435A92D1">
            <w:pPr>
              <w:pStyle w:val="32"/>
              <w:keepNext w:val="0"/>
              <w:keepLines w:val="0"/>
              <w:suppressLineNumbers w:val="0"/>
              <w:bidi w:val="0"/>
              <w:spacing w:before="0" w:beforeAutospacing="0" w:after="0" w:afterAutospacing="0"/>
              <w:ind w:left="0" w:right="0"/>
              <w:rPr>
                <w:rFonts w:hint="default"/>
                <w:lang w:val="en-US" w:eastAsia="zh-CN"/>
              </w:rPr>
            </w:pPr>
            <w:r>
              <w:rPr>
                <w:rFonts w:hint="eastAsia"/>
                <w:lang w:val="en-US" w:eastAsia="zh-CN"/>
              </w:rPr>
              <w:t>北京市海淀区黑泉路19号院1号楼1层101室1F104区</w:t>
            </w:r>
          </w:p>
        </w:tc>
      </w:tr>
      <w:tr w14:paraId="21287C9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73" w:type="pct"/>
            <w:tcMar>
              <w:top w:w="16" w:type="dxa"/>
              <w:left w:w="16" w:type="dxa"/>
              <w:right w:w="16" w:type="dxa"/>
            </w:tcMar>
            <w:vAlign w:val="center"/>
          </w:tcPr>
          <w:p w14:paraId="1499966D">
            <w:pPr>
              <w:pStyle w:val="32"/>
              <w:keepNext w:val="0"/>
              <w:keepLines w:val="0"/>
              <w:suppressLineNumbers w:val="0"/>
              <w:bidi w:val="0"/>
              <w:spacing w:before="0" w:beforeAutospacing="0" w:after="0" w:afterAutospacing="0"/>
              <w:ind w:left="0" w:right="0"/>
              <w:rPr>
                <w:rFonts w:hint="default"/>
              </w:rPr>
            </w:pPr>
            <w:r>
              <w:rPr>
                <w:rFonts w:hint="default"/>
              </w:rPr>
              <w:t>地理坐标</w:t>
            </w:r>
          </w:p>
        </w:tc>
        <w:tc>
          <w:tcPr>
            <w:tcW w:w="4226" w:type="pct"/>
            <w:gridSpan w:val="3"/>
            <w:vAlign w:val="center"/>
          </w:tcPr>
          <w:p w14:paraId="1136D553">
            <w:pPr>
              <w:pStyle w:val="32"/>
              <w:keepNext w:val="0"/>
              <w:keepLines w:val="0"/>
              <w:suppressLineNumbers w:val="0"/>
              <w:bidi w:val="0"/>
              <w:spacing w:before="0" w:beforeAutospacing="0" w:after="0" w:afterAutospacing="0"/>
              <w:ind w:left="0" w:right="0"/>
              <w:rPr>
                <w:rFonts w:hint="default"/>
              </w:rPr>
            </w:pPr>
            <w:r>
              <w:rPr>
                <w:rFonts w:hint="default"/>
                <w:highlight w:val="none"/>
              </w:rPr>
              <w:t>东经 11</w:t>
            </w:r>
            <w:r>
              <w:rPr>
                <w:rFonts w:hint="eastAsia"/>
                <w:highlight w:val="none"/>
                <w:lang w:val="en-US" w:eastAsia="zh-CN"/>
              </w:rPr>
              <w:t>6</w:t>
            </w:r>
            <w:r>
              <w:rPr>
                <w:rFonts w:hint="default"/>
                <w:highlight w:val="none"/>
              </w:rPr>
              <w:t xml:space="preserve"> 度 </w:t>
            </w:r>
            <w:r>
              <w:rPr>
                <w:rFonts w:hint="eastAsia"/>
                <w:highlight w:val="none"/>
                <w:lang w:val="en-US" w:eastAsia="zh-CN"/>
              </w:rPr>
              <w:t>21</w:t>
            </w:r>
            <w:r>
              <w:rPr>
                <w:rFonts w:hint="default"/>
                <w:highlight w:val="none"/>
              </w:rPr>
              <w:t xml:space="preserve"> 分 </w:t>
            </w:r>
            <w:r>
              <w:rPr>
                <w:rFonts w:hint="eastAsia"/>
                <w:highlight w:val="none"/>
                <w:lang w:val="en-US" w:eastAsia="zh-CN"/>
              </w:rPr>
              <w:t>50.923</w:t>
            </w:r>
            <w:r>
              <w:rPr>
                <w:rFonts w:hint="default"/>
                <w:highlight w:val="none"/>
              </w:rPr>
              <w:t xml:space="preserve"> 秒，北纬 </w:t>
            </w:r>
            <w:r>
              <w:rPr>
                <w:rFonts w:hint="eastAsia"/>
                <w:highlight w:val="none"/>
                <w:lang w:val="en-US" w:eastAsia="zh-CN"/>
              </w:rPr>
              <w:t>40</w:t>
            </w:r>
            <w:r>
              <w:rPr>
                <w:rFonts w:hint="default"/>
                <w:highlight w:val="none"/>
              </w:rPr>
              <w:t xml:space="preserve"> 度 </w:t>
            </w:r>
            <w:r>
              <w:rPr>
                <w:rFonts w:hint="eastAsia"/>
                <w:highlight w:val="none"/>
                <w:lang w:val="en-US" w:eastAsia="zh-CN"/>
              </w:rPr>
              <w:t>02</w:t>
            </w:r>
            <w:r>
              <w:rPr>
                <w:rFonts w:hint="default"/>
                <w:highlight w:val="none"/>
              </w:rPr>
              <w:t xml:space="preserve"> 分 </w:t>
            </w:r>
            <w:r>
              <w:rPr>
                <w:rFonts w:hint="eastAsia"/>
                <w:highlight w:val="none"/>
                <w:lang w:val="en-US" w:eastAsia="zh-CN"/>
              </w:rPr>
              <w:t>0.209</w:t>
            </w:r>
            <w:r>
              <w:rPr>
                <w:rFonts w:hint="default"/>
                <w:highlight w:val="none"/>
              </w:rPr>
              <w:t xml:space="preserve"> 秒</w:t>
            </w:r>
          </w:p>
        </w:tc>
      </w:tr>
      <w:tr w14:paraId="7D6EE55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73" w:type="pct"/>
            <w:tcMar>
              <w:top w:w="16" w:type="dxa"/>
              <w:left w:w="16" w:type="dxa"/>
              <w:right w:w="16" w:type="dxa"/>
            </w:tcMar>
            <w:vAlign w:val="center"/>
          </w:tcPr>
          <w:p w14:paraId="173B733B">
            <w:pPr>
              <w:pStyle w:val="32"/>
              <w:keepNext w:val="0"/>
              <w:keepLines w:val="0"/>
              <w:suppressLineNumbers w:val="0"/>
              <w:bidi w:val="0"/>
              <w:spacing w:before="0" w:beforeAutospacing="0" w:after="0" w:afterAutospacing="0"/>
              <w:ind w:left="0" w:right="0"/>
              <w:rPr>
                <w:rFonts w:hint="default"/>
              </w:rPr>
            </w:pPr>
            <w:r>
              <w:rPr>
                <w:rFonts w:hint="default"/>
              </w:rPr>
              <w:t>国民经济</w:t>
            </w:r>
          </w:p>
          <w:p w14:paraId="247D3013">
            <w:pPr>
              <w:pStyle w:val="32"/>
              <w:keepNext w:val="0"/>
              <w:keepLines w:val="0"/>
              <w:suppressLineNumbers w:val="0"/>
              <w:bidi w:val="0"/>
              <w:spacing w:before="0" w:beforeAutospacing="0" w:after="0" w:afterAutospacing="0"/>
              <w:ind w:left="0" w:right="0"/>
              <w:rPr>
                <w:rFonts w:hint="default"/>
              </w:rPr>
            </w:pPr>
            <w:r>
              <w:rPr>
                <w:rFonts w:hint="default"/>
              </w:rPr>
              <w:t>行业类别</w:t>
            </w:r>
          </w:p>
        </w:tc>
        <w:tc>
          <w:tcPr>
            <w:tcW w:w="1509" w:type="pct"/>
            <w:vAlign w:val="center"/>
          </w:tcPr>
          <w:p w14:paraId="162D6479">
            <w:pPr>
              <w:pStyle w:val="32"/>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Q8412</w:t>
            </w:r>
          </w:p>
          <w:p w14:paraId="782FA5AE">
            <w:pPr>
              <w:pStyle w:val="32"/>
              <w:keepNext w:val="0"/>
              <w:keepLines w:val="0"/>
              <w:suppressLineNumbers w:val="0"/>
              <w:bidi w:val="0"/>
              <w:spacing w:before="0" w:beforeAutospacing="0" w:after="0" w:afterAutospacing="0"/>
              <w:ind w:left="0" w:right="0"/>
              <w:rPr>
                <w:rFonts w:hint="default"/>
                <w:lang w:val="en-US"/>
              </w:rPr>
            </w:pPr>
            <w:r>
              <w:rPr>
                <w:rFonts w:hint="eastAsia"/>
                <w:lang w:val="en-US" w:eastAsia="zh-CN"/>
              </w:rPr>
              <w:t>中医医院</w:t>
            </w:r>
          </w:p>
        </w:tc>
        <w:tc>
          <w:tcPr>
            <w:tcW w:w="1086" w:type="pct"/>
            <w:vAlign w:val="center"/>
          </w:tcPr>
          <w:p w14:paraId="75EEC0B4">
            <w:pPr>
              <w:pStyle w:val="32"/>
              <w:keepNext w:val="0"/>
              <w:keepLines w:val="0"/>
              <w:suppressLineNumbers w:val="0"/>
              <w:bidi w:val="0"/>
              <w:spacing w:before="0" w:beforeAutospacing="0" w:after="0" w:afterAutospacing="0"/>
              <w:ind w:left="0" w:right="0"/>
              <w:rPr>
                <w:rFonts w:hint="default"/>
              </w:rPr>
            </w:pPr>
            <w:r>
              <w:rPr>
                <w:rFonts w:hint="default"/>
              </w:rPr>
              <w:t>建设项目</w:t>
            </w:r>
          </w:p>
          <w:p w14:paraId="08A3024E">
            <w:pPr>
              <w:pStyle w:val="32"/>
              <w:keepNext w:val="0"/>
              <w:keepLines w:val="0"/>
              <w:suppressLineNumbers w:val="0"/>
              <w:bidi w:val="0"/>
              <w:spacing w:before="0" w:beforeAutospacing="0" w:after="0" w:afterAutospacing="0"/>
              <w:ind w:left="0" w:right="0"/>
              <w:rPr>
                <w:rFonts w:hint="default"/>
              </w:rPr>
            </w:pPr>
            <w:r>
              <w:rPr>
                <w:rFonts w:hint="default"/>
              </w:rPr>
              <w:t>行业类别</w:t>
            </w:r>
          </w:p>
        </w:tc>
        <w:tc>
          <w:tcPr>
            <w:tcW w:w="1630" w:type="pct"/>
            <w:vAlign w:val="center"/>
          </w:tcPr>
          <w:p w14:paraId="61ECEB21">
            <w:pPr>
              <w:pStyle w:val="32"/>
              <w:keepNext w:val="0"/>
              <w:keepLines w:val="0"/>
              <w:suppressLineNumbers w:val="0"/>
              <w:bidi w:val="0"/>
              <w:spacing w:before="0" w:beforeAutospacing="0" w:after="0" w:afterAutospacing="0"/>
              <w:ind w:left="0" w:right="0"/>
              <w:jc w:val="both"/>
              <w:rPr>
                <w:rFonts w:hint="default"/>
                <w:lang w:val="en-US" w:eastAsia="zh-CN"/>
              </w:rPr>
            </w:pPr>
            <w:r>
              <w:rPr>
                <w:rFonts w:hint="eastAsia"/>
                <w:lang w:val="en-US" w:eastAsia="zh-CN"/>
              </w:rPr>
              <w:t>四十九、卫生：医院841-其他（住院床位20张以下的除外）</w:t>
            </w:r>
          </w:p>
        </w:tc>
      </w:tr>
      <w:tr w14:paraId="02D9C56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73" w:type="pct"/>
            <w:tcMar>
              <w:top w:w="16" w:type="dxa"/>
              <w:left w:w="16" w:type="dxa"/>
              <w:right w:w="16" w:type="dxa"/>
            </w:tcMar>
            <w:vAlign w:val="center"/>
          </w:tcPr>
          <w:p w14:paraId="53A6AA6D">
            <w:pPr>
              <w:pStyle w:val="32"/>
              <w:keepNext w:val="0"/>
              <w:keepLines w:val="0"/>
              <w:suppressLineNumbers w:val="0"/>
              <w:bidi w:val="0"/>
              <w:spacing w:before="0" w:beforeAutospacing="0" w:after="0" w:afterAutospacing="0"/>
              <w:ind w:left="0" w:right="0"/>
              <w:rPr>
                <w:rFonts w:hint="default"/>
              </w:rPr>
            </w:pPr>
            <w:r>
              <w:rPr>
                <w:rFonts w:hint="default"/>
              </w:rPr>
              <w:t>建设性质</w:t>
            </w:r>
          </w:p>
        </w:tc>
        <w:tc>
          <w:tcPr>
            <w:tcW w:w="1509" w:type="pct"/>
            <w:vAlign w:val="center"/>
          </w:tcPr>
          <w:p w14:paraId="173F30D9">
            <w:pPr>
              <w:pStyle w:val="32"/>
              <w:keepNext w:val="0"/>
              <w:keepLines w:val="0"/>
              <w:suppressLineNumbers w:val="0"/>
              <w:bidi w:val="0"/>
              <w:spacing w:before="0" w:beforeAutospacing="0" w:after="0" w:afterAutospacing="0" w:line="240" w:lineRule="auto"/>
              <w:ind w:left="0" w:right="0"/>
              <w:jc w:val="both"/>
              <w:rPr>
                <w:rFonts w:hint="default"/>
              </w:rPr>
            </w:pPr>
            <w:r>
              <w:rPr>
                <w:rFonts w:hint="default"/>
              </w:rPr>
              <w:sym w:font="Wingdings" w:char="00FE"/>
            </w:r>
            <w:r>
              <w:rPr>
                <w:rFonts w:hint="default"/>
              </w:rPr>
              <w:t>新建（迁建）</w:t>
            </w:r>
          </w:p>
          <w:p w14:paraId="2986B88B">
            <w:pPr>
              <w:pStyle w:val="32"/>
              <w:keepNext w:val="0"/>
              <w:keepLines w:val="0"/>
              <w:suppressLineNumbers w:val="0"/>
              <w:bidi w:val="0"/>
              <w:spacing w:before="0" w:beforeAutospacing="0" w:after="0" w:afterAutospacing="0" w:line="240" w:lineRule="auto"/>
              <w:ind w:left="0" w:right="0"/>
              <w:jc w:val="both"/>
              <w:rPr>
                <w:rFonts w:hint="default"/>
              </w:rPr>
            </w:pPr>
            <w:r>
              <w:rPr>
                <w:rFonts w:hint="default"/>
              </w:rPr>
              <w:sym w:font="Wingdings" w:char="00A8"/>
            </w:r>
            <w:r>
              <w:rPr>
                <w:rFonts w:hint="default"/>
              </w:rPr>
              <w:t>改建</w:t>
            </w:r>
          </w:p>
          <w:p w14:paraId="202373FA">
            <w:pPr>
              <w:pStyle w:val="32"/>
              <w:keepNext w:val="0"/>
              <w:keepLines w:val="0"/>
              <w:suppressLineNumbers w:val="0"/>
              <w:bidi w:val="0"/>
              <w:spacing w:before="0" w:beforeAutospacing="0" w:after="0" w:afterAutospacing="0" w:line="240" w:lineRule="auto"/>
              <w:ind w:left="0" w:right="0"/>
              <w:jc w:val="both"/>
              <w:rPr>
                <w:rFonts w:hint="default"/>
              </w:rPr>
            </w:pPr>
            <w:r>
              <w:rPr>
                <w:rFonts w:hint="default"/>
              </w:rPr>
              <w:sym w:font="Wingdings" w:char="00A8"/>
            </w:r>
            <w:r>
              <w:rPr>
                <w:rFonts w:hint="default"/>
              </w:rPr>
              <w:t>扩建</w:t>
            </w:r>
          </w:p>
          <w:p w14:paraId="3FB6FF16">
            <w:pPr>
              <w:pStyle w:val="32"/>
              <w:keepNext w:val="0"/>
              <w:keepLines w:val="0"/>
              <w:suppressLineNumbers w:val="0"/>
              <w:bidi w:val="0"/>
              <w:spacing w:before="0" w:beforeAutospacing="0" w:after="0" w:afterAutospacing="0" w:line="240" w:lineRule="auto"/>
              <w:ind w:left="0" w:right="0"/>
              <w:jc w:val="both"/>
              <w:rPr>
                <w:rFonts w:hint="default"/>
              </w:rPr>
            </w:pPr>
            <w:r>
              <w:rPr>
                <w:rFonts w:hint="default"/>
              </w:rPr>
              <w:sym w:font="Wingdings" w:char="00A8"/>
            </w:r>
            <w:r>
              <w:rPr>
                <w:rFonts w:hint="default"/>
              </w:rPr>
              <w:t>技术改造</w:t>
            </w:r>
          </w:p>
        </w:tc>
        <w:tc>
          <w:tcPr>
            <w:tcW w:w="1086" w:type="pct"/>
            <w:vAlign w:val="center"/>
          </w:tcPr>
          <w:p w14:paraId="0CED97F2">
            <w:pPr>
              <w:pStyle w:val="32"/>
              <w:keepNext w:val="0"/>
              <w:keepLines w:val="0"/>
              <w:suppressLineNumbers w:val="0"/>
              <w:bidi w:val="0"/>
              <w:spacing w:before="0" w:beforeAutospacing="0" w:after="0" w:afterAutospacing="0"/>
              <w:ind w:left="0" w:right="0"/>
              <w:rPr>
                <w:rFonts w:hint="default"/>
              </w:rPr>
            </w:pPr>
            <w:r>
              <w:rPr>
                <w:rFonts w:hint="default"/>
              </w:rPr>
              <w:t>建设项目</w:t>
            </w:r>
          </w:p>
          <w:p w14:paraId="136F43E7">
            <w:pPr>
              <w:pStyle w:val="32"/>
              <w:keepNext w:val="0"/>
              <w:keepLines w:val="0"/>
              <w:suppressLineNumbers w:val="0"/>
              <w:bidi w:val="0"/>
              <w:spacing w:before="0" w:beforeAutospacing="0" w:after="0" w:afterAutospacing="0"/>
              <w:ind w:left="0" w:right="0"/>
              <w:rPr>
                <w:rFonts w:hint="default"/>
              </w:rPr>
            </w:pPr>
            <w:r>
              <w:rPr>
                <w:rFonts w:hint="default"/>
              </w:rPr>
              <w:t>申报情形</w:t>
            </w:r>
          </w:p>
        </w:tc>
        <w:tc>
          <w:tcPr>
            <w:tcW w:w="1630" w:type="pct"/>
            <w:vAlign w:val="center"/>
          </w:tcPr>
          <w:p w14:paraId="0665170C">
            <w:pPr>
              <w:pStyle w:val="3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default"/>
              </w:rPr>
            </w:pPr>
            <w:r>
              <w:rPr>
                <w:rFonts w:hint="default"/>
              </w:rPr>
              <w:sym w:font="Wingdings" w:char="00FE"/>
            </w:r>
            <w:r>
              <w:rPr>
                <w:rFonts w:hint="default"/>
              </w:rPr>
              <w:t>首次申报项目</w:t>
            </w:r>
          </w:p>
          <w:p w14:paraId="0F1ECF6A">
            <w:pPr>
              <w:pStyle w:val="3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default"/>
              </w:rPr>
            </w:pPr>
            <w:r>
              <w:rPr>
                <w:rFonts w:hint="default"/>
              </w:rPr>
              <w:sym w:font="Wingdings" w:char="00A8"/>
            </w:r>
            <w:r>
              <w:rPr>
                <w:rFonts w:hint="default"/>
              </w:rPr>
              <w:t>不予批准后再次申报项目</w:t>
            </w:r>
          </w:p>
          <w:p w14:paraId="2C91C527">
            <w:pPr>
              <w:pStyle w:val="3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default"/>
              </w:rPr>
            </w:pPr>
            <w:r>
              <w:rPr>
                <w:rFonts w:hint="default"/>
              </w:rPr>
              <w:sym w:font="Wingdings" w:char="00A8"/>
            </w:r>
            <w:r>
              <w:rPr>
                <w:rFonts w:hint="default"/>
              </w:rPr>
              <w:t>超五年重新审核项目</w:t>
            </w:r>
          </w:p>
          <w:p w14:paraId="640F8505">
            <w:pPr>
              <w:pStyle w:val="3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default"/>
              </w:rPr>
            </w:pPr>
            <w:r>
              <w:rPr>
                <w:rFonts w:hint="default"/>
              </w:rPr>
              <w:sym w:font="Wingdings" w:char="00A8"/>
            </w:r>
            <w:r>
              <w:rPr>
                <w:rFonts w:hint="default"/>
              </w:rPr>
              <w:t>重大变动重新报批项目</w:t>
            </w:r>
          </w:p>
        </w:tc>
      </w:tr>
      <w:tr w14:paraId="2F1814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73" w:type="pct"/>
            <w:tcMar>
              <w:top w:w="16" w:type="dxa"/>
              <w:left w:w="16" w:type="dxa"/>
              <w:right w:w="16" w:type="dxa"/>
            </w:tcMar>
            <w:vAlign w:val="center"/>
          </w:tcPr>
          <w:p w14:paraId="63AA5A28">
            <w:pPr>
              <w:pStyle w:val="32"/>
              <w:keepNext w:val="0"/>
              <w:keepLines w:val="0"/>
              <w:suppressLineNumbers w:val="0"/>
              <w:bidi w:val="0"/>
              <w:spacing w:before="0" w:beforeAutospacing="0" w:after="0" w:afterAutospacing="0"/>
              <w:ind w:left="0" w:right="0"/>
              <w:rPr>
                <w:rFonts w:hint="default"/>
              </w:rPr>
            </w:pPr>
            <w:r>
              <w:rPr>
                <w:rFonts w:hint="default"/>
              </w:rPr>
              <w:t>项目审批（核准/备案）部门（选填）</w:t>
            </w:r>
          </w:p>
        </w:tc>
        <w:tc>
          <w:tcPr>
            <w:tcW w:w="1509" w:type="pct"/>
            <w:vAlign w:val="center"/>
          </w:tcPr>
          <w:p w14:paraId="136115A2">
            <w:pPr>
              <w:pStyle w:val="32"/>
              <w:keepNext w:val="0"/>
              <w:keepLines w:val="0"/>
              <w:suppressLineNumbers w:val="0"/>
              <w:bidi w:val="0"/>
              <w:spacing w:before="0" w:beforeAutospacing="0" w:after="0" w:afterAutospacing="0"/>
              <w:ind w:left="0" w:right="0"/>
              <w:rPr>
                <w:rFonts w:hint="eastAsia"/>
                <w:lang w:eastAsia="zh-CN"/>
              </w:rPr>
            </w:pPr>
            <w:r>
              <w:rPr>
                <w:rFonts w:hint="eastAsia"/>
                <w:lang w:val="en-US" w:eastAsia="zh-CN"/>
              </w:rPr>
              <w:t>无</w:t>
            </w:r>
          </w:p>
        </w:tc>
        <w:tc>
          <w:tcPr>
            <w:tcW w:w="1086" w:type="pct"/>
            <w:vAlign w:val="center"/>
          </w:tcPr>
          <w:p w14:paraId="174F029B">
            <w:pPr>
              <w:pStyle w:val="32"/>
              <w:keepNext w:val="0"/>
              <w:keepLines w:val="0"/>
              <w:suppressLineNumbers w:val="0"/>
              <w:bidi w:val="0"/>
              <w:spacing w:before="0" w:beforeAutospacing="0" w:after="0" w:afterAutospacing="0"/>
              <w:ind w:left="0" w:right="0"/>
              <w:rPr>
                <w:rFonts w:hint="default"/>
              </w:rPr>
            </w:pPr>
            <w:r>
              <w:rPr>
                <w:rFonts w:hint="default"/>
              </w:rPr>
              <w:t>项目审批（核准/</w:t>
            </w:r>
          </w:p>
          <w:p w14:paraId="7D293316">
            <w:pPr>
              <w:pStyle w:val="32"/>
              <w:keepNext w:val="0"/>
              <w:keepLines w:val="0"/>
              <w:suppressLineNumbers w:val="0"/>
              <w:bidi w:val="0"/>
              <w:spacing w:before="0" w:beforeAutospacing="0" w:after="0" w:afterAutospacing="0"/>
              <w:ind w:left="0" w:right="0"/>
              <w:rPr>
                <w:rFonts w:hint="default"/>
              </w:rPr>
            </w:pPr>
            <w:r>
              <w:rPr>
                <w:rFonts w:hint="default"/>
              </w:rPr>
              <w:t>备案）文号（选填）</w:t>
            </w:r>
          </w:p>
        </w:tc>
        <w:tc>
          <w:tcPr>
            <w:tcW w:w="1630" w:type="pct"/>
            <w:vAlign w:val="center"/>
          </w:tcPr>
          <w:p w14:paraId="39275E1A">
            <w:pPr>
              <w:pStyle w:val="32"/>
              <w:keepNext w:val="0"/>
              <w:keepLines w:val="0"/>
              <w:suppressLineNumbers w:val="0"/>
              <w:bidi w:val="0"/>
              <w:spacing w:before="0" w:beforeAutospacing="0" w:after="0" w:afterAutospacing="0"/>
              <w:ind w:left="0" w:right="0"/>
              <w:rPr>
                <w:rFonts w:hint="default"/>
              </w:rPr>
            </w:pPr>
            <w:r>
              <w:rPr>
                <w:rFonts w:hint="eastAsia"/>
                <w:lang w:val="en-US" w:eastAsia="zh-CN"/>
              </w:rPr>
              <w:t>无</w:t>
            </w:r>
          </w:p>
        </w:tc>
      </w:tr>
      <w:tr w14:paraId="16E5385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73" w:type="pct"/>
            <w:tcMar>
              <w:top w:w="16" w:type="dxa"/>
              <w:left w:w="16" w:type="dxa"/>
              <w:right w:w="16" w:type="dxa"/>
            </w:tcMar>
            <w:vAlign w:val="center"/>
          </w:tcPr>
          <w:p w14:paraId="1D4CA3E4">
            <w:pPr>
              <w:pStyle w:val="32"/>
              <w:keepNext w:val="0"/>
              <w:keepLines w:val="0"/>
              <w:suppressLineNumbers w:val="0"/>
              <w:bidi w:val="0"/>
              <w:spacing w:before="0" w:beforeAutospacing="0" w:after="0" w:afterAutospacing="0"/>
              <w:ind w:left="0" w:right="0"/>
              <w:rPr>
                <w:rFonts w:hint="default"/>
              </w:rPr>
            </w:pPr>
            <w:r>
              <w:rPr>
                <w:rFonts w:hint="default"/>
              </w:rPr>
              <w:t>总投资</w:t>
            </w:r>
          </w:p>
          <w:p w14:paraId="4ECA1B62">
            <w:pPr>
              <w:pStyle w:val="32"/>
              <w:keepNext w:val="0"/>
              <w:keepLines w:val="0"/>
              <w:suppressLineNumbers w:val="0"/>
              <w:bidi w:val="0"/>
              <w:spacing w:before="0" w:beforeAutospacing="0" w:after="0" w:afterAutospacing="0"/>
              <w:ind w:left="0" w:right="0"/>
              <w:rPr>
                <w:rFonts w:hint="default"/>
              </w:rPr>
            </w:pPr>
            <w:r>
              <w:rPr>
                <w:rFonts w:hint="default"/>
              </w:rPr>
              <w:t>（万元）</w:t>
            </w:r>
          </w:p>
        </w:tc>
        <w:tc>
          <w:tcPr>
            <w:tcW w:w="1509" w:type="pct"/>
            <w:shd w:val="clear" w:color="auto" w:fill="auto"/>
            <w:vAlign w:val="center"/>
          </w:tcPr>
          <w:p w14:paraId="4F144C12">
            <w:pPr>
              <w:pStyle w:val="32"/>
              <w:keepNext w:val="0"/>
              <w:keepLines w:val="0"/>
              <w:suppressLineNumbers w:val="0"/>
              <w:bidi w:val="0"/>
              <w:spacing w:before="0" w:beforeAutospacing="0" w:after="0" w:afterAutospacing="0"/>
              <w:ind w:left="0" w:right="0"/>
              <w:rPr>
                <w:rFonts w:hint="default"/>
                <w:lang w:val="en-US" w:eastAsia="zh-CN"/>
              </w:rPr>
            </w:pPr>
            <w:r>
              <w:rPr>
                <w:rFonts w:hint="eastAsia"/>
                <w:lang w:val="en-US" w:eastAsia="zh-CN"/>
              </w:rPr>
              <w:t>450.00</w:t>
            </w:r>
          </w:p>
        </w:tc>
        <w:tc>
          <w:tcPr>
            <w:tcW w:w="1086" w:type="pct"/>
            <w:shd w:val="clear" w:color="auto" w:fill="auto"/>
            <w:tcMar>
              <w:top w:w="16" w:type="dxa"/>
              <w:left w:w="16" w:type="dxa"/>
              <w:right w:w="16" w:type="dxa"/>
            </w:tcMar>
            <w:vAlign w:val="center"/>
          </w:tcPr>
          <w:p w14:paraId="10B27999">
            <w:pPr>
              <w:pStyle w:val="32"/>
              <w:keepNext w:val="0"/>
              <w:keepLines w:val="0"/>
              <w:suppressLineNumbers w:val="0"/>
              <w:bidi w:val="0"/>
              <w:spacing w:before="0" w:beforeAutospacing="0" w:after="0" w:afterAutospacing="0"/>
              <w:ind w:left="0" w:right="0"/>
              <w:rPr>
                <w:rFonts w:hint="default"/>
              </w:rPr>
            </w:pPr>
            <w:r>
              <w:rPr>
                <w:rFonts w:hint="default"/>
              </w:rPr>
              <w:t>环保投资（万元）</w:t>
            </w:r>
          </w:p>
        </w:tc>
        <w:tc>
          <w:tcPr>
            <w:tcW w:w="1630" w:type="pct"/>
            <w:shd w:val="clear" w:color="auto" w:fill="auto"/>
            <w:vAlign w:val="center"/>
          </w:tcPr>
          <w:p w14:paraId="4CBF10B8">
            <w:pPr>
              <w:pStyle w:val="32"/>
              <w:keepNext w:val="0"/>
              <w:keepLines w:val="0"/>
              <w:suppressLineNumbers w:val="0"/>
              <w:bidi w:val="0"/>
              <w:spacing w:before="0" w:beforeAutospacing="0" w:after="0" w:afterAutospacing="0"/>
              <w:ind w:left="0" w:right="0"/>
              <w:rPr>
                <w:rFonts w:hint="default"/>
                <w:lang w:val="en-US" w:eastAsia="zh-CN"/>
              </w:rPr>
            </w:pPr>
            <w:r>
              <w:rPr>
                <w:rFonts w:hint="eastAsia"/>
                <w:lang w:val="en-US" w:eastAsia="zh-CN"/>
              </w:rPr>
              <w:t>35.00</w:t>
            </w:r>
          </w:p>
        </w:tc>
      </w:tr>
      <w:tr w14:paraId="1455B6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73" w:type="pct"/>
            <w:tcMar>
              <w:top w:w="16" w:type="dxa"/>
              <w:left w:w="16" w:type="dxa"/>
              <w:right w:w="16" w:type="dxa"/>
            </w:tcMar>
            <w:vAlign w:val="center"/>
          </w:tcPr>
          <w:p w14:paraId="0F631B0C">
            <w:pPr>
              <w:pStyle w:val="32"/>
              <w:keepNext w:val="0"/>
              <w:keepLines w:val="0"/>
              <w:suppressLineNumbers w:val="0"/>
              <w:bidi w:val="0"/>
              <w:spacing w:before="0" w:beforeAutospacing="0" w:after="0" w:afterAutospacing="0"/>
              <w:ind w:left="0" w:right="0"/>
              <w:rPr>
                <w:rFonts w:hint="default"/>
              </w:rPr>
            </w:pPr>
            <w:r>
              <w:rPr>
                <w:rFonts w:hint="default"/>
              </w:rPr>
              <w:t>环保投资</w:t>
            </w:r>
          </w:p>
          <w:p w14:paraId="393184BD">
            <w:pPr>
              <w:pStyle w:val="32"/>
              <w:keepNext w:val="0"/>
              <w:keepLines w:val="0"/>
              <w:suppressLineNumbers w:val="0"/>
              <w:bidi w:val="0"/>
              <w:spacing w:before="0" w:beforeAutospacing="0" w:after="0" w:afterAutospacing="0"/>
              <w:ind w:left="0" w:right="0"/>
              <w:rPr>
                <w:rFonts w:hint="default"/>
              </w:rPr>
            </w:pPr>
            <w:r>
              <w:rPr>
                <w:rFonts w:hint="default"/>
              </w:rPr>
              <w:t>占比（%）</w:t>
            </w:r>
          </w:p>
        </w:tc>
        <w:tc>
          <w:tcPr>
            <w:tcW w:w="1509" w:type="pct"/>
            <w:shd w:val="clear" w:color="auto" w:fill="auto"/>
            <w:vAlign w:val="center"/>
          </w:tcPr>
          <w:p w14:paraId="61D43A5C">
            <w:pPr>
              <w:pStyle w:val="32"/>
              <w:keepNext w:val="0"/>
              <w:keepLines w:val="0"/>
              <w:suppressLineNumbers w:val="0"/>
              <w:bidi w:val="0"/>
              <w:spacing w:before="0" w:beforeAutospacing="0" w:after="0" w:afterAutospacing="0"/>
              <w:ind w:left="0" w:right="0"/>
              <w:rPr>
                <w:rFonts w:hint="default"/>
                <w:lang w:val="en-US" w:eastAsia="zh-CN"/>
              </w:rPr>
            </w:pPr>
            <w:r>
              <w:rPr>
                <w:rFonts w:hint="eastAsia"/>
                <w:lang w:val="en-US" w:eastAsia="zh-CN"/>
              </w:rPr>
              <w:t>7.78</w:t>
            </w:r>
          </w:p>
        </w:tc>
        <w:tc>
          <w:tcPr>
            <w:tcW w:w="1086" w:type="pct"/>
            <w:shd w:val="clear" w:color="auto" w:fill="auto"/>
            <w:tcMar>
              <w:top w:w="16" w:type="dxa"/>
              <w:left w:w="16" w:type="dxa"/>
              <w:right w:w="16" w:type="dxa"/>
            </w:tcMar>
            <w:vAlign w:val="center"/>
          </w:tcPr>
          <w:p w14:paraId="6344B8B5">
            <w:pPr>
              <w:pStyle w:val="32"/>
              <w:keepNext w:val="0"/>
              <w:keepLines w:val="0"/>
              <w:suppressLineNumbers w:val="0"/>
              <w:bidi w:val="0"/>
              <w:spacing w:before="0" w:beforeAutospacing="0" w:after="0" w:afterAutospacing="0"/>
              <w:ind w:left="0" w:right="0"/>
              <w:rPr>
                <w:rFonts w:hint="default"/>
              </w:rPr>
            </w:pPr>
            <w:r>
              <w:rPr>
                <w:rFonts w:hint="default"/>
              </w:rPr>
              <w:t>施工工期</w:t>
            </w:r>
          </w:p>
        </w:tc>
        <w:tc>
          <w:tcPr>
            <w:tcW w:w="1630" w:type="pct"/>
            <w:shd w:val="clear" w:color="auto" w:fill="auto"/>
            <w:vAlign w:val="center"/>
          </w:tcPr>
          <w:p w14:paraId="5DC7A87C">
            <w:pPr>
              <w:pStyle w:val="32"/>
              <w:keepNext w:val="0"/>
              <w:keepLines w:val="0"/>
              <w:suppressLineNumbers w:val="0"/>
              <w:bidi w:val="0"/>
              <w:spacing w:before="0" w:beforeAutospacing="0" w:after="0" w:afterAutospacing="0"/>
              <w:ind w:left="0" w:right="0"/>
              <w:rPr>
                <w:rFonts w:hint="default"/>
              </w:rPr>
            </w:pPr>
            <w:r>
              <w:rPr>
                <w:rFonts w:hint="eastAsia"/>
                <w:lang w:val="en-US" w:eastAsia="zh-CN"/>
              </w:rPr>
              <w:t>2</w:t>
            </w:r>
            <w:r>
              <w:rPr>
                <w:rFonts w:hint="default"/>
              </w:rPr>
              <w:t>个月</w:t>
            </w:r>
          </w:p>
        </w:tc>
      </w:tr>
      <w:tr w14:paraId="393A961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73" w:type="pct"/>
            <w:tcMar>
              <w:top w:w="16" w:type="dxa"/>
              <w:left w:w="16" w:type="dxa"/>
              <w:right w:w="16" w:type="dxa"/>
            </w:tcMar>
            <w:vAlign w:val="center"/>
          </w:tcPr>
          <w:p w14:paraId="6B20712A">
            <w:pPr>
              <w:pStyle w:val="32"/>
              <w:keepNext w:val="0"/>
              <w:keepLines w:val="0"/>
              <w:suppressLineNumbers w:val="0"/>
              <w:bidi w:val="0"/>
              <w:spacing w:before="0" w:beforeAutospacing="0" w:after="0" w:afterAutospacing="0"/>
              <w:ind w:left="0" w:right="0"/>
              <w:rPr>
                <w:rFonts w:hint="default"/>
              </w:rPr>
            </w:pPr>
            <w:r>
              <w:rPr>
                <w:rFonts w:hint="default"/>
              </w:rPr>
              <w:t>是否开工</w:t>
            </w:r>
          </w:p>
          <w:p w14:paraId="315E71EF">
            <w:pPr>
              <w:pStyle w:val="32"/>
              <w:keepNext w:val="0"/>
              <w:keepLines w:val="0"/>
              <w:suppressLineNumbers w:val="0"/>
              <w:bidi w:val="0"/>
              <w:spacing w:before="0" w:beforeAutospacing="0" w:after="0" w:afterAutospacing="0"/>
              <w:ind w:left="0" w:right="0"/>
              <w:rPr>
                <w:rFonts w:hint="default"/>
              </w:rPr>
            </w:pPr>
            <w:r>
              <w:rPr>
                <w:rFonts w:hint="default"/>
              </w:rPr>
              <w:t>建设</w:t>
            </w:r>
          </w:p>
        </w:tc>
        <w:tc>
          <w:tcPr>
            <w:tcW w:w="1509" w:type="pct"/>
            <w:vAlign w:val="center"/>
          </w:tcPr>
          <w:p w14:paraId="51E152EE">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left"/>
              <w:textAlignment w:val="auto"/>
              <w:rPr>
                <w:rFonts w:hint="default"/>
                <w:color w:val="auto"/>
                <w:sz w:val="24"/>
                <w:highlight w:val="none"/>
              </w:rPr>
            </w:pPr>
            <w:r>
              <w:rPr>
                <w:rFonts w:hint="default"/>
                <w:b w:val="0"/>
                <w:bCs w:val="0"/>
                <w:color w:val="auto"/>
                <w:sz w:val="24"/>
                <w:highlight w:val="none"/>
              </w:rPr>
              <w:sym w:font="Wingdings" w:char="00FE"/>
            </w:r>
            <w:r>
              <w:rPr>
                <w:rFonts w:hint="default"/>
                <w:color w:val="auto"/>
                <w:sz w:val="24"/>
                <w:highlight w:val="none"/>
              </w:rPr>
              <w:t>否</w:t>
            </w:r>
          </w:p>
          <w:p w14:paraId="234D5F5D">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left"/>
              <w:textAlignment w:val="auto"/>
              <w:rPr>
                <w:rFonts w:hint="default" w:eastAsia="宋体"/>
                <w:color w:val="auto"/>
                <w:sz w:val="24"/>
                <w:highlight w:val="none"/>
                <w:lang w:val="en-US" w:eastAsia="zh-CN"/>
              </w:rPr>
            </w:pPr>
            <w:r>
              <w:rPr>
                <w:rFonts w:hint="default"/>
                <w:b w:val="0"/>
                <w:bCs w:val="0"/>
                <w:color w:val="auto"/>
                <w:sz w:val="24"/>
                <w:highlight w:val="none"/>
              </w:rPr>
              <w:sym w:font="Wingdings" w:char="00A8"/>
            </w:r>
            <w:r>
              <w:rPr>
                <w:rFonts w:hint="default"/>
                <w:color w:val="auto"/>
                <w:sz w:val="24"/>
                <w:highlight w:val="none"/>
              </w:rPr>
              <w:t>是：</w:t>
            </w:r>
          </w:p>
        </w:tc>
        <w:tc>
          <w:tcPr>
            <w:tcW w:w="1086" w:type="pct"/>
            <w:vAlign w:val="center"/>
          </w:tcPr>
          <w:p w14:paraId="2EBD3748">
            <w:pPr>
              <w:pStyle w:val="32"/>
              <w:keepNext w:val="0"/>
              <w:keepLines w:val="0"/>
              <w:suppressLineNumbers w:val="0"/>
              <w:bidi w:val="0"/>
              <w:spacing w:before="0" w:beforeAutospacing="0" w:after="0" w:afterAutospacing="0"/>
              <w:ind w:left="0" w:right="0"/>
              <w:rPr>
                <w:rFonts w:hint="default"/>
              </w:rPr>
            </w:pPr>
            <w:r>
              <w:rPr>
                <w:rFonts w:hint="default"/>
              </w:rPr>
              <w:t>用地（用海）</w:t>
            </w:r>
          </w:p>
          <w:p w14:paraId="0A6E9E61">
            <w:pPr>
              <w:pStyle w:val="32"/>
              <w:keepNext w:val="0"/>
              <w:keepLines w:val="0"/>
              <w:suppressLineNumbers w:val="0"/>
              <w:bidi w:val="0"/>
              <w:spacing w:before="0" w:beforeAutospacing="0" w:after="0" w:afterAutospacing="0"/>
              <w:ind w:left="0" w:right="0"/>
              <w:rPr>
                <w:rFonts w:hint="default"/>
              </w:rPr>
            </w:pPr>
            <w:r>
              <w:rPr>
                <w:rFonts w:hint="default"/>
              </w:rPr>
              <w:t>面积（m</w:t>
            </w:r>
            <w:r>
              <w:rPr>
                <w:rFonts w:hint="default"/>
                <w:vertAlign w:val="superscript"/>
              </w:rPr>
              <w:t>2</w:t>
            </w:r>
            <w:r>
              <w:rPr>
                <w:rFonts w:hint="default"/>
              </w:rPr>
              <w:t>）</w:t>
            </w:r>
          </w:p>
        </w:tc>
        <w:tc>
          <w:tcPr>
            <w:tcW w:w="1630" w:type="pct"/>
            <w:vAlign w:val="center"/>
          </w:tcPr>
          <w:p w14:paraId="171BE488">
            <w:pPr>
              <w:pStyle w:val="32"/>
              <w:keepNext w:val="0"/>
              <w:keepLines w:val="0"/>
              <w:suppressLineNumbers w:val="0"/>
              <w:bidi w:val="0"/>
              <w:spacing w:before="0" w:beforeAutospacing="0" w:after="0" w:afterAutospacing="0"/>
              <w:ind w:left="0" w:right="0"/>
              <w:rPr>
                <w:rFonts w:hint="default"/>
                <w:lang w:val="en-US" w:eastAsia="zh-CN"/>
              </w:rPr>
            </w:pPr>
            <w:r>
              <w:rPr>
                <w:rFonts w:hint="eastAsia"/>
                <w:lang w:val="en-US" w:eastAsia="zh-CN"/>
              </w:rPr>
              <w:t>722.58</w:t>
            </w:r>
          </w:p>
        </w:tc>
      </w:tr>
      <w:tr w14:paraId="4CEDB7C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73" w:type="pct"/>
            <w:vAlign w:val="center"/>
          </w:tcPr>
          <w:p w14:paraId="1BAA897E">
            <w:pPr>
              <w:pStyle w:val="32"/>
              <w:keepNext w:val="0"/>
              <w:keepLines w:val="0"/>
              <w:suppressLineNumbers w:val="0"/>
              <w:bidi w:val="0"/>
              <w:spacing w:before="0" w:beforeAutospacing="0" w:after="0" w:afterAutospacing="0"/>
              <w:ind w:left="0" w:right="0"/>
              <w:rPr>
                <w:rFonts w:hint="default"/>
              </w:rPr>
            </w:pPr>
            <w:r>
              <w:rPr>
                <w:rFonts w:hint="default"/>
              </w:rPr>
              <w:t>专项评价设置情况</w:t>
            </w:r>
          </w:p>
        </w:tc>
        <w:tc>
          <w:tcPr>
            <w:tcW w:w="4226" w:type="pct"/>
            <w:gridSpan w:val="3"/>
            <w:vAlign w:val="center"/>
          </w:tcPr>
          <w:p w14:paraId="0C7AF5E6">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eastAsia="宋体"/>
                <w:color w:val="auto"/>
                <w:kern w:val="0"/>
                <w:sz w:val="24"/>
                <w:highlight w:val="none"/>
                <w:lang w:val="en-US" w:eastAsia="zh-CN"/>
              </w:rPr>
            </w:pPr>
            <w:r>
              <w:rPr>
                <w:rFonts w:hint="eastAsia"/>
                <w:color w:val="auto"/>
                <w:kern w:val="0"/>
                <w:sz w:val="24"/>
                <w:highlight w:val="none"/>
                <w:lang w:val="en-US" w:eastAsia="zh-CN"/>
              </w:rPr>
              <w:t>无</w:t>
            </w:r>
          </w:p>
        </w:tc>
      </w:tr>
      <w:tr w14:paraId="5A7887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73" w:type="pct"/>
            <w:vAlign w:val="center"/>
          </w:tcPr>
          <w:p w14:paraId="4AE11075">
            <w:pPr>
              <w:pStyle w:val="32"/>
              <w:keepNext w:val="0"/>
              <w:keepLines w:val="0"/>
              <w:suppressLineNumbers w:val="0"/>
              <w:bidi w:val="0"/>
              <w:spacing w:before="0" w:beforeAutospacing="0" w:after="0" w:afterAutospacing="0"/>
              <w:ind w:left="0" w:right="0"/>
              <w:rPr>
                <w:rFonts w:hint="default"/>
              </w:rPr>
            </w:pPr>
            <w:r>
              <w:rPr>
                <w:rFonts w:hint="default"/>
              </w:rPr>
              <w:t>规划情况</w:t>
            </w:r>
          </w:p>
        </w:tc>
        <w:tc>
          <w:tcPr>
            <w:tcW w:w="4226" w:type="pct"/>
            <w:gridSpan w:val="3"/>
            <w:vAlign w:val="center"/>
          </w:tcPr>
          <w:p w14:paraId="3ACBFA11">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2" w:firstLineChars="200"/>
              <w:jc w:val="both"/>
              <w:textAlignment w:val="auto"/>
              <w:rPr>
                <w:rFonts w:hint="eastAsia"/>
                <w:color w:val="auto"/>
                <w:sz w:val="24"/>
                <w:highlight w:val="none"/>
                <w:lang w:val="en-US" w:eastAsia="zh-CN"/>
              </w:rPr>
            </w:pPr>
            <w:r>
              <w:rPr>
                <w:rFonts w:hint="eastAsia"/>
                <w:b/>
                <w:bCs/>
                <w:color w:val="auto"/>
                <w:sz w:val="24"/>
                <w:highlight w:val="none"/>
                <w:lang w:val="en-US" w:eastAsia="zh-CN"/>
              </w:rPr>
              <w:t>1、《海淀分区规划（国土空间规划）（2017年-2035年）》；</w:t>
            </w:r>
          </w:p>
          <w:p w14:paraId="212E1A2D">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both"/>
              <w:textAlignment w:val="auto"/>
              <w:rPr>
                <w:rFonts w:hint="eastAsia"/>
                <w:color w:val="auto"/>
                <w:sz w:val="24"/>
                <w:highlight w:val="none"/>
                <w:lang w:val="en-US" w:eastAsia="zh-CN"/>
              </w:rPr>
            </w:pPr>
            <w:r>
              <w:rPr>
                <w:rFonts w:hint="eastAsia"/>
                <w:color w:val="auto"/>
                <w:sz w:val="24"/>
                <w:highlight w:val="none"/>
                <w:lang w:val="en-US" w:eastAsia="zh-CN"/>
              </w:rPr>
              <w:t>审批机关：北京市人民政府</w:t>
            </w:r>
          </w:p>
          <w:p w14:paraId="370074F0">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both"/>
              <w:textAlignment w:val="auto"/>
              <w:rPr>
                <w:rFonts w:hint="eastAsia"/>
                <w:color w:val="auto"/>
                <w:sz w:val="24"/>
                <w:highlight w:val="none"/>
                <w:lang w:val="en-US" w:eastAsia="zh-CN"/>
              </w:rPr>
            </w:pPr>
            <w:r>
              <w:rPr>
                <w:rFonts w:hint="eastAsia"/>
                <w:color w:val="auto"/>
                <w:sz w:val="24"/>
                <w:highlight w:val="none"/>
                <w:lang w:val="en-US" w:eastAsia="zh-CN"/>
              </w:rPr>
              <w:t>审批文件名称：北京市人民政府关于对《海淀分区规划（国土空间规划）（2017年—2035年）》的批复（2019.11.20）</w:t>
            </w:r>
          </w:p>
          <w:p w14:paraId="3D2302FA">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2" w:firstLineChars="200"/>
              <w:jc w:val="both"/>
              <w:textAlignment w:val="auto"/>
              <w:rPr>
                <w:rFonts w:hint="eastAsia"/>
                <w:color w:val="auto"/>
                <w:sz w:val="24"/>
                <w:highlight w:val="none"/>
                <w:lang w:val="en-US" w:eastAsia="zh-CN"/>
              </w:rPr>
            </w:pPr>
            <w:r>
              <w:rPr>
                <w:rFonts w:hint="eastAsia"/>
                <w:b/>
                <w:bCs/>
                <w:color w:val="auto"/>
                <w:sz w:val="24"/>
                <w:highlight w:val="none"/>
                <w:lang w:val="en-US" w:eastAsia="zh-CN"/>
              </w:rPr>
              <w:t>2、《落实“三区三线”〈海淀分区规划（国土空间规划）（2017年-2035年）〉修改成果》；</w:t>
            </w:r>
          </w:p>
          <w:p w14:paraId="5AB3B473">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both"/>
              <w:textAlignment w:val="auto"/>
              <w:rPr>
                <w:rFonts w:hint="eastAsia"/>
                <w:color w:val="auto"/>
                <w:sz w:val="24"/>
                <w:highlight w:val="none"/>
                <w:lang w:val="en-US" w:eastAsia="zh-CN"/>
              </w:rPr>
            </w:pPr>
            <w:r>
              <w:rPr>
                <w:rFonts w:hint="eastAsia"/>
                <w:color w:val="auto"/>
                <w:sz w:val="24"/>
                <w:highlight w:val="none"/>
                <w:lang w:val="en-US" w:eastAsia="zh-CN"/>
              </w:rPr>
              <w:t>审批机关：北京市人民政府</w:t>
            </w:r>
          </w:p>
          <w:p w14:paraId="73F1DCC2">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both"/>
              <w:textAlignment w:val="auto"/>
              <w:rPr>
                <w:rFonts w:hint="default"/>
                <w:color w:val="auto"/>
                <w:sz w:val="24"/>
                <w:highlight w:val="none"/>
                <w:lang w:val="en-US" w:eastAsia="zh-CN"/>
              </w:rPr>
            </w:pPr>
            <w:r>
              <w:rPr>
                <w:rFonts w:hint="eastAsia"/>
                <w:color w:val="auto"/>
                <w:sz w:val="24"/>
                <w:highlight w:val="none"/>
                <w:lang w:val="en-US" w:eastAsia="zh-CN"/>
              </w:rPr>
              <w:t>审批文件名称：《北京市人民政府关于对朝阳等13个区分区规划及亦庄新城规划修改方案的批复》（2023.3.25）</w:t>
            </w:r>
          </w:p>
        </w:tc>
      </w:tr>
      <w:tr w14:paraId="386F8E1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73" w:type="pct"/>
            <w:vAlign w:val="center"/>
          </w:tcPr>
          <w:p w14:paraId="14747A92">
            <w:pPr>
              <w:pStyle w:val="32"/>
              <w:keepNext w:val="0"/>
              <w:keepLines w:val="0"/>
              <w:suppressLineNumbers w:val="0"/>
              <w:bidi w:val="0"/>
              <w:spacing w:before="0" w:beforeAutospacing="0" w:after="0" w:afterAutospacing="0"/>
              <w:ind w:left="0" w:right="0"/>
              <w:rPr>
                <w:rFonts w:hint="default"/>
              </w:rPr>
            </w:pPr>
            <w:r>
              <w:rPr>
                <w:rFonts w:hint="default"/>
              </w:rPr>
              <w:t>规划环境影响评价情况</w:t>
            </w:r>
          </w:p>
        </w:tc>
        <w:tc>
          <w:tcPr>
            <w:tcW w:w="4226" w:type="pct"/>
            <w:gridSpan w:val="3"/>
            <w:vAlign w:val="center"/>
          </w:tcPr>
          <w:p w14:paraId="0C0BB602">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0"/>
                <w:sz w:val="24"/>
                <w:highlight w:val="none"/>
                <w:lang w:val="en-US" w:eastAsia="zh-CN" w:bidi="ar"/>
              </w:rPr>
            </w:pPr>
            <w:r>
              <w:rPr>
                <w:rFonts w:hint="eastAsia" w:cs="Times New Roman"/>
                <w:color w:val="auto"/>
                <w:sz w:val="24"/>
                <w:highlight w:val="none"/>
                <w:lang w:val="en-US" w:eastAsia="zh-CN"/>
              </w:rPr>
              <w:t>无</w:t>
            </w:r>
          </w:p>
        </w:tc>
      </w:tr>
      <w:tr w14:paraId="79A7F9A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73" w:type="pct"/>
            <w:vAlign w:val="center"/>
          </w:tcPr>
          <w:p w14:paraId="1CD907CB">
            <w:pPr>
              <w:pStyle w:val="32"/>
              <w:keepNext w:val="0"/>
              <w:keepLines w:val="0"/>
              <w:suppressLineNumbers w:val="0"/>
              <w:bidi w:val="0"/>
              <w:spacing w:before="0" w:beforeAutospacing="0" w:after="0" w:afterAutospacing="0"/>
              <w:ind w:left="0" w:right="0"/>
              <w:rPr>
                <w:rFonts w:hint="default"/>
              </w:rPr>
            </w:pPr>
            <w:r>
              <w:rPr>
                <w:rFonts w:hint="default"/>
              </w:rPr>
              <w:t>规划及规划环境影响评价符合性分析</w:t>
            </w:r>
          </w:p>
        </w:tc>
        <w:tc>
          <w:tcPr>
            <w:tcW w:w="4226" w:type="pct"/>
            <w:gridSpan w:val="3"/>
            <w:vAlign w:val="center"/>
          </w:tcPr>
          <w:p w14:paraId="17136C6F">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2" w:firstLineChars="200"/>
              <w:jc w:val="both"/>
              <w:textAlignment w:val="auto"/>
              <w:rPr>
                <w:rFonts w:hint="eastAsia" w:cs="Times New Roman"/>
                <w:color w:val="auto"/>
                <w:sz w:val="24"/>
                <w:highlight w:val="none"/>
                <w:lang w:val="en-US" w:eastAsia="zh-CN"/>
              </w:rPr>
            </w:pPr>
            <w:r>
              <w:rPr>
                <w:rFonts w:hint="eastAsia" w:cs="Times New Roman"/>
                <w:b/>
                <w:bCs/>
                <w:color w:val="auto"/>
                <w:sz w:val="24"/>
                <w:highlight w:val="none"/>
                <w:lang w:val="en-US" w:eastAsia="zh-CN"/>
              </w:rPr>
              <w:t>1、与《海淀分区规划（国土空间规划）（2017年-2035年）》符合性分析</w:t>
            </w:r>
          </w:p>
          <w:p w14:paraId="40116DB9">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both"/>
              <w:textAlignment w:val="auto"/>
              <w:rPr>
                <w:rFonts w:hint="eastAsia" w:cs="Times New Roman"/>
                <w:color w:val="auto"/>
                <w:sz w:val="24"/>
                <w:highlight w:val="none"/>
                <w:lang w:val="en-US" w:eastAsia="zh-CN"/>
              </w:rPr>
            </w:pPr>
            <w:r>
              <w:rPr>
                <w:rFonts w:hint="eastAsia" w:cs="Times New Roman"/>
                <w:color w:val="auto"/>
                <w:sz w:val="24"/>
                <w:highlight w:val="none"/>
                <w:lang w:val="en-US" w:eastAsia="zh-CN"/>
              </w:rPr>
              <w:t>《海淀分区规划（国土空间规划）（2017年-2035年）》明确指出：构建覆盖城乡、服务均等的健康服务体系，以人民健康为中心，推动医疗服务高质量发展。健全完善覆盖全人群、全方位、全周期的健康服务链条，满足多层次、多元化的卫生健康服务需求。以儿童健康、重点专科、中医及基层医疗卫生服务为重点，优化资源结构。</w:t>
            </w:r>
          </w:p>
          <w:p w14:paraId="734954F7">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both"/>
              <w:textAlignment w:val="auto"/>
              <w:rPr>
                <w:rFonts w:hint="eastAsia" w:cs="Times New Roman"/>
                <w:color w:val="auto"/>
                <w:sz w:val="24"/>
                <w:highlight w:val="none"/>
                <w:lang w:val="en-US" w:eastAsia="zh-CN"/>
              </w:rPr>
            </w:pPr>
            <w:r>
              <w:rPr>
                <w:rFonts w:hint="eastAsia" w:cs="Times New Roman"/>
                <w:color w:val="auto"/>
                <w:sz w:val="24"/>
                <w:highlight w:val="none"/>
                <w:lang w:val="en-US" w:eastAsia="zh-CN"/>
              </w:rPr>
              <w:t>本项目为中医医院，属于中医及基层医疗卫生服务行业，项目建设符合海淀分区规划。</w:t>
            </w:r>
          </w:p>
          <w:p w14:paraId="317460E6">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2" w:firstLineChars="200"/>
              <w:jc w:val="both"/>
              <w:textAlignment w:val="auto"/>
              <w:rPr>
                <w:rFonts w:hint="eastAsia" w:cs="Times New Roman"/>
                <w:color w:val="auto"/>
                <w:sz w:val="24"/>
                <w:highlight w:val="none"/>
                <w:lang w:val="en-US" w:eastAsia="zh-CN"/>
              </w:rPr>
            </w:pPr>
            <w:r>
              <w:rPr>
                <w:rFonts w:hint="eastAsia" w:cs="Times New Roman"/>
                <w:b/>
                <w:bCs/>
                <w:color w:val="auto"/>
                <w:sz w:val="24"/>
                <w:highlight w:val="none"/>
                <w:lang w:val="en-US" w:eastAsia="zh-CN"/>
              </w:rPr>
              <w:t>2、与《落实“三区三线”〈海淀分区规划（国土空间规划）（2017年-2035年）〉修改成果》符合性分析</w:t>
            </w:r>
          </w:p>
          <w:p w14:paraId="3609E82B">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both"/>
              <w:textAlignment w:val="auto"/>
              <w:rPr>
                <w:rFonts w:hint="eastAsia" w:cs="Times New Roman"/>
                <w:color w:val="auto"/>
                <w:sz w:val="24"/>
                <w:highlight w:val="none"/>
                <w:lang w:val="en-US" w:eastAsia="zh-CN"/>
              </w:rPr>
            </w:pPr>
            <w:r>
              <w:rPr>
                <w:rFonts w:hint="eastAsia" w:cs="Times New Roman"/>
                <w:color w:val="auto"/>
                <w:sz w:val="24"/>
                <w:highlight w:val="none"/>
                <w:lang w:val="en-US" w:eastAsia="zh-CN"/>
              </w:rPr>
              <w:t>《海淀分区规划（国土空间规划）（2017年-2035年）》文本修改成果内容包括：第五章第一节第60条，“生态保护红线面积不低于19.1平方公里，约占全区土地总面积的4.4%”，修改为“生态保护红线面积不低于29.7平方公里，约占全区土地总面积的6.9%”。</w:t>
            </w:r>
          </w:p>
          <w:p w14:paraId="3024BF15">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both"/>
              <w:textAlignment w:val="auto"/>
              <w:rPr>
                <w:rFonts w:hint="eastAsia" w:cs="Times New Roman"/>
                <w:color w:val="auto"/>
                <w:sz w:val="24"/>
                <w:highlight w:val="none"/>
                <w:lang w:val="en-US" w:eastAsia="zh-CN"/>
              </w:rPr>
            </w:pPr>
            <w:r>
              <w:rPr>
                <w:rFonts w:hint="eastAsia" w:cs="Times New Roman"/>
                <w:color w:val="auto"/>
                <w:sz w:val="24"/>
                <w:highlight w:val="none"/>
                <w:lang w:val="en-US" w:eastAsia="zh-CN"/>
              </w:rPr>
              <w:t>本项目不涉及生态保护红线，符合落实“三区三线”《海淀分区规划（国土空间规划）（2017年—2035年）》修改成果及其批复的要求。</w:t>
            </w:r>
          </w:p>
          <w:p w14:paraId="51020A29">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both"/>
              <w:textAlignment w:val="auto"/>
              <w:rPr>
                <w:rFonts w:hint="eastAsia" w:cs="Times New Roman"/>
                <w:color w:val="auto"/>
                <w:sz w:val="24"/>
                <w:highlight w:val="none"/>
                <w:lang w:val="en-US" w:eastAsia="zh-CN"/>
              </w:rPr>
            </w:pPr>
            <w:r>
              <w:rPr>
                <w:rFonts w:hint="eastAsia" w:cs="Times New Roman"/>
                <w:color w:val="auto"/>
                <w:sz w:val="24"/>
                <w:highlight w:val="none"/>
                <w:lang w:val="en-US" w:eastAsia="zh-CN"/>
              </w:rPr>
              <w:t>本项目与两线三区规划图（修改后）、国土空间规划分区图（修改后）位置关系示意图如下。</w:t>
            </w:r>
          </w:p>
          <w:p w14:paraId="35D22920">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both"/>
              <w:textAlignment w:val="auto"/>
              <w:rPr>
                <w:rFonts w:hint="eastAsia" w:cs="Times New Roman"/>
                <w:color w:val="auto"/>
                <w:sz w:val="24"/>
                <w:highlight w:val="none"/>
                <w:lang w:val="en-US" w:eastAsia="zh-CN"/>
              </w:rPr>
            </w:pPr>
          </w:p>
          <w:p w14:paraId="268A91BB">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both"/>
              <w:textAlignment w:val="auto"/>
              <w:rPr>
                <w:rFonts w:hint="eastAsia" w:cs="Times New Roman"/>
                <w:color w:val="auto"/>
                <w:sz w:val="24"/>
                <w:highlight w:val="none"/>
                <w:lang w:val="en-US" w:eastAsia="zh-CN"/>
              </w:rPr>
            </w:pPr>
          </w:p>
          <w:p w14:paraId="6B99C7A4">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both"/>
              <w:textAlignment w:val="auto"/>
              <w:rPr>
                <w:rFonts w:hint="eastAsia" w:cs="Times New Roman"/>
                <w:color w:val="auto"/>
                <w:sz w:val="24"/>
                <w:highlight w:val="none"/>
                <w:lang w:val="en-US" w:eastAsia="zh-CN"/>
              </w:rPr>
            </w:pPr>
          </w:p>
          <w:p w14:paraId="63810599">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both"/>
              <w:textAlignment w:val="auto"/>
              <w:rPr>
                <w:rFonts w:hint="eastAsia" w:cs="Times New Roman"/>
                <w:color w:val="auto"/>
                <w:sz w:val="24"/>
                <w:highlight w:val="none"/>
                <w:lang w:val="en-US" w:eastAsia="zh-CN"/>
              </w:rPr>
            </w:pPr>
          </w:p>
          <w:p w14:paraId="140274CE">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both"/>
              <w:textAlignment w:val="auto"/>
              <w:rPr>
                <w:rFonts w:hint="eastAsia" w:cs="Times New Roman"/>
                <w:color w:val="auto"/>
                <w:sz w:val="24"/>
                <w:highlight w:val="none"/>
                <w:lang w:val="en-US" w:eastAsia="zh-CN"/>
              </w:rPr>
            </w:pPr>
          </w:p>
          <w:p w14:paraId="1537495A">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both"/>
              <w:textAlignment w:val="auto"/>
              <w:rPr>
                <w:rFonts w:hint="eastAsia" w:cs="Times New Roman"/>
                <w:color w:val="auto"/>
                <w:sz w:val="24"/>
                <w:highlight w:val="none"/>
                <w:lang w:val="en-US" w:eastAsia="zh-CN"/>
              </w:rPr>
            </w:pPr>
          </w:p>
          <w:p w14:paraId="510FDA5D">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both"/>
              <w:textAlignment w:val="auto"/>
              <w:rPr>
                <w:rFonts w:hint="eastAsia" w:cs="Times New Roman"/>
                <w:color w:val="auto"/>
                <w:sz w:val="24"/>
                <w:highlight w:val="none"/>
                <w:lang w:val="en-US" w:eastAsia="zh-CN"/>
              </w:rPr>
            </w:pPr>
          </w:p>
          <w:p w14:paraId="6B8B2839">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both"/>
              <w:textAlignment w:val="auto"/>
              <w:rPr>
                <w:rFonts w:hint="eastAsia" w:cs="Times New Roman"/>
                <w:color w:val="auto"/>
                <w:sz w:val="24"/>
                <w:highlight w:val="none"/>
                <w:lang w:val="en-US" w:eastAsia="zh-CN"/>
              </w:rPr>
            </w:pPr>
          </w:p>
          <w:p w14:paraId="75C7A83E">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both"/>
              <w:textAlignment w:val="auto"/>
              <w:rPr>
                <w:rFonts w:hint="eastAsia" w:cs="Times New Roman"/>
                <w:color w:val="auto"/>
                <w:sz w:val="24"/>
                <w:highlight w:val="none"/>
                <w:lang w:val="en-US" w:eastAsia="zh-CN"/>
              </w:rPr>
            </w:pPr>
          </w:p>
          <w:p w14:paraId="3B1BF85D">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0" w:firstLineChars="0"/>
              <w:jc w:val="center"/>
              <w:textAlignment w:val="auto"/>
              <w:rPr>
                <w:rFonts w:hint="eastAsia" w:cs="Times New Roman"/>
                <w:color w:val="auto"/>
                <w:sz w:val="24"/>
                <w:highlight w:val="none"/>
                <w:lang w:val="en-US" w:eastAsia="zh-CN"/>
              </w:rPr>
            </w:pPr>
            <w:r>
              <w:rPr>
                <w:rFonts w:hint="default"/>
                <w:sz w:val="24"/>
              </w:rPr>
              <mc:AlternateContent>
                <mc:Choice Requires="wps">
                  <w:drawing>
                    <wp:anchor distT="0" distB="0" distL="114300" distR="114300" simplePos="0" relativeHeight="251665408" behindDoc="0" locked="0" layoutInCell="1" allowOverlap="1">
                      <wp:simplePos x="0" y="0"/>
                      <wp:positionH relativeFrom="column">
                        <wp:posOffset>3954780</wp:posOffset>
                      </wp:positionH>
                      <wp:positionV relativeFrom="paragraph">
                        <wp:posOffset>3015615</wp:posOffset>
                      </wp:positionV>
                      <wp:extent cx="90170" cy="90170"/>
                      <wp:effectExtent l="12700" t="12700" r="30480" b="30480"/>
                      <wp:wrapNone/>
                      <wp:docPr id="47" name="椭圆 47"/>
                      <wp:cNvGraphicFramePr/>
                      <a:graphic xmlns:a="http://schemas.openxmlformats.org/drawingml/2006/main">
                        <a:graphicData uri="http://schemas.microsoft.com/office/word/2010/wordprocessingShape">
                          <wps:wsp>
                            <wps:cNvSpPr/>
                            <wps:spPr>
                              <a:xfrm>
                                <a:off x="0" y="0"/>
                                <a:ext cx="90170" cy="90170"/>
                              </a:xfrm>
                              <a:prstGeom prst="ellipse">
                                <a:avLst/>
                              </a:prstGeom>
                              <a:solidFill>
                                <a:schemeClr val="tx1"/>
                              </a:solid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311.4pt;margin-top:237.45pt;height:7.1pt;width:7.1pt;z-index:251665408;v-text-anchor:middle;mso-width-relative:page;mso-height-relative:page;" fillcolor="#000000 [3213]" filled="t" stroked="t" coordsize="21600,21600" o:gfxdata="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J8mMhdoAAAALAQAADwAAAAAAAAABACAAAAAiAAAAZHJzL2Rvd25yZXYueG1sUEsBAhQAFAAAAAgA&#10;h07iQOjZa75cAgAA3wQAAA4AAAAAAAAAAQAgAAAAKQEAAGRycy9lMm9Eb2MueG1sUEsFBgAAAAAG&#10;AAYAWQEAAPcFAAAAAA==&#10;">
                      <v:fill on="t" focussize="0,0"/>
                      <v:stroke weight="2pt" color="#000000 [3213]" joinstyle="round"/>
                      <v:imagedata o:title=""/>
                      <o:lock v:ext="edit" aspectratio="f"/>
                    </v:shape>
                  </w:pict>
                </mc:Fallback>
              </mc:AlternateContent>
            </w:r>
            <w:r>
              <w:rPr>
                <w:rFonts w:hint="default"/>
                <w:sz w:val="24"/>
              </w:rPr>
              <mc:AlternateContent>
                <mc:Choice Requires="wps">
                  <w:drawing>
                    <wp:anchor distT="0" distB="0" distL="114300" distR="114300" simplePos="0" relativeHeight="251666432" behindDoc="0" locked="0" layoutInCell="1" allowOverlap="1">
                      <wp:simplePos x="0" y="0"/>
                      <wp:positionH relativeFrom="column">
                        <wp:posOffset>3307080</wp:posOffset>
                      </wp:positionH>
                      <wp:positionV relativeFrom="paragraph">
                        <wp:posOffset>2237740</wp:posOffset>
                      </wp:positionV>
                      <wp:extent cx="828675" cy="332105"/>
                      <wp:effectExtent l="12700" t="12700" r="15875" b="474345"/>
                      <wp:wrapNone/>
                      <wp:docPr id="46" name="圆角矩形标注 46"/>
                      <wp:cNvGraphicFramePr/>
                      <a:graphic xmlns:a="http://schemas.openxmlformats.org/drawingml/2006/main">
                        <a:graphicData uri="http://schemas.microsoft.com/office/word/2010/wordprocessingShape">
                          <wps:wsp>
                            <wps:cNvSpPr/>
                            <wps:spPr>
                              <a:xfrm>
                                <a:off x="0" y="0"/>
                                <a:ext cx="828675" cy="332105"/>
                              </a:xfrm>
                              <a:prstGeom prst="wedgeRoundRectCallout">
                                <a:avLst>
                                  <a:gd name="adj1" fmla="val 33218"/>
                                  <a:gd name="adj2" fmla="val 188623"/>
                                  <a:gd name="adj3" fmla="val 16667"/>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2917F91A">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eastAsia="宋体"/>
                                      <w:sz w:val="21"/>
                                      <w:szCs w:val="21"/>
                                      <w:lang w:val="en-US" w:eastAsia="zh-CN"/>
                                    </w:rPr>
                                  </w:pPr>
                                  <w:r>
                                    <w:rPr>
                                      <w:rFonts w:hint="eastAsia"/>
                                      <w:b/>
                                      <w:bCs/>
                                      <w:color w:val="000000" w:themeColor="text1"/>
                                      <w:sz w:val="21"/>
                                      <w:szCs w:val="21"/>
                                      <w:lang w:val="en-US" w:eastAsia="zh-CN"/>
                                      <w14:textFill>
                                        <w14:solidFill>
                                          <w14:schemeClr w14:val="tx1"/>
                                        </w14:solidFill>
                                      </w14:textFill>
                                    </w:rPr>
                                    <w:t>项目位置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2" type="#_x0000_t62" style="position:absolute;left:0pt;margin-left:260.4pt;margin-top:176.2pt;height:26.15pt;width:65.25pt;z-index:251666432;v-text-anchor:middle;mso-width-relative:page;mso-height-relative:page;" filled="f" stroked="t" coordsize="21600,21600" o:gfxdata="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" adj="17975,51543,14400">
                      <v:fill on="f" focussize="0,0"/>
                      <v:stroke weight="2pt" color="#000000 [3213]" joinstyle="round"/>
                      <v:imagedata o:title=""/>
                      <o:lock v:ext="edit" aspectratio="f"/>
                      <v:textbox>
                        <w:txbxContent>
                          <w:p w14:paraId="2917F91A">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eastAsia="宋体"/>
                                <w:sz w:val="21"/>
                                <w:szCs w:val="21"/>
                                <w:lang w:val="en-US" w:eastAsia="zh-CN"/>
                              </w:rPr>
                            </w:pPr>
                            <w:r>
                              <w:rPr>
                                <w:rFonts w:hint="eastAsia"/>
                                <w:b/>
                                <w:bCs/>
                                <w:color w:val="000000" w:themeColor="text1"/>
                                <w:sz w:val="21"/>
                                <w:szCs w:val="21"/>
                                <w:lang w:val="en-US" w:eastAsia="zh-CN"/>
                                <w14:textFill>
                                  <w14:solidFill>
                                    <w14:schemeClr w14:val="tx1"/>
                                  </w14:solidFill>
                                </w14:textFill>
                              </w:rPr>
                              <w:t>项目位置</w:t>
                            </w:r>
                          </w:p>
                        </w:txbxContent>
                      </v:textbox>
                    </v:shape>
                  </w:pict>
                </mc:Fallback>
              </mc:AlternateContent>
            </w:r>
            <w:r>
              <w:rPr>
                <w:rFonts w:hint="eastAsia" w:eastAsia="宋体"/>
                <w:vertAlign w:val="baseline"/>
                <w:lang w:val="en-US" w:eastAsia="zh-CN"/>
              </w:rPr>
              <w:drawing>
                <wp:inline distT="0" distB="0" distL="114300" distR="114300">
                  <wp:extent cx="4679950" cy="6614160"/>
                  <wp:effectExtent l="0" t="0" r="6350" b="15240"/>
                  <wp:docPr id="7" name="图片 7" descr="国土空间分区修改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国土空间分区修改后"/>
                          <pic:cNvPicPr>
                            <a:picLocks noChangeAspect="1"/>
                          </pic:cNvPicPr>
                        </pic:nvPicPr>
                        <pic:blipFill>
                          <a:blip r:embed="rId11"/>
                          <a:stretch>
                            <a:fillRect/>
                          </a:stretch>
                        </pic:blipFill>
                        <pic:spPr>
                          <a:xfrm>
                            <a:off x="0" y="0"/>
                            <a:ext cx="4679950" cy="6614160"/>
                          </a:xfrm>
                          <a:prstGeom prst="rect">
                            <a:avLst/>
                          </a:prstGeom>
                        </pic:spPr>
                      </pic:pic>
                    </a:graphicData>
                  </a:graphic>
                </wp:inline>
              </w:drawing>
            </w:r>
          </w:p>
          <w:p w14:paraId="0E573A98">
            <w:pPr>
              <w:pStyle w:val="31"/>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图1-1 本项目与海淀分区规划（国土空间规划分区图）位置关系</w:t>
            </w:r>
          </w:p>
          <w:p w14:paraId="37CAB1D9">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both"/>
              <w:textAlignment w:val="auto"/>
              <w:rPr>
                <w:rFonts w:hint="eastAsia" w:cs="Times New Roman"/>
                <w:color w:val="auto"/>
                <w:sz w:val="24"/>
                <w:highlight w:val="none"/>
                <w:lang w:val="en-US" w:eastAsia="zh-CN"/>
              </w:rPr>
            </w:pPr>
          </w:p>
          <w:p w14:paraId="537FF307">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both"/>
              <w:textAlignment w:val="auto"/>
              <w:rPr>
                <w:rFonts w:hint="eastAsia" w:cs="Times New Roman"/>
                <w:color w:val="auto"/>
                <w:sz w:val="24"/>
                <w:highlight w:val="none"/>
                <w:lang w:val="en-US" w:eastAsia="zh-CN"/>
              </w:rPr>
            </w:pPr>
          </w:p>
          <w:p w14:paraId="11A1C245">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both"/>
              <w:textAlignment w:val="auto"/>
              <w:rPr>
                <w:rFonts w:hint="eastAsia" w:cs="Times New Roman"/>
                <w:color w:val="auto"/>
                <w:sz w:val="24"/>
                <w:highlight w:val="none"/>
                <w:lang w:val="en-US" w:eastAsia="zh-CN"/>
              </w:rPr>
            </w:pPr>
          </w:p>
          <w:p w14:paraId="335A6CEB">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both"/>
              <w:textAlignment w:val="auto"/>
              <w:rPr>
                <w:rFonts w:hint="eastAsia" w:cs="Times New Roman"/>
                <w:color w:val="auto"/>
                <w:sz w:val="24"/>
                <w:highlight w:val="none"/>
                <w:lang w:val="en-US" w:eastAsia="zh-CN"/>
              </w:rPr>
            </w:pPr>
          </w:p>
          <w:p w14:paraId="20C70A0E">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both"/>
              <w:textAlignment w:val="auto"/>
              <w:rPr>
                <w:rFonts w:hint="eastAsia" w:cs="Times New Roman"/>
                <w:color w:val="auto"/>
                <w:sz w:val="24"/>
                <w:highlight w:val="none"/>
                <w:lang w:val="en-US" w:eastAsia="zh-CN"/>
              </w:rPr>
            </w:pPr>
          </w:p>
          <w:p w14:paraId="097835BD">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both"/>
              <w:textAlignment w:val="auto"/>
              <w:rPr>
                <w:rFonts w:hint="eastAsia" w:cs="Times New Roman"/>
                <w:color w:val="auto"/>
                <w:sz w:val="24"/>
                <w:highlight w:val="none"/>
                <w:lang w:val="en-US" w:eastAsia="zh-CN"/>
              </w:rPr>
            </w:pPr>
          </w:p>
          <w:p w14:paraId="4A0ACECC">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both"/>
              <w:textAlignment w:val="auto"/>
              <w:rPr>
                <w:rFonts w:hint="eastAsia" w:cs="Times New Roman"/>
                <w:color w:val="auto"/>
                <w:sz w:val="24"/>
                <w:highlight w:val="none"/>
                <w:lang w:val="en-US" w:eastAsia="zh-CN"/>
              </w:rPr>
            </w:pPr>
          </w:p>
          <w:p w14:paraId="23B23EA8">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0" w:firstLineChars="0"/>
              <w:jc w:val="center"/>
              <w:textAlignment w:val="auto"/>
              <w:rPr>
                <w:rFonts w:hint="eastAsia" w:cs="Times New Roman"/>
                <w:color w:val="auto"/>
                <w:sz w:val="24"/>
                <w:highlight w:val="none"/>
                <w:lang w:val="en-US" w:eastAsia="zh-CN"/>
              </w:rPr>
            </w:pPr>
            <w:r>
              <w:rPr>
                <w:rFonts w:hint="default"/>
                <w:sz w:val="24"/>
              </w:rPr>
              <mc:AlternateContent>
                <mc:Choice Requires="wps">
                  <w:drawing>
                    <wp:anchor distT="0" distB="0" distL="114300" distR="114300" simplePos="0" relativeHeight="251667456" behindDoc="0" locked="0" layoutInCell="1" allowOverlap="1">
                      <wp:simplePos x="0" y="0"/>
                      <wp:positionH relativeFrom="column">
                        <wp:posOffset>3954780</wp:posOffset>
                      </wp:positionH>
                      <wp:positionV relativeFrom="paragraph">
                        <wp:posOffset>3015615</wp:posOffset>
                      </wp:positionV>
                      <wp:extent cx="90170" cy="90170"/>
                      <wp:effectExtent l="12700" t="12700" r="30480" b="30480"/>
                      <wp:wrapNone/>
                      <wp:docPr id="49" name="椭圆 49"/>
                      <wp:cNvGraphicFramePr/>
                      <a:graphic xmlns:a="http://schemas.openxmlformats.org/drawingml/2006/main">
                        <a:graphicData uri="http://schemas.microsoft.com/office/word/2010/wordprocessingShape">
                          <wps:wsp>
                            <wps:cNvSpPr/>
                            <wps:spPr>
                              <a:xfrm>
                                <a:off x="0" y="0"/>
                                <a:ext cx="90170" cy="90170"/>
                              </a:xfrm>
                              <a:prstGeom prst="ellipse">
                                <a:avLst/>
                              </a:prstGeom>
                              <a:solidFill>
                                <a:schemeClr val="tx1"/>
                              </a:solid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311.4pt;margin-top:237.45pt;height:7.1pt;width:7.1pt;z-index:251667456;v-text-anchor:middle;mso-width-relative:page;mso-height-relative:page;" fillcolor="#000000 [3213]" filled="t" stroked="t" coordsize="21600,21600" o:gfxdata="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An&#10;yYyF2gAAAAsBAAAPAAAAAAAAAAEAIAAAACIAAABkcnMvZG93bnJldi54bWxQSwECFAAUAAAACACH&#10;TuJAUIWG61sCAADfBAAADgAAAAAAAAABACAAAAApAQAAZHJzL2Uyb0RvYy54bWxQSwUGAAAAAAYA&#10;BgBZAQAA9gUAAAAA&#10;">
                      <v:fill on="t" focussize="0,0"/>
                      <v:stroke weight="2pt" color="#000000 [3213]" joinstyle="round"/>
                      <v:imagedata o:title=""/>
                      <o:lock v:ext="edit" aspectratio="f"/>
                    </v:shape>
                  </w:pict>
                </mc:Fallback>
              </mc:AlternateContent>
            </w:r>
            <w:r>
              <w:rPr>
                <w:rFonts w:hint="default"/>
                <w:sz w:val="24"/>
              </w:rPr>
              <mc:AlternateContent>
                <mc:Choice Requires="wps">
                  <w:drawing>
                    <wp:anchor distT="0" distB="0" distL="114300" distR="114300" simplePos="0" relativeHeight="251668480" behindDoc="0" locked="0" layoutInCell="1" allowOverlap="1">
                      <wp:simplePos x="0" y="0"/>
                      <wp:positionH relativeFrom="column">
                        <wp:posOffset>3307080</wp:posOffset>
                      </wp:positionH>
                      <wp:positionV relativeFrom="paragraph">
                        <wp:posOffset>2237740</wp:posOffset>
                      </wp:positionV>
                      <wp:extent cx="828675" cy="332105"/>
                      <wp:effectExtent l="12700" t="12700" r="15875" b="474345"/>
                      <wp:wrapNone/>
                      <wp:docPr id="50" name="圆角矩形标注 50"/>
                      <wp:cNvGraphicFramePr/>
                      <a:graphic xmlns:a="http://schemas.openxmlformats.org/drawingml/2006/main">
                        <a:graphicData uri="http://schemas.microsoft.com/office/word/2010/wordprocessingShape">
                          <wps:wsp>
                            <wps:cNvSpPr/>
                            <wps:spPr>
                              <a:xfrm>
                                <a:off x="0" y="0"/>
                                <a:ext cx="828675" cy="332105"/>
                              </a:xfrm>
                              <a:prstGeom prst="wedgeRoundRectCallout">
                                <a:avLst>
                                  <a:gd name="adj1" fmla="val 33218"/>
                                  <a:gd name="adj2" fmla="val 188623"/>
                                  <a:gd name="adj3" fmla="val 16667"/>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41DDB9D0">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eastAsia="宋体"/>
                                      <w:sz w:val="21"/>
                                      <w:szCs w:val="21"/>
                                      <w:lang w:val="en-US" w:eastAsia="zh-CN"/>
                                    </w:rPr>
                                  </w:pPr>
                                  <w:r>
                                    <w:rPr>
                                      <w:rFonts w:hint="eastAsia"/>
                                      <w:b/>
                                      <w:bCs/>
                                      <w:color w:val="000000" w:themeColor="text1"/>
                                      <w:sz w:val="21"/>
                                      <w:szCs w:val="21"/>
                                      <w:lang w:val="en-US" w:eastAsia="zh-CN"/>
                                      <w14:textFill>
                                        <w14:solidFill>
                                          <w14:schemeClr w14:val="tx1"/>
                                        </w14:solidFill>
                                      </w14:textFill>
                                    </w:rPr>
                                    <w:t>项目位置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2" type="#_x0000_t62" style="position:absolute;left:0pt;margin-left:260.4pt;margin-top:176.2pt;height:26.15pt;width:65.25pt;z-index:251668480;v-text-anchor:middle;mso-width-relative:page;mso-height-relative:page;" filled="f" stroked="t" coordsize="21600,21600" o:gfxdata="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" adj="17975,51543,14400">
                      <v:fill on="f" focussize="0,0"/>
                      <v:stroke weight="2pt" color="#000000 [3213]" joinstyle="round"/>
                      <v:imagedata o:title=""/>
                      <o:lock v:ext="edit" aspectratio="f"/>
                      <v:textbox>
                        <w:txbxContent>
                          <w:p w14:paraId="41DDB9D0">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eastAsia="宋体"/>
                                <w:sz w:val="21"/>
                                <w:szCs w:val="21"/>
                                <w:lang w:val="en-US" w:eastAsia="zh-CN"/>
                              </w:rPr>
                            </w:pPr>
                            <w:r>
                              <w:rPr>
                                <w:rFonts w:hint="eastAsia"/>
                                <w:b/>
                                <w:bCs/>
                                <w:color w:val="000000" w:themeColor="text1"/>
                                <w:sz w:val="21"/>
                                <w:szCs w:val="21"/>
                                <w:lang w:val="en-US" w:eastAsia="zh-CN"/>
                                <w14:textFill>
                                  <w14:solidFill>
                                    <w14:schemeClr w14:val="tx1"/>
                                  </w14:solidFill>
                                </w14:textFill>
                              </w:rPr>
                              <w:t>项目位置</w:t>
                            </w:r>
                          </w:p>
                        </w:txbxContent>
                      </v:textbox>
                    </v:shape>
                  </w:pict>
                </mc:Fallback>
              </mc:AlternateContent>
            </w:r>
            <w:r>
              <w:rPr>
                <w:rFonts w:hint="eastAsia" w:eastAsia="宋体"/>
                <w:vertAlign w:val="baseline"/>
                <w:lang w:val="en-US" w:eastAsia="zh-CN"/>
              </w:rPr>
              <w:drawing>
                <wp:inline distT="0" distB="0" distL="114300" distR="114300">
                  <wp:extent cx="4679950" cy="6614160"/>
                  <wp:effectExtent l="0" t="0" r="6350" b="15240"/>
                  <wp:docPr id="48" name="图片 48" descr="两线三区修改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descr="两线三区修改后"/>
                          <pic:cNvPicPr>
                            <a:picLocks noChangeAspect="1"/>
                          </pic:cNvPicPr>
                        </pic:nvPicPr>
                        <pic:blipFill>
                          <a:blip r:embed="rId12"/>
                          <a:stretch>
                            <a:fillRect/>
                          </a:stretch>
                        </pic:blipFill>
                        <pic:spPr>
                          <a:xfrm>
                            <a:off x="0" y="0"/>
                            <a:ext cx="4679950" cy="6614160"/>
                          </a:xfrm>
                          <a:prstGeom prst="rect">
                            <a:avLst/>
                          </a:prstGeom>
                        </pic:spPr>
                      </pic:pic>
                    </a:graphicData>
                  </a:graphic>
                </wp:inline>
              </w:drawing>
            </w:r>
          </w:p>
          <w:p w14:paraId="326F2DBC">
            <w:pPr>
              <w:pStyle w:val="31"/>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图1-2 本项目与海淀分区规划（两线三区规划图）位置关系</w:t>
            </w:r>
          </w:p>
          <w:p w14:paraId="49B373CB">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both"/>
              <w:textAlignment w:val="auto"/>
              <w:rPr>
                <w:rFonts w:hint="default" w:cs="Times New Roman"/>
                <w:color w:val="auto"/>
                <w:sz w:val="24"/>
                <w:highlight w:val="none"/>
                <w:lang w:val="en-US" w:eastAsia="zh-CN"/>
              </w:rPr>
            </w:pPr>
            <w:r>
              <w:rPr>
                <w:rStyle w:val="15"/>
                <w:rFonts w:hint="default"/>
                <w:lang w:val="en-US" w:eastAsia="zh-CN"/>
                <w:woUserID w:val="0"/>
              </w:rPr>
              <w:t>根据海淀分区规划，本项目位于城镇建设用地和集中建设区，符合《海淀分区规划（国土空间规划）（2017年-2035年）》修改成果要求。</w:t>
            </w:r>
          </w:p>
        </w:tc>
      </w:tr>
      <w:tr w14:paraId="3095337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73" w:type="pct"/>
            <w:vAlign w:val="center"/>
          </w:tcPr>
          <w:p w14:paraId="0DAA02C2">
            <w:pPr>
              <w:pStyle w:val="32"/>
              <w:keepNext w:val="0"/>
              <w:keepLines w:val="0"/>
              <w:suppressLineNumbers w:val="0"/>
              <w:bidi w:val="0"/>
              <w:spacing w:before="0" w:beforeAutospacing="0" w:after="0" w:afterAutospacing="0"/>
              <w:ind w:left="0" w:right="0"/>
              <w:rPr>
                <w:rFonts w:hint="default"/>
              </w:rPr>
            </w:pPr>
            <w:r>
              <w:rPr>
                <w:rFonts w:hint="default"/>
              </w:rPr>
              <w:t>其他符合性分析</w:t>
            </w:r>
          </w:p>
        </w:tc>
        <w:tc>
          <w:tcPr>
            <w:tcW w:w="4226" w:type="pct"/>
            <w:gridSpan w:val="3"/>
            <w:vAlign w:val="center"/>
          </w:tcPr>
          <w:p w14:paraId="0DB968C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rPr>
                <w:rFonts w:hint="eastAsia" w:ascii="Times New Roman" w:hAnsi="Times New Roman" w:eastAsia="宋体" w:cs="Times New Roman"/>
                <w:b/>
                <w:bCs/>
                <w:color w:val="auto"/>
                <w:kern w:val="0"/>
                <w:sz w:val="24"/>
                <w:highlight w:val="none"/>
                <w:lang w:val="en-US" w:eastAsia="zh-CN"/>
              </w:rPr>
            </w:pPr>
            <w:r>
              <w:rPr>
                <w:rFonts w:hint="eastAsia" w:cs="Times New Roman"/>
                <w:b/>
                <w:bCs/>
                <w:color w:val="auto"/>
                <w:kern w:val="0"/>
                <w:sz w:val="24"/>
                <w:highlight w:val="none"/>
                <w:lang w:val="en-US" w:eastAsia="zh-CN"/>
              </w:rPr>
              <w:t>1</w:t>
            </w:r>
            <w:r>
              <w:rPr>
                <w:rFonts w:hint="eastAsia" w:ascii="Times New Roman" w:hAnsi="Times New Roman" w:eastAsia="宋体" w:cs="Times New Roman"/>
                <w:b/>
                <w:bCs/>
                <w:color w:val="auto"/>
                <w:kern w:val="0"/>
                <w:sz w:val="24"/>
                <w:highlight w:val="none"/>
                <w:lang w:val="en-US" w:eastAsia="zh-CN"/>
              </w:rPr>
              <w:t>、产业政策符合性分析</w:t>
            </w:r>
          </w:p>
          <w:p w14:paraId="66B9DB8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cs="Times New Roman"/>
                <w:color w:val="auto"/>
                <w:kern w:val="0"/>
                <w:sz w:val="24"/>
                <w:highlight w:val="none"/>
                <w:lang w:val="en-US" w:eastAsia="zh-CN"/>
              </w:rPr>
            </w:pPr>
            <w:r>
              <w:rPr>
                <w:rFonts w:hint="eastAsia" w:cs="Times New Roman"/>
                <w:color w:val="auto"/>
                <w:kern w:val="0"/>
                <w:sz w:val="24"/>
                <w:highlight w:val="none"/>
                <w:lang w:val="en-US" w:eastAsia="zh-CN"/>
              </w:rPr>
              <w:t>本项目为中医</w:t>
            </w:r>
            <w:r>
              <w:rPr>
                <w:rFonts w:hint="eastAsia" w:ascii="Times New Roman" w:hAnsi="Times New Roman" w:eastAsia="宋体" w:cs="Times New Roman"/>
                <w:color w:val="auto"/>
                <w:kern w:val="0"/>
                <w:sz w:val="24"/>
                <w:highlight w:val="none"/>
                <w:lang w:val="en-US" w:eastAsia="zh-CN"/>
              </w:rPr>
              <w:t>医院，根据《国民经济行业分类》（GB/T4754-2017）及第1号修改单（自2019年3月29日起实施），本项目行业类别代码为“Q8412 中医医院”。</w:t>
            </w:r>
          </w:p>
          <w:p w14:paraId="6346046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auto"/>
                <w:kern w:val="0"/>
                <w:sz w:val="24"/>
                <w:highlight w:val="none"/>
                <w:lang w:val="en-US" w:eastAsia="zh-CN"/>
              </w:rPr>
            </w:pPr>
            <w:r>
              <w:rPr>
                <w:rFonts w:hint="eastAsia" w:cs="Times New Roman"/>
                <w:color w:val="auto"/>
                <w:kern w:val="0"/>
                <w:sz w:val="24"/>
                <w:highlight w:val="none"/>
                <w:lang w:val="en-US" w:eastAsia="zh-CN"/>
              </w:rPr>
              <w:t>（1）与国家产业政策符合性分析</w:t>
            </w:r>
          </w:p>
          <w:p w14:paraId="2A4F389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auto"/>
                <w:kern w:val="0"/>
                <w:sz w:val="24"/>
                <w:highlight w:val="none"/>
                <w:lang w:val="en-US" w:eastAsia="zh-CN"/>
              </w:rPr>
            </w:pPr>
            <w:r>
              <w:rPr>
                <w:rFonts w:hint="eastAsia" w:ascii="Times New Roman" w:hAnsi="Times New Roman" w:eastAsia="宋体" w:cs="Times New Roman"/>
                <w:color w:val="auto"/>
                <w:kern w:val="0"/>
                <w:sz w:val="24"/>
                <w:highlight w:val="none"/>
                <w:lang w:val="en-US" w:eastAsia="zh-CN"/>
              </w:rPr>
              <w:t>根据《产业结构调整指导目录（2024年本）》（中华人民共和国国家发展和改革委员会令第7号），本项目属于“三十七、卫生健康</w:t>
            </w:r>
            <w:r>
              <w:rPr>
                <w:rFonts w:hint="eastAsia" w:cs="Times New Roman"/>
                <w:color w:val="auto"/>
                <w:kern w:val="0"/>
                <w:sz w:val="24"/>
                <w:highlight w:val="none"/>
                <w:lang w:val="en-US" w:eastAsia="zh-CN"/>
              </w:rPr>
              <w:t>”中</w:t>
            </w:r>
            <w:r>
              <w:rPr>
                <w:rFonts w:hint="eastAsia" w:ascii="Times New Roman" w:hAnsi="Times New Roman" w:eastAsia="宋体" w:cs="Times New Roman"/>
                <w:color w:val="auto"/>
                <w:kern w:val="0"/>
                <w:sz w:val="24"/>
                <w:highlight w:val="none"/>
                <w:lang w:val="en-US" w:eastAsia="zh-CN"/>
              </w:rPr>
              <w:t>的医疗卫生服务设施建设，属于指导目录中“鼓励类</w:t>
            </w:r>
            <w:r>
              <w:rPr>
                <w:rFonts w:hint="eastAsia" w:cs="Times New Roman"/>
                <w:color w:val="auto"/>
                <w:kern w:val="0"/>
                <w:sz w:val="24"/>
                <w:highlight w:val="none"/>
                <w:lang w:val="en-US" w:eastAsia="zh-CN"/>
              </w:rPr>
              <w:t>”项目</w:t>
            </w:r>
            <w:r>
              <w:rPr>
                <w:rFonts w:hint="eastAsia" w:ascii="Times New Roman" w:hAnsi="Times New Roman" w:eastAsia="宋体" w:cs="Times New Roman"/>
                <w:color w:val="auto"/>
                <w:kern w:val="0"/>
                <w:sz w:val="24"/>
                <w:highlight w:val="none"/>
                <w:lang w:val="en-US" w:eastAsia="zh-CN"/>
              </w:rPr>
              <w:t>；根据《市场准入负面清单（2025年版）》，本项目不属于清单中禁止和许可两类事项。综上，本项目建设符合国家产业政策的要求。</w:t>
            </w:r>
          </w:p>
          <w:p w14:paraId="64D104B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auto"/>
                <w:kern w:val="0"/>
                <w:sz w:val="24"/>
                <w:highlight w:val="none"/>
                <w:lang w:val="en-US" w:eastAsia="zh-CN"/>
              </w:rPr>
            </w:pPr>
            <w:r>
              <w:rPr>
                <w:rFonts w:hint="eastAsia" w:cs="Times New Roman"/>
                <w:color w:val="auto"/>
                <w:kern w:val="0"/>
                <w:sz w:val="24"/>
                <w:highlight w:val="none"/>
                <w:lang w:val="en-US" w:eastAsia="zh-CN"/>
              </w:rPr>
              <w:t>（2）与北京市产业政策符合性分析</w:t>
            </w:r>
          </w:p>
          <w:p w14:paraId="46909A5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Times New Roman" w:hAnsi="Times New Roman" w:eastAsia="宋体" w:cs="Times New Roman"/>
                <w:color w:val="auto"/>
                <w:kern w:val="0"/>
                <w:sz w:val="24"/>
                <w:highlight w:val="none"/>
                <w:lang w:val="en-US" w:eastAsia="zh-CN"/>
              </w:rPr>
            </w:pPr>
            <w:r>
              <w:rPr>
                <w:rFonts w:hint="eastAsia" w:ascii="Times New Roman" w:hAnsi="Times New Roman" w:eastAsia="宋体" w:cs="Times New Roman"/>
                <w:color w:val="auto"/>
                <w:kern w:val="0"/>
                <w:sz w:val="24"/>
                <w:highlight w:val="none"/>
                <w:lang w:val="en-US" w:eastAsia="zh-CN"/>
              </w:rPr>
              <w:t>根据《北京市人民政府办公厅关于印发市发展改革委等部门制定的〈北京市新增产业的禁止和限制目录（2022年版）〉的通知》（京政办发[2022]5号），目录中规定：“（84）卫生，朝阳区、海淀区、</w:t>
            </w:r>
            <w:r>
              <w:rPr>
                <w:rFonts w:hint="eastAsia" w:cs="Times New Roman"/>
                <w:color w:val="auto"/>
                <w:kern w:val="0"/>
                <w:sz w:val="24"/>
                <w:highlight w:val="none"/>
                <w:lang w:val="en-US" w:eastAsia="zh-CN"/>
              </w:rPr>
              <w:t>海淀区</w:t>
            </w:r>
            <w:r>
              <w:rPr>
                <w:rFonts w:hint="eastAsia" w:ascii="Times New Roman" w:hAnsi="Times New Roman" w:eastAsia="宋体" w:cs="Times New Roman"/>
                <w:color w:val="auto"/>
                <w:kern w:val="0"/>
                <w:sz w:val="24"/>
                <w:highlight w:val="none"/>
                <w:lang w:val="en-US" w:eastAsia="zh-CN"/>
              </w:rPr>
              <w:t>、石景山区：五环路以内，禁止新设三级医院（面向国际交往中心服务的中外合资合作医院除外）；不再批准增加三级医院的编制床位总量；位于城四区的医疗机构在规划建设新院区时，应适当压缩城四区的编制床位数量”。本项目医院建成后共设20张床位，为一级医院，故不在禁止和限制目录中。</w:t>
            </w:r>
          </w:p>
          <w:p w14:paraId="448B1D6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Times New Roman" w:hAnsi="Times New Roman" w:eastAsia="宋体" w:cs="Times New Roman"/>
                <w:color w:val="auto"/>
                <w:kern w:val="0"/>
                <w:sz w:val="24"/>
                <w:highlight w:val="none"/>
                <w:lang w:val="en-US" w:eastAsia="zh-CN"/>
              </w:rPr>
            </w:pPr>
            <w:r>
              <w:rPr>
                <w:rFonts w:hint="eastAsia" w:ascii="Times New Roman" w:hAnsi="Times New Roman" w:eastAsia="宋体" w:cs="Times New Roman"/>
                <w:color w:val="auto"/>
                <w:kern w:val="0"/>
                <w:sz w:val="24"/>
                <w:highlight w:val="none"/>
                <w:lang w:val="en-US" w:eastAsia="zh-CN"/>
              </w:rPr>
              <w:t>综上所述，本项目的建设符合国家、北京市的相关产业政策。</w:t>
            </w:r>
          </w:p>
          <w:p w14:paraId="548906B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rPr>
                <w:rFonts w:hint="eastAsia" w:ascii="Times New Roman" w:hAnsi="Times New Roman" w:eastAsia="宋体" w:cs="Times New Roman"/>
                <w:b/>
                <w:bCs/>
                <w:color w:val="auto"/>
                <w:kern w:val="0"/>
                <w:sz w:val="24"/>
                <w:highlight w:val="none"/>
                <w:lang w:val="en-US" w:eastAsia="zh-CN"/>
              </w:rPr>
            </w:pPr>
            <w:r>
              <w:rPr>
                <w:rFonts w:hint="eastAsia" w:cs="Times New Roman"/>
                <w:b/>
                <w:bCs/>
                <w:color w:val="auto"/>
                <w:kern w:val="0"/>
                <w:sz w:val="24"/>
                <w:highlight w:val="none"/>
                <w:lang w:val="en-US" w:eastAsia="zh-CN"/>
              </w:rPr>
              <w:t>2、</w:t>
            </w:r>
            <w:r>
              <w:rPr>
                <w:rFonts w:hint="eastAsia" w:ascii="Times New Roman" w:hAnsi="Times New Roman" w:eastAsia="宋体" w:cs="Times New Roman"/>
                <w:b/>
                <w:bCs/>
                <w:color w:val="auto"/>
                <w:kern w:val="0"/>
                <w:sz w:val="24"/>
                <w:highlight w:val="none"/>
                <w:lang w:val="en-US" w:eastAsia="zh-CN"/>
              </w:rPr>
              <w:t>“三线一单</w:t>
            </w:r>
            <w:r>
              <w:rPr>
                <w:rFonts w:hint="eastAsia" w:cs="Times New Roman"/>
                <w:b/>
                <w:bCs/>
                <w:color w:val="auto"/>
                <w:kern w:val="0"/>
                <w:sz w:val="24"/>
                <w:highlight w:val="none"/>
                <w:lang w:val="en-US" w:eastAsia="zh-CN"/>
              </w:rPr>
              <w:t>”</w:t>
            </w:r>
            <w:r>
              <w:rPr>
                <w:rFonts w:hint="eastAsia" w:ascii="Times New Roman" w:hAnsi="Times New Roman" w:eastAsia="宋体" w:cs="Times New Roman"/>
                <w:b/>
                <w:bCs/>
                <w:color w:val="auto"/>
                <w:kern w:val="0"/>
                <w:sz w:val="24"/>
                <w:highlight w:val="none"/>
                <w:lang w:val="en-US" w:eastAsia="zh-CN"/>
              </w:rPr>
              <w:t>符合性分析</w:t>
            </w:r>
          </w:p>
          <w:p w14:paraId="13EF2F0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Times New Roman" w:hAnsi="Times New Roman" w:eastAsia="宋体" w:cs="Times New Roman"/>
                <w:color w:val="auto"/>
                <w:kern w:val="0"/>
                <w:sz w:val="24"/>
                <w:highlight w:val="none"/>
                <w:lang w:val="en-US" w:eastAsia="zh-CN"/>
              </w:rPr>
            </w:pPr>
            <w:r>
              <w:rPr>
                <w:rFonts w:hint="eastAsia" w:ascii="Times New Roman" w:hAnsi="Times New Roman" w:eastAsia="宋体" w:cs="Times New Roman"/>
                <w:color w:val="auto"/>
                <w:kern w:val="0"/>
                <w:sz w:val="24"/>
                <w:highlight w:val="none"/>
                <w:lang w:val="en-US" w:eastAsia="zh-CN"/>
              </w:rPr>
              <w:t>2020年12月24日中共北京市委生态文明建设委员会办公室发布了《关于北京市生态环境分区管控（“三线一单”）的实施意见》的通知，为贯彻落实《中共中央、国务院关于全面加强生态环境保护坚决打好污染防治攻坚战的意见》，推动生态环境高水平保护和经济高质量发展协同并进，持续优化营商环境，就本市“三线一单”（生态保护红线、环境质量底线、资源利用上线和生态环境准入清单）生态环境分区管控工作，提出了实施意见。现就本项目“三线一单”符合性进行分析。</w:t>
            </w:r>
          </w:p>
          <w:p w14:paraId="14DDA44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Times New Roman" w:hAnsi="Times New Roman" w:eastAsia="宋体" w:cs="Times New Roman"/>
                <w:color w:val="auto"/>
                <w:kern w:val="0"/>
                <w:sz w:val="24"/>
                <w:highlight w:val="none"/>
                <w:lang w:val="en-US" w:eastAsia="zh-CN"/>
              </w:rPr>
            </w:pPr>
            <w:r>
              <w:rPr>
                <w:rFonts w:hint="eastAsia" w:ascii="Times New Roman" w:hAnsi="Times New Roman" w:eastAsia="宋体" w:cs="Times New Roman"/>
                <w:color w:val="auto"/>
                <w:kern w:val="0"/>
                <w:sz w:val="24"/>
                <w:highlight w:val="none"/>
                <w:lang w:val="en-US" w:eastAsia="zh-CN"/>
              </w:rPr>
              <w:t>（1）生态保护红线符合性分析</w:t>
            </w:r>
          </w:p>
          <w:p w14:paraId="23E47A8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Times New Roman" w:hAnsi="Times New Roman" w:eastAsia="宋体" w:cs="Times New Roman"/>
                <w:color w:val="auto"/>
                <w:kern w:val="0"/>
                <w:sz w:val="24"/>
                <w:highlight w:val="none"/>
                <w:lang w:val="en-US" w:eastAsia="zh-CN"/>
              </w:rPr>
            </w:pPr>
            <w:r>
              <w:rPr>
                <w:rFonts w:hint="eastAsia" w:ascii="Times New Roman" w:hAnsi="Times New Roman" w:eastAsia="宋体" w:cs="Times New Roman"/>
                <w:color w:val="auto"/>
                <w:kern w:val="0"/>
                <w:sz w:val="24"/>
                <w:highlight w:val="none"/>
                <w:lang w:val="en-US" w:eastAsia="zh-CN"/>
              </w:rPr>
              <w:t>根据《北京市人民政府关于发布北京生态保护红线的通知》（京政发[2018]18号），北京市生态保护红线主要分布在西部、北部山区，包括以下区域：水源涵养、水土保持和生物多样性维护的生态功能重要区、水土流失生态敏感区；市级以上禁止开发区域和有必要严格保护的其他各类保护地，包括：自然保护区（核心区和缓冲区）、风景名胜区（一级区）、市级饮用水源地（一级保护区）、森林公园（核心景区）、国家级重点生态公益林（水源涵养重点地区）、重要湿地（永定河、潮白河、北运河、大清河、蓟运河等五条重要河流）、其他生物多样性重点区域。</w:t>
            </w:r>
          </w:p>
          <w:p w14:paraId="48B5F5E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Times New Roman" w:hAnsi="Times New Roman" w:eastAsia="宋体" w:cs="Times New Roman"/>
                <w:color w:val="auto"/>
                <w:kern w:val="0"/>
                <w:sz w:val="24"/>
                <w:highlight w:val="none"/>
                <w:lang w:val="en-US" w:eastAsia="zh-CN"/>
              </w:rPr>
            </w:pPr>
            <w:r>
              <w:rPr>
                <w:rFonts w:hint="eastAsia" w:ascii="Times New Roman" w:hAnsi="Times New Roman" w:eastAsia="宋体" w:cs="Times New Roman"/>
                <w:color w:val="auto"/>
                <w:kern w:val="0"/>
                <w:sz w:val="24"/>
                <w:highlight w:val="none"/>
                <w:lang w:val="en-US" w:eastAsia="zh-CN"/>
              </w:rPr>
              <w:t>本项目位于北京市海淀区黑泉路19号院1号楼1层101室1F104区，项目所在地周边无重点生态功能区、生态敏感区、生态脆弱区、生物多样性保护优先区，本项目不在北京市生态保护红线范围内，项目的建设不会突破生态保护红线。</w:t>
            </w:r>
          </w:p>
          <w:p w14:paraId="3074A7E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Times New Roman" w:hAnsi="Times New Roman" w:eastAsia="宋体" w:cs="Times New Roman"/>
                <w:color w:val="auto"/>
                <w:kern w:val="0"/>
                <w:sz w:val="24"/>
                <w:highlight w:val="none"/>
                <w:lang w:val="en-US" w:eastAsia="zh-CN"/>
              </w:rPr>
            </w:pPr>
            <w:r>
              <w:rPr>
                <w:rFonts w:hint="eastAsia" w:ascii="Times New Roman" w:hAnsi="Times New Roman" w:eastAsia="宋体" w:cs="Times New Roman"/>
                <w:color w:val="auto"/>
                <w:kern w:val="0"/>
                <w:sz w:val="24"/>
                <w:highlight w:val="none"/>
                <w:lang w:val="en-US" w:eastAsia="zh-CN"/>
              </w:rPr>
              <w:t>（2）环境质量底线符合性分析</w:t>
            </w:r>
          </w:p>
          <w:p w14:paraId="09D4238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Times New Roman" w:hAnsi="Times New Roman" w:eastAsia="宋体" w:cs="Times New Roman"/>
                <w:color w:val="auto"/>
                <w:kern w:val="0"/>
                <w:sz w:val="24"/>
                <w:highlight w:val="none"/>
                <w:lang w:val="en-US" w:eastAsia="zh-CN"/>
              </w:rPr>
            </w:pPr>
            <w:r>
              <w:rPr>
                <w:rFonts w:hint="eastAsia" w:ascii="Times New Roman" w:hAnsi="Times New Roman" w:eastAsia="宋体" w:cs="Times New Roman"/>
                <w:color w:val="auto"/>
                <w:kern w:val="0"/>
                <w:sz w:val="24"/>
                <w:highlight w:val="none"/>
                <w:lang w:val="en-US" w:eastAsia="zh-CN"/>
              </w:rPr>
              <w:t>本项目对污水处理设施产生臭气的主要构筑物进行加盖封闭并喷洒除臭剂，不会突破大气环境质量底线。</w:t>
            </w:r>
          </w:p>
          <w:p w14:paraId="37D8FF2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Times New Roman" w:hAnsi="Times New Roman" w:eastAsia="宋体" w:cs="Times New Roman"/>
                <w:color w:val="auto"/>
                <w:kern w:val="0"/>
                <w:sz w:val="24"/>
                <w:highlight w:val="none"/>
                <w:lang w:val="en-US" w:eastAsia="zh-CN"/>
              </w:rPr>
            </w:pPr>
            <w:r>
              <w:rPr>
                <w:rFonts w:hint="eastAsia" w:ascii="Times New Roman" w:hAnsi="Times New Roman" w:eastAsia="宋体" w:cs="Times New Roman"/>
                <w:color w:val="auto"/>
                <w:kern w:val="0"/>
                <w:sz w:val="24"/>
                <w:highlight w:val="none"/>
                <w:lang w:val="en-US" w:eastAsia="zh-CN"/>
              </w:rPr>
              <w:t>本项目废水经新建独立化粪池+污水处理设施处理达标后排入市政污水管网，不会突破水环境质量底线。</w:t>
            </w:r>
          </w:p>
          <w:p w14:paraId="013D848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Times New Roman" w:hAnsi="Times New Roman" w:eastAsia="宋体" w:cs="Times New Roman"/>
                <w:color w:val="auto"/>
                <w:kern w:val="0"/>
                <w:sz w:val="24"/>
                <w:highlight w:val="none"/>
                <w:lang w:val="en-US" w:eastAsia="zh-CN"/>
              </w:rPr>
            </w:pPr>
            <w:r>
              <w:rPr>
                <w:rFonts w:hint="eastAsia" w:ascii="Times New Roman" w:hAnsi="Times New Roman" w:eastAsia="宋体" w:cs="Times New Roman"/>
                <w:color w:val="auto"/>
                <w:kern w:val="0"/>
                <w:sz w:val="24"/>
                <w:highlight w:val="none"/>
                <w:lang w:val="en-US" w:eastAsia="zh-CN"/>
              </w:rPr>
              <w:t>本项目项目选用低噪音设备，合理布局，经基础建筑、隔声、距离衰减等措施后可达标排放，能够达标排放，不会突破声环境质量底线。</w:t>
            </w:r>
          </w:p>
          <w:p w14:paraId="660ED4C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Times New Roman" w:hAnsi="Times New Roman" w:eastAsia="宋体" w:cs="Times New Roman"/>
                <w:color w:val="auto"/>
                <w:kern w:val="0"/>
                <w:sz w:val="24"/>
                <w:highlight w:val="none"/>
                <w:lang w:val="en-US" w:eastAsia="zh-CN"/>
              </w:rPr>
            </w:pPr>
            <w:r>
              <w:rPr>
                <w:rFonts w:hint="eastAsia" w:ascii="Times New Roman" w:hAnsi="Times New Roman" w:eastAsia="宋体" w:cs="Times New Roman"/>
                <w:color w:val="auto"/>
                <w:kern w:val="0"/>
                <w:sz w:val="24"/>
                <w:highlight w:val="none"/>
                <w:lang w:val="en-US" w:eastAsia="zh-CN"/>
              </w:rPr>
              <w:t>本项目生活垃圾分类收集后由环卫部门清运；一般固体废物无害废包装材料交由物资部门回收利用，日产日清</w:t>
            </w:r>
            <w:r>
              <w:rPr>
                <w:rFonts w:hint="eastAsia" w:cs="Times New Roman"/>
                <w:color w:val="auto"/>
                <w:kern w:val="0"/>
                <w:sz w:val="24"/>
                <w:highlight w:val="none"/>
                <w:lang w:val="en-US" w:eastAsia="zh-CN"/>
              </w:rPr>
              <w:t>；</w:t>
            </w:r>
            <w:r>
              <w:rPr>
                <w:rFonts w:hint="eastAsia" w:ascii="Times New Roman" w:hAnsi="Times New Roman" w:eastAsia="宋体" w:cs="Times New Roman"/>
                <w:color w:val="auto"/>
                <w:kern w:val="0"/>
                <w:sz w:val="24"/>
                <w:highlight w:val="none"/>
                <w:lang w:val="en-US" w:eastAsia="zh-CN"/>
              </w:rPr>
              <w:t>未被污染的一次性输液瓶（袋）日产日清，移交回收企业回收、消毒灯产生的废紫外线</w:t>
            </w:r>
            <w:r>
              <w:rPr>
                <w:rFonts w:hint="eastAsia" w:cs="Times New Roman"/>
                <w:color w:val="auto"/>
                <w:kern w:val="0"/>
                <w:sz w:val="24"/>
                <w:highlight w:val="none"/>
                <w:lang w:val="en-US" w:eastAsia="zh-CN"/>
              </w:rPr>
              <w:t>灯珠</w:t>
            </w:r>
            <w:r>
              <w:rPr>
                <w:rFonts w:hint="eastAsia" w:ascii="Times New Roman" w:hAnsi="Times New Roman" w:eastAsia="宋体" w:cs="Times New Roman"/>
                <w:color w:val="auto"/>
                <w:kern w:val="0"/>
                <w:sz w:val="24"/>
                <w:highlight w:val="none"/>
                <w:lang w:val="en-US" w:eastAsia="zh-CN"/>
              </w:rPr>
              <w:t>更换后直接交由厂家回收，不在医院内暂存；医疗废物及其他危险废物（消毒剂沾染物、化粪池和污水处理设施污泥）暂时存放于</w:t>
            </w:r>
            <w:r>
              <w:rPr>
                <w:rFonts w:hint="eastAsia" w:cs="Times New Roman"/>
                <w:color w:val="auto"/>
                <w:kern w:val="0"/>
                <w:sz w:val="24"/>
                <w:highlight w:val="none"/>
                <w:lang w:val="en-US" w:eastAsia="zh-CN"/>
              </w:rPr>
              <w:t>医疗</w:t>
            </w:r>
            <w:r>
              <w:rPr>
                <w:rFonts w:hint="eastAsia" w:ascii="Times New Roman" w:hAnsi="Times New Roman" w:eastAsia="宋体" w:cs="Times New Roman"/>
                <w:color w:val="auto"/>
                <w:kern w:val="0"/>
                <w:sz w:val="24"/>
                <w:highlight w:val="none"/>
                <w:lang w:val="en-US" w:eastAsia="zh-CN"/>
              </w:rPr>
              <w:t>废物暂存间，定期委托有相关处置资质的单位清运处置，不会污染地下水和土壤环境，不会突破土壤环境质量底线。</w:t>
            </w:r>
          </w:p>
          <w:p w14:paraId="059FFCE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auto"/>
                <w:kern w:val="0"/>
                <w:sz w:val="24"/>
                <w:highlight w:val="none"/>
                <w:lang w:val="en-US" w:eastAsia="zh-CN"/>
              </w:rPr>
            </w:pPr>
            <w:r>
              <w:rPr>
                <w:rFonts w:hint="eastAsia" w:ascii="Times New Roman" w:hAnsi="Times New Roman" w:eastAsia="宋体" w:cs="Times New Roman"/>
                <w:color w:val="auto"/>
                <w:kern w:val="0"/>
                <w:sz w:val="24"/>
                <w:highlight w:val="none"/>
                <w:lang w:val="en-US" w:eastAsia="zh-CN"/>
              </w:rPr>
              <w:t>（3）资源利用上线符合性分析</w:t>
            </w:r>
          </w:p>
          <w:p w14:paraId="2BE5E91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Times New Roman" w:hAnsi="Times New Roman" w:eastAsia="宋体" w:cs="Times New Roman"/>
                <w:color w:val="auto"/>
                <w:kern w:val="0"/>
                <w:sz w:val="24"/>
                <w:highlight w:val="none"/>
                <w:lang w:val="en-US" w:eastAsia="zh-CN"/>
              </w:rPr>
            </w:pPr>
            <w:r>
              <w:rPr>
                <w:rFonts w:hint="eastAsia" w:ascii="Times New Roman" w:hAnsi="Times New Roman" w:eastAsia="宋体" w:cs="Times New Roman"/>
                <w:color w:val="auto"/>
                <w:kern w:val="0"/>
                <w:sz w:val="24"/>
                <w:highlight w:val="none"/>
                <w:lang w:val="en-US" w:eastAsia="zh-CN"/>
              </w:rPr>
              <w:t>本项目为中医医院建设项目，不属于高耗能行业，运营过程中消耗的资源主要为水、电资源，项目用水、用电量较小，项目资源消耗量相对于区域资源利用总量较小，符合资源利用上线要求。</w:t>
            </w:r>
          </w:p>
          <w:p w14:paraId="7E1B753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Times New Roman" w:hAnsi="Times New Roman" w:eastAsia="宋体" w:cs="Times New Roman"/>
                <w:color w:val="auto"/>
                <w:kern w:val="0"/>
                <w:sz w:val="24"/>
                <w:highlight w:val="none"/>
                <w:lang w:val="en-US" w:eastAsia="zh-CN"/>
              </w:rPr>
            </w:pPr>
            <w:r>
              <w:rPr>
                <w:rFonts w:hint="eastAsia" w:ascii="Times New Roman" w:hAnsi="Times New Roman" w:eastAsia="宋体" w:cs="Times New Roman"/>
                <w:color w:val="auto"/>
                <w:kern w:val="0"/>
                <w:sz w:val="24"/>
                <w:highlight w:val="none"/>
                <w:lang w:val="en-US" w:eastAsia="zh-CN"/>
              </w:rPr>
              <w:t>（4）生态环境准入清单符合性分析</w:t>
            </w:r>
          </w:p>
          <w:p w14:paraId="13149DA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Times New Roman" w:hAnsi="Times New Roman" w:eastAsia="宋体" w:cs="Times New Roman"/>
                <w:color w:val="auto"/>
                <w:kern w:val="0"/>
                <w:sz w:val="24"/>
                <w:highlight w:val="none"/>
                <w:lang w:val="en-US" w:eastAsia="zh-CN"/>
              </w:rPr>
            </w:pPr>
            <w:r>
              <w:rPr>
                <w:rFonts w:hint="eastAsia" w:ascii="Times New Roman" w:hAnsi="Times New Roman" w:eastAsia="宋体" w:cs="Times New Roman"/>
                <w:color w:val="auto"/>
                <w:kern w:val="0"/>
                <w:sz w:val="24"/>
                <w:highlight w:val="none"/>
                <w:lang w:val="en-US" w:eastAsia="zh-CN"/>
              </w:rPr>
              <w:t>根据《中共北京市委生态文明建设委员会办公室〈关于印发关于北京市生态环境分区管控（“三线一单</w:t>
            </w:r>
            <w:r>
              <w:rPr>
                <w:rFonts w:hint="eastAsia" w:cs="Times New Roman"/>
                <w:color w:val="auto"/>
                <w:kern w:val="0"/>
                <w:sz w:val="24"/>
                <w:highlight w:val="none"/>
                <w:lang w:val="en-US" w:eastAsia="zh-CN"/>
              </w:rPr>
              <w:t>”</w:t>
            </w:r>
            <w:r>
              <w:rPr>
                <w:rFonts w:hint="eastAsia" w:ascii="Times New Roman" w:hAnsi="Times New Roman" w:eastAsia="宋体" w:cs="Times New Roman"/>
                <w:color w:val="auto"/>
                <w:kern w:val="0"/>
                <w:sz w:val="24"/>
                <w:highlight w:val="none"/>
                <w:lang w:val="en-US" w:eastAsia="zh-CN"/>
              </w:rPr>
              <w:t>）的实施意见〉的通知》（京生态文明办[2020]23号），按照生态环境管控分类，生态环境管控分为优先保护单元、重点管控单元和一般管控单元三类区域。</w:t>
            </w:r>
          </w:p>
          <w:p w14:paraId="448BB06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Times New Roman" w:hAnsi="Times New Roman" w:eastAsia="宋体" w:cs="Times New Roman"/>
                <w:color w:val="auto"/>
                <w:kern w:val="0"/>
                <w:sz w:val="24"/>
                <w:highlight w:val="none"/>
                <w:lang w:val="en-US" w:eastAsia="zh-CN"/>
              </w:rPr>
            </w:pPr>
            <w:r>
              <w:rPr>
                <w:rFonts w:hint="default" w:ascii="Times New Roman" w:hAnsi="Times New Roman" w:eastAsia="宋体" w:cs="Times New Roman"/>
                <w:color w:val="auto"/>
                <w:kern w:val="0"/>
                <w:sz w:val="24"/>
                <w:highlight w:val="none"/>
                <w:lang w:val="en-US" w:eastAsia="zh-CN"/>
              </w:rPr>
              <w:t>根据《北京市生态环境准入清单（2021年版）》和《北京市生态环境局关于生态环境分区管控动态更新成果的通告》</w:t>
            </w:r>
            <w:r>
              <w:rPr>
                <w:rFonts w:hint="eastAsia" w:ascii="Times New Roman" w:hAnsi="Times New Roman" w:eastAsia="宋体" w:cs="Times New Roman"/>
                <w:color w:val="auto"/>
                <w:kern w:val="0"/>
                <w:sz w:val="24"/>
                <w:highlight w:val="none"/>
                <w:lang w:val="en-US" w:eastAsia="zh-CN"/>
              </w:rPr>
              <w:t>，本项目所在区域属于东升镇辖区内，管控单元编码为ZH11010820024，属于生态环境管控重点管控单元[街道（乡镇）]，具体位置见</w:t>
            </w:r>
            <w:r>
              <w:rPr>
                <w:rFonts w:hint="eastAsia" w:cs="Times New Roman"/>
                <w:color w:val="auto"/>
                <w:kern w:val="0"/>
                <w:sz w:val="24"/>
                <w:highlight w:val="none"/>
                <w:lang w:val="en-US" w:eastAsia="zh-CN"/>
              </w:rPr>
              <w:t>下</w:t>
            </w:r>
            <w:r>
              <w:rPr>
                <w:rFonts w:hint="eastAsia" w:ascii="Times New Roman" w:hAnsi="Times New Roman" w:eastAsia="宋体" w:cs="Times New Roman"/>
                <w:color w:val="auto"/>
                <w:kern w:val="0"/>
                <w:sz w:val="24"/>
                <w:highlight w:val="none"/>
                <w:lang w:val="en-US" w:eastAsia="zh-CN"/>
              </w:rPr>
              <w:t>图。</w:t>
            </w:r>
          </w:p>
          <w:p w14:paraId="49C616A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Times New Roman" w:hAnsi="Times New Roman" w:eastAsia="宋体" w:cs="Times New Roman"/>
                <w:color w:val="auto"/>
                <w:kern w:val="0"/>
                <w:sz w:val="24"/>
                <w:highlight w:val="none"/>
                <w:lang w:val="en-US" w:eastAsia="zh-CN"/>
              </w:rPr>
            </w:pPr>
            <w:r>
              <w:rPr>
                <w:rFonts w:hint="default"/>
                <w:sz w:val="24"/>
              </w:rPr>
              <mc:AlternateContent>
                <mc:Choice Requires="wps">
                  <w:drawing>
                    <wp:anchor distT="0" distB="0" distL="114300" distR="114300" simplePos="0" relativeHeight="251669504" behindDoc="0" locked="0" layoutInCell="1" allowOverlap="1">
                      <wp:simplePos x="0" y="0"/>
                      <wp:positionH relativeFrom="column">
                        <wp:posOffset>1631950</wp:posOffset>
                      </wp:positionH>
                      <wp:positionV relativeFrom="paragraph">
                        <wp:posOffset>3074670</wp:posOffset>
                      </wp:positionV>
                      <wp:extent cx="780415" cy="304800"/>
                      <wp:effectExtent l="12700" t="288925" r="26035" b="15875"/>
                      <wp:wrapNone/>
                      <wp:docPr id="51" name="圆角矩形标注 51"/>
                      <wp:cNvGraphicFramePr/>
                      <a:graphic xmlns:a="http://schemas.openxmlformats.org/drawingml/2006/main">
                        <a:graphicData uri="http://schemas.microsoft.com/office/word/2010/wordprocessingShape">
                          <wps:wsp>
                            <wps:cNvSpPr/>
                            <wps:spPr>
                              <a:xfrm>
                                <a:off x="0" y="0"/>
                                <a:ext cx="780415" cy="304800"/>
                              </a:xfrm>
                              <a:prstGeom prst="wedgeRoundRectCallout">
                                <a:avLst>
                                  <a:gd name="adj1" fmla="val 18185"/>
                                  <a:gd name="adj2" fmla="val -140625"/>
                                  <a:gd name="adj3" fmla="val 16667"/>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20F92BC2">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eastAsia="宋体"/>
                                      <w:b/>
                                      <w:bCs/>
                                      <w:color w:val="000000" w:themeColor="text1"/>
                                      <w:sz w:val="21"/>
                                      <w:szCs w:val="21"/>
                                      <w:lang w:val="en-US" w:eastAsia="zh-CN"/>
                                      <w14:textFill>
                                        <w14:solidFill>
                                          <w14:schemeClr w14:val="tx1"/>
                                        </w14:solidFill>
                                      </w14:textFill>
                                    </w:rPr>
                                  </w:pPr>
                                  <w:r>
                                    <w:rPr>
                                      <w:rFonts w:hint="eastAsia"/>
                                      <w:b/>
                                      <w:bCs/>
                                      <w:color w:val="000000" w:themeColor="text1"/>
                                      <w:sz w:val="21"/>
                                      <w:szCs w:val="21"/>
                                      <w:lang w:val="en-US" w:eastAsia="zh-CN"/>
                                      <w14:textFill>
                                        <w14:solidFill>
                                          <w14:schemeClr w14:val="tx1"/>
                                        </w14:solidFill>
                                      </w14:textFill>
                                    </w:rPr>
                                    <w:t>项目位置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2" type="#_x0000_t62" style="position:absolute;left:0pt;margin-left:128.5pt;margin-top:242.1pt;height:24pt;width:61.45pt;z-index:251669504;v-text-anchor:middle;mso-width-relative:page;mso-height-relative:page;" filled="f" stroked="t" coordsize="21600,21600" o:gfxdata="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" adj="14728,-19575,14400">
                      <v:fill on="f" focussize="0,0"/>
                      <v:stroke weight="2pt" color="#000000 [3213]" joinstyle="round"/>
                      <v:imagedata o:title=""/>
                      <o:lock v:ext="edit" aspectratio="f"/>
                      <v:textbox>
                        <w:txbxContent>
                          <w:p w14:paraId="20F92BC2">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eastAsia="宋体"/>
                                <w:b/>
                                <w:bCs/>
                                <w:color w:val="000000" w:themeColor="text1"/>
                                <w:sz w:val="21"/>
                                <w:szCs w:val="21"/>
                                <w:lang w:val="en-US" w:eastAsia="zh-CN"/>
                                <w14:textFill>
                                  <w14:solidFill>
                                    <w14:schemeClr w14:val="tx1"/>
                                  </w14:solidFill>
                                </w14:textFill>
                              </w:rPr>
                            </w:pPr>
                            <w:r>
                              <w:rPr>
                                <w:rFonts w:hint="eastAsia"/>
                                <w:b/>
                                <w:bCs/>
                                <w:color w:val="000000" w:themeColor="text1"/>
                                <w:sz w:val="21"/>
                                <w:szCs w:val="21"/>
                                <w:lang w:val="en-US" w:eastAsia="zh-CN"/>
                                <w14:textFill>
                                  <w14:solidFill>
                                    <w14:schemeClr w14:val="tx1"/>
                                  </w14:solidFill>
                                </w14:textFill>
                              </w:rPr>
                              <w:t>项目位置</w:t>
                            </w:r>
                          </w:p>
                        </w:txbxContent>
                      </v:textbox>
                    </v:shape>
                  </w:pict>
                </mc:Fallback>
              </mc:AlternateContent>
            </w:r>
            <w:r>
              <w:rPr>
                <w:rFonts w:hint="default"/>
                <w:sz w:val="24"/>
              </w:rPr>
              <mc:AlternateContent>
                <mc:Choice Requires="wps">
                  <w:drawing>
                    <wp:anchor distT="0" distB="0" distL="114300" distR="114300" simplePos="0" relativeHeight="251670528" behindDoc="0" locked="0" layoutInCell="1" allowOverlap="1">
                      <wp:simplePos x="0" y="0"/>
                      <wp:positionH relativeFrom="column">
                        <wp:posOffset>2109470</wp:posOffset>
                      </wp:positionH>
                      <wp:positionV relativeFrom="paragraph">
                        <wp:posOffset>2734945</wp:posOffset>
                      </wp:positionV>
                      <wp:extent cx="90170" cy="90170"/>
                      <wp:effectExtent l="12700" t="12700" r="30480" b="30480"/>
                      <wp:wrapNone/>
                      <wp:docPr id="52" name="椭圆 52"/>
                      <wp:cNvGraphicFramePr/>
                      <a:graphic xmlns:a="http://schemas.openxmlformats.org/drawingml/2006/main">
                        <a:graphicData uri="http://schemas.microsoft.com/office/word/2010/wordprocessingShape">
                          <wps:wsp>
                            <wps:cNvSpPr/>
                            <wps:spPr>
                              <a:xfrm>
                                <a:off x="0" y="0"/>
                                <a:ext cx="90170" cy="90170"/>
                              </a:xfrm>
                              <a:prstGeom prst="ellipse">
                                <a:avLst/>
                              </a:prstGeom>
                              <a:solidFill>
                                <a:schemeClr val="tx1"/>
                              </a:solid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66.1pt;margin-top:215.35pt;height:7.1pt;width:7.1pt;z-index:251670528;v-text-anchor:middle;mso-width-relative:page;mso-height-relative:page;" fillcolor="#000000 [3213]" filled="t" stroked="t" coordsize="21600,21600" o:gfxdata="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BT&#10;hFtv2QAAAAsBAAAPAAAAAAAAAAEAIAAAACIAAABkcnMvZG93bnJldi54bWxQSwECFAAUAAAACACH&#10;TuJAwUnVFFwCAADfBAAADgAAAAAAAAABACAAAAAoAQAAZHJzL2Uyb0RvYy54bWxQSwUGAAAAAAYA&#10;BgBZAQAA9gUAAAAA&#10;">
                      <v:fill on="t" focussize="0,0"/>
                      <v:stroke weight="2pt" color="#000000 [3213]" joinstyle="round"/>
                      <v:imagedata o:title=""/>
                      <o:lock v:ext="edit" aspectratio="f"/>
                    </v:shape>
                  </w:pict>
                </mc:Fallback>
              </mc:AlternateContent>
            </w:r>
            <w:r>
              <w:rPr>
                <w:rFonts w:hint="default" w:ascii="黑体" w:hAnsi="黑体" w:eastAsia="黑体"/>
                <w:sz w:val="32"/>
                <w:szCs w:val="32"/>
              </w:rPr>
              <w:drawing>
                <wp:inline distT="0" distB="0" distL="0" distR="0">
                  <wp:extent cx="4500245" cy="4500245"/>
                  <wp:effectExtent l="0" t="0" r="14605" b="14605"/>
                  <wp:docPr id="1098750778" name="图片 3" descr="地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8750778" name="图片 3" descr="地图&#10;&#10;描述已自动生成"/>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500245" cy="4500245"/>
                          </a:xfrm>
                          <a:prstGeom prst="rect">
                            <a:avLst/>
                          </a:prstGeom>
                        </pic:spPr>
                      </pic:pic>
                    </a:graphicData>
                  </a:graphic>
                </wp:inline>
              </w:drawing>
            </w:r>
          </w:p>
          <w:p w14:paraId="0CF0B5F1">
            <w:pPr>
              <w:pStyle w:val="31"/>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图1-3 本项目在北京市生态管控单元位置关系图</w:t>
            </w:r>
          </w:p>
          <w:p w14:paraId="3DC2A0A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cs="Times New Roman"/>
                <w:color w:val="auto"/>
                <w:kern w:val="0"/>
                <w:sz w:val="24"/>
                <w:highlight w:val="none"/>
                <w:lang w:val="en-US" w:eastAsia="zh-CN"/>
              </w:rPr>
            </w:pPr>
          </w:p>
          <w:p w14:paraId="55C69DA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cs="Times New Roman"/>
                <w:color w:val="auto"/>
                <w:kern w:val="0"/>
                <w:sz w:val="24"/>
                <w:highlight w:val="none"/>
                <w:lang w:val="en-US" w:eastAsia="zh-CN"/>
              </w:rPr>
            </w:pPr>
          </w:p>
          <w:p w14:paraId="2F8103A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cs="Times New Roman"/>
                <w:color w:val="auto"/>
                <w:kern w:val="0"/>
                <w:sz w:val="24"/>
                <w:highlight w:val="none"/>
                <w:lang w:val="en-US" w:eastAsia="zh-CN"/>
              </w:rPr>
            </w:pPr>
          </w:p>
          <w:p w14:paraId="2E236E3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cs="Times New Roman"/>
                <w:color w:val="auto"/>
                <w:kern w:val="0"/>
                <w:sz w:val="24"/>
                <w:highlight w:val="none"/>
                <w:lang w:val="en-US" w:eastAsia="zh-CN"/>
              </w:rPr>
            </w:pPr>
          </w:p>
          <w:p w14:paraId="26167C9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cs="Times New Roman"/>
                <w:color w:val="auto"/>
                <w:kern w:val="0"/>
                <w:sz w:val="24"/>
                <w:highlight w:val="none"/>
                <w:lang w:val="en-US" w:eastAsia="zh-CN"/>
              </w:rPr>
            </w:pPr>
          </w:p>
          <w:p w14:paraId="77F14ED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cs="Times New Roman"/>
                <w:color w:val="auto"/>
                <w:kern w:val="0"/>
                <w:sz w:val="24"/>
                <w:highlight w:val="none"/>
                <w:lang w:val="en-US" w:eastAsia="zh-CN"/>
              </w:rPr>
            </w:pPr>
          </w:p>
          <w:p w14:paraId="1468CA9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cs="Times New Roman"/>
                <w:color w:val="auto"/>
                <w:kern w:val="0"/>
                <w:sz w:val="24"/>
                <w:highlight w:val="none"/>
                <w:lang w:val="en-US" w:eastAsia="zh-CN"/>
              </w:rPr>
            </w:pPr>
          </w:p>
          <w:p w14:paraId="50D787C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cs="Times New Roman"/>
                <w:color w:val="auto"/>
                <w:kern w:val="0"/>
                <w:sz w:val="24"/>
                <w:highlight w:val="none"/>
                <w:lang w:val="en-US" w:eastAsia="zh-CN"/>
              </w:rPr>
            </w:pPr>
            <w:r>
              <w:rPr>
                <w:rFonts w:hint="default"/>
                <w:sz w:val="24"/>
              </w:rPr>
              <mc:AlternateContent>
                <mc:Choice Requires="wps">
                  <w:drawing>
                    <wp:anchor distT="0" distB="0" distL="114300" distR="114300" simplePos="0" relativeHeight="251671552" behindDoc="0" locked="0" layoutInCell="1" allowOverlap="1">
                      <wp:simplePos x="0" y="0"/>
                      <wp:positionH relativeFrom="column">
                        <wp:posOffset>2965450</wp:posOffset>
                      </wp:positionH>
                      <wp:positionV relativeFrom="paragraph">
                        <wp:posOffset>2107565</wp:posOffset>
                      </wp:positionV>
                      <wp:extent cx="780415" cy="304800"/>
                      <wp:effectExtent l="12700" t="288925" r="26035" b="15875"/>
                      <wp:wrapNone/>
                      <wp:docPr id="2" name="圆角矩形标注 2"/>
                      <wp:cNvGraphicFramePr/>
                      <a:graphic xmlns:a="http://schemas.openxmlformats.org/drawingml/2006/main">
                        <a:graphicData uri="http://schemas.microsoft.com/office/word/2010/wordprocessingShape">
                          <wps:wsp>
                            <wps:cNvSpPr/>
                            <wps:spPr>
                              <a:xfrm>
                                <a:off x="0" y="0"/>
                                <a:ext cx="780415" cy="304800"/>
                              </a:xfrm>
                              <a:prstGeom prst="wedgeRoundRectCallout">
                                <a:avLst>
                                  <a:gd name="adj1" fmla="val 18185"/>
                                  <a:gd name="adj2" fmla="val -140625"/>
                                  <a:gd name="adj3" fmla="val 16667"/>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2F8BC5FA">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eastAsia="宋体"/>
                                      <w:b/>
                                      <w:bCs/>
                                      <w:color w:val="000000" w:themeColor="text1"/>
                                      <w:sz w:val="21"/>
                                      <w:szCs w:val="21"/>
                                      <w:lang w:val="en-US" w:eastAsia="zh-CN"/>
                                      <w14:textFill>
                                        <w14:solidFill>
                                          <w14:schemeClr w14:val="tx1"/>
                                        </w14:solidFill>
                                      </w14:textFill>
                                    </w:rPr>
                                  </w:pPr>
                                  <w:r>
                                    <w:rPr>
                                      <w:rFonts w:hint="eastAsia"/>
                                      <w:b/>
                                      <w:bCs/>
                                      <w:color w:val="000000" w:themeColor="text1"/>
                                      <w:sz w:val="21"/>
                                      <w:szCs w:val="21"/>
                                      <w:lang w:val="en-US" w:eastAsia="zh-CN"/>
                                      <w14:textFill>
                                        <w14:solidFill>
                                          <w14:schemeClr w14:val="tx1"/>
                                        </w14:solidFill>
                                      </w14:textFill>
                                    </w:rPr>
                                    <w:t>项目位置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2" type="#_x0000_t62" style="position:absolute;left:0pt;margin-left:233.5pt;margin-top:165.95pt;height:24pt;width:61.45pt;z-index:251671552;v-text-anchor:middle;mso-width-relative:page;mso-height-relative:page;" filled="f" stroked="t" coordsize="21600,21600" o:gfxdata="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" adj="14728,-19575,14400">
                      <v:fill on="f" focussize="0,0"/>
                      <v:stroke weight="2pt" color="#000000 [3213]" joinstyle="round"/>
                      <v:imagedata o:title=""/>
                      <o:lock v:ext="edit" aspectratio="f"/>
                      <v:textbox>
                        <w:txbxContent>
                          <w:p w14:paraId="2F8BC5FA">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eastAsia="宋体"/>
                                <w:b/>
                                <w:bCs/>
                                <w:color w:val="000000" w:themeColor="text1"/>
                                <w:sz w:val="21"/>
                                <w:szCs w:val="21"/>
                                <w:lang w:val="en-US" w:eastAsia="zh-CN"/>
                                <w14:textFill>
                                  <w14:solidFill>
                                    <w14:schemeClr w14:val="tx1"/>
                                  </w14:solidFill>
                                </w14:textFill>
                              </w:rPr>
                            </w:pPr>
                            <w:r>
                              <w:rPr>
                                <w:rFonts w:hint="eastAsia"/>
                                <w:b/>
                                <w:bCs/>
                                <w:color w:val="000000" w:themeColor="text1"/>
                                <w:sz w:val="21"/>
                                <w:szCs w:val="21"/>
                                <w:lang w:val="en-US" w:eastAsia="zh-CN"/>
                                <w14:textFill>
                                  <w14:solidFill>
                                    <w14:schemeClr w14:val="tx1"/>
                                  </w14:solidFill>
                                </w14:textFill>
                              </w:rPr>
                              <w:t>项目位置</w:t>
                            </w:r>
                          </w:p>
                        </w:txbxContent>
                      </v:textbox>
                    </v:shape>
                  </w:pict>
                </mc:Fallback>
              </mc:AlternateContent>
            </w:r>
            <w:r>
              <w:rPr>
                <w:rFonts w:hint="default"/>
                <w:sz w:val="24"/>
              </w:rPr>
              <mc:AlternateContent>
                <mc:Choice Requires="wps">
                  <w:drawing>
                    <wp:anchor distT="0" distB="0" distL="114300" distR="114300" simplePos="0" relativeHeight="251672576" behindDoc="0" locked="0" layoutInCell="1" allowOverlap="1">
                      <wp:simplePos x="0" y="0"/>
                      <wp:positionH relativeFrom="column">
                        <wp:posOffset>3442970</wp:posOffset>
                      </wp:positionH>
                      <wp:positionV relativeFrom="paragraph">
                        <wp:posOffset>1767840</wp:posOffset>
                      </wp:positionV>
                      <wp:extent cx="90170" cy="90170"/>
                      <wp:effectExtent l="12700" t="12700" r="30480" b="30480"/>
                      <wp:wrapNone/>
                      <wp:docPr id="44" name="椭圆 44"/>
                      <wp:cNvGraphicFramePr/>
                      <a:graphic xmlns:a="http://schemas.openxmlformats.org/drawingml/2006/main">
                        <a:graphicData uri="http://schemas.microsoft.com/office/word/2010/wordprocessingShape">
                          <wps:wsp>
                            <wps:cNvSpPr/>
                            <wps:spPr>
                              <a:xfrm>
                                <a:off x="0" y="0"/>
                                <a:ext cx="90170" cy="90170"/>
                              </a:xfrm>
                              <a:prstGeom prst="ellipse">
                                <a:avLst/>
                              </a:prstGeom>
                              <a:solidFill>
                                <a:schemeClr val="tx1"/>
                              </a:solid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71.1pt;margin-top:139.2pt;height:7.1pt;width:7.1pt;z-index:251672576;v-text-anchor:middle;mso-width-relative:page;mso-height-relative:page;" fillcolor="#000000 [3213]" filled="t" stroked="t" coordsize="21600,21600" o:gfxdata="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CK&#10;LvwU2gAAAAsBAAAPAAAAAAAAAAEAIAAAACIAAABkcnMvZG93bnJldi54bWxQSwECFAAUAAAACACH&#10;TuJAkpAjJlsCAADfBAAADgAAAAAAAAABACAAAAApAQAAZHJzL2Uyb0RvYy54bWxQSwUGAAAAAAYA&#10;BgBZAQAA9gUAAAAA&#10;">
                      <v:fill on="t" focussize="0,0"/>
                      <v:stroke weight="2pt" color="#000000 [3213]" joinstyle="round"/>
                      <v:imagedata o:title=""/>
                      <o:lock v:ext="edit" aspectratio="f"/>
                    </v:shape>
                  </w:pict>
                </mc:Fallback>
              </mc:AlternateContent>
            </w:r>
            <w:r>
              <w:rPr>
                <w:rFonts w:hint="eastAsia" w:cs="Times New Roman"/>
                <w:color w:val="auto"/>
                <w:kern w:val="0"/>
                <w:sz w:val="24"/>
                <w:highlight w:val="none"/>
                <w:lang w:val="en-US" w:eastAsia="zh-CN"/>
              </w:rPr>
              <w:drawing>
                <wp:inline distT="0" distB="0" distL="114300" distR="114300">
                  <wp:extent cx="4667885" cy="6593205"/>
                  <wp:effectExtent l="0" t="0" r="18415" b="17145"/>
                  <wp:docPr id="57" name="图片 57" descr="ZH1101082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ZH11010820024"/>
                          <pic:cNvPicPr>
                            <a:picLocks noChangeAspect="1"/>
                          </pic:cNvPicPr>
                        </pic:nvPicPr>
                        <pic:blipFill>
                          <a:blip r:embed="rId14"/>
                          <a:stretch>
                            <a:fillRect/>
                          </a:stretch>
                        </pic:blipFill>
                        <pic:spPr>
                          <a:xfrm>
                            <a:off x="0" y="0"/>
                            <a:ext cx="4667885" cy="6593205"/>
                          </a:xfrm>
                          <a:prstGeom prst="rect">
                            <a:avLst/>
                          </a:prstGeom>
                        </pic:spPr>
                      </pic:pic>
                    </a:graphicData>
                  </a:graphic>
                </wp:inline>
              </w:drawing>
            </w:r>
          </w:p>
          <w:p w14:paraId="0EB78494">
            <w:pPr>
              <w:pStyle w:val="31"/>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图1-4 重点管控类街道（乡镇）管控单元图</w:t>
            </w:r>
          </w:p>
          <w:p w14:paraId="6C09C7C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cs="Times New Roman"/>
                <w:color w:val="auto"/>
                <w:kern w:val="0"/>
                <w:sz w:val="24"/>
                <w:highlight w:val="none"/>
                <w:lang w:val="en-US" w:eastAsia="zh-CN"/>
              </w:rPr>
            </w:pPr>
            <w:r>
              <w:rPr>
                <w:rFonts w:hint="eastAsia" w:cs="Times New Roman"/>
                <w:color w:val="auto"/>
                <w:kern w:val="0"/>
                <w:sz w:val="24"/>
                <w:highlight w:val="none"/>
                <w:lang w:val="en-US" w:eastAsia="zh-CN"/>
              </w:rPr>
              <w:t>根据《北京市生态环境准入清单（2021年版）》和《北京市生态环境局关于生态环境分区管控动态更新成果的通告》，开展全市总体生态环境准入清单、五大功能区生态环境准入清单及环境管控单元生态环境准入清单符合性分析。</w:t>
            </w:r>
          </w:p>
          <w:p w14:paraId="75AA26C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cs="Times New Roman"/>
                <w:color w:val="auto"/>
                <w:kern w:val="0"/>
                <w:sz w:val="24"/>
                <w:highlight w:val="none"/>
                <w:lang w:val="en-US" w:eastAsia="zh-CN"/>
              </w:rPr>
            </w:pPr>
            <w:r>
              <w:rPr>
                <w:rFonts w:hint="eastAsia" w:cs="Times New Roman"/>
                <w:color w:val="auto"/>
                <w:kern w:val="0"/>
                <w:sz w:val="24"/>
                <w:highlight w:val="none"/>
                <w:lang w:val="en-US" w:eastAsia="zh-CN"/>
              </w:rPr>
              <w:t>1）全市总体生态环境准入清单符合性分析</w:t>
            </w:r>
          </w:p>
          <w:p w14:paraId="1CF16C1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cs="Times New Roman"/>
                <w:color w:val="auto"/>
                <w:kern w:val="0"/>
                <w:sz w:val="24"/>
                <w:highlight w:val="none"/>
                <w:lang w:val="en-US" w:eastAsia="zh-CN"/>
              </w:rPr>
            </w:pPr>
            <w:r>
              <w:rPr>
                <w:rFonts w:hint="eastAsia" w:cs="Times New Roman"/>
                <w:color w:val="auto"/>
                <w:kern w:val="0"/>
                <w:sz w:val="24"/>
                <w:highlight w:val="none"/>
                <w:lang w:val="en-US" w:eastAsia="zh-CN"/>
              </w:rPr>
              <w:t>项目所在位置不涉及永久基本农田、具有重要生态价值的山地、森林、河流湖泊等现状生态用地，和饮用水水源保护区及准保护区、自然保护区、风景名胜区、森林公园、地质公园、湿地公园等法定保护空间，以及对生态安全格局具有重要作用的部分大型公园和结构性绿地。项目所在地属于涉及水、大气、土壤、水资源、土地资源、能源等资源环境要素重点管控的区域。且不在39个具有工业污染排放性质的国家级和市级开发区、新型工业化产业示范基地内，应属于重点管控类街道（乡镇）类管控单元。</w:t>
            </w:r>
          </w:p>
          <w:p w14:paraId="021CC249">
            <w:pPr>
              <w:pStyle w:val="31"/>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表1-1 与重点管控类[街道（乡镇）]生态环境准入清单管控要求符合性分析</w:t>
            </w:r>
          </w:p>
          <w:tbl>
            <w:tblPr>
              <w:tblStyle w:val="13"/>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55"/>
              <w:gridCol w:w="3138"/>
              <w:gridCol w:w="3139"/>
              <w:gridCol w:w="527"/>
            </w:tblGrid>
            <w:tr w14:paraId="6E301A3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tcBorders>
                    <w:tl2br w:val="nil"/>
                    <w:tr2bl w:val="nil"/>
                  </w:tcBorders>
                  <w:vAlign w:val="center"/>
                </w:tcPr>
                <w:p w14:paraId="48CA854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eastAsia="宋体"/>
                      <w:b/>
                      <w:bCs/>
                      <w:sz w:val="21"/>
                      <w:szCs w:val="21"/>
                      <w:vertAlign w:val="baseline"/>
                      <w:lang w:val="en-US" w:eastAsia="zh-CN"/>
                    </w:rPr>
                  </w:pPr>
                  <w:r>
                    <w:rPr>
                      <w:rFonts w:hint="eastAsia"/>
                      <w:b/>
                      <w:bCs/>
                      <w:sz w:val="21"/>
                      <w:szCs w:val="21"/>
                      <w:vertAlign w:val="baseline"/>
                      <w:lang w:val="en-US" w:eastAsia="zh-CN"/>
                    </w:rPr>
                    <w:t>管控类别</w:t>
                  </w:r>
                </w:p>
              </w:tc>
              <w:tc>
                <w:tcPr>
                  <w:tcW w:w="3037" w:type="dxa"/>
                  <w:tcBorders>
                    <w:tl2br w:val="nil"/>
                    <w:tr2bl w:val="nil"/>
                  </w:tcBorders>
                  <w:vAlign w:val="center"/>
                </w:tcPr>
                <w:p w14:paraId="41C1149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eastAsia="宋体"/>
                      <w:b/>
                      <w:bCs/>
                      <w:sz w:val="21"/>
                      <w:szCs w:val="21"/>
                      <w:vertAlign w:val="baseline"/>
                      <w:lang w:val="en-US" w:eastAsia="zh-CN"/>
                    </w:rPr>
                  </w:pPr>
                  <w:r>
                    <w:rPr>
                      <w:rFonts w:hint="eastAsia" w:cs="Times New Roman"/>
                      <w:b/>
                      <w:bCs/>
                      <w:kern w:val="0"/>
                      <w:sz w:val="21"/>
                      <w:szCs w:val="21"/>
                      <w:highlight w:val="none"/>
                      <w:vertAlign w:val="baseline"/>
                      <w:lang w:val="en-US" w:eastAsia="zh-CN"/>
                    </w:rPr>
                    <w:t>重点管控要求</w:t>
                  </w:r>
                </w:p>
              </w:tc>
              <w:tc>
                <w:tcPr>
                  <w:tcW w:w="3038" w:type="dxa"/>
                  <w:tcBorders>
                    <w:tl2br w:val="nil"/>
                    <w:tr2bl w:val="nil"/>
                  </w:tcBorders>
                  <w:vAlign w:val="center"/>
                </w:tcPr>
                <w:p w14:paraId="5A6394A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eastAsia="宋体"/>
                      <w:b/>
                      <w:bCs/>
                      <w:sz w:val="21"/>
                      <w:szCs w:val="21"/>
                      <w:vertAlign w:val="baseline"/>
                      <w:lang w:val="en-US" w:eastAsia="zh-CN"/>
                    </w:rPr>
                  </w:pPr>
                  <w:r>
                    <w:rPr>
                      <w:rFonts w:hint="eastAsia"/>
                      <w:b/>
                      <w:bCs/>
                      <w:sz w:val="21"/>
                      <w:szCs w:val="21"/>
                      <w:vertAlign w:val="baseline"/>
                      <w:lang w:val="en-US" w:eastAsia="zh-CN"/>
                    </w:rPr>
                    <w:t>本项目情况</w:t>
                  </w:r>
                </w:p>
              </w:tc>
              <w:tc>
                <w:tcPr>
                  <w:tcW w:w="510" w:type="dxa"/>
                  <w:tcBorders>
                    <w:tl2br w:val="nil"/>
                    <w:tr2bl w:val="nil"/>
                  </w:tcBorders>
                  <w:vAlign w:val="center"/>
                </w:tcPr>
                <w:p w14:paraId="0F46B75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eastAsia="宋体"/>
                      <w:b/>
                      <w:bCs/>
                      <w:sz w:val="21"/>
                      <w:szCs w:val="21"/>
                      <w:vertAlign w:val="baseline"/>
                      <w:lang w:val="en-US" w:eastAsia="zh-CN"/>
                    </w:rPr>
                  </w:pPr>
                  <w:r>
                    <w:rPr>
                      <w:rFonts w:hint="eastAsia"/>
                      <w:b/>
                      <w:bCs/>
                      <w:sz w:val="21"/>
                      <w:szCs w:val="21"/>
                      <w:vertAlign w:val="baseline"/>
                      <w:lang w:val="en-US" w:eastAsia="zh-CN"/>
                    </w:rPr>
                    <w:t>符合情况</w:t>
                  </w:r>
                </w:p>
              </w:tc>
            </w:tr>
            <w:tr w14:paraId="61CFC9A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tcBorders>
                    <w:tl2br w:val="nil"/>
                    <w:tr2bl w:val="nil"/>
                  </w:tcBorders>
                  <w:vAlign w:val="center"/>
                </w:tcPr>
                <w:p w14:paraId="337CA5D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eastAsia="宋体"/>
                      <w:sz w:val="21"/>
                      <w:szCs w:val="21"/>
                      <w:vertAlign w:val="baseline"/>
                      <w:lang w:val="en-US" w:eastAsia="zh-CN"/>
                    </w:rPr>
                  </w:pPr>
                  <w:r>
                    <w:rPr>
                      <w:rFonts w:hint="eastAsia" w:cs="Times New Roman"/>
                      <w:kern w:val="0"/>
                      <w:sz w:val="21"/>
                      <w:szCs w:val="21"/>
                      <w:highlight w:val="none"/>
                      <w:vertAlign w:val="baseline"/>
                      <w:lang w:val="en-US" w:eastAsia="zh-CN"/>
                    </w:rPr>
                    <w:t>空间布局约束</w:t>
                  </w:r>
                </w:p>
              </w:tc>
              <w:tc>
                <w:tcPr>
                  <w:tcW w:w="3037" w:type="dxa"/>
                  <w:tcBorders>
                    <w:tl2br w:val="nil"/>
                    <w:tr2bl w:val="nil"/>
                  </w:tcBorders>
                  <w:vAlign w:val="center"/>
                </w:tcPr>
                <w:p w14:paraId="01B6408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cs="Times New Roman"/>
                      <w:kern w:val="0"/>
                      <w:sz w:val="21"/>
                      <w:szCs w:val="21"/>
                      <w:highlight w:val="none"/>
                      <w:vertAlign w:val="baseline"/>
                      <w:lang w:val="en-US" w:eastAsia="zh-CN"/>
                    </w:rPr>
                  </w:pPr>
                  <w:r>
                    <w:rPr>
                      <w:rFonts w:hint="eastAsia" w:cs="Times New Roman"/>
                      <w:kern w:val="0"/>
                      <w:sz w:val="21"/>
                      <w:szCs w:val="21"/>
                      <w:highlight w:val="none"/>
                      <w:vertAlign w:val="baseline"/>
                      <w:lang w:val="en-US" w:eastAsia="zh-CN"/>
                    </w:rPr>
                    <w:t>1.严格执行《北京市新增产业的禁止和限制目录（2022年版）》、北京市《建设项目规划使用性质正面和负面清单》《外商投资准入特别管理措施(负面清单)（2024年版）》《自由贸易试验区外商投资准入特别管理措施（负面清单）（2021年版）》《北京市“十四五”时期高精尖产业发展规划》《北京市“十四五”时期生态环境保护规划》。</w:t>
                  </w:r>
                </w:p>
                <w:p w14:paraId="065E734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cs="Times New Roman"/>
                      <w:kern w:val="0"/>
                      <w:sz w:val="21"/>
                      <w:szCs w:val="21"/>
                      <w:highlight w:val="none"/>
                      <w:vertAlign w:val="baseline"/>
                      <w:lang w:val="en-US" w:eastAsia="zh-CN"/>
                    </w:rPr>
                  </w:pPr>
                  <w:r>
                    <w:rPr>
                      <w:rFonts w:hint="eastAsia" w:cs="Times New Roman"/>
                      <w:kern w:val="0"/>
                      <w:sz w:val="21"/>
                      <w:szCs w:val="21"/>
                      <w:highlight w:val="none"/>
                      <w:vertAlign w:val="baseline"/>
                      <w:lang w:val="en-US" w:eastAsia="zh-CN"/>
                    </w:rPr>
                    <w:t>2.严格执行《北京市工业污染行业生产工艺调整退出及设备淘汰目录（2022年版）》。</w:t>
                  </w:r>
                </w:p>
                <w:p w14:paraId="66E4D80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cs="Times New Roman"/>
                      <w:kern w:val="0"/>
                      <w:sz w:val="21"/>
                      <w:szCs w:val="21"/>
                      <w:highlight w:val="none"/>
                      <w:vertAlign w:val="baseline"/>
                      <w:lang w:val="en-US" w:eastAsia="zh-CN"/>
                    </w:rPr>
                  </w:pPr>
                  <w:r>
                    <w:rPr>
                      <w:rFonts w:hint="eastAsia" w:cs="Times New Roman"/>
                      <w:kern w:val="0"/>
                      <w:sz w:val="21"/>
                      <w:szCs w:val="21"/>
                      <w:highlight w:val="none"/>
                      <w:vertAlign w:val="baseline"/>
                      <w:lang w:val="en-US" w:eastAsia="zh-CN"/>
                    </w:rPr>
                    <w:t>3.严格执行《北京城市总体规划(2016年-2035年)》《北京市国土空间近期规划(2021年—2025年)》及分区规划中的空间布局约束管控要求。</w:t>
                  </w:r>
                </w:p>
                <w:p w14:paraId="48FC3F4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cs="Times New Roman"/>
                      <w:kern w:val="0"/>
                      <w:sz w:val="21"/>
                      <w:szCs w:val="21"/>
                      <w:highlight w:val="none"/>
                      <w:vertAlign w:val="baseline"/>
                      <w:lang w:val="en-US" w:eastAsia="zh-CN"/>
                    </w:rPr>
                  </w:pPr>
                  <w:r>
                    <w:rPr>
                      <w:rFonts w:hint="eastAsia" w:cs="Times New Roman"/>
                      <w:kern w:val="0"/>
                      <w:sz w:val="21"/>
                      <w:szCs w:val="21"/>
                      <w:highlight w:val="none"/>
                      <w:vertAlign w:val="baseline"/>
                      <w:lang w:val="en-US" w:eastAsia="zh-CN"/>
                    </w:rPr>
                    <w:t>4.严格执行《北京市高污染燃料禁燃区划定方案（试行）》，高污染燃料禁燃区内任何单位不得新建、扩建高污染燃料燃用设施，不得将其他燃料燃用设施改造为高污染燃料燃用设施。</w:t>
                  </w:r>
                </w:p>
                <w:p w14:paraId="0E73A83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cs="Times New Roman"/>
                      <w:kern w:val="0"/>
                      <w:sz w:val="21"/>
                      <w:szCs w:val="21"/>
                      <w:highlight w:val="none"/>
                      <w:vertAlign w:val="baseline"/>
                      <w:lang w:val="en-US" w:eastAsia="zh-CN"/>
                    </w:rPr>
                  </w:pPr>
                  <w:r>
                    <w:rPr>
                      <w:rFonts w:hint="eastAsia" w:cs="Times New Roman"/>
                      <w:kern w:val="0"/>
                      <w:sz w:val="21"/>
                      <w:szCs w:val="21"/>
                      <w:highlight w:val="none"/>
                      <w:vertAlign w:val="baseline"/>
                      <w:lang w:val="en-US" w:eastAsia="zh-CN"/>
                    </w:rPr>
                    <w:t>5.严格执行《北京市水污染防治条例》，通过合理规划工业布局，引导工业企业入驻工业园区；规划禁养区内已有的畜禽养殖场、养殖小区项目，由所在地区人民政府限期拆除。</w:t>
                  </w:r>
                </w:p>
                <w:p w14:paraId="2249190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cs="Times New Roman"/>
                      <w:kern w:val="0"/>
                      <w:sz w:val="21"/>
                      <w:szCs w:val="21"/>
                      <w:highlight w:val="none"/>
                      <w:vertAlign w:val="baseline"/>
                      <w:lang w:val="en-US" w:eastAsia="zh-CN"/>
                    </w:rPr>
                  </w:pPr>
                  <w:r>
                    <w:rPr>
                      <w:rFonts w:hint="eastAsia" w:cs="Times New Roman"/>
                      <w:kern w:val="0"/>
                      <w:sz w:val="21"/>
                      <w:szCs w:val="21"/>
                      <w:highlight w:val="none"/>
                      <w:vertAlign w:val="baseline"/>
                      <w:lang w:val="en-US" w:eastAsia="zh-CN"/>
                    </w:rPr>
                    <w:t>6.严格执行《北京市大气污染防治条例》，禁止销售不符合标准的散煤及制品；在居民住宅楼、未配套设立专用烟道的商住综合楼、商住综合楼内与居住层相邻的商业楼层内，禁止新建、改建、扩建产生油烟、异味、废气的饮食服务、服装干洗和机动车维修等项目。</w:t>
                  </w:r>
                </w:p>
                <w:p w14:paraId="0961159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default" w:eastAsia="宋体"/>
                      <w:sz w:val="21"/>
                      <w:szCs w:val="21"/>
                      <w:vertAlign w:val="baseline"/>
                      <w:lang w:val="en-US" w:eastAsia="zh-CN"/>
                    </w:rPr>
                  </w:pPr>
                  <w:r>
                    <w:rPr>
                      <w:rFonts w:hint="eastAsia" w:cs="Times New Roman"/>
                      <w:kern w:val="0"/>
                      <w:sz w:val="21"/>
                      <w:szCs w:val="21"/>
                      <w:highlight w:val="none"/>
                      <w:vertAlign w:val="baseline"/>
                      <w:lang w:val="en-US" w:eastAsia="zh-CN"/>
                    </w:rPr>
                    <w:t>7.严格执行《北京历史文化名城保护条例》，严格控制建设规模和建筑高度，保护景观视廊和空间格局；逐步开展环境整治、生态修复，恢复大尺度绿色空间。</w:t>
                  </w:r>
                </w:p>
              </w:tc>
              <w:tc>
                <w:tcPr>
                  <w:tcW w:w="3038" w:type="dxa"/>
                  <w:tcBorders>
                    <w:tl2br w:val="nil"/>
                    <w:tr2bl w:val="nil"/>
                  </w:tcBorders>
                  <w:vAlign w:val="center"/>
                </w:tcPr>
                <w:p w14:paraId="372A51B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textAlignment w:val="auto"/>
                    <w:rPr>
                      <w:rFonts w:hint="eastAsia" w:cs="Times New Roman"/>
                      <w:kern w:val="0"/>
                      <w:sz w:val="21"/>
                      <w:szCs w:val="21"/>
                      <w:highlight w:val="none"/>
                      <w:vertAlign w:val="baseline"/>
                      <w:lang w:val="en-US" w:eastAsia="zh-CN"/>
                    </w:rPr>
                  </w:pPr>
                  <w:r>
                    <w:rPr>
                      <w:rFonts w:hint="eastAsia" w:cs="Times New Roman"/>
                      <w:kern w:val="0"/>
                      <w:sz w:val="21"/>
                      <w:szCs w:val="21"/>
                      <w:highlight w:val="none"/>
                      <w:vertAlign w:val="baseline"/>
                      <w:lang w:val="en-US" w:eastAsia="zh-CN"/>
                    </w:rPr>
                    <w:t>1.本项目不属于《北京市新增产业的禁止和限制目录（2022年版）》中禁止和限制类项目，未列入北京市《建设项目规划使用性质正面和负面清单》《外商投资准入特别管理措施（负面清单）（2024年版）》《自由贸易试验区外商投资准入特别管理措施（负面清单）（2021年版）》中负面清单，本项目严格执行《北京市“十四五”时期生态环境保护规划》。</w:t>
                  </w:r>
                </w:p>
                <w:p w14:paraId="1CCAE7A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textAlignment w:val="auto"/>
                    <w:rPr>
                      <w:rFonts w:hint="eastAsia" w:cs="Times New Roman"/>
                      <w:kern w:val="0"/>
                      <w:sz w:val="21"/>
                      <w:szCs w:val="21"/>
                      <w:highlight w:val="none"/>
                      <w:vertAlign w:val="baseline"/>
                      <w:lang w:val="en-US" w:eastAsia="zh-CN"/>
                    </w:rPr>
                  </w:pPr>
                  <w:r>
                    <w:rPr>
                      <w:rFonts w:hint="eastAsia" w:cs="Times New Roman"/>
                      <w:kern w:val="0"/>
                      <w:sz w:val="21"/>
                      <w:szCs w:val="21"/>
                      <w:highlight w:val="none"/>
                      <w:vertAlign w:val="baseline"/>
                      <w:lang w:val="en-US" w:eastAsia="zh-CN"/>
                    </w:rPr>
                    <w:t>2.本项目为中医医院，项目工艺和设备不属于《北京市工业污染行业生产工艺调整退出及设备淘汰目录（2022年版）》中工艺及设备。</w:t>
                  </w:r>
                </w:p>
                <w:p w14:paraId="50E02A1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textAlignment w:val="auto"/>
                    <w:rPr>
                      <w:rFonts w:hint="eastAsia" w:cs="Times New Roman"/>
                      <w:kern w:val="0"/>
                      <w:sz w:val="21"/>
                      <w:szCs w:val="21"/>
                      <w:highlight w:val="none"/>
                      <w:vertAlign w:val="baseline"/>
                      <w:lang w:val="en-US" w:eastAsia="zh-CN"/>
                    </w:rPr>
                  </w:pPr>
                  <w:r>
                    <w:rPr>
                      <w:rFonts w:hint="eastAsia" w:cs="Times New Roman"/>
                      <w:kern w:val="0"/>
                      <w:sz w:val="21"/>
                      <w:szCs w:val="21"/>
                      <w:highlight w:val="none"/>
                      <w:vertAlign w:val="baseline"/>
                      <w:lang w:val="en-US" w:eastAsia="zh-CN"/>
                    </w:rPr>
                    <w:t>3.本项目严格执行《北京城市总体规划(2016年-2035年)》《北京市国土空间近期规划(2021年—2025年)》及分区规划中的空间布局约束管控要求。</w:t>
                  </w:r>
                </w:p>
                <w:p w14:paraId="6ED2ABD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textAlignment w:val="auto"/>
                    <w:rPr>
                      <w:rFonts w:hint="default" w:cs="Times New Roman"/>
                      <w:kern w:val="0"/>
                      <w:sz w:val="21"/>
                      <w:szCs w:val="21"/>
                      <w:highlight w:val="none"/>
                      <w:vertAlign w:val="baseline"/>
                      <w:lang w:val="en-US" w:eastAsia="zh-CN"/>
                    </w:rPr>
                  </w:pPr>
                  <w:r>
                    <w:rPr>
                      <w:rFonts w:hint="eastAsia" w:cs="Times New Roman"/>
                      <w:kern w:val="0"/>
                      <w:sz w:val="21"/>
                      <w:szCs w:val="21"/>
                      <w:highlight w:val="none"/>
                      <w:vertAlign w:val="baseline"/>
                      <w:lang w:val="en-US" w:eastAsia="zh-CN"/>
                    </w:rPr>
                    <w:t>4.本项目不涉及高污染燃料燃用。</w:t>
                  </w:r>
                </w:p>
                <w:p w14:paraId="7E3D56F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textAlignment w:val="auto"/>
                    <w:rPr>
                      <w:rFonts w:hint="default" w:cs="Times New Roman"/>
                      <w:kern w:val="0"/>
                      <w:sz w:val="21"/>
                      <w:szCs w:val="21"/>
                      <w:highlight w:val="none"/>
                      <w:vertAlign w:val="baseline"/>
                      <w:lang w:val="en-US" w:eastAsia="zh-CN"/>
                    </w:rPr>
                  </w:pPr>
                  <w:r>
                    <w:rPr>
                      <w:rFonts w:hint="eastAsia" w:cs="Times New Roman"/>
                      <w:kern w:val="0"/>
                      <w:sz w:val="21"/>
                      <w:szCs w:val="21"/>
                      <w:highlight w:val="none"/>
                      <w:vertAlign w:val="baseline"/>
                      <w:lang w:val="en-US" w:eastAsia="zh-CN"/>
                    </w:rPr>
                    <w:t>5.本项目严格执行《北京市水污染防治条例》，不涉及畜禽养殖等。</w:t>
                  </w:r>
                </w:p>
                <w:p w14:paraId="6BE1D5B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default" w:cs="Times New Roman"/>
                      <w:kern w:val="0"/>
                      <w:sz w:val="21"/>
                      <w:szCs w:val="21"/>
                      <w:highlight w:val="none"/>
                      <w:vertAlign w:val="baseline"/>
                      <w:lang w:val="en-US" w:eastAsia="zh-CN"/>
                    </w:rPr>
                  </w:pPr>
                  <w:r>
                    <w:rPr>
                      <w:rFonts w:hint="eastAsia" w:cs="Times New Roman"/>
                      <w:kern w:val="0"/>
                      <w:sz w:val="21"/>
                      <w:szCs w:val="21"/>
                      <w:highlight w:val="none"/>
                      <w:vertAlign w:val="baseline"/>
                      <w:lang w:val="en-US" w:eastAsia="zh-CN"/>
                    </w:rPr>
                    <w:t>6.本项目严格执行《北京市大气污染防治条例》，不涉及饮食服务、服装干洗和机动车维修等。</w:t>
                  </w:r>
                </w:p>
                <w:p w14:paraId="35ABC46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default"/>
                      <w:sz w:val="21"/>
                      <w:szCs w:val="21"/>
                      <w:vertAlign w:val="baseline"/>
                      <w:lang w:val="en-US" w:eastAsia="zh-CN"/>
                    </w:rPr>
                  </w:pPr>
                  <w:r>
                    <w:rPr>
                      <w:rFonts w:hint="eastAsia" w:cs="Times New Roman"/>
                      <w:kern w:val="0"/>
                      <w:sz w:val="21"/>
                      <w:szCs w:val="21"/>
                      <w:highlight w:val="none"/>
                      <w:vertAlign w:val="baseline"/>
                      <w:lang w:val="en-US" w:eastAsia="zh-CN"/>
                    </w:rPr>
                    <w:t>7.本项目严格执行《北京历史文化名城保护条例》。</w:t>
                  </w:r>
                </w:p>
              </w:tc>
              <w:tc>
                <w:tcPr>
                  <w:tcW w:w="510" w:type="dxa"/>
                  <w:tcBorders>
                    <w:tl2br w:val="nil"/>
                    <w:tr2bl w:val="nil"/>
                  </w:tcBorders>
                  <w:vAlign w:val="center"/>
                </w:tcPr>
                <w:p w14:paraId="6EAD8B8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eastAsia="宋体"/>
                      <w:sz w:val="21"/>
                      <w:szCs w:val="21"/>
                      <w:vertAlign w:val="baseline"/>
                      <w:lang w:val="en-US" w:eastAsia="zh-CN"/>
                    </w:rPr>
                  </w:pPr>
                  <w:r>
                    <w:rPr>
                      <w:rFonts w:hint="eastAsia"/>
                      <w:sz w:val="21"/>
                      <w:szCs w:val="21"/>
                      <w:vertAlign w:val="baseline"/>
                      <w:lang w:val="en-US" w:eastAsia="zh-CN"/>
                    </w:rPr>
                    <w:t>符合</w:t>
                  </w:r>
                </w:p>
              </w:tc>
            </w:tr>
            <w:tr w14:paraId="59E78A6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tcBorders>
                    <w:tl2br w:val="nil"/>
                    <w:tr2bl w:val="nil"/>
                  </w:tcBorders>
                  <w:vAlign w:val="center"/>
                </w:tcPr>
                <w:p w14:paraId="68E6911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eastAsia="宋体"/>
                      <w:sz w:val="21"/>
                      <w:szCs w:val="21"/>
                      <w:vertAlign w:val="baseline"/>
                      <w:lang w:val="en-US" w:eastAsia="zh-CN"/>
                    </w:rPr>
                  </w:pPr>
                  <w:r>
                    <w:rPr>
                      <w:rFonts w:hint="eastAsia" w:cs="Times New Roman"/>
                      <w:kern w:val="0"/>
                      <w:sz w:val="21"/>
                      <w:szCs w:val="21"/>
                      <w:highlight w:val="none"/>
                      <w:vertAlign w:val="baseline"/>
                      <w:lang w:val="en-US" w:eastAsia="zh-CN"/>
                    </w:rPr>
                    <w:t>污染物排放管控</w:t>
                  </w:r>
                </w:p>
              </w:tc>
              <w:tc>
                <w:tcPr>
                  <w:tcW w:w="3037" w:type="dxa"/>
                  <w:tcBorders>
                    <w:tl2br w:val="nil"/>
                    <w:tr2bl w:val="nil"/>
                  </w:tcBorders>
                  <w:vAlign w:val="center"/>
                </w:tcPr>
                <w:p w14:paraId="6D8CA90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sz w:val="21"/>
                      <w:szCs w:val="21"/>
                      <w:vertAlign w:val="baseline"/>
                    </w:rPr>
                  </w:pPr>
                  <w:r>
                    <w:rPr>
                      <w:rFonts w:hint="eastAsia"/>
                      <w:sz w:val="21"/>
                      <w:szCs w:val="21"/>
                      <w:vertAlign w:val="baseline"/>
                    </w:rPr>
                    <w:t>1.严格执行《中华人民共和国环境保护法》《中华人民共和国大气污染防治法》《中华人民共和国水污染防治法》《中华人民共和国土壤污染防治法》《中华人民共和国固体废物污染环境防治法》《北京市大气污染防治条例》《北京市水污染防治条例》《北京市土壤污染防治条例》《排污许可管理条例》等法律法规以及国家、地方环境质量标准和污染物排放标准。</w:t>
                  </w:r>
                </w:p>
                <w:p w14:paraId="45AC220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sz w:val="21"/>
                      <w:szCs w:val="21"/>
                      <w:vertAlign w:val="baseline"/>
                    </w:rPr>
                  </w:pPr>
                  <w:r>
                    <w:rPr>
                      <w:rFonts w:hint="eastAsia"/>
                      <w:sz w:val="21"/>
                      <w:szCs w:val="21"/>
                      <w:vertAlign w:val="baseline"/>
                    </w:rPr>
                    <w:t>2.严格执行《北京市机动车和非道路移动机械排放污染防治条例》，优化道路设置和运输结构，推广新能源的机动车和非道路移动机械应用，加强机动车和非道路移动机械排放污染防治。</w:t>
                  </w:r>
                </w:p>
                <w:p w14:paraId="66A6862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sz w:val="21"/>
                      <w:szCs w:val="21"/>
                      <w:vertAlign w:val="baseline"/>
                    </w:rPr>
                  </w:pPr>
                  <w:r>
                    <w:rPr>
                      <w:rFonts w:hint="eastAsia"/>
                      <w:sz w:val="21"/>
                      <w:szCs w:val="21"/>
                      <w:vertAlign w:val="baseline"/>
                    </w:rPr>
                    <w:t>3.严格执行《绿色施工管理规程》。</w:t>
                  </w:r>
                </w:p>
                <w:p w14:paraId="49DBB19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sz w:val="21"/>
                      <w:szCs w:val="21"/>
                      <w:vertAlign w:val="baseline"/>
                    </w:rPr>
                  </w:pPr>
                  <w:r>
                    <w:rPr>
                      <w:rFonts w:hint="eastAsia"/>
                      <w:sz w:val="21"/>
                      <w:szCs w:val="21"/>
                      <w:vertAlign w:val="baseline"/>
                    </w:rPr>
                    <w:t>4.严格执行《北京市水污染防治条例》，城镇污水应当集中处理，统筹安排建设污水集中处理设施及配套污水管网，提高城镇污水的收集率和处理率；建设规模化畜禽养殖场、养殖小区，配套建设集中式畜禽粪污综合利用设施或者无害化处理设施。规模化畜禽养殖企业应当采取防渗漏、防流失、防遗撒措施，防止畜禽养殖废水、粪污渗漏、溢流、散落对环境造成污染。</w:t>
                  </w:r>
                </w:p>
                <w:p w14:paraId="22FC6D4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sz w:val="21"/>
                      <w:szCs w:val="21"/>
                      <w:vertAlign w:val="baseline"/>
                    </w:rPr>
                  </w:pPr>
                  <w:r>
                    <w:rPr>
                      <w:rFonts w:hint="eastAsia"/>
                      <w:sz w:val="21"/>
                      <w:szCs w:val="21"/>
                      <w:vertAlign w:val="baseline"/>
                    </w:rPr>
                    <w:t>5.严格执行《中华人民共和国清洁生产促进法》《中华人民共和国循环经济促进法》。</w:t>
                  </w:r>
                </w:p>
                <w:p w14:paraId="56380F4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sz w:val="21"/>
                      <w:szCs w:val="21"/>
                      <w:vertAlign w:val="baseline"/>
                    </w:rPr>
                  </w:pPr>
                  <w:r>
                    <w:rPr>
                      <w:rFonts w:hint="eastAsia"/>
                      <w:sz w:val="21"/>
                      <w:szCs w:val="21"/>
                      <w:vertAlign w:val="baseline"/>
                    </w:rPr>
                    <w:t>6.严格执行《建设项目主要污染物排放总量指标审核及管理暂行办法》《原北京市环境保护局关于建设项目主要污染物排放总量指标审核及管理的补充通知》。</w:t>
                  </w:r>
                </w:p>
                <w:p w14:paraId="0DA02EB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sz w:val="21"/>
                      <w:szCs w:val="21"/>
                      <w:vertAlign w:val="baseline"/>
                    </w:rPr>
                  </w:pPr>
                  <w:r>
                    <w:rPr>
                      <w:rFonts w:hint="eastAsia"/>
                      <w:sz w:val="21"/>
                      <w:szCs w:val="21"/>
                      <w:vertAlign w:val="baseline"/>
                    </w:rPr>
                    <w:t>7.严格执行废气、废水、噪声、固体废物等国家、地方污染物排放标准；严格执行锅炉、餐饮、加油站、储油库、印刷业等地方大气污染物排放标准，强化重点领域大气污染管控。</w:t>
                  </w:r>
                </w:p>
                <w:p w14:paraId="1AB1FB1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sz w:val="21"/>
                      <w:szCs w:val="21"/>
                      <w:vertAlign w:val="baseline"/>
                    </w:rPr>
                  </w:pPr>
                  <w:r>
                    <w:rPr>
                      <w:rFonts w:hint="eastAsia"/>
                      <w:sz w:val="21"/>
                      <w:szCs w:val="21"/>
                      <w:vertAlign w:val="baseline"/>
                    </w:rPr>
                    <w:t>8.严格执行《污染地块土壤环境管理办法（试行）》，在土地开发过程中，属于《污染地块土壤环境管理办法（试行）》规定的疑似污染地块，土壤污染状况普查、详查和监测、现场检查表明有土壤污染风险的建设用地地块，用途变更为住宅、公共管理与公共服务用地的，重度污染农用地转为城镇建设用地的要按照有关规定开展土壤污染状况调查等。</w:t>
                  </w:r>
                </w:p>
                <w:p w14:paraId="4A42E7B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sz w:val="21"/>
                      <w:szCs w:val="21"/>
                      <w:vertAlign w:val="baseline"/>
                    </w:rPr>
                  </w:pPr>
                  <w:r>
                    <w:rPr>
                      <w:rFonts w:hint="eastAsia"/>
                      <w:sz w:val="21"/>
                      <w:szCs w:val="21"/>
                      <w:vertAlign w:val="baseline"/>
                    </w:rPr>
                    <w:t>9.严格执行《北京市烟花爆竹安全管理规定》，五环路以内（含五环路）及各区人民政府划定的禁放区域禁止燃放烟花爆竹。</w:t>
                  </w:r>
                </w:p>
                <w:p w14:paraId="26AF096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sz w:val="21"/>
                      <w:szCs w:val="21"/>
                      <w:vertAlign w:val="baseline"/>
                    </w:rPr>
                  </w:pPr>
                  <w:r>
                    <w:rPr>
                      <w:rFonts w:hint="eastAsia"/>
                      <w:sz w:val="21"/>
                      <w:szCs w:val="21"/>
                      <w:vertAlign w:val="baseline"/>
                    </w:rPr>
                    <w:t>10.严格执行《中共中央国务院关于深入打好污染防治攻坚战的意见》《中共北京市委北京市人民政府关于深入打好北京市污染防治攻坚战的实施意见》，开展大气面源治理；推动规模化畜禽养殖场全部配备粪污处理设施，畜禽粪污综合利用率达到95%以上。</w:t>
                  </w:r>
                </w:p>
                <w:p w14:paraId="6CBFFB1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sz w:val="21"/>
                      <w:szCs w:val="21"/>
                      <w:vertAlign w:val="baseline"/>
                    </w:rPr>
                  </w:pPr>
                  <w:r>
                    <w:rPr>
                      <w:rFonts w:hint="eastAsia"/>
                      <w:sz w:val="21"/>
                      <w:szCs w:val="21"/>
                      <w:vertAlign w:val="baseline"/>
                    </w:rPr>
                    <w:t>11.严格执行《北京市“十四五”时期生态环境保护规划》《北京市“十四五”时期土壤污染防治规划》。</w:t>
                  </w:r>
                </w:p>
                <w:p w14:paraId="2E69C03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sz w:val="21"/>
                      <w:szCs w:val="21"/>
                      <w:vertAlign w:val="baseline"/>
                    </w:rPr>
                  </w:pPr>
                  <w:r>
                    <w:rPr>
                      <w:rFonts w:hint="eastAsia"/>
                      <w:sz w:val="21"/>
                      <w:szCs w:val="21"/>
                      <w:vertAlign w:val="baseline"/>
                    </w:rPr>
                    <w:t>12.严格执行《北京市“十四五”时期应对气候变化和节能规划》《北京市“十四五”时期能源发展规划》《北京市碳达峰实施方案》《北京市“十四五”时期制造业绿色低碳发展行动方案》，大力推广超低能耗建筑，推进既有建筑节能改造；积极引导绿色出行，加快优化车辆结构，加强航空和货运领域节能降碳；加强对本市甲烷、六氟化硫、氧化亚氮、全氟化碳等非二氧化碳温室气体的监测统计和科学管理。</w:t>
                  </w:r>
                </w:p>
                <w:p w14:paraId="051C609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default"/>
                      <w:sz w:val="21"/>
                      <w:szCs w:val="21"/>
                      <w:vertAlign w:val="baseline"/>
                    </w:rPr>
                  </w:pPr>
                  <w:r>
                    <w:rPr>
                      <w:rFonts w:hint="eastAsia"/>
                      <w:sz w:val="21"/>
                      <w:szCs w:val="21"/>
                      <w:vertAlign w:val="baseline"/>
                    </w:rPr>
                    <w:t>13.严格执行《北京市建设工程扬尘治理综合监管实施方案(试行)》《北京市预拌混凝土行业减量集约高质量发展指导意见（2019—2026年）》，坚持施工扬尘和站点扬尘高效精准治理。</w:t>
                  </w:r>
                </w:p>
              </w:tc>
              <w:tc>
                <w:tcPr>
                  <w:tcW w:w="3038" w:type="dxa"/>
                  <w:tcBorders>
                    <w:tl2br w:val="nil"/>
                    <w:tr2bl w:val="nil"/>
                  </w:tcBorders>
                  <w:vAlign w:val="center"/>
                </w:tcPr>
                <w:p w14:paraId="2E1DFB1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sz w:val="21"/>
                      <w:szCs w:val="21"/>
                      <w:vertAlign w:val="baseline"/>
                    </w:rPr>
                  </w:pPr>
                  <w:r>
                    <w:rPr>
                      <w:rFonts w:hint="eastAsia"/>
                      <w:sz w:val="21"/>
                      <w:szCs w:val="21"/>
                      <w:vertAlign w:val="baseline"/>
                    </w:rPr>
                    <w:t>1.项目废气、废水、噪声均达标排放，固体废物合理处置，满足国家、地方相关法律法规、环境质量标准和污染物排放标准要求。</w:t>
                  </w:r>
                </w:p>
                <w:p w14:paraId="00A73E8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sz w:val="21"/>
                      <w:szCs w:val="21"/>
                      <w:vertAlign w:val="baseline"/>
                    </w:rPr>
                  </w:pPr>
                  <w:r>
                    <w:rPr>
                      <w:rFonts w:hint="eastAsia"/>
                      <w:sz w:val="21"/>
                      <w:szCs w:val="21"/>
                      <w:vertAlign w:val="baseline"/>
                    </w:rPr>
                    <w:t>2.项目</w:t>
                  </w:r>
                  <w:r>
                    <w:rPr>
                      <w:rFonts w:hint="eastAsia"/>
                      <w:sz w:val="21"/>
                      <w:szCs w:val="21"/>
                      <w:vertAlign w:val="baseline"/>
                      <w:lang w:val="en-US" w:eastAsia="zh-CN"/>
                    </w:rPr>
                    <w:t>不涉及</w:t>
                  </w:r>
                  <w:r>
                    <w:rPr>
                      <w:rFonts w:hint="eastAsia"/>
                      <w:sz w:val="21"/>
                      <w:szCs w:val="21"/>
                      <w:vertAlign w:val="baseline"/>
                    </w:rPr>
                    <w:t>新能源的机动车和非道路移动机械应用。</w:t>
                  </w:r>
                </w:p>
                <w:p w14:paraId="360D69C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sz w:val="21"/>
                      <w:szCs w:val="21"/>
                      <w:vertAlign w:val="baseline"/>
                    </w:rPr>
                  </w:pPr>
                  <w:r>
                    <w:rPr>
                      <w:rFonts w:hint="eastAsia"/>
                      <w:sz w:val="21"/>
                      <w:szCs w:val="21"/>
                      <w:vertAlign w:val="baseline"/>
                    </w:rPr>
                    <w:t>3.项目严格执行《绿色施工管理规程》</w:t>
                  </w:r>
                </w:p>
                <w:p w14:paraId="7F410AE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eastAsia="宋体"/>
                      <w:sz w:val="21"/>
                      <w:szCs w:val="21"/>
                      <w:vertAlign w:val="baseline"/>
                      <w:lang w:val="en-US" w:eastAsia="zh-CN"/>
                    </w:rPr>
                  </w:pPr>
                  <w:r>
                    <w:rPr>
                      <w:rFonts w:hint="eastAsia"/>
                      <w:sz w:val="21"/>
                      <w:szCs w:val="21"/>
                      <w:vertAlign w:val="baseline"/>
                    </w:rPr>
                    <w:t>4.项目</w:t>
                  </w:r>
                  <w:r>
                    <w:rPr>
                      <w:rFonts w:hint="eastAsia"/>
                      <w:sz w:val="21"/>
                      <w:szCs w:val="21"/>
                      <w:vertAlign w:val="baseline"/>
                      <w:lang w:val="en-US" w:eastAsia="zh-CN"/>
                    </w:rPr>
                    <w:t>废水合理处置，不涉及</w:t>
                  </w:r>
                  <w:r>
                    <w:rPr>
                      <w:rFonts w:hint="eastAsia"/>
                      <w:sz w:val="21"/>
                      <w:szCs w:val="21"/>
                      <w:vertAlign w:val="baseline"/>
                    </w:rPr>
                    <w:t>规模化畜禽养殖场</w:t>
                  </w:r>
                  <w:r>
                    <w:rPr>
                      <w:rFonts w:hint="eastAsia"/>
                      <w:sz w:val="21"/>
                      <w:szCs w:val="21"/>
                      <w:vertAlign w:val="baseline"/>
                      <w:lang w:val="en-US" w:eastAsia="zh-CN"/>
                    </w:rPr>
                    <w:t>等。</w:t>
                  </w:r>
                </w:p>
                <w:p w14:paraId="46FD6E4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sz w:val="21"/>
                      <w:szCs w:val="21"/>
                      <w:vertAlign w:val="baseline"/>
                    </w:rPr>
                  </w:pPr>
                  <w:r>
                    <w:rPr>
                      <w:rFonts w:hint="eastAsia"/>
                      <w:sz w:val="21"/>
                      <w:szCs w:val="21"/>
                      <w:vertAlign w:val="baseline"/>
                    </w:rPr>
                    <w:t>5.项目严格执行《中华人民共和国清洁生产促进法》《中华人民共和国循环经济促进法》。</w:t>
                  </w:r>
                </w:p>
                <w:p w14:paraId="14AAA16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sz w:val="21"/>
                      <w:szCs w:val="21"/>
                      <w:vertAlign w:val="baseline"/>
                    </w:rPr>
                  </w:pPr>
                  <w:r>
                    <w:rPr>
                      <w:rFonts w:hint="eastAsia"/>
                      <w:sz w:val="21"/>
                      <w:szCs w:val="21"/>
                      <w:vertAlign w:val="baseline"/>
                    </w:rPr>
                    <w:t>6.项目严格执行《建设项目主要污染物排放总量指标审核及管理暂行办法》《原北京市环境保护局关于建设项目主要污染物排放总量指标审核及管理的补充通知》。</w:t>
                  </w:r>
                </w:p>
                <w:p w14:paraId="63CFE75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sz w:val="21"/>
                      <w:szCs w:val="21"/>
                      <w:vertAlign w:val="baseline"/>
                    </w:rPr>
                  </w:pPr>
                  <w:r>
                    <w:rPr>
                      <w:rFonts w:hint="eastAsia"/>
                      <w:sz w:val="21"/>
                      <w:szCs w:val="21"/>
                      <w:vertAlign w:val="baseline"/>
                    </w:rPr>
                    <w:t>7.项目严格执行废气、废水、噪声、固体废物等国家、地方污染物排放标准；项目不涉及锅炉、餐饮、加油站、储油库、印刷业等。</w:t>
                  </w:r>
                </w:p>
                <w:p w14:paraId="6B50C8E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sz w:val="21"/>
                      <w:szCs w:val="21"/>
                      <w:vertAlign w:val="baseline"/>
                    </w:rPr>
                  </w:pPr>
                  <w:r>
                    <w:rPr>
                      <w:rFonts w:hint="eastAsia"/>
                      <w:sz w:val="21"/>
                      <w:szCs w:val="21"/>
                      <w:vertAlign w:val="baseline"/>
                    </w:rPr>
                    <w:t>8.项目不涉及污染地块。</w:t>
                  </w:r>
                </w:p>
                <w:p w14:paraId="5734C50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sz w:val="21"/>
                      <w:szCs w:val="21"/>
                      <w:vertAlign w:val="baseline"/>
                    </w:rPr>
                  </w:pPr>
                  <w:r>
                    <w:rPr>
                      <w:rFonts w:hint="eastAsia"/>
                      <w:sz w:val="21"/>
                      <w:szCs w:val="21"/>
                      <w:vertAlign w:val="baseline"/>
                    </w:rPr>
                    <w:t>9.项目不涉及烟花爆竹燃放。</w:t>
                  </w:r>
                </w:p>
                <w:p w14:paraId="3BCA0C6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sz w:val="21"/>
                      <w:szCs w:val="21"/>
                      <w:vertAlign w:val="baseline"/>
                    </w:rPr>
                  </w:pPr>
                  <w:r>
                    <w:rPr>
                      <w:rFonts w:hint="eastAsia"/>
                      <w:sz w:val="21"/>
                      <w:szCs w:val="21"/>
                      <w:vertAlign w:val="baseline"/>
                    </w:rPr>
                    <w:t>10.项目不涉及规模化畜禽养殖。</w:t>
                  </w:r>
                </w:p>
                <w:p w14:paraId="0844F6E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sz w:val="21"/>
                      <w:szCs w:val="21"/>
                      <w:vertAlign w:val="baseline"/>
                    </w:rPr>
                  </w:pPr>
                  <w:r>
                    <w:rPr>
                      <w:rFonts w:hint="eastAsia"/>
                      <w:sz w:val="21"/>
                      <w:szCs w:val="21"/>
                      <w:vertAlign w:val="baseline"/>
                    </w:rPr>
                    <w:t>11.项目严格执行《北京市“十四五”时期生态环境保护规划》《北京市“十四五”时期土壤污染防治规划》。</w:t>
                  </w:r>
                </w:p>
                <w:p w14:paraId="0E427B7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sz w:val="21"/>
                      <w:szCs w:val="21"/>
                      <w:vertAlign w:val="baseline"/>
                    </w:rPr>
                  </w:pPr>
                  <w:r>
                    <w:rPr>
                      <w:rFonts w:hint="eastAsia"/>
                      <w:sz w:val="21"/>
                      <w:szCs w:val="21"/>
                      <w:vertAlign w:val="baseline"/>
                    </w:rPr>
                    <w:t>12.项目严格执行《北京市“十四五”时期应对气候变化和节能规划》《北京市“十四五”时期能源发展规划》《北京市碳达峰实施方案》《北京市“十四五”时期制造业绿色低碳发展行动方案》。</w:t>
                  </w:r>
                </w:p>
                <w:p w14:paraId="14C17D4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default"/>
                      <w:sz w:val="21"/>
                      <w:szCs w:val="21"/>
                      <w:vertAlign w:val="baseline"/>
                    </w:rPr>
                  </w:pPr>
                  <w:r>
                    <w:rPr>
                      <w:rFonts w:hint="eastAsia"/>
                      <w:sz w:val="21"/>
                      <w:szCs w:val="21"/>
                      <w:vertAlign w:val="baseline"/>
                    </w:rPr>
                    <w:t>13.项目严格执行《北京市建设工程扬尘治理综合监管实施方案(试行)》《北京市预拌混凝土行业减量集约高质量发展指导意见（2019—2026年）》，坚持施工扬尘和站点扬尘高效精准治理。</w:t>
                  </w:r>
                </w:p>
              </w:tc>
              <w:tc>
                <w:tcPr>
                  <w:tcW w:w="510" w:type="dxa"/>
                  <w:tcBorders>
                    <w:tl2br w:val="nil"/>
                    <w:tr2bl w:val="nil"/>
                  </w:tcBorders>
                  <w:vAlign w:val="center"/>
                </w:tcPr>
                <w:p w14:paraId="0ED90B0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eastAsia="宋体"/>
                      <w:sz w:val="21"/>
                      <w:szCs w:val="21"/>
                      <w:vertAlign w:val="baseline"/>
                      <w:lang w:val="en-US" w:eastAsia="zh-CN"/>
                    </w:rPr>
                  </w:pPr>
                  <w:r>
                    <w:rPr>
                      <w:rFonts w:hint="eastAsia"/>
                      <w:sz w:val="21"/>
                      <w:szCs w:val="21"/>
                      <w:vertAlign w:val="baseline"/>
                      <w:lang w:val="en-US" w:eastAsia="zh-CN"/>
                    </w:rPr>
                    <w:t>符合</w:t>
                  </w:r>
                </w:p>
              </w:tc>
            </w:tr>
            <w:tr w14:paraId="236F281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tcBorders>
                    <w:tl2br w:val="nil"/>
                    <w:tr2bl w:val="nil"/>
                  </w:tcBorders>
                  <w:vAlign w:val="center"/>
                </w:tcPr>
                <w:p w14:paraId="1129158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eastAsia="宋体"/>
                      <w:sz w:val="21"/>
                      <w:szCs w:val="21"/>
                      <w:vertAlign w:val="baseline"/>
                      <w:lang w:val="en-US" w:eastAsia="zh-CN"/>
                    </w:rPr>
                  </w:pPr>
                  <w:r>
                    <w:rPr>
                      <w:rFonts w:hint="eastAsia" w:cs="Times New Roman"/>
                      <w:kern w:val="0"/>
                      <w:sz w:val="21"/>
                      <w:szCs w:val="21"/>
                      <w:highlight w:val="none"/>
                      <w:vertAlign w:val="baseline"/>
                      <w:lang w:val="en-US" w:eastAsia="zh-CN"/>
                    </w:rPr>
                    <w:t>环境风险防控</w:t>
                  </w:r>
                </w:p>
              </w:tc>
              <w:tc>
                <w:tcPr>
                  <w:tcW w:w="3037" w:type="dxa"/>
                  <w:tcBorders>
                    <w:tl2br w:val="nil"/>
                    <w:tr2bl w:val="nil"/>
                  </w:tcBorders>
                  <w:vAlign w:val="center"/>
                </w:tcPr>
                <w:p w14:paraId="0857C07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sz w:val="21"/>
                      <w:szCs w:val="21"/>
                      <w:vertAlign w:val="baseline"/>
                      <w:lang w:val="en-US" w:eastAsia="zh-CN"/>
                    </w:rPr>
                  </w:pPr>
                  <w:r>
                    <w:rPr>
                      <w:rFonts w:hint="eastAsia"/>
                      <w:sz w:val="21"/>
                      <w:szCs w:val="21"/>
                      <w:vertAlign w:val="baseline"/>
                      <w:lang w:val="en-US" w:eastAsia="zh-CN"/>
                    </w:rPr>
                    <w:t>1.严格执行《中华人民共和国环境保护法》《中华人民共和国大气污染防治法》《中华人民共和国水污染防治法》《中华人民共和国土壤污染防治法》《中华人民共和国固体废物污染环境防治法》《北京市大气污染防治条例》《北京市水污染防治条例》《中华人民共和国水土保持法》《国家突发环境事件应急预案》《企业事业单位突发环境事件应急预案备案管理办法（试行）》《北京市突发环境事件应急预案》《北京市空气重污染应急预案（2023年修订）》等法律法规文件要求，完善环境风险防控体系，提高区域环境风险防范能力。</w:t>
                  </w:r>
                </w:p>
                <w:p w14:paraId="246287E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default" w:eastAsia="宋体"/>
                      <w:sz w:val="21"/>
                      <w:szCs w:val="21"/>
                      <w:vertAlign w:val="baseline"/>
                      <w:lang w:val="en-US" w:eastAsia="zh-CN"/>
                    </w:rPr>
                  </w:pPr>
                  <w:r>
                    <w:rPr>
                      <w:rFonts w:hint="eastAsia"/>
                      <w:sz w:val="21"/>
                      <w:szCs w:val="21"/>
                      <w:vertAlign w:val="baseline"/>
                      <w:lang w:val="en-US" w:eastAsia="zh-CN"/>
                    </w:rPr>
                    <w:t>2.落实《北京城市总体规划(2016年-2035年)》要求，强化土壤污染源头管控，加强污染地块再开发利用的联动监管。</w:t>
                  </w:r>
                </w:p>
              </w:tc>
              <w:tc>
                <w:tcPr>
                  <w:tcW w:w="3038" w:type="dxa"/>
                  <w:tcBorders>
                    <w:tl2br w:val="nil"/>
                    <w:tr2bl w:val="nil"/>
                  </w:tcBorders>
                  <w:vAlign w:val="center"/>
                </w:tcPr>
                <w:p w14:paraId="11D5268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sz w:val="21"/>
                      <w:szCs w:val="21"/>
                      <w:vertAlign w:val="baseline"/>
                      <w:lang w:val="en-US" w:eastAsia="zh-CN"/>
                    </w:rPr>
                  </w:pPr>
                  <w:r>
                    <w:rPr>
                      <w:rFonts w:hint="eastAsia"/>
                      <w:sz w:val="21"/>
                      <w:szCs w:val="21"/>
                      <w:vertAlign w:val="baseline"/>
                      <w:lang w:val="en-US" w:eastAsia="zh-CN"/>
                    </w:rPr>
                    <w:t>1.项目废气、废水、噪声均达标排放，固体废物合理处置，满足国家、地方相关法律法规、环境质量标准和污染物排放标准要求。</w:t>
                  </w:r>
                </w:p>
                <w:p w14:paraId="72E887A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default" w:eastAsia="宋体"/>
                      <w:sz w:val="21"/>
                      <w:szCs w:val="21"/>
                      <w:vertAlign w:val="baseline"/>
                      <w:lang w:val="en-US" w:eastAsia="zh-CN"/>
                    </w:rPr>
                  </w:pPr>
                  <w:r>
                    <w:rPr>
                      <w:rFonts w:hint="eastAsia"/>
                      <w:sz w:val="21"/>
                      <w:szCs w:val="21"/>
                      <w:vertAlign w:val="baseline"/>
                      <w:lang w:val="en-US" w:eastAsia="zh-CN"/>
                    </w:rPr>
                    <w:t>2.项目落实《北京城市总体规划(2016年-2035年)》要求，强化土壤污染源头管控，加强污染地块再开发利用的联动监管。</w:t>
                  </w:r>
                </w:p>
              </w:tc>
              <w:tc>
                <w:tcPr>
                  <w:tcW w:w="510" w:type="dxa"/>
                  <w:tcBorders>
                    <w:tl2br w:val="nil"/>
                    <w:tr2bl w:val="nil"/>
                  </w:tcBorders>
                  <w:vAlign w:val="center"/>
                </w:tcPr>
                <w:p w14:paraId="7E71564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eastAsia="宋体"/>
                      <w:sz w:val="21"/>
                      <w:szCs w:val="21"/>
                      <w:vertAlign w:val="baseline"/>
                      <w:lang w:val="en-US" w:eastAsia="zh-CN"/>
                    </w:rPr>
                  </w:pPr>
                  <w:r>
                    <w:rPr>
                      <w:rFonts w:hint="eastAsia"/>
                      <w:sz w:val="21"/>
                      <w:szCs w:val="21"/>
                      <w:vertAlign w:val="baseline"/>
                      <w:lang w:val="en-US" w:eastAsia="zh-CN"/>
                    </w:rPr>
                    <w:t>符合</w:t>
                  </w:r>
                </w:p>
              </w:tc>
            </w:tr>
            <w:tr w14:paraId="3E8DACA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tcBorders>
                    <w:tl2br w:val="nil"/>
                    <w:tr2bl w:val="nil"/>
                  </w:tcBorders>
                  <w:vAlign w:val="center"/>
                </w:tcPr>
                <w:p w14:paraId="1F50436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eastAsia="宋体"/>
                      <w:sz w:val="21"/>
                      <w:szCs w:val="21"/>
                      <w:vertAlign w:val="baseline"/>
                      <w:lang w:val="en-US" w:eastAsia="zh-CN"/>
                    </w:rPr>
                  </w:pPr>
                  <w:r>
                    <w:rPr>
                      <w:rFonts w:hint="eastAsia" w:cs="Times New Roman"/>
                      <w:kern w:val="0"/>
                      <w:sz w:val="21"/>
                      <w:szCs w:val="21"/>
                      <w:highlight w:val="none"/>
                      <w:vertAlign w:val="baseline"/>
                      <w:lang w:val="en-US" w:eastAsia="zh-CN"/>
                    </w:rPr>
                    <w:t>资源利用效率要求</w:t>
                  </w:r>
                </w:p>
              </w:tc>
              <w:tc>
                <w:tcPr>
                  <w:tcW w:w="3037" w:type="dxa"/>
                  <w:tcBorders>
                    <w:tl2br w:val="nil"/>
                    <w:tr2bl w:val="nil"/>
                  </w:tcBorders>
                  <w:vAlign w:val="center"/>
                </w:tcPr>
                <w:p w14:paraId="4BD45CF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sz w:val="21"/>
                      <w:szCs w:val="21"/>
                      <w:vertAlign w:val="baseline"/>
                    </w:rPr>
                  </w:pPr>
                  <w:r>
                    <w:rPr>
                      <w:rFonts w:hint="eastAsia"/>
                      <w:sz w:val="21"/>
                      <w:szCs w:val="21"/>
                      <w:vertAlign w:val="baseline"/>
                    </w:rPr>
                    <w:t>1.严格执行《中华人民共和国水法》《北京市节水条例》《北京市人民政府关于实行最严格水资源管理制度的意见》《北京市“十四五”时期污水处理及资源化利用发展规划》《北京市“十四五”节水型社会建设规划》《关于北京市加强水生态空间管控工作的意见》，加强用水管控。</w:t>
                  </w:r>
                </w:p>
                <w:p w14:paraId="09F11E3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sz w:val="21"/>
                      <w:szCs w:val="21"/>
                      <w:vertAlign w:val="baseline"/>
                    </w:rPr>
                  </w:pPr>
                  <w:r>
                    <w:rPr>
                      <w:rFonts w:hint="eastAsia"/>
                      <w:sz w:val="21"/>
                      <w:szCs w:val="21"/>
                      <w:vertAlign w:val="baseline"/>
                    </w:rPr>
                    <w:t>2.落实《北京城市总体规划(2016年-2035年)》要求，坚守建设用地规模底线，严格落实土地用途管制制度，腾退低效集体产业用地，实现城乡建设用地规模减量。</w:t>
                  </w:r>
                </w:p>
                <w:p w14:paraId="36EAF2B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default"/>
                      <w:sz w:val="21"/>
                      <w:szCs w:val="21"/>
                      <w:vertAlign w:val="baseline"/>
                    </w:rPr>
                  </w:pPr>
                  <w:r>
                    <w:rPr>
                      <w:rFonts w:hint="eastAsia"/>
                      <w:sz w:val="21"/>
                      <w:szCs w:val="21"/>
                      <w:vertAlign w:val="baseline"/>
                    </w:rPr>
                    <w:t>3.执行《中华人民共和国节约能源法》《大型公共建筑制冷能耗限额》《供热锅炉综合能源消耗限额》《供暖系统运行能源消耗限额》《民用建筑能耗指标》《商场、超市能源消耗限额》《北京市碳达峰碳中和工作领导小组办公室关于印发北京市民用建筑节能降碳工作方案暨“十四五”时期民用建筑绿色发展规划的通知》《北京市发展和改革委员会北京市住房和城乡建设委员会关于印发建立健全北京市公共建筑能效评估方法和制度的工作方案的通知》以及北京市单位产品能源消耗限额系列标准，强化建筑、交通、工业等领域的节能减排和需求管理。</w:t>
                  </w:r>
                </w:p>
              </w:tc>
              <w:tc>
                <w:tcPr>
                  <w:tcW w:w="3038" w:type="dxa"/>
                  <w:tcBorders>
                    <w:tl2br w:val="nil"/>
                    <w:tr2bl w:val="nil"/>
                  </w:tcBorders>
                  <w:vAlign w:val="center"/>
                </w:tcPr>
                <w:p w14:paraId="59EB5B1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sz w:val="21"/>
                      <w:szCs w:val="21"/>
                      <w:vertAlign w:val="baseline"/>
                    </w:rPr>
                  </w:pPr>
                  <w:r>
                    <w:rPr>
                      <w:rFonts w:hint="eastAsia"/>
                      <w:sz w:val="21"/>
                      <w:szCs w:val="21"/>
                      <w:vertAlign w:val="baseline"/>
                    </w:rPr>
                    <w:t>1.</w:t>
                  </w:r>
                  <w:r>
                    <w:rPr>
                      <w:rFonts w:hint="eastAsia"/>
                      <w:sz w:val="21"/>
                      <w:szCs w:val="21"/>
                      <w:vertAlign w:val="baseline"/>
                      <w:lang w:val="en-US" w:eastAsia="zh-CN"/>
                    </w:rPr>
                    <w:t>项目</w:t>
                  </w:r>
                  <w:r>
                    <w:rPr>
                      <w:rFonts w:hint="eastAsia"/>
                      <w:sz w:val="21"/>
                      <w:szCs w:val="21"/>
                      <w:vertAlign w:val="baseline"/>
                    </w:rPr>
                    <w:t>严格执行《中华人民共和国水法》《北京市节水条例》《北京市人民政府关于实行最严格水资源管理制度的意见》《北京市“十四五”时期污水处理及资源化利用发展规划》《北京市“十四五”节水型社会建设规划》《关于北京市加强水生态空间管控工作的意见》，加强用水管控。</w:t>
                  </w:r>
                </w:p>
                <w:p w14:paraId="4A05F96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sz w:val="21"/>
                      <w:szCs w:val="21"/>
                      <w:vertAlign w:val="baseline"/>
                    </w:rPr>
                  </w:pPr>
                  <w:r>
                    <w:rPr>
                      <w:rFonts w:hint="eastAsia"/>
                      <w:sz w:val="21"/>
                      <w:szCs w:val="21"/>
                      <w:vertAlign w:val="baseline"/>
                    </w:rPr>
                    <w:t>2.</w:t>
                  </w:r>
                  <w:r>
                    <w:rPr>
                      <w:rFonts w:hint="eastAsia"/>
                      <w:sz w:val="21"/>
                      <w:szCs w:val="21"/>
                      <w:vertAlign w:val="baseline"/>
                      <w:lang w:val="en-US" w:eastAsia="zh-CN"/>
                    </w:rPr>
                    <w:t>项目</w:t>
                  </w:r>
                  <w:r>
                    <w:rPr>
                      <w:rFonts w:hint="eastAsia"/>
                      <w:sz w:val="21"/>
                      <w:szCs w:val="21"/>
                      <w:vertAlign w:val="baseline"/>
                    </w:rPr>
                    <w:t>落实《北京城市总体规划(2016年-2035年)》要求。</w:t>
                  </w:r>
                </w:p>
                <w:p w14:paraId="73FCB74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default" w:eastAsia="宋体"/>
                      <w:sz w:val="21"/>
                      <w:szCs w:val="21"/>
                      <w:vertAlign w:val="baseline"/>
                      <w:lang w:val="en-US" w:eastAsia="zh-CN"/>
                    </w:rPr>
                  </w:pPr>
                  <w:r>
                    <w:rPr>
                      <w:rFonts w:hint="eastAsia"/>
                      <w:sz w:val="21"/>
                      <w:szCs w:val="21"/>
                      <w:vertAlign w:val="baseline"/>
                    </w:rPr>
                    <w:t>3.</w:t>
                  </w:r>
                  <w:r>
                    <w:rPr>
                      <w:rFonts w:hint="eastAsia"/>
                      <w:sz w:val="21"/>
                      <w:szCs w:val="21"/>
                      <w:vertAlign w:val="baseline"/>
                      <w:lang w:val="en-US" w:eastAsia="zh-CN"/>
                    </w:rPr>
                    <w:t>项目</w:t>
                  </w:r>
                  <w:r>
                    <w:rPr>
                      <w:rFonts w:hint="eastAsia"/>
                      <w:sz w:val="21"/>
                      <w:szCs w:val="21"/>
                      <w:vertAlign w:val="baseline"/>
                    </w:rPr>
                    <w:t>执行《中华人民共和国节约能源法》《大型公共建筑制冷能耗限额》《供热锅炉综合能源消耗限额》《供暖系统运行能源消耗限额》《民用建筑能耗指标》《商场、超市能源消耗限额》《北京市碳达峰碳中和工作领导小组办公室关于印发北京市民用建筑节能降碳工作方案暨“十四五”时期民用建筑绿色发展规划的通知》《北京市发展和改革委员会北京市住房和城乡建设委员会关于印发建立健全北京市公共建筑能效评估方法和制度的工作方案的通知》以及北京市单位产品能源消耗限额系列标准，强化建筑、交通、工业等领域的节能减排和需求管理。</w:t>
                  </w:r>
                </w:p>
              </w:tc>
              <w:tc>
                <w:tcPr>
                  <w:tcW w:w="510" w:type="dxa"/>
                  <w:tcBorders>
                    <w:tl2br w:val="nil"/>
                    <w:tr2bl w:val="nil"/>
                  </w:tcBorders>
                  <w:vAlign w:val="center"/>
                </w:tcPr>
                <w:p w14:paraId="7BBD56B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eastAsia="宋体"/>
                      <w:sz w:val="21"/>
                      <w:szCs w:val="21"/>
                      <w:vertAlign w:val="baseline"/>
                      <w:lang w:val="en-US" w:eastAsia="zh-CN"/>
                    </w:rPr>
                  </w:pPr>
                  <w:r>
                    <w:rPr>
                      <w:rFonts w:hint="eastAsia"/>
                      <w:sz w:val="21"/>
                      <w:szCs w:val="21"/>
                      <w:vertAlign w:val="baseline"/>
                      <w:lang w:val="en-US" w:eastAsia="zh-CN"/>
                    </w:rPr>
                    <w:t>符合</w:t>
                  </w:r>
                </w:p>
              </w:tc>
            </w:tr>
          </w:tbl>
          <w:p w14:paraId="479424D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cs="Times New Roman"/>
                <w:color w:val="auto"/>
                <w:kern w:val="0"/>
                <w:sz w:val="24"/>
                <w:highlight w:val="none"/>
                <w:lang w:val="en-US" w:eastAsia="zh-CN"/>
              </w:rPr>
            </w:pPr>
            <w:r>
              <w:rPr>
                <w:rFonts w:hint="eastAsia" w:cs="Times New Roman"/>
                <w:color w:val="auto"/>
                <w:kern w:val="0"/>
                <w:sz w:val="24"/>
                <w:highlight w:val="none"/>
                <w:lang w:val="en-US" w:eastAsia="zh-CN"/>
              </w:rPr>
              <w:t>2）五大功能区清单符合性分析</w:t>
            </w:r>
          </w:p>
          <w:p w14:paraId="20B927E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cs="Times New Roman"/>
                <w:color w:val="auto"/>
                <w:kern w:val="0"/>
                <w:sz w:val="24"/>
                <w:highlight w:val="none"/>
                <w:lang w:val="en-US" w:eastAsia="zh-CN"/>
              </w:rPr>
            </w:pPr>
            <w:r>
              <w:rPr>
                <w:rFonts w:hint="eastAsia" w:cs="Times New Roman"/>
                <w:color w:val="auto"/>
                <w:kern w:val="0"/>
                <w:sz w:val="24"/>
                <w:highlight w:val="none"/>
                <w:lang w:val="en-US" w:eastAsia="zh-CN"/>
              </w:rPr>
              <w:t>本项目属于中心城区（首都功能核心区除外），项目与中心城区（首都功能核心区除外）生态环境准入清单符合性分析详见下表。</w:t>
            </w:r>
          </w:p>
          <w:p w14:paraId="50DE50D6">
            <w:pPr>
              <w:pStyle w:val="31"/>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表1-2 与中心城区（首都功能核心区除外）生态环境准入清单的符合性分析</w:t>
            </w:r>
          </w:p>
          <w:tbl>
            <w:tblPr>
              <w:tblStyle w:val="13"/>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55"/>
              <w:gridCol w:w="3138"/>
              <w:gridCol w:w="3139"/>
              <w:gridCol w:w="527"/>
            </w:tblGrid>
            <w:tr w14:paraId="59A1775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tcBorders>
                    <w:tl2br w:val="nil"/>
                    <w:tr2bl w:val="nil"/>
                  </w:tcBorders>
                  <w:vAlign w:val="center"/>
                </w:tcPr>
                <w:p w14:paraId="38148BF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eastAsia="宋体"/>
                      <w:b/>
                      <w:bCs/>
                      <w:sz w:val="21"/>
                      <w:szCs w:val="21"/>
                      <w:vertAlign w:val="baseline"/>
                      <w:lang w:val="en-US" w:eastAsia="zh-CN"/>
                    </w:rPr>
                  </w:pPr>
                  <w:r>
                    <w:rPr>
                      <w:rFonts w:hint="eastAsia"/>
                      <w:b/>
                      <w:bCs/>
                      <w:sz w:val="21"/>
                      <w:szCs w:val="21"/>
                      <w:vertAlign w:val="baseline"/>
                      <w:lang w:val="en-US" w:eastAsia="zh-CN"/>
                    </w:rPr>
                    <w:t>管控类别</w:t>
                  </w:r>
                </w:p>
              </w:tc>
              <w:tc>
                <w:tcPr>
                  <w:tcW w:w="3037" w:type="dxa"/>
                  <w:tcBorders>
                    <w:tl2br w:val="nil"/>
                    <w:tr2bl w:val="nil"/>
                  </w:tcBorders>
                  <w:vAlign w:val="center"/>
                </w:tcPr>
                <w:p w14:paraId="63159D7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eastAsia="宋体"/>
                      <w:b/>
                      <w:bCs/>
                      <w:sz w:val="21"/>
                      <w:szCs w:val="21"/>
                      <w:vertAlign w:val="baseline"/>
                      <w:lang w:val="en-US" w:eastAsia="zh-CN"/>
                    </w:rPr>
                  </w:pPr>
                  <w:r>
                    <w:rPr>
                      <w:rFonts w:hint="eastAsia" w:cs="Times New Roman"/>
                      <w:b/>
                      <w:bCs/>
                      <w:kern w:val="0"/>
                      <w:sz w:val="21"/>
                      <w:szCs w:val="21"/>
                      <w:highlight w:val="none"/>
                      <w:vertAlign w:val="baseline"/>
                      <w:lang w:val="en-US" w:eastAsia="zh-CN"/>
                    </w:rPr>
                    <w:t>重点管控要求</w:t>
                  </w:r>
                </w:p>
              </w:tc>
              <w:tc>
                <w:tcPr>
                  <w:tcW w:w="3038" w:type="dxa"/>
                  <w:tcBorders>
                    <w:tl2br w:val="nil"/>
                    <w:tr2bl w:val="nil"/>
                  </w:tcBorders>
                  <w:vAlign w:val="center"/>
                </w:tcPr>
                <w:p w14:paraId="3F0384A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eastAsia="宋体"/>
                      <w:b/>
                      <w:bCs/>
                      <w:sz w:val="21"/>
                      <w:szCs w:val="21"/>
                      <w:vertAlign w:val="baseline"/>
                      <w:lang w:val="en-US" w:eastAsia="zh-CN"/>
                    </w:rPr>
                  </w:pPr>
                  <w:r>
                    <w:rPr>
                      <w:rFonts w:hint="eastAsia"/>
                      <w:b/>
                      <w:bCs/>
                      <w:sz w:val="21"/>
                      <w:szCs w:val="21"/>
                      <w:vertAlign w:val="baseline"/>
                      <w:lang w:val="en-US" w:eastAsia="zh-CN"/>
                    </w:rPr>
                    <w:t>本项目情况</w:t>
                  </w:r>
                </w:p>
              </w:tc>
              <w:tc>
                <w:tcPr>
                  <w:tcW w:w="510" w:type="dxa"/>
                  <w:tcBorders>
                    <w:tl2br w:val="nil"/>
                    <w:tr2bl w:val="nil"/>
                  </w:tcBorders>
                  <w:vAlign w:val="center"/>
                </w:tcPr>
                <w:p w14:paraId="3B17487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eastAsia="宋体"/>
                      <w:b/>
                      <w:bCs/>
                      <w:sz w:val="21"/>
                      <w:szCs w:val="21"/>
                      <w:vertAlign w:val="baseline"/>
                      <w:lang w:val="en-US" w:eastAsia="zh-CN"/>
                    </w:rPr>
                  </w:pPr>
                  <w:r>
                    <w:rPr>
                      <w:rFonts w:hint="eastAsia"/>
                      <w:b/>
                      <w:bCs/>
                      <w:sz w:val="21"/>
                      <w:szCs w:val="21"/>
                      <w:vertAlign w:val="baseline"/>
                      <w:lang w:val="en-US" w:eastAsia="zh-CN"/>
                    </w:rPr>
                    <w:t>符合情况</w:t>
                  </w:r>
                </w:p>
              </w:tc>
            </w:tr>
            <w:tr w14:paraId="0B41CD7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tcBorders>
                    <w:tl2br w:val="nil"/>
                    <w:tr2bl w:val="nil"/>
                  </w:tcBorders>
                  <w:vAlign w:val="center"/>
                </w:tcPr>
                <w:p w14:paraId="528F0F3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eastAsia="宋体"/>
                      <w:sz w:val="21"/>
                      <w:szCs w:val="21"/>
                      <w:vertAlign w:val="baseline"/>
                      <w:lang w:val="en-US" w:eastAsia="zh-CN"/>
                    </w:rPr>
                  </w:pPr>
                  <w:r>
                    <w:rPr>
                      <w:rFonts w:hint="eastAsia" w:cs="Times New Roman"/>
                      <w:kern w:val="0"/>
                      <w:sz w:val="21"/>
                      <w:szCs w:val="21"/>
                      <w:highlight w:val="none"/>
                      <w:vertAlign w:val="baseline"/>
                      <w:lang w:val="en-US" w:eastAsia="zh-CN"/>
                    </w:rPr>
                    <w:t>空间布局约束</w:t>
                  </w:r>
                </w:p>
              </w:tc>
              <w:tc>
                <w:tcPr>
                  <w:tcW w:w="3037" w:type="dxa"/>
                  <w:tcBorders>
                    <w:tl2br w:val="nil"/>
                    <w:tr2bl w:val="nil"/>
                  </w:tcBorders>
                  <w:vAlign w:val="center"/>
                </w:tcPr>
                <w:p w14:paraId="00A57096">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both"/>
                    <w:textAlignment w:val="auto"/>
                    <w:rPr>
                      <w:rFonts w:hint="eastAsia" w:cs="Times New Roman"/>
                      <w:kern w:val="0"/>
                      <w:sz w:val="21"/>
                      <w:szCs w:val="21"/>
                      <w:highlight w:val="none"/>
                      <w:vertAlign w:val="baseline"/>
                      <w:lang w:val="en-US" w:eastAsia="zh-CN"/>
                    </w:rPr>
                  </w:pPr>
                  <w:r>
                    <w:rPr>
                      <w:rFonts w:hint="eastAsia" w:cs="Times New Roman"/>
                      <w:kern w:val="0"/>
                      <w:sz w:val="21"/>
                      <w:szCs w:val="21"/>
                      <w:highlight w:val="none"/>
                      <w:vertAlign w:val="baseline"/>
                      <w:lang w:val="en-US" w:eastAsia="zh-CN"/>
                    </w:rPr>
                    <w:t>1.执行《北京市新增产业的禁止和限制目录（2022年版）》适用于中心城区的管控要求。</w:t>
                  </w:r>
                </w:p>
                <w:p w14:paraId="569A9FCB">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both"/>
                    <w:textAlignment w:val="auto"/>
                    <w:rPr>
                      <w:rFonts w:hint="default" w:eastAsia="宋体"/>
                      <w:sz w:val="21"/>
                      <w:szCs w:val="21"/>
                      <w:vertAlign w:val="baseline"/>
                      <w:lang w:val="en-US" w:eastAsia="zh-CN"/>
                    </w:rPr>
                  </w:pPr>
                  <w:r>
                    <w:rPr>
                      <w:rFonts w:hint="eastAsia" w:cs="Times New Roman"/>
                      <w:kern w:val="0"/>
                      <w:sz w:val="21"/>
                      <w:szCs w:val="21"/>
                      <w:highlight w:val="none"/>
                      <w:vertAlign w:val="baseline"/>
                      <w:lang w:val="en-US" w:eastAsia="zh-CN"/>
                    </w:rPr>
                    <w:t>2.执行《建设项目规划使用性质正面和负面清单》适用于中心城区的管控要求。</w:t>
                  </w:r>
                </w:p>
                <w:p w14:paraId="7A934B9D">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both"/>
                    <w:textAlignment w:val="auto"/>
                    <w:rPr>
                      <w:rFonts w:hint="default" w:eastAsia="宋体"/>
                      <w:sz w:val="21"/>
                      <w:szCs w:val="21"/>
                      <w:vertAlign w:val="baseline"/>
                      <w:lang w:val="en-US" w:eastAsia="zh-CN"/>
                    </w:rPr>
                  </w:pPr>
                  <w:r>
                    <w:rPr>
                      <w:rFonts w:hint="eastAsia" w:cs="Times New Roman"/>
                      <w:kern w:val="0"/>
                      <w:sz w:val="21"/>
                      <w:szCs w:val="21"/>
                      <w:highlight w:val="none"/>
                      <w:vertAlign w:val="baseline"/>
                      <w:lang w:val="en-US" w:eastAsia="zh-CN"/>
                    </w:rPr>
                    <w:t>3.涉及生态保护红线及相关法定保护空间的应执行优先保护类总体准入清单。</w:t>
                  </w:r>
                </w:p>
              </w:tc>
              <w:tc>
                <w:tcPr>
                  <w:tcW w:w="3038" w:type="dxa"/>
                  <w:tcBorders>
                    <w:tl2br w:val="nil"/>
                    <w:tr2bl w:val="nil"/>
                  </w:tcBorders>
                  <w:vAlign w:val="center"/>
                </w:tcPr>
                <w:p w14:paraId="3A7B761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cs="Times New Roman"/>
                      <w:kern w:val="0"/>
                      <w:sz w:val="21"/>
                      <w:szCs w:val="21"/>
                      <w:highlight w:val="none"/>
                      <w:vertAlign w:val="baseline"/>
                      <w:lang w:val="en-US" w:eastAsia="zh-CN"/>
                    </w:rPr>
                  </w:pPr>
                  <w:r>
                    <w:rPr>
                      <w:rFonts w:hint="eastAsia" w:cs="Times New Roman"/>
                      <w:kern w:val="0"/>
                      <w:sz w:val="21"/>
                      <w:szCs w:val="21"/>
                      <w:highlight w:val="none"/>
                      <w:vertAlign w:val="baseline"/>
                      <w:lang w:val="en-US" w:eastAsia="zh-CN"/>
                    </w:rPr>
                    <w:t>1.项目执行《北京市新增产业的禁止和限制目录（2022年版）》适用于中心城区的管控要求。</w:t>
                  </w:r>
                </w:p>
                <w:p w14:paraId="4ABF6FD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cs="Times New Roman"/>
                      <w:kern w:val="0"/>
                      <w:sz w:val="21"/>
                      <w:szCs w:val="21"/>
                      <w:highlight w:val="none"/>
                      <w:vertAlign w:val="baseline"/>
                      <w:lang w:val="en-US" w:eastAsia="zh-CN"/>
                    </w:rPr>
                  </w:pPr>
                  <w:r>
                    <w:rPr>
                      <w:rFonts w:hint="eastAsia" w:cs="Times New Roman"/>
                      <w:kern w:val="0"/>
                      <w:sz w:val="21"/>
                      <w:szCs w:val="21"/>
                      <w:highlight w:val="none"/>
                      <w:vertAlign w:val="baseline"/>
                      <w:lang w:val="en-US" w:eastAsia="zh-CN"/>
                    </w:rPr>
                    <w:t>2.项目执行《建设项目规划使用性质正面和负面清单》适用于中心城区的管控要求。</w:t>
                  </w:r>
                </w:p>
                <w:p w14:paraId="255D25A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default"/>
                      <w:sz w:val="21"/>
                      <w:szCs w:val="21"/>
                      <w:vertAlign w:val="baseline"/>
                      <w:lang w:val="en-US" w:eastAsia="zh-CN"/>
                    </w:rPr>
                  </w:pPr>
                  <w:r>
                    <w:rPr>
                      <w:rFonts w:hint="eastAsia" w:cs="Times New Roman"/>
                      <w:kern w:val="0"/>
                      <w:sz w:val="21"/>
                      <w:szCs w:val="21"/>
                      <w:highlight w:val="none"/>
                      <w:vertAlign w:val="baseline"/>
                      <w:lang w:val="en-US" w:eastAsia="zh-CN"/>
                    </w:rPr>
                    <w:t>3.项目不涉及生态保护红线及相关法定保护空间。</w:t>
                  </w:r>
                </w:p>
              </w:tc>
              <w:tc>
                <w:tcPr>
                  <w:tcW w:w="510" w:type="dxa"/>
                  <w:tcBorders>
                    <w:tl2br w:val="nil"/>
                    <w:tr2bl w:val="nil"/>
                  </w:tcBorders>
                  <w:vAlign w:val="center"/>
                </w:tcPr>
                <w:p w14:paraId="5C1B187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eastAsia="宋体"/>
                      <w:sz w:val="21"/>
                      <w:szCs w:val="21"/>
                      <w:vertAlign w:val="baseline"/>
                      <w:lang w:val="en-US" w:eastAsia="zh-CN"/>
                    </w:rPr>
                  </w:pPr>
                  <w:r>
                    <w:rPr>
                      <w:rFonts w:hint="eastAsia"/>
                      <w:sz w:val="21"/>
                      <w:szCs w:val="21"/>
                      <w:vertAlign w:val="baseline"/>
                      <w:lang w:val="en-US" w:eastAsia="zh-CN"/>
                    </w:rPr>
                    <w:t>符合</w:t>
                  </w:r>
                </w:p>
              </w:tc>
            </w:tr>
            <w:tr w14:paraId="6696118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tcBorders>
                    <w:tl2br w:val="nil"/>
                    <w:tr2bl w:val="nil"/>
                  </w:tcBorders>
                  <w:vAlign w:val="center"/>
                </w:tcPr>
                <w:p w14:paraId="186F79E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eastAsia="宋体"/>
                      <w:sz w:val="21"/>
                      <w:szCs w:val="21"/>
                      <w:vertAlign w:val="baseline"/>
                      <w:lang w:val="en-US" w:eastAsia="zh-CN"/>
                    </w:rPr>
                  </w:pPr>
                  <w:r>
                    <w:rPr>
                      <w:rFonts w:hint="eastAsia" w:cs="Times New Roman"/>
                      <w:kern w:val="0"/>
                      <w:sz w:val="21"/>
                      <w:szCs w:val="21"/>
                      <w:highlight w:val="none"/>
                      <w:vertAlign w:val="baseline"/>
                      <w:lang w:val="en-US" w:eastAsia="zh-CN"/>
                    </w:rPr>
                    <w:t>污染物排放管控</w:t>
                  </w:r>
                </w:p>
              </w:tc>
              <w:tc>
                <w:tcPr>
                  <w:tcW w:w="3037" w:type="dxa"/>
                  <w:tcBorders>
                    <w:tl2br w:val="nil"/>
                    <w:tr2bl w:val="nil"/>
                  </w:tcBorders>
                  <w:vAlign w:val="center"/>
                </w:tcPr>
                <w:p w14:paraId="01F11B39">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both"/>
                    <w:textAlignment w:val="auto"/>
                    <w:rPr>
                      <w:rFonts w:hint="eastAsia"/>
                      <w:sz w:val="21"/>
                      <w:szCs w:val="21"/>
                      <w:vertAlign w:val="baseline"/>
                    </w:rPr>
                  </w:pPr>
                  <w:r>
                    <w:rPr>
                      <w:rFonts w:hint="eastAsia"/>
                      <w:sz w:val="21"/>
                      <w:szCs w:val="21"/>
                      <w:vertAlign w:val="baseline"/>
                      <w:lang w:val="en-US" w:eastAsia="zh-CN"/>
                    </w:rPr>
                    <w:t>1.</w:t>
                  </w:r>
                  <w:r>
                    <w:rPr>
                      <w:rFonts w:hint="eastAsia"/>
                      <w:sz w:val="21"/>
                      <w:szCs w:val="21"/>
                      <w:vertAlign w:val="baseline"/>
                    </w:rPr>
                    <w:t>全域禁止使用高排放非道路移动机械。</w:t>
                  </w:r>
                </w:p>
                <w:p w14:paraId="21D54841">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both"/>
                    <w:textAlignment w:val="auto"/>
                    <w:rPr>
                      <w:rFonts w:hint="default"/>
                      <w:sz w:val="21"/>
                      <w:szCs w:val="21"/>
                      <w:vertAlign w:val="baseline"/>
                    </w:rPr>
                  </w:pPr>
                  <w:r>
                    <w:rPr>
                      <w:rFonts w:hint="eastAsia"/>
                      <w:sz w:val="21"/>
                      <w:szCs w:val="21"/>
                      <w:vertAlign w:val="baseline"/>
                    </w:rPr>
                    <w:t>2.必须遵守污染物排放的国家标准和地方标准；在实施重点污染物排放总量控制的区域内，还必须符合重点污染物排放总量控制的要求。</w:t>
                  </w:r>
                </w:p>
                <w:p w14:paraId="253805F4">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both"/>
                    <w:textAlignment w:val="auto"/>
                    <w:rPr>
                      <w:rFonts w:hint="default"/>
                      <w:sz w:val="21"/>
                      <w:szCs w:val="21"/>
                      <w:vertAlign w:val="baseline"/>
                    </w:rPr>
                  </w:pPr>
                  <w:r>
                    <w:rPr>
                      <w:rFonts w:hint="eastAsia"/>
                      <w:sz w:val="21"/>
                      <w:szCs w:val="21"/>
                      <w:vertAlign w:val="baseline"/>
                    </w:rPr>
                    <w:t>3.严格控制开发强度与建设规模，有序疏解人口和功能。严格限制新建和扩建医疗、行政办公、商业等大型服务设施。</w:t>
                  </w:r>
                </w:p>
                <w:p w14:paraId="06E6B618">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both"/>
                    <w:textAlignment w:val="auto"/>
                    <w:rPr>
                      <w:rFonts w:hint="default"/>
                      <w:sz w:val="21"/>
                      <w:szCs w:val="21"/>
                      <w:vertAlign w:val="baseline"/>
                    </w:rPr>
                  </w:pPr>
                  <w:r>
                    <w:rPr>
                      <w:rFonts w:hint="eastAsia"/>
                      <w:sz w:val="21"/>
                      <w:szCs w:val="21"/>
                      <w:vertAlign w:val="baseline"/>
                    </w:rPr>
                    <w:t>4.工业园区配套建设废水集中处理设施。</w:t>
                  </w:r>
                </w:p>
                <w:p w14:paraId="54A11D2D">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both"/>
                    <w:textAlignment w:val="auto"/>
                    <w:rPr>
                      <w:rFonts w:hint="default"/>
                      <w:sz w:val="21"/>
                      <w:szCs w:val="21"/>
                      <w:vertAlign w:val="baseline"/>
                    </w:rPr>
                  </w:pPr>
                  <w:r>
                    <w:rPr>
                      <w:rFonts w:hint="eastAsia"/>
                      <w:sz w:val="21"/>
                      <w:szCs w:val="21"/>
                      <w:vertAlign w:val="baseline"/>
                    </w:rPr>
                    <w:t>5.依法关闭或搬迁禁养区内的畜禽养殖场（小区）和养殖专业户。新建、改建、扩建规模化畜禽养殖场（小区）要实施雨污分流、粪便污水资源化利用。</w:t>
                  </w:r>
                </w:p>
                <w:p w14:paraId="0422EEFC">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both"/>
                    <w:textAlignment w:val="auto"/>
                    <w:rPr>
                      <w:rFonts w:hint="default"/>
                      <w:sz w:val="21"/>
                      <w:szCs w:val="21"/>
                      <w:vertAlign w:val="baseline"/>
                    </w:rPr>
                  </w:pPr>
                  <w:r>
                    <w:rPr>
                      <w:rFonts w:hint="eastAsia"/>
                      <w:sz w:val="21"/>
                      <w:szCs w:val="21"/>
                      <w:vertAlign w:val="baseline"/>
                    </w:rPr>
                    <w:t>6.禁止在居民住宅楼、未配套设立专用烟道的商住综合楼、商住综合楼内与居住层相邻的商业楼层内，新建、改建、扩建产生油烟、异味、废气、噪声污染的饮食服务、服装干洗、机动车维修。</w:t>
                  </w:r>
                </w:p>
                <w:p w14:paraId="585DF556">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both"/>
                    <w:textAlignment w:val="auto"/>
                    <w:rPr>
                      <w:rFonts w:hint="default"/>
                      <w:sz w:val="21"/>
                      <w:szCs w:val="21"/>
                      <w:vertAlign w:val="baseline"/>
                    </w:rPr>
                  </w:pPr>
                  <w:r>
                    <w:rPr>
                      <w:rFonts w:hint="eastAsia"/>
                      <w:sz w:val="21"/>
                      <w:szCs w:val="21"/>
                      <w:vertAlign w:val="baseline"/>
                    </w:rPr>
                    <w:t>7.朝阳区开展大气污染精细化治理</w:t>
                  </w:r>
                  <w:r>
                    <w:rPr>
                      <w:rFonts w:hint="eastAsia"/>
                      <w:sz w:val="21"/>
                      <w:szCs w:val="21"/>
                      <w:vertAlign w:val="baseline"/>
                      <w:lang w:eastAsia="zh-CN"/>
                    </w:rPr>
                    <w:t>，</w:t>
                  </w:r>
                  <w:r>
                    <w:rPr>
                      <w:rFonts w:hint="eastAsia"/>
                      <w:sz w:val="21"/>
                      <w:szCs w:val="21"/>
                      <w:vertAlign w:val="baseline"/>
                    </w:rPr>
                    <w:t>组织空气质量排名靠后的街道(乡镇)进行综合整治；朝阳区、海淀区、石景山区组织对来广营汽修集群、绿谷汽修集群、古城汽修集群开展VOCs高值区域溯源精细化管理；石景山区开展区级强制性清洁生产审核试点。</w:t>
                  </w:r>
                </w:p>
              </w:tc>
              <w:tc>
                <w:tcPr>
                  <w:tcW w:w="3038" w:type="dxa"/>
                  <w:tcBorders>
                    <w:tl2br w:val="nil"/>
                    <w:tr2bl w:val="nil"/>
                  </w:tcBorders>
                  <w:vAlign w:val="center"/>
                </w:tcPr>
                <w:p w14:paraId="533C5FC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sz w:val="21"/>
                      <w:szCs w:val="21"/>
                      <w:vertAlign w:val="baseline"/>
                    </w:rPr>
                  </w:pPr>
                  <w:r>
                    <w:rPr>
                      <w:rFonts w:hint="eastAsia"/>
                      <w:sz w:val="21"/>
                      <w:szCs w:val="21"/>
                      <w:vertAlign w:val="baseline"/>
                    </w:rPr>
                    <w:t>1.项目不使用高排放非道路移动机械。</w:t>
                  </w:r>
                </w:p>
                <w:p w14:paraId="615A512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sz w:val="21"/>
                      <w:szCs w:val="21"/>
                      <w:vertAlign w:val="baseline"/>
                    </w:rPr>
                  </w:pPr>
                  <w:r>
                    <w:rPr>
                      <w:rFonts w:hint="eastAsia"/>
                      <w:sz w:val="21"/>
                      <w:szCs w:val="21"/>
                      <w:vertAlign w:val="baseline"/>
                    </w:rPr>
                    <w:t>2.项目遵守污染物排放的国家标准和地方标准。</w:t>
                  </w:r>
                </w:p>
                <w:p w14:paraId="7E645FD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sz w:val="21"/>
                      <w:szCs w:val="21"/>
                      <w:vertAlign w:val="baseline"/>
                    </w:rPr>
                  </w:pPr>
                  <w:r>
                    <w:rPr>
                      <w:rFonts w:hint="eastAsia"/>
                      <w:sz w:val="21"/>
                      <w:szCs w:val="21"/>
                      <w:vertAlign w:val="baseline"/>
                    </w:rPr>
                    <w:t>3.项目</w:t>
                  </w:r>
                  <w:r>
                    <w:rPr>
                      <w:rFonts w:hint="eastAsia"/>
                      <w:sz w:val="21"/>
                      <w:szCs w:val="21"/>
                      <w:vertAlign w:val="baseline"/>
                      <w:lang w:val="en-US" w:eastAsia="zh-CN"/>
                    </w:rPr>
                    <w:t>为中医医院，不涉及</w:t>
                  </w:r>
                  <w:r>
                    <w:rPr>
                      <w:rFonts w:hint="eastAsia"/>
                      <w:sz w:val="21"/>
                      <w:szCs w:val="21"/>
                      <w:vertAlign w:val="baseline"/>
                    </w:rPr>
                    <w:t>大型服务设施</w:t>
                  </w:r>
                  <w:r>
                    <w:rPr>
                      <w:rFonts w:hint="eastAsia"/>
                      <w:sz w:val="21"/>
                      <w:szCs w:val="21"/>
                      <w:vertAlign w:val="baseline"/>
                      <w:lang w:val="en-US" w:eastAsia="zh-CN"/>
                    </w:rPr>
                    <w:t>建设</w:t>
                  </w:r>
                  <w:r>
                    <w:rPr>
                      <w:rFonts w:hint="eastAsia"/>
                      <w:sz w:val="21"/>
                      <w:szCs w:val="21"/>
                      <w:vertAlign w:val="baseline"/>
                    </w:rPr>
                    <w:t>。</w:t>
                  </w:r>
                </w:p>
                <w:p w14:paraId="6286289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sz w:val="21"/>
                      <w:szCs w:val="21"/>
                      <w:vertAlign w:val="baseline"/>
                    </w:rPr>
                  </w:pPr>
                  <w:r>
                    <w:rPr>
                      <w:rFonts w:hint="eastAsia"/>
                      <w:sz w:val="21"/>
                      <w:szCs w:val="21"/>
                      <w:vertAlign w:val="baseline"/>
                    </w:rPr>
                    <w:t>4.项目</w:t>
                  </w:r>
                  <w:r>
                    <w:rPr>
                      <w:rFonts w:hint="eastAsia"/>
                      <w:sz w:val="21"/>
                      <w:szCs w:val="21"/>
                      <w:vertAlign w:val="baseline"/>
                      <w:lang w:val="en-US" w:eastAsia="zh-CN"/>
                    </w:rPr>
                    <w:t>不涉及</w:t>
                  </w:r>
                  <w:r>
                    <w:rPr>
                      <w:rFonts w:hint="eastAsia"/>
                      <w:sz w:val="21"/>
                      <w:szCs w:val="21"/>
                      <w:vertAlign w:val="baseline"/>
                    </w:rPr>
                    <w:t>。</w:t>
                  </w:r>
                </w:p>
                <w:p w14:paraId="66D3439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sz w:val="21"/>
                      <w:szCs w:val="21"/>
                      <w:vertAlign w:val="baseline"/>
                    </w:rPr>
                  </w:pPr>
                  <w:r>
                    <w:rPr>
                      <w:rFonts w:hint="eastAsia"/>
                      <w:sz w:val="21"/>
                      <w:szCs w:val="21"/>
                      <w:vertAlign w:val="baseline"/>
                    </w:rPr>
                    <w:t>5.项目不涉及畜禽养殖等。</w:t>
                  </w:r>
                </w:p>
                <w:p w14:paraId="3CC81A7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sz w:val="21"/>
                      <w:szCs w:val="21"/>
                      <w:vertAlign w:val="baseline"/>
                    </w:rPr>
                  </w:pPr>
                  <w:r>
                    <w:rPr>
                      <w:rFonts w:hint="eastAsia"/>
                      <w:sz w:val="21"/>
                      <w:szCs w:val="21"/>
                      <w:vertAlign w:val="baseline"/>
                    </w:rPr>
                    <w:t>6.项目</w:t>
                  </w:r>
                  <w:r>
                    <w:rPr>
                      <w:rFonts w:hint="eastAsia"/>
                      <w:sz w:val="21"/>
                      <w:szCs w:val="21"/>
                      <w:vertAlign w:val="baseline"/>
                      <w:lang w:val="en-US" w:eastAsia="zh-CN"/>
                    </w:rPr>
                    <w:t>为中医医院，不属于</w:t>
                  </w:r>
                  <w:r>
                    <w:rPr>
                      <w:rFonts w:hint="eastAsia"/>
                      <w:sz w:val="21"/>
                      <w:szCs w:val="21"/>
                      <w:vertAlign w:val="baseline"/>
                    </w:rPr>
                    <w:t>饮食服务、服装干洗、机动车维修。</w:t>
                  </w:r>
                </w:p>
                <w:p w14:paraId="2F43682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default"/>
                      <w:sz w:val="21"/>
                      <w:szCs w:val="21"/>
                      <w:vertAlign w:val="baseline"/>
                    </w:rPr>
                  </w:pPr>
                  <w:r>
                    <w:rPr>
                      <w:rFonts w:hint="eastAsia"/>
                      <w:sz w:val="21"/>
                      <w:szCs w:val="21"/>
                      <w:vertAlign w:val="baseline"/>
                    </w:rPr>
                    <w:t>7.项目不涉及。</w:t>
                  </w:r>
                </w:p>
              </w:tc>
              <w:tc>
                <w:tcPr>
                  <w:tcW w:w="510" w:type="dxa"/>
                  <w:tcBorders>
                    <w:tl2br w:val="nil"/>
                    <w:tr2bl w:val="nil"/>
                  </w:tcBorders>
                  <w:vAlign w:val="center"/>
                </w:tcPr>
                <w:p w14:paraId="7F49502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eastAsia="宋体"/>
                      <w:sz w:val="21"/>
                      <w:szCs w:val="21"/>
                      <w:vertAlign w:val="baseline"/>
                      <w:lang w:val="en-US" w:eastAsia="zh-CN"/>
                    </w:rPr>
                  </w:pPr>
                  <w:r>
                    <w:rPr>
                      <w:rFonts w:hint="eastAsia"/>
                      <w:sz w:val="21"/>
                      <w:szCs w:val="21"/>
                      <w:vertAlign w:val="baseline"/>
                      <w:lang w:val="en-US" w:eastAsia="zh-CN"/>
                    </w:rPr>
                    <w:t>符合</w:t>
                  </w:r>
                </w:p>
              </w:tc>
            </w:tr>
            <w:tr w14:paraId="750272C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tcBorders>
                    <w:tl2br w:val="nil"/>
                    <w:tr2bl w:val="nil"/>
                  </w:tcBorders>
                  <w:vAlign w:val="center"/>
                </w:tcPr>
                <w:p w14:paraId="17D56D6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eastAsia="宋体"/>
                      <w:sz w:val="21"/>
                      <w:szCs w:val="21"/>
                      <w:vertAlign w:val="baseline"/>
                      <w:lang w:val="en-US" w:eastAsia="zh-CN"/>
                    </w:rPr>
                  </w:pPr>
                  <w:r>
                    <w:rPr>
                      <w:rFonts w:hint="eastAsia" w:cs="Times New Roman"/>
                      <w:kern w:val="0"/>
                      <w:sz w:val="21"/>
                      <w:szCs w:val="21"/>
                      <w:highlight w:val="none"/>
                      <w:vertAlign w:val="baseline"/>
                      <w:lang w:val="en-US" w:eastAsia="zh-CN"/>
                    </w:rPr>
                    <w:t>环境风险防控</w:t>
                  </w:r>
                </w:p>
              </w:tc>
              <w:tc>
                <w:tcPr>
                  <w:tcW w:w="3037" w:type="dxa"/>
                  <w:tcBorders>
                    <w:tl2br w:val="nil"/>
                    <w:tr2bl w:val="nil"/>
                  </w:tcBorders>
                  <w:vAlign w:val="center"/>
                </w:tcPr>
                <w:p w14:paraId="5FEE227C">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both"/>
                    <w:textAlignment w:val="auto"/>
                    <w:rPr>
                      <w:rFonts w:hint="eastAsia"/>
                      <w:sz w:val="21"/>
                      <w:szCs w:val="21"/>
                      <w:vertAlign w:val="baseline"/>
                      <w:lang w:val="en-US" w:eastAsia="zh-CN"/>
                    </w:rPr>
                  </w:pPr>
                  <w:r>
                    <w:rPr>
                      <w:rFonts w:hint="eastAsia"/>
                      <w:sz w:val="21"/>
                      <w:szCs w:val="21"/>
                      <w:vertAlign w:val="baseline"/>
                      <w:lang w:val="en-US" w:eastAsia="zh-CN"/>
                    </w:rPr>
                    <w:t>1.禁止新设立带有储存设施的危险化学品经营企业（涉及国计民生和城市运行的除外）。</w:t>
                  </w:r>
                </w:p>
                <w:p w14:paraId="7220DC27">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both"/>
                    <w:textAlignment w:val="auto"/>
                    <w:rPr>
                      <w:rFonts w:hint="default" w:eastAsia="宋体"/>
                      <w:sz w:val="21"/>
                      <w:szCs w:val="21"/>
                      <w:vertAlign w:val="baseline"/>
                      <w:lang w:val="en-US" w:eastAsia="zh-CN"/>
                    </w:rPr>
                  </w:pPr>
                  <w:r>
                    <w:rPr>
                      <w:rFonts w:hint="eastAsia"/>
                      <w:sz w:val="21"/>
                      <w:szCs w:val="21"/>
                      <w:vertAlign w:val="baseline"/>
                      <w:lang w:val="en-US" w:eastAsia="zh-CN"/>
                    </w:rPr>
                    <w:t>2.禁止新设立或迁入危险货物道路运输业户（含车辆）（使用清洁能源车辆的道路货物运输业户除外）。</w:t>
                  </w:r>
                </w:p>
                <w:p w14:paraId="03B8FE8D">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both"/>
                    <w:textAlignment w:val="auto"/>
                    <w:rPr>
                      <w:rFonts w:hint="default" w:eastAsia="宋体"/>
                      <w:sz w:val="21"/>
                      <w:szCs w:val="21"/>
                      <w:vertAlign w:val="baseline"/>
                      <w:lang w:val="en-US" w:eastAsia="zh-CN"/>
                    </w:rPr>
                  </w:pPr>
                  <w:r>
                    <w:rPr>
                      <w:rFonts w:hint="eastAsia"/>
                      <w:sz w:val="21"/>
                      <w:szCs w:val="21"/>
                      <w:vertAlign w:val="baseline"/>
                      <w:lang w:val="en-US" w:eastAsia="zh-CN"/>
                    </w:rPr>
                    <w:t>3.应充分考虑污染地块的环境风险，合理确定土地用途。</w:t>
                  </w:r>
                </w:p>
                <w:p w14:paraId="15781D6C">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both"/>
                    <w:textAlignment w:val="auto"/>
                    <w:rPr>
                      <w:rFonts w:hint="default" w:eastAsia="宋体"/>
                      <w:sz w:val="21"/>
                      <w:szCs w:val="21"/>
                      <w:vertAlign w:val="baseline"/>
                      <w:lang w:val="en-US" w:eastAsia="zh-CN"/>
                    </w:rPr>
                  </w:pPr>
                  <w:r>
                    <w:rPr>
                      <w:rFonts w:hint="eastAsia"/>
                      <w:sz w:val="21"/>
                      <w:szCs w:val="21"/>
                      <w:vertAlign w:val="baseline"/>
                      <w:lang w:val="en-US" w:eastAsia="zh-CN"/>
                    </w:rPr>
                    <w:t>4.有效落实空气重污染各项应急减排措施，引导提高施工工地和应急减排清单企业的绩效等级，引导使用纯电动、氢燃料电池的车辆和非道路移动机械。</w:t>
                  </w:r>
                </w:p>
              </w:tc>
              <w:tc>
                <w:tcPr>
                  <w:tcW w:w="3038" w:type="dxa"/>
                  <w:tcBorders>
                    <w:tl2br w:val="nil"/>
                    <w:tr2bl w:val="nil"/>
                  </w:tcBorders>
                  <w:vAlign w:val="center"/>
                </w:tcPr>
                <w:p w14:paraId="39D46AA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default" w:eastAsia="宋体"/>
                      <w:sz w:val="21"/>
                      <w:szCs w:val="21"/>
                      <w:vertAlign w:val="baseline"/>
                      <w:lang w:val="en-US" w:eastAsia="zh-CN"/>
                    </w:rPr>
                  </w:pPr>
                  <w:r>
                    <w:rPr>
                      <w:rFonts w:hint="default" w:eastAsia="宋体"/>
                      <w:sz w:val="21"/>
                      <w:szCs w:val="21"/>
                      <w:vertAlign w:val="baseline"/>
                      <w:lang w:val="en-US" w:eastAsia="zh-CN"/>
                    </w:rPr>
                    <w:t>1.项目</w:t>
                  </w:r>
                  <w:r>
                    <w:rPr>
                      <w:rFonts w:hint="eastAsia"/>
                      <w:sz w:val="21"/>
                      <w:szCs w:val="21"/>
                      <w:vertAlign w:val="baseline"/>
                      <w:lang w:val="en-US" w:eastAsia="zh-CN"/>
                    </w:rPr>
                    <w:t>为中医医院，不涉及带有储存设施的危险化学品经营。</w:t>
                  </w:r>
                </w:p>
                <w:p w14:paraId="0CDE006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sz w:val="21"/>
                      <w:szCs w:val="21"/>
                      <w:vertAlign w:val="baseline"/>
                      <w:lang w:val="en-US" w:eastAsia="zh-CN"/>
                    </w:rPr>
                  </w:pPr>
                  <w:r>
                    <w:rPr>
                      <w:rFonts w:hint="default" w:eastAsia="宋体"/>
                      <w:sz w:val="21"/>
                      <w:szCs w:val="21"/>
                      <w:vertAlign w:val="baseline"/>
                      <w:lang w:val="en-US" w:eastAsia="zh-CN"/>
                    </w:rPr>
                    <w:t>2.项目</w:t>
                  </w:r>
                  <w:r>
                    <w:rPr>
                      <w:rFonts w:hint="eastAsia"/>
                      <w:sz w:val="21"/>
                      <w:szCs w:val="21"/>
                      <w:vertAlign w:val="baseline"/>
                      <w:lang w:val="en-US" w:eastAsia="zh-CN"/>
                    </w:rPr>
                    <w:t>为中医医院，不涉及危险货物道路运输。</w:t>
                  </w:r>
                </w:p>
                <w:p w14:paraId="65431CE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sz w:val="21"/>
                      <w:szCs w:val="21"/>
                      <w:vertAlign w:val="baseline"/>
                      <w:lang w:val="en-US" w:eastAsia="zh-CN"/>
                    </w:rPr>
                  </w:pPr>
                  <w:r>
                    <w:rPr>
                      <w:rFonts w:hint="eastAsia"/>
                      <w:sz w:val="21"/>
                      <w:szCs w:val="21"/>
                      <w:vertAlign w:val="baseline"/>
                      <w:lang w:val="en-US" w:eastAsia="zh-CN"/>
                    </w:rPr>
                    <w:t>3.项目租赁现有建筑楼，不涉及污染地块。</w:t>
                  </w:r>
                </w:p>
                <w:p w14:paraId="3F4FA5D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default" w:eastAsia="宋体"/>
                      <w:sz w:val="21"/>
                      <w:szCs w:val="21"/>
                      <w:vertAlign w:val="baseline"/>
                      <w:lang w:val="en-US" w:eastAsia="zh-CN"/>
                    </w:rPr>
                  </w:pPr>
                  <w:r>
                    <w:rPr>
                      <w:rFonts w:hint="eastAsia"/>
                      <w:sz w:val="21"/>
                      <w:szCs w:val="21"/>
                      <w:vertAlign w:val="baseline"/>
                      <w:lang w:val="en-US" w:eastAsia="zh-CN"/>
                    </w:rPr>
                    <w:t>4.项目不涉及重污染应急减排。</w:t>
                  </w:r>
                </w:p>
              </w:tc>
              <w:tc>
                <w:tcPr>
                  <w:tcW w:w="510" w:type="dxa"/>
                  <w:tcBorders>
                    <w:tl2br w:val="nil"/>
                    <w:tr2bl w:val="nil"/>
                  </w:tcBorders>
                  <w:vAlign w:val="center"/>
                </w:tcPr>
                <w:p w14:paraId="40266CE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eastAsia="宋体"/>
                      <w:sz w:val="21"/>
                      <w:szCs w:val="21"/>
                      <w:vertAlign w:val="baseline"/>
                      <w:lang w:val="en-US" w:eastAsia="zh-CN"/>
                    </w:rPr>
                  </w:pPr>
                  <w:r>
                    <w:rPr>
                      <w:rFonts w:hint="eastAsia"/>
                      <w:sz w:val="21"/>
                      <w:szCs w:val="21"/>
                      <w:vertAlign w:val="baseline"/>
                      <w:lang w:val="en-US" w:eastAsia="zh-CN"/>
                    </w:rPr>
                    <w:t>符合</w:t>
                  </w:r>
                </w:p>
              </w:tc>
            </w:tr>
            <w:tr w14:paraId="0EAF3C5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tcBorders>
                    <w:tl2br w:val="nil"/>
                    <w:tr2bl w:val="nil"/>
                  </w:tcBorders>
                  <w:vAlign w:val="center"/>
                </w:tcPr>
                <w:p w14:paraId="404E5A0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eastAsia="宋体"/>
                      <w:sz w:val="21"/>
                      <w:szCs w:val="21"/>
                      <w:vertAlign w:val="baseline"/>
                      <w:lang w:val="en-US" w:eastAsia="zh-CN"/>
                    </w:rPr>
                  </w:pPr>
                  <w:r>
                    <w:rPr>
                      <w:rFonts w:hint="eastAsia" w:cs="Times New Roman"/>
                      <w:kern w:val="0"/>
                      <w:sz w:val="21"/>
                      <w:szCs w:val="21"/>
                      <w:highlight w:val="none"/>
                      <w:vertAlign w:val="baseline"/>
                      <w:lang w:val="en-US" w:eastAsia="zh-CN"/>
                    </w:rPr>
                    <w:t>资源利用效率要求</w:t>
                  </w:r>
                </w:p>
              </w:tc>
              <w:tc>
                <w:tcPr>
                  <w:tcW w:w="3037" w:type="dxa"/>
                  <w:tcBorders>
                    <w:tl2br w:val="nil"/>
                    <w:tr2bl w:val="nil"/>
                  </w:tcBorders>
                  <w:vAlign w:val="center"/>
                </w:tcPr>
                <w:p w14:paraId="71BBD59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default"/>
                      <w:sz w:val="21"/>
                      <w:szCs w:val="21"/>
                      <w:vertAlign w:val="baseline"/>
                    </w:rPr>
                  </w:pPr>
                  <w:r>
                    <w:rPr>
                      <w:rFonts w:hint="eastAsia"/>
                      <w:sz w:val="21"/>
                      <w:szCs w:val="21"/>
                      <w:vertAlign w:val="baseline"/>
                    </w:rPr>
                    <w:t>1.坚持疏解整治促提升，坚持“留白增绿”，创造优良人居环境。</w:t>
                  </w:r>
                </w:p>
              </w:tc>
              <w:tc>
                <w:tcPr>
                  <w:tcW w:w="3038" w:type="dxa"/>
                  <w:tcBorders>
                    <w:tl2br w:val="nil"/>
                    <w:tr2bl w:val="nil"/>
                  </w:tcBorders>
                  <w:vAlign w:val="center"/>
                </w:tcPr>
                <w:p w14:paraId="647BD22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default" w:eastAsia="宋体"/>
                      <w:sz w:val="21"/>
                      <w:szCs w:val="21"/>
                      <w:vertAlign w:val="baseline"/>
                      <w:lang w:val="en-US" w:eastAsia="zh-CN"/>
                    </w:rPr>
                  </w:pPr>
                  <w:r>
                    <w:rPr>
                      <w:rFonts w:hint="default" w:eastAsia="宋体"/>
                      <w:sz w:val="21"/>
                      <w:szCs w:val="21"/>
                      <w:vertAlign w:val="baseline"/>
                      <w:lang w:val="en-US" w:eastAsia="zh-CN"/>
                    </w:rPr>
                    <w:t>1.项目</w:t>
                  </w:r>
                  <w:r>
                    <w:rPr>
                      <w:rFonts w:hint="eastAsia"/>
                      <w:sz w:val="21"/>
                      <w:szCs w:val="21"/>
                      <w:vertAlign w:val="baseline"/>
                      <w:lang w:val="en-US" w:eastAsia="zh-CN"/>
                    </w:rPr>
                    <w:t>严格</w:t>
                  </w:r>
                  <w:r>
                    <w:rPr>
                      <w:rFonts w:hint="eastAsia"/>
                      <w:sz w:val="21"/>
                      <w:szCs w:val="21"/>
                      <w:vertAlign w:val="baseline"/>
                    </w:rPr>
                    <w:t>坚持疏解整治促提升，坚持“留白增绿”，创造优良人居环境。</w:t>
                  </w:r>
                </w:p>
              </w:tc>
              <w:tc>
                <w:tcPr>
                  <w:tcW w:w="510" w:type="dxa"/>
                  <w:tcBorders>
                    <w:tl2br w:val="nil"/>
                    <w:tr2bl w:val="nil"/>
                  </w:tcBorders>
                  <w:vAlign w:val="center"/>
                </w:tcPr>
                <w:p w14:paraId="1BFA486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eastAsia="宋体"/>
                      <w:sz w:val="21"/>
                      <w:szCs w:val="21"/>
                      <w:vertAlign w:val="baseline"/>
                      <w:lang w:val="en-US" w:eastAsia="zh-CN"/>
                    </w:rPr>
                  </w:pPr>
                  <w:r>
                    <w:rPr>
                      <w:rFonts w:hint="eastAsia"/>
                      <w:sz w:val="21"/>
                      <w:szCs w:val="21"/>
                      <w:vertAlign w:val="baseline"/>
                      <w:lang w:val="en-US" w:eastAsia="zh-CN"/>
                    </w:rPr>
                    <w:t>符合</w:t>
                  </w:r>
                </w:p>
              </w:tc>
            </w:tr>
          </w:tbl>
          <w:p w14:paraId="1658F10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cs="Times New Roman"/>
                <w:color w:val="auto"/>
                <w:kern w:val="0"/>
                <w:sz w:val="24"/>
                <w:highlight w:val="none"/>
                <w:lang w:val="en-US" w:eastAsia="zh-CN"/>
              </w:rPr>
            </w:pPr>
            <w:r>
              <w:rPr>
                <w:rFonts w:hint="eastAsia" w:cs="Times New Roman"/>
                <w:color w:val="auto"/>
                <w:kern w:val="0"/>
                <w:sz w:val="24"/>
                <w:highlight w:val="none"/>
                <w:lang w:val="en-US" w:eastAsia="zh-CN"/>
              </w:rPr>
              <w:t>3）环境管控单元符合性分析</w:t>
            </w:r>
          </w:p>
          <w:p w14:paraId="33CE6A9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cs="Times New Roman"/>
                <w:color w:val="auto"/>
                <w:kern w:val="0"/>
                <w:sz w:val="24"/>
                <w:highlight w:val="none"/>
                <w:lang w:val="en-US" w:eastAsia="zh-CN"/>
              </w:rPr>
            </w:pPr>
            <w:r>
              <w:rPr>
                <w:rFonts w:hint="eastAsia" w:cs="Times New Roman"/>
                <w:color w:val="auto"/>
                <w:kern w:val="0"/>
                <w:sz w:val="24"/>
                <w:highlight w:val="none"/>
                <w:lang w:val="en-US" w:eastAsia="zh-CN"/>
              </w:rPr>
              <w:t>本项目属于重点管控单元[街道（乡镇）]，与重点管控单元[街道（乡镇）]准入清单的符合性分析见下表。</w:t>
            </w:r>
          </w:p>
          <w:p w14:paraId="70DA4146">
            <w:pPr>
              <w:pStyle w:val="31"/>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表1-3 与重点管控单元[街道（乡镇）]准入清单的符合性分析</w:t>
            </w:r>
          </w:p>
          <w:tbl>
            <w:tblPr>
              <w:tblStyle w:val="13"/>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55"/>
              <w:gridCol w:w="3138"/>
              <w:gridCol w:w="3139"/>
              <w:gridCol w:w="527"/>
            </w:tblGrid>
            <w:tr w14:paraId="3A5F21E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tcBorders>
                    <w:tl2br w:val="nil"/>
                    <w:tr2bl w:val="nil"/>
                  </w:tcBorders>
                  <w:vAlign w:val="center"/>
                </w:tcPr>
                <w:p w14:paraId="0AA54A3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eastAsia="宋体"/>
                      <w:b/>
                      <w:bCs/>
                      <w:sz w:val="21"/>
                      <w:szCs w:val="21"/>
                      <w:vertAlign w:val="baseline"/>
                      <w:lang w:val="en-US" w:eastAsia="zh-CN"/>
                    </w:rPr>
                  </w:pPr>
                  <w:r>
                    <w:rPr>
                      <w:rFonts w:hint="eastAsia"/>
                      <w:b/>
                      <w:bCs/>
                      <w:sz w:val="21"/>
                      <w:szCs w:val="21"/>
                      <w:vertAlign w:val="baseline"/>
                      <w:lang w:val="en-US" w:eastAsia="zh-CN"/>
                    </w:rPr>
                    <w:t>管控类别</w:t>
                  </w:r>
                </w:p>
              </w:tc>
              <w:tc>
                <w:tcPr>
                  <w:tcW w:w="3037" w:type="dxa"/>
                  <w:tcBorders>
                    <w:tl2br w:val="nil"/>
                    <w:tr2bl w:val="nil"/>
                  </w:tcBorders>
                  <w:vAlign w:val="center"/>
                </w:tcPr>
                <w:p w14:paraId="07FB4EC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eastAsia="宋体"/>
                      <w:b/>
                      <w:bCs/>
                      <w:sz w:val="21"/>
                      <w:szCs w:val="21"/>
                      <w:vertAlign w:val="baseline"/>
                      <w:lang w:val="en-US" w:eastAsia="zh-CN"/>
                    </w:rPr>
                  </w:pPr>
                  <w:r>
                    <w:rPr>
                      <w:rFonts w:hint="eastAsia" w:cs="Times New Roman"/>
                      <w:b/>
                      <w:bCs/>
                      <w:kern w:val="0"/>
                      <w:sz w:val="21"/>
                      <w:szCs w:val="21"/>
                      <w:highlight w:val="none"/>
                      <w:vertAlign w:val="baseline"/>
                      <w:lang w:val="en-US" w:eastAsia="zh-CN"/>
                    </w:rPr>
                    <w:t>重点管控要求</w:t>
                  </w:r>
                </w:p>
              </w:tc>
              <w:tc>
                <w:tcPr>
                  <w:tcW w:w="3038" w:type="dxa"/>
                  <w:tcBorders>
                    <w:tl2br w:val="nil"/>
                    <w:tr2bl w:val="nil"/>
                  </w:tcBorders>
                  <w:vAlign w:val="center"/>
                </w:tcPr>
                <w:p w14:paraId="035FA14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eastAsia="宋体"/>
                      <w:b/>
                      <w:bCs/>
                      <w:sz w:val="21"/>
                      <w:szCs w:val="21"/>
                      <w:vertAlign w:val="baseline"/>
                      <w:lang w:val="en-US" w:eastAsia="zh-CN"/>
                    </w:rPr>
                  </w:pPr>
                  <w:r>
                    <w:rPr>
                      <w:rFonts w:hint="eastAsia"/>
                      <w:b/>
                      <w:bCs/>
                      <w:sz w:val="21"/>
                      <w:szCs w:val="21"/>
                      <w:vertAlign w:val="baseline"/>
                      <w:lang w:val="en-US" w:eastAsia="zh-CN"/>
                    </w:rPr>
                    <w:t>本项目情况</w:t>
                  </w:r>
                </w:p>
              </w:tc>
              <w:tc>
                <w:tcPr>
                  <w:tcW w:w="510" w:type="dxa"/>
                  <w:tcBorders>
                    <w:tl2br w:val="nil"/>
                    <w:tr2bl w:val="nil"/>
                  </w:tcBorders>
                  <w:vAlign w:val="center"/>
                </w:tcPr>
                <w:p w14:paraId="2E03CA3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eastAsia="宋体"/>
                      <w:b/>
                      <w:bCs/>
                      <w:sz w:val="21"/>
                      <w:szCs w:val="21"/>
                      <w:vertAlign w:val="baseline"/>
                      <w:lang w:val="en-US" w:eastAsia="zh-CN"/>
                    </w:rPr>
                  </w:pPr>
                  <w:r>
                    <w:rPr>
                      <w:rFonts w:hint="eastAsia"/>
                      <w:b/>
                      <w:bCs/>
                      <w:sz w:val="21"/>
                      <w:szCs w:val="21"/>
                      <w:vertAlign w:val="baseline"/>
                      <w:lang w:val="en-US" w:eastAsia="zh-CN"/>
                    </w:rPr>
                    <w:t>符合情况</w:t>
                  </w:r>
                </w:p>
              </w:tc>
            </w:tr>
            <w:tr w14:paraId="07B1B4E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tcBorders>
                    <w:tl2br w:val="nil"/>
                    <w:tr2bl w:val="nil"/>
                  </w:tcBorders>
                  <w:vAlign w:val="center"/>
                </w:tcPr>
                <w:p w14:paraId="4B4B787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eastAsia="宋体"/>
                      <w:sz w:val="21"/>
                      <w:szCs w:val="21"/>
                      <w:vertAlign w:val="baseline"/>
                      <w:lang w:val="en-US" w:eastAsia="zh-CN"/>
                    </w:rPr>
                  </w:pPr>
                  <w:r>
                    <w:rPr>
                      <w:rFonts w:hint="eastAsia" w:cs="Times New Roman"/>
                      <w:kern w:val="0"/>
                      <w:sz w:val="21"/>
                      <w:szCs w:val="21"/>
                      <w:highlight w:val="none"/>
                      <w:vertAlign w:val="baseline"/>
                      <w:lang w:val="en-US" w:eastAsia="zh-CN"/>
                    </w:rPr>
                    <w:t>空间布局约束</w:t>
                  </w:r>
                </w:p>
              </w:tc>
              <w:tc>
                <w:tcPr>
                  <w:tcW w:w="3037" w:type="dxa"/>
                  <w:tcBorders>
                    <w:tl2br w:val="nil"/>
                    <w:tr2bl w:val="nil"/>
                  </w:tcBorders>
                  <w:vAlign w:val="center"/>
                </w:tcPr>
                <w:p w14:paraId="682FFED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default" w:eastAsia="宋体"/>
                      <w:sz w:val="21"/>
                      <w:szCs w:val="21"/>
                      <w:vertAlign w:val="baseline"/>
                      <w:lang w:val="en-US" w:eastAsia="zh-CN"/>
                    </w:rPr>
                  </w:pPr>
                  <w:r>
                    <w:rPr>
                      <w:rFonts w:hint="eastAsia" w:cs="Times New Roman"/>
                      <w:kern w:val="0"/>
                      <w:sz w:val="21"/>
                      <w:szCs w:val="21"/>
                      <w:highlight w:val="none"/>
                      <w:vertAlign w:val="baseline"/>
                      <w:lang w:val="en-US" w:eastAsia="zh-CN"/>
                    </w:rPr>
                    <w:t>1.执行重点管控类[街道（乡镇）]生态环境总体准入清单和中心城区（首都功能核心区除外）生态环境准入清单的空间布局约束准入要求。</w:t>
                  </w:r>
                </w:p>
              </w:tc>
              <w:tc>
                <w:tcPr>
                  <w:tcW w:w="3038" w:type="dxa"/>
                  <w:tcBorders>
                    <w:tl2br w:val="nil"/>
                    <w:tr2bl w:val="nil"/>
                  </w:tcBorders>
                  <w:vAlign w:val="center"/>
                </w:tcPr>
                <w:p w14:paraId="3CA1487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default"/>
                      <w:sz w:val="21"/>
                      <w:szCs w:val="21"/>
                      <w:vertAlign w:val="baseline"/>
                      <w:lang w:val="en-US" w:eastAsia="zh-CN"/>
                    </w:rPr>
                  </w:pPr>
                  <w:r>
                    <w:rPr>
                      <w:rFonts w:hint="eastAsia" w:cs="Times New Roman"/>
                      <w:kern w:val="0"/>
                      <w:sz w:val="21"/>
                      <w:szCs w:val="21"/>
                      <w:highlight w:val="none"/>
                      <w:vertAlign w:val="baseline"/>
                      <w:lang w:val="en-US" w:eastAsia="zh-CN"/>
                    </w:rPr>
                    <w:t>1.本项目已执行，符合性分析详见表1-1和表1-2。</w:t>
                  </w:r>
                </w:p>
              </w:tc>
              <w:tc>
                <w:tcPr>
                  <w:tcW w:w="510" w:type="dxa"/>
                  <w:tcBorders>
                    <w:tl2br w:val="nil"/>
                    <w:tr2bl w:val="nil"/>
                  </w:tcBorders>
                  <w:vAlign w:val="center"/>
                </w:tcPr>
                <w:p w14:paraId="7C0E3BE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eastAsia="宋体"/>
                      <w:sz w:val="21"/>
                      <w:szCs w:val="21"/>
                      <w:vertAlign w:val="baseline"/>
                      <w:lang w:val="en-US" w:eastAsia="zh-CN"/>
                    </w:rPr>
                  </w:pPr>
                  <w:r>
                    <w:rPr>
                      <w:rFonts w:hint="eastAsia"/>
                      <w:sz w:val="21"/>
                      <w:szCs w:val="21"/>
                      <w:vertAlign w:val="baseline"/>
                      <w:lang w:val="en-US" w:eastAsia="zh-CN"/>
                    </w:rPr>
                    <w:t>符合</w:t>
                  </w:r>
                </w:p>
              </w:tc>
            </w:tr>
            <w:tr w14:paraId="2BD3A78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tcBorders>
                    <w:tl2br w:val="nil"/>
                    <w:tr2bl w:val="nil"/>
                  </w:tcBorders>
                  <w:vAlign w:val="center"/>
                </w:tcPr>
                <w:p w14:paraId="7534887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eastAsia="宋体"/>
                      <w:sz w:val="21"/>
                      <w:szCs w:val="21"/>
                      <w:vertAlign w:val="baseline"/>
                      <w:lang w:val="en-US" w:eastAsia="zh-CN"/>
                    </w:rPr>
                  </w:pPr>
                  <w:r>
                    <w:rPr>
                      <w:rFonts w:hint="eastAsia" w:cs="Times New Roman"/>
                      <w:kern w:val="0"/>
                      <w:sz w:val="21"/>
                      <w:szCs w:val="21"/>
                      <w:highlight w:val="none"/>
                      <w:vertAlign w:val="baseline"/>
                      <w:lang w:val="en-US" w:eastAsia="zh-CN"/>
                    </w:rPr>
                    <w:t>污染物排放管控</w:t>
                  </w:r>
                </w:p>
              </w:tc>
              <w:tc>
                <w:tcPr>
                  <w:tcW w:w="3037" w:type="dxa"/>
                  <w:tcBorders>
                    <w:tl2br w:val="nil"/>
                    <w:tr2bl w:val="nil"/>
                  </w:tcBorders>
                  <w:vAlign w:val="center"/>
                </w:tcPr>
                <w:p w14:paraId="1247C17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sz w:val="21"/>
                      <w:szCs w:val="21"/>
                      <w:vertAlign w:val="baseline"/>
                    </w:rPr>
                  </w:pPr>
                  <w:r>
                    <w:rPr>
                      <w:rFonts w:hint="eastAsia"/>
                      <w:sz w:val="21"/>
                      <w:szCs w:val="21"/>
                      <w:vertAlign w:val="baseline"/>
                    </w:rPr>
                    <w:t>1.执行重点管控类[街道（乡镇）]生态环境总体准入清单和中心城区（首都功能核心区除外）生态环境准入清单的污染物排放管控准入要求。</w:t>
                  </w:r>
                </w:p>
                <w:p w14:paraId="062427B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default"/>
                      <w:sz w:val="21"/>
                      <w:szCs w:val="21"/>
                      <w:vertAlign w:val="baseline"/>
                    </w:rPr>
                  </w:pPr>
                  <w:r>
                    <w:rPr>
                      <w:rFonts w:hint="eastAsia"/>
                      <w:sz w:val="21"/>
                      <w:szCs w:val="21"/>
                      <w:vertAlign w:val="baseline"/>
                    </w:rPr>
                    <w:t>2.严格高污染燃料禁燃区管控，禁燃区内任何单位不得新建、扩建高污染燃料燃用设施，不得将其他燃料燃用设施改造为高污染燃料燃用设施。</w:t>
                  </w:r>
                </w:p>
              </w:tc>
              <w:tc>
                <w:tcPr>
                  <w:tcW w:w="3038" w:type="dxa"/>
                  <w:tcBorders>
                    <w:tl2br w:val="nil"/>
                    <w:tr2bl w:val="nil"/>
                  </w:tcBorders>
                  <w:vAlign w:val="center"/>
                </w:tcPr>
                <w:p w14:paraId="52B048B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eastAsia="宋体"/>
                      <w:sz w:val="21"/>
                      <w:szCs w:val="21"/>
                      <w:vertAlign w:val="baseline"/>
                      <w:lang w:val="en-US" w:eastAsia="zh-CN"/>
                    </w:rPr>
                  </w:pPr>
                  <w:r>
                    <w:rPr>
                      <w:rFonts w:hint="eastAsia"/>
                      <w:sz w:val="21"/>
                      <w:szCs w:val="21"/>
                      <w:vertAlign w:val="baseline"/>
                    </w:rPr>
                    <w:t>1.</w:t>
                  </w:r>
                  <w:r>
                    <w:rPr>
                      <w:rFonts w:hint="eastAsia" w:cs="Times New Roman"/>
                      <w:kern w:val="0"/>
                      <w:sz w:val="21"/>
                      <w:szCs w:val="21"/>
                      <w:highlight w:val="none"/>
                      <w:vertAlign w:val="baseline"/>
                      <w:lang w:val="en-US" w:eastAsia="zh-CN"/>
                    </w:rPr>
                    <w:t>本项目已执行，符合性分析详见表1-1和表1-2</w:t>
                  </w:r>
                  <w:r>
                    <w:rPr>
                      <w:rFonts w:hint="eastAsia"/>
                      <w:sz w:val="21"/>
                      <w:szCs w:val="21"/>
                      <w:vertAlign w:val="baseline"/>
                    </w:rPr>
                    <w:t>。</w:t>
                  </w:r>
                </w:p>
                <w:p w14:paraId="362D868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sz w:val="21"/>
                      <w:szCs w:val="21"/>
                      <w:vertAlign w:val="baseline"/>
                    </w:rPr>
                  </w:pPr>
                  <w:r>
                    <w:rPr>
                      <w:rFonts w:hint="eastAsia"/>
                      <w:sz w:val="21"/>
                      <w:szCs w:val="21"/>
                      <w:vertAlign w:val="baseline"/>
                    </w:rPr>
                    <w:t>2.项目</w:t>
                  </w:r>
                  <w:r>
                    <w:rPr>
                      <w:rFonts w:hint="eastAsia"/>
                      <w:sz w:val="21"/>
                      <w:szCs w:val="21"/>
                      <w:vertAlign w:val="baseline"/>
                      <w:lang w:val="en-US" w:eastAsia="zh-CN"/>
                    </w:rPr>
                    <w:t>不涉及燃料燃用</w:t>
                  </w:r>
                  <w:r>
                    <w:rPr>
                      <w:rFonts w:hint="eastAsia"/>
                      <w:sz w:val="21"/>
                      <w:szCs w:val="21"/>
                      <w:vertAlign w:val="baseline"/>
                    </w:rPr>
                    <w:t>。</w:t>
                  </w:r>
                </w:p>
                <w:p w14:paraId="1D6810F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default"/>
                      <w:sz w:val="21"/>
                      <w:szCs w:val="21"/>
                      <w:vertAlign w:val="baseline"/>
                    </w:rPr>
                  </w:pPr>
                </w:p>
              </w:tc>
              <w:tc>
                <w:tcPr>
                  <w:tcW w:w="510" w:type="dxa"/>
                  <w:tcBorders>
                    <w:tl2br w:val="nil"/>
                    <w:tr2bl w:val="nil"/>
                  </w:tcBorders>
                  <w:vAlign w:val="center"/>
                </w:tcPr>
                <w:p w14:paraId="26B31F3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eastAsia="宋体"/>
                      <w:sz w:val="21"/>
                      <w:szCs w:val="21"/>
                      <w:vertAlign w:val="baseline"/>
                      <w:lang w:val="en-US" w:eastAsia="zh-CN"/>
                    </w:rPr>
                  </w:pPr>
                  <w:r>
                    <w:rPr>
                      <w:rFonts w:hint="eastAsia"/>
                      <w:sz w:val="21"/>
                      <w:szCs w:val="21"/>
                      <w:vertAlign w:val="baseline"/>
                      <w:lang w:val="en-US" w:eastAsia="zh-CN"/>
                    </w:rPr>
                    <w:t>符合</w:t>
                  </w:r>
                </w:p>
              </w:tc>
            </w:tr>
            <w:tr w14:paraId="7C3BE13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tcBorders>
                    <w:tl2br w:val="nil"/>
                    <w:tr2bl w:val="nil"/>
                  </w:tcBorders>
                  <w:vAlign w:val="center"/>
                </w:tcPr>
                <w:p w14:paraId="09687CB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eastAsia="宋体"/>
                      <w:sz w:val="21"/>
                      <w:szCs w:val="21"/>
                      <w:vertAlign w:val="baseline"/>
                      <w:lang w:val="en-US" w:eastAsia="zh-CN"/>
                    </w:rPr>
                  </w:pPr>
                  <w:r>
                    <w:rPr>
                      <w:rFonts w:hint="eastAsia" w:cs="Times New Roman"/>
                      <w:kern w:val="0"/>
                      <w:sz w:val="21"/>
                      <w:szCs w:val="21"/>
                      <w:highlight w:val="none"/>
                      <w:vertAlign w:val="baseline"/>
                      <w:lang w:val="en-US" w:eastAsia="zh-CN"/>
                    </w:rPr>
                    <w:t>环境风险防控</w:t>
                  </w:r>
                </w:p>
              </w:tc>
              <w:tc>
                <w:tcPr>
                  <w:tcW w:w="3037" w:type="dxa"/>
                  <w:tcBorders>
                    <w:tl2br w:val="nil"/>
                    <w:tr2bl w:val="nil"/>
                  </w:tcBorders>
                  <w:vAlign w:val="center"/>
                </w:tcPr>
                <w:p w14:paraId="7C8A60A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default" w:eastAsia="宋体"/>
                      <w:sz w:val="21"/>
                      <w:szCs w:val="21"/>
                      <w:vertAlign w:val="baseline"/>
                      <w:lang w:val="en-US" w:eastAsia="zh-CN"/>
                    </w:rPr>
                  </w:pPr>
                  <w:r>
                    <w:rPr>
                      <w:rFonts w:hint="eastAsia"/>
                      <w:sz w:val="21"/>
                      <w:szCs w:val="21"/>
                      <w:vertAlign w:val="baseline"/>
                      <w:lang w:val="en-US" w:eastAsia="zh-CN"/>
                    </w:rPr>
                    <w:t>1.执行重点管控类[街道（乡镇）]生态环境总体准入清单和中心城区（首都功能核心区除外）生态环境准入清单的环境风险防范准入要求。</w:t>
                  </w:r>
                </w:p>
              </w:tc>
              <w:tc>
                <w:tcPr>
                  <w:tcW w:w="3038" w:type="dxa"/>
                  <w:tcBorders>
                    <w:tl2br w:val="nil"/>
                    <w:tr2bl w:val="nil"/>
                  </w:tcBorders>
                  <w:vAlign w:val="center"/>
                </w:tcPr>
                <w:p w14:paraId="0FD9D16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default" w:eastAsia="宋体"/>
                      <w:sz w:val="21"/>
                      <w:szCs w:val="21"/>
                      <w:vertAlign w:val="baseline"/>
                      <w:lang w:val="en-US" w:eastAsia="zh-CN"/>
                    </w:rPr>
                  </w:pPr>
                  <w:r>
                    <w:rPr>
                      <w:rFonts w:hint="default" w:eastAsia="宋体"/>
                      <w:sz w:val="21"/>
                      <w:szCs w:val="21"/>
                      <w:vertAlign w:val="baseline"/>
                      <w:lang w:val="en-US" w:eastAsia="zh-CN"/>
                    </w:rPr>
                    <w:t>1.</w:t>
                  </w:r>
                  <w:r>
                    <w:rPr>
                      <w:rFonts w:hint="eastAsia" w:cs="Times New Roman"/>
                      <w:kern w:val="0"/>
                      <w:sz w:val="21"/>
                      <w:szCs w:val="21"/>
                      <w:highlight w:val="none"/>
                      <w:vertAlign w:val="baseline"/>
                      <w:lang w:val="en-US" w:eastAsia="zh-CN"/>
                    </w:rPr>
                    <w:t>本项目已执行，符合性分析详见表1-1和表1-2</w:t>
                  </w:r>
                  <w:r>
                    <w:rPr>
                      <w:rFonts w:hint="eastAsia"/>
                      <w:sz w:val="21"/>
                      <w:szCs w:val="21"/>
                      <w:vertAlign w:val="baseline"/>
                      <w:lang w:val="en-US" w:eastAsia="zh-CN"/>
                    </w:rPr>
                    <w:t>。</w:t>
                  </w:r>
                </w:p>
              </w:tc>
              <w:tc>
                <w:tcPr>
                  <w:tcW w:w="510" w:type="dxa"/>
                  <w:tcBorders>
                    <w:tl2br w:val="nil"/>
                    <w:tr2bl w:val="nil"/>
                  </w:tcBorders>
                  <w:vAlign w:val="center"/>
                </w:tcPr>
                <w:p w14:paraId="62A8FA6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eastAsia="宋体"/>
                      <w:sz w:val="21"/>
                      <w:szCs w:val="21"/>
                      <w:vertAlign w:val="baseline"/>
                      <w:lang w:val="en-US" w:eastAsia="zh-CN"/>
                    </w:rPr>
                  </w:pPr>
                  <w:r>
                    <w:rPr>
                      <w:rFonts w:hint="eastAsia"/>
                      <w:sz w:val="21"/>
                      <w:szCs w:val="21"/>
                      <w:vertAlign w:val="baseline"/>
                      <w:lang w:val="en-US" w:eastAsia="zh-CN"/>
                    </w:rPr>
                    <w:t>符合</w:t>
                  </w:r>
                </w:p>
              </w:tc>
            </w:tr>
            <w:tr w14:paraId="053F8E3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tcBorders>
                    <w:tl2br w:val="nil"/>
                    <w:tr2bl w:val="nil"/>
                  </w:tcBorders>
                  <w:vAlign w:val="center"/>
                </w:tcPr>
                <w:p w14:paraId="3B37C21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eastAsia="宋体"/>
                      <w:sz w:val="21"/>
                      <w:szCs w:val="21"/>
                      <w:vertAlign w:val="baseline"/>
                      <w:lang w:val="en-US" w:eastAsia="zh-CN"/>
                    </w:rPr>
                  </w:pPr>
                  <w:r>
                    <w:rPr>
                      <w:rFonts w:hint="eastAsia" w:cs="Times New Roman"/>
                      <w:kern w:val="0"/>
                      <w:sz w:val="21"/>
                      <w:szCs w:val="21"/>
                      <w:highlight w:val="none"/>
                      <w:vertAlign w:val="baseline"/>
                      <w:lang w:val="en-US" w:eastAsia="zh-CN"/>
                    </w:rPr>
                    <w:t>资源利用效率要求</w:t>
                  </w:r>
                </w:p>
              </w:tc>
              <w:tc>
                <w:tcPr>
                  <w:tcW w:w="3037" w:type="dxa"/>
                  <w:tcBorders>
                    <w:tl2br w:val="nil"/>
                    <w:tr2bl w:val="nil"/>
                  </w:tcBorders>
                  <w:vAlign w:val="center"/>
                </w:tcPr>
                <w:p w14:paraId="49A03A1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sz w:val="21"/>
                      <w:szCs w:val="21"/>
                      <w:vertAlign w:val="baseline"/>
                    </w:rPr>
                  </w:pPr>
                  <w:r>
                    <w:rPr>
                      <w:rFonts w:hint="eastAsia"/>
                      <w:sz w:val="21"/>
                      <w:szCs w:val="21"/>
                      <w:vertAlign w:val="baseline"/>
                    </w:rPr>
                    <w:t>1.执行重点管控类[街道（乡镇）]生态环境总体准入清单和中心城区（首都功能核心区除外）生态环境准入清单的资源利用效率准入要求。</w:t>
                  </w:r>
                </w:p>
                <w:p w14:paraId="64F310A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eastAsia="宋体"/>
                      <w:sz w:val="21"/>
                      <w:szCs w:val="21"/>
                      <w:vertAlign w:val="baseline"/>
                      <w:lang w:val="en-US" w:eastAsia="zh-CN"/>
                    </w:rPr>
                  </w:pPr>
                  <w:r>
                    <w:rPr>
                      <w:rFonts w:hint="eastAsia"/>
                      <w:sz w:val="21"/>
                      <w:szCs w:val="21"/>
                      <w:vertAlign w:val="baseline"/>
                    </w:rPr>
                    <w:t>2.执行《北京市水务局北京市规划和自然资源委员会</w:t>
                  </w:r>
                  <w:r>
                    <w:rPr>
                      <w:rFonts w:hint="eastAsia"/>
                      <w:sz w:val="21"/>
                      <w:szCs w:val="21"/>
                      <w:vertAlign w:val="baseline"/>
                      <w:lang w:val="en-US" w:eastAsia="zh-CN"/>
                    </w:rPr>
                    <w:t>关于</w:t>
                  </w:r>
                  <w:r>
                    <w:rPr>
                      <w:rFonts w:hint="eastAsia"/>
                      <w:sz w:val="21"/>
                      <w:szCs w:val="21"/>
                      <w:vertAlign w:val="baseline"/>
                    </w:rPr>
                    <w:t>划定北京市地下水禁止开采区、限制开采区、储备区及重要泉域保护范围的通知》中相关要求</w:t>
                  </w:r>
                  <w:r>
                    <w:rPr>
                      <w:rFonts w:hint="eastAsia"/>
                      <w:sz w:val="21"/>
                      <w:szCs w:val="21"/>
                      <w:vertAlign w:val="baseline"/>
                      <w:lang w:eastAsia="zh-CN"/>
                    </w:rPr>
                    <w:t>。</w:t>
                  </w:r>
                </w:p>
              </w:tc>
              <w:tc>
                <w:tcPr>
                  <w:tcW w:w="3038" w:type="dxa"/>
                  <w:tcBorders>
                    <w:tl2br w:val="nil"/>
                    <w:tr2bl w:val="nil"/>
                  </w:tcBorders>
                  <w:vAlign w:val="center"/>
                </w:tcPr>
                <w:p w14:paraId="4184401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default" w:eastAsia="宋体"/>
                      <w:sz w:val="21"/>
                      <w:szCs w:val="21"/>
                      <w:vertAlign w:val="baseline"/>
                      <w:lang w:val="en-US" w:eastAsia="zh-CN"/>
                    </w:rPr>
                  </w:pPr>
                  <w:r>
                    <w:rPr>
                      <w:rFonts w:hint="default" w:eastAsia="宋体"/>
                      <w:sz w:val="21"/>
                      <w:szCs w:val="21"/>
                      <w:vertAlign w:val="baseline"/>
                      <w:lang w:val="en-US" w:eastAsia="zh-CN"/>
                    </w:rPr>
                    <w:t>1.</w:t>
                  </w:r>
                  <w:r>
                    <w:rPr>
                      <w:rFonts w:hint="eastAsia" w:cs="Times New Roman"/>
                      <w:kern w:val="0"/>
                      <w:sz w:val="21"/>
                      <w:szCs w:val="21"/>
                      <w:highlight w:val="none"/>
                      <w:vertAlign w:val="baseline"/>
                      <w:lang w:val="en-US" w:eastAsia="zh-CN"/>
                    </w:rPr>
                    <w:t>本项目已执行，符合性分析详见表1-1和表1-2</w:t>
                  </w:r>
                  <w:r>
                    <w:rPr>
                      <w:rFonts w:hint="eastAsia"/>
                      <w:sz w:val="21"/>
                      <w:szCs w:val="21"/>
                      <w:vertAlign w:val="baseline"/>
                      <w:lang w:val="en-US" w:eastAsia="zh-CN"/>
                    </w:rPr>
                    <w:t>。</w:t>
                  </w:r>
                </w:p>
                <w:p w14:paraId="0323901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default" w:eastAsia="宋体"/>
                      <w:sz w:val="21"/>
                      <w:szCs w:val="21"/>
                      <w:vertAlign w:val="baseline"/>
                      <w:lang w:val="en-US" w:eastAsia="zh-CN"/>
                    </w:rPr>
                  </w:pPr>
                  <w:r>
                    <w:rPr>
                      <w:rFonts w:hint="default" w:eastAsia="宋体"/>
                      <w:sz w:val="21"/>
                      <w:szCs w:val="21"/>
                      <w:vertAlign w:val="baseline"/>
                      <w:lang w:val="en-US" w:eastAsia="zh-CN"/>
                    </w:rPr>
                    <w:t>2.项目</w:t>
                  </w:r>
                  <w:r>
                    <w:rPr>
                      <w:rFonts w:hint="eastAsia"/>
                      <w:sz w:val="21"/>
                      <w:szCs w:val="21"/>
                      <w:vertAlign w:val="baseline"/>
                      <w:lang w:val="en-US" w:eastAsia="zh-CN"/>
                    </w:rPr>
                    <w:t>严格执行</w:t>
                  </w:r>
                  <w:r>
                    <w:rPr>
                      <w:rFonts w:hint="eastAsia"/>
                      <w:sz w:val="21"/>
                      <w:szCs w:val="21"/>
                      <w:vertAlign w:val="baseline"/>
                    </w:rPr>
                    <w:t>《北京市水务局北京市规划和自然资源委员会关千划定北京市地下水禁止开采区、限制开采区、储备区及重要泉域保护范围的通知》中相关要求</w:t>
                  </w:r>
                  <w:r>
                    <w:rPr>
                      <w:rFonts w:hint="eastAsia"/>
                      <w:sz w:val="21"/>
                      <w:szCs w:val="21"/>
                      <w:vertAlign w:val="baseline"/>
                      <w:lang w:eastAsia="zh-CN"/>
                    </w:rPr>
                    <w:t>。</w:t>
                  </w:r>
                </w:p>
              </w:tc>
              <w:tc>
                <w:tcPr>
                  <w:tcW w:w="510" w:type="dxa"/>
                  <w:tcBorders>
                    <w:tl2br w:val="nil"/>
                    <w:tr2bl w:val="nil"/>
                  </w:tcBorders>
                  <w:vAlign w:val="center"/>
                </w:tcPr>
                <w:p w14:paraId="3583970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eastAsia="宋体"/>
                      <w:sz w:val="21"/>
                      <w:szCs w:val="21"/>
                      <w:vertAlign w:val="baseline"/>
                      <w:lang w:val="en-US" w:eastAsia="zh-CN"/>
                    </w:rPr>
                  </w:pPr>
                  <w:r>
                    <w:rPr>
                      <w:rFonts w:hint="eastAsia"/>
                      <w:sz w:val="21"/>
                      <w:szCs w:val="21"/>
                      <w:vertAlign w:val="baseline"/>
                      <w:lang w:val="en-US" w:eastAsia="zh-CN"/>
                    </w:rPr>
                    <w:t>符合</w:t>
                  </w:r>
                </w:p>
              </w:tc>
            </w:tr>
          </w:tbl>
          <w:p w14:paraId="4D1A779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cs="Times New Roman"/>
                <w:color w:val="auto"/>
                <w:kern w:val="0"/>
                <w:sz w:val="24"/>
                <w:highlight w:val="none"/>
                <w:lang w:val="en-US" w:eastAsia="zh-CN"/>
              </w:rPr>
            </w:pPr>
            <w:r>
              <w:rPr>
                <w:rFonts w:hint="eastAsia" w:cs="Times New Roman"/>
                <w:color w:val="auto"/>
                <w:kern w:val="0"/>
                <w:sz w:val="24"/>
                <w:highlight w:val="none"/>
                <w:lang w:val="en-US" w:eastAsia="zh-CN"/>
              </w:rPr>
              <w:t>综上所述，本项目符合重点管控类[街道（乡镇）]生态环境总体准入清单、中心城区（首都功能核心区除外）生态环境准入清单、街道（乡镇）重点管控单元生态环境准入清单要求。</w:t>
            </w:r>
          </w:p>
          <w:p w14:paraId="0EA947F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cs="Times New Roman"/>
                <w:color w:val="auto"/>
                <w:kern w:val="0"/>
                <w:sz w:val="24"/>
                <w:highlight w:val="none"/>
                <w:lang w:val="en-US" w:eastAsia="zh-CN"/>
              </w:rPr>
            </w:pPr>
            <w:r>
              <w:rPr>
                <w:rFonts w:hint="eastAsia" w:cs="Times New Roman"/>
                <w:color w:val="auto"/>
                <w:kern w:val="0"/>
                <w:sz w:val="24"/>
                <w:highlight w:val="none"/>
                <w:lang w:val="en-US" w:eastAsia="zh-CN"/>
              </w:rPr>
              <w:t>因此，本项目符合“三线一单”的准入条件。</w:t>
            </w:r>
          </w:p>
          <w:p w14:paraId="4D8B453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cs="Times New Roman"/>
                <w:color w:val="auto"/>
                <w:kern w:val="0"/>
                <w:sz w:val="24"/>
                <w:highlight w:val="none"/>
                <w:lang w:val="en-US" w:eastAsia="zh-CN"/>
              </w:rPr>
            </w:pPr>
            <w:r>
              <w:rPr>
                <w:rFonts w:hint="eastAsia" w:cs="Times New Roman"/>
                <w:b/>
                <w:bCs/>
                <w:color w:val="auto"/>
                <w:kern w:val="0"/>
                <w:sz w:val="24"/>
                <w:highlight w:val="none"/>
                <w:lang w:val="en-US" w:eastAsia="zh-CN"/>
              </w:rPr>
              <w:t>3、与《“十四五”时期健康海淀建设规划》符合性分析</w:t>
            </w:r>
          </w:p>
          <w:p w14:paraId="69160A6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cs="Times New Roman"/>
                <w:color w:val="auto"/>
                <w:kern w:val="0"/>
                <w:sz w:val="24"/>
                <w:highlight w:val="none"/>
                <w:lang w:val="en-US" w:eastAsia="zh-CN"/>
              </w:rPr>
            </w:pPr>
            <w:r>
              <w:rPr>
                <w:rFonts w:hint="default" w:cs="Times New Roman"/>
                <w:color w:val="auto"/>
                <w:kern w:val="0"/>
                <w:sz w:val="24"/>
                <w:highlight w:val="none"/>
                <w:lang w:val="en-US" w:eastAsia="zh-CN"/>
              </w:rPr>
              <w:t>根据《</w:t>
            </w:r>
            <w:r>
              <w:rPr>
                <w:rFonts w:hint="eastAsia" w:cs="Times New Roman"/>
                <w:color w:val="auto"/>
                <w:kern w:val="0"/>
                <w:sz w:val="24"/>
                <w:highlight w:val="none"/>
                <w:lang w:val="en-US" w:eastAsia="zh-CN"/>
              </w:rPr>
              <w:t>“</w:t>
            </w:r>
            <w:r>
              <w:rPr>
                <w:rFonts w:hint="default" w:cs="Times New Roman"/>
                <w:color w:val="auto"/>
                <w:kern w:val="0"/>
                <w:sz w:val="24"/>
                <w:highlight w:val="none"/>
                <w:lang w:val="en-US" w:eastAsia="zh-CN"/>
              </w:rPr>
              <w:t>十四五</w:t>
            </w:r>
            <w:r>
              <w:rPr>
                <w:rFonts w:hint="eastAsia" w:cs="Times New Roman"/>
                <w:color w:val="auto"/>
                <w:kern w:val="0"/>
                <w:sz w:val="24"/>
                <w:highlight w:val="none"/>
                <w:lang w:val="en-US" w:eastAsia="zh-CN"/>
              </w:rPr>
              <w:t>”</w:t>
            </w:r>
            <w:r>
              <w:rPr>
                <w:rFonts w:hint="default" w:cs="Times New Roman"/>
                <w:color w:val="auto"/>
                <w:kern w:val="0"/>
                <w:sz w:val="24"/>
                <w:highlight w:val="none"/>
                <w:lang w:val="en-US" w:eastAsia="zh-CN"/>
              </w:rPr>
              <w:t>时期健康海淀建设规划》第四章（六）提升多层次医疗卫生服务供给能力：</w:t>
            </w:r>
            <w:r>
              <w:rPr>
                <w:rFonts w:hint="eastAsia" w:cs="Times New Roman"/>
                <w:color w:val="auto"/>
                <w:kern w:val="0"/>
                <w:sz w:val="24"/>
                <w:highlight w:val="none"/>
                <w:lang w:val="en-US" w:eastAsia="zh-CN"/>
              </w:rPr>
              <w:t>“</w:t>
            </w:r>
            <w:r>
              <w:rPr>
                <w:rFonts w:hint="default" w:cs="Times New Roman"/>
                <w:color w:val="auto"/>
                <w:kern w:val="0"/>
                <w:sz w:val="24"/>
                <w:highlight w:val="none"/>
                <w:lang w:val="en-US" w:eastAsia="zh-CN"/>
              </w:rPr>
              <w:t>1.有序发展社会办医。积极落实优化营商环境、鼓励社会办医发展的政策要求，简化审批流程，为社会办医机构打造公平、公正、规范、透明的发展环境，以每千常住人口1.5张床位的标准为指导，为社会办医机构预留发展空间。</w:t>
            </w:r>
            <w:r>
              <w:rPr>
                <w:rFonts w:hint="eastAsia" w:cs="Times New Roman"/>
                <w:color w:val="auto"/>
                <w:kern w:val="0"/>
                <w:sz w:val="24"/>
                <w:highlight w:val="none"/>
                <w:lang w:val="en-US" w:eastAsia="zh-CN"/>
              </w:rPr>
              <w:t>”</w:t>
            </w:r>
          </w:p>
          <w:p w14:paraId="17ACA8E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s="Times New Roman"/>
                <w:color w:val="auto"/>
                <w:kern w:val="0"/>
                <w:sz w:val="24"/>
                <w:highlight w:val="none"/>
                <w:lang w:val="en-US" w:eastAsia="zh-CN"/>
              </w:rPr>
            </w:pPr>
            <w:r>
              <w:rPr>
                <w:rFonts w:hint="default" w:cs="Times New Roman"/>
                <w:color w:val="auto"/>
                <w:kern w:val="0"/>
                <w:sz w:val="24"/>
                <w:highlight w:val="none"/>
                <w:lang w:val="en-US" w:eastAsia="zh-CN"/>
              </w:rPr>
              <w:t>本项目为中医医院建设项目，为一级中医医院，位于北京市海淀区黑泉路19号院1号楼1层101室1F104区，建设后可带动周边医疗服务能力，提升海淀区多层次医疗卫生服务供给能力，为北京市海淀区提供可靠的医疗保障，符合《</w:t>
            </w:r>
            <w:r>
              <w:rPr>
                <w:rFonts w:hint="eastAsia" w:cs="Times New Roman"/>
                <w:color w:val="auto"/>
                <w:kern w:val="0"/>
                <w:sz w:val="24"/>
                <w:highlight w:val="none"/>
                <w:lang w:val="en-US" w:eastAsia="zh-CN"/>
              </w:rPr>
              <w:t>“</w:t>
            </w:r>
            <w:r>
              <w:rPr>
                <w:rFonts w:hint="default" w:cs="Times New Roman"/>
                <w:color w:val="auto"/>
                <w:kern w:val="0"/>
                <w:sz w:val="24"/>
                <w:highlight w:val="none"/>
                <w:lang w:val="en-US" w:eastAsia="zh-CN"/>
              </w:rPr>
              <w:t>十四五</w:t>
            </w:r>
            <w:r>
              <w:rPr>
                <w:rFonts w:hint="eastAsia" w:cs="Times New Roman"/>
                <w:color w:val="auto"/>
                <w:kern w:val="0"/>
                <w:sz w:val="24"/>
                <w:highlight w:val="none"/>
                <w:lang w:val="en-US" w:eastAsia="zh-CN"/>
              </w:rPr>
              <w:t>”</w:t>
            </w:r>
            <w:r>
              <w:rPr>
                <w:rFonts w:hint="default" w:cs="Times New Roman"/>
                <w:color w:val="auto"/>
                <w:kern w:val="0"/>
                <w:sz w:val="24"/>
                <w:highlight w:val="none"/>
                <w:lang w:val="en-US" w:eastAsia="zh-CN"/>
              </w:rPr>
              <w:t>时期健康海淀建设规划》中相关要求。</w:t>
            </w:r>
          </w:p>
          <w:p w14:paraId="37C4F73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cs="Times New Roman"/>
                <w:color w:val="auto"/>
                <w:kern w:val="0"/>
                <w:sz w:val="24"/>
                <w:highlight w:val="none"/>
                <w:lang w:val="en-US" w:eastAsia="zh-CN"/>
              </w:rPr>
            </w:pPr>
            <w:r>
              <w:rPr>
                <w:rFonts w:hint="eastAsia" w:cs="Times New Roman"/>
                <w:b/>
                <w:bCs/>
                <w:color w:val="auto"/>
                <w:kern w:val="0"/>
                <w:sz w:val="24"/>
                <w:highlight w:val="none"/>
                <w:lang w:val="en-US" w:eastAsia="zh-CN"/>
              </w:rPr>
              <w:t>4、与《北京市医疗卫生设施专项规划（2020年-2035年）》符合性分析</w:t>
            </w:r>
          </w:p>
          <w:p w14:paraId="6967D24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s="Times New Roman"/>
                <w:color w:val="auto"/>
                <w:kern w:val="0"/>
                <w:sz w:val="24"/>
                <w:highlight w:val="none"/>
                <w:lang w:val="en-US" w:eastAsia="zh-CN"/>
              </w:rPr>
            </w:pPr>
            <w:r>
              <w:rPr>
                <w:rFonts w:hint="default" w:cs="Times New Roman"/>
                <w:color w:val="auto"/>
                <w:kern w:val="0"/>
                <w:sz w:val="24"/>
                <w:highlight w:val="none"/>
                <w:lang w:val="en-US" w:eastAsia="zh-CN"/>
              </w:rPr>
              <w:t>根据《北京市医疗卫生设施专项规划（2020年</w:t>
            </w:r>
            <w:r>
              <w:rPr>
                <w:rFonts w:hint="eastAsia" w:cs="Times New Roman"/>
                <w:color w:val="auto"/>
                <w:kern w:val="0"/>
                <w:sz w:val="24"/>
                <w:highlight w:val="none"/>
                <w:lang w:val="en-US" w:eastAsia="zh-CN"/>
              </w:rPr>
              <w:t>-</w:t>
            </w:r>
            <w:r>
              <w:rPr>
                <w:rFonts w:hint="default" w:cs="Times New Roman"/>
                <w:color w:val="auto"/>
                <w:kern w:val="0"/>
                <w:sz w:val="24"/>
                <w:highlight w:val="none"/>
                <w:lang w:val="en-US" w:eastAsia="zh-CN"/>
              </w:rPr>
              <w:t>2035年）》第一章6、总体目标：</w:t>
            </w:r>
            <w:r>
              <w:rPr>
                <w:rFonts w:hint="eastAsia" w:cs="Times New Roman"/>
                <w:color w:val="auto"/>
                <w:kern w:val="0"/>
                <w:sz w:val="24"/>
                <w:highlight w:val="none"/>
                <w:lang w:val="en-US" w:eastAsia="zh-CN"/>
              </w:rPr>
              <w:t>“</w:t>
            </w:r>
            <w:r>
              <w:rPr>
                <w:rFonts w:hint="default" w:cs="Times New Roman"/>
                <w:color w:val="auto"/>
                <w:kern w:val="0"/>
                <w:sz w:val="24"/>
                <w:highlight w:val="none"/>
                <w:lang w:val="en-US" w:eastAsia="zh-CN"/>
              </w:rPr>
              <w:t>根据首都城市功能定位、城市总体规划和人口布局，以疏解为重点，分类分级分区统筹规划和合理配置医疗卫生资源，优化医疗卫生设施建设标准和空间布局，改善提升医疗卫生设施基础条件，加强环京地区协作，助力首都都市圈建设，带动增强周边地区医疗服务能力，促进区域之间、城乡之间医疗卫生资源和服务均衡发展，构建功能健全、布局均衡、服务完善、中西医并重、医防融合、优质高效，与首都功能定位相匹配的医疗卫生设施服务体系，为人民提供全方位、全周期健康服务。</w:t>
            </w:r>
            <w:r>
              <w:rPr>
                <w:rFonts w:hint="eastAsia" w:cs="Times New Roman"/>
                <w:color w:val="auto"/>
                <w:kern w:val="0"/>
                <w:sz w:val="24"/>
                <w:highlight w:val="none"/>
                <w:lang w:val="en-US" w:eastAsia="zh-CN"/>
              </w:rPr>
              <w:t>”</w:t>
            </w:r>
          </w:p>
          <w:p w14:paraId="05D791D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s="Times New Roman"/>
                <w:color w:val="auto"/>
                <w:kern w:val="0"/>
                <w:sz w:val="24"/>
                <w:highlight w:val="none"/>
                <w:lang w:val="en-US" w:eastAsia="zh-CN"/>
              </w:rPr>
            </w:pPr>
            <w:r>
              <w:rPr>
                <w:rFonts w:hint="default" w:cs="Times New Roman"/>
                <w:color w:val="auto"/>
                <w:kern w:val="0"/>
                <w:sz w:val="24"/>
                <w:highlight w:val="none"/>
                <w:lang w:val="en-US" w:eastAsia="zh-CN"/>
              </w:rPr>
              <w:t>本项目为中医医院建设项目，为一级中医医院，位于北京市海淀区黑泉路19号院1号楼1层101室1F104区，项目建设后带动周边的医疗服务能力，构建功能健全、层次分明、优质高效的医疗卫生服务体系，为北京市海淀区提供可靠的医疗保障。符合《北京市医疗卫生设施专项规划（2020年</w:t>
            </w:r>
            <w:r>
              <w:rPr>
                <w:rFonts w:hint="eastAsia" w:cs="Times New Roman"/>
                <w:color w:val="auto"/>
                <w:kern w:val="0"/>
                <w:sz w:val="24"/>
                <w:highlight w:val="none"/>
                <w:lang w:val="en-US" w:eastAsia="zh-CN"/>
              </w:rPr>
              <w:t>-</w:t>
            </w:r>
            <w:r>
              <w:rPr>
                <w:rFonts w:hint="default" w:cs="Times New Roman"/>
                <w:color w:val="auto"/>
                <w:kern w:val="0"/>
                <w:sz w:val="24"/>
                <w:highlight w:val="none"/>
                <w:lang w:val="en-US" w:eastAsia="zh-CN"/>
              </w:rPr>
              <w:t>2035年）》</w:t>
            </w:r>
            <w:r>
              <w:rPr>
                <w:rFonts w:hint="eastAsia" w:cs="Times New Roman"/>
                <w:color w:val="auto"/>
                <w:kern w:val="0"/>
                <w:sz w:val="24"/>
                <w:highlight w:val="none"/>
                <w:lang w:val="en-US" w:eastAsia="zh-CN"/>
              </w:rPr>
              <w:t>中相关要求。</w:t>
            </w:r>
          </w:p>
          <w:p w14:paraId="30C79C6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cs="Times New Roman"/>
                <w:color w:val="auto"/>
                <w:kern w:val="0"/>
                <w:sz w:val="24"/>
                <w:highlight w:val="none"/>
                <w:lang w:val="en-US" w:eastAsia="zh-CN"/>
              </w:rPr>
            </w:pPr>
            <w:r>
              <w:rPr>
                <w:rFonts w:hint="eastAsia" w:cs="Times New Roman"/>
                <w:b/>
                <w:bCs/>
                <w:color w:val="auto"/>
                <w:kern w:val="0"/>
                <w:sz w:val="24"/>
                <w:highlight w:val="none"/>
                <w:lang w:val="en-US" w:eastAsia="zh-CN"/>
              </w:rPr>
              <w:t>5</w:t>
            </w:r>
            <w:r>
              <w:rPr>
                <w:rFonts w:hint="default" w:cs="Times New Roman"/>
                <w:b/>
                <w:bCs/>
                <w:color w:val="auto"/>
                <w:kern w:val="0"/>
                <w:sz w:val="24"/>
                <w:highlight w:val="none"/>
                <w:lang w:val="en-US" w:eastAsia="zh-CN"/>
              </w:rPr>
              <w:t>、选址合理性分析</w:t>
            </w:r>
          </w:p>
          <w:p w14:paraId="0641E16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s="Times New Roman"/>
                <w:color w:val="auto"/>
                <w:kern w:val="0"/>
                <w:sz w:val="24"/>
                <w:highlight w:val="none"/>
                <w:lang w:val="en-US" w:eastAsia="zh-CN"/>
              </w:rPr>
            </w:pPr>
            <w:r>
              <w:rPr>
                <w:rFonts w:hint="default" w:cs="Times New Roman"/>
                <w:color w:val="auto"/>
                <w:kern w:val="0"/>
                <w:sz w:val="24"/>
                <w:highlight w:val="none"/>
                <w:lang w:val="en-US" w:eastAsia="zh-CN"/>
              </w:rPr>
              <w:t>本项目选址北京市海淀区黑泉路19号院1号楼1层101室1F104区，建筑面积</w:t>
            </w:r>
            <w:r>
              <w:rPr>
                <w:rFonts w:hint="eastAsia" w:cs="Times New Roman"/>
                <w:color w:val="auto"/>
                <w:kern w:val="0"/>
                <w:sz w:val="24"/>
                <w:highlight w:val="none"/>
                <w:lang w:val="en-US" w:eastAsia="zh-CN"/>
              </w:rPr>
              <w:t>722.58</w:t>
            </w:r>
            <w:r>
              <w:rPr>
                <w:rFonts w:hint="default" w:cs="Times New Roman"/>
                <w:color w:val="auto"/>
                <w:kern w:val="0"/>
                <w:sz w:val="24"/>
                <w:highlight w:val="none"/>
                <w:lang w:val="en-US" w:eastAsia="zh-CN"/>
              </w:rPr>
              <w:t>m</w:t>
            </w:r>
            <w:r>
              <w:rPr>
                <w:rFonts w:hint="default" w:cs="Times New Roman"/>
                <w:color w:val="auto"/>
                <w:kern w:val="0"/>
                <w:sz w:val="24"/>
                <w:highlight w:val="none"/>
                <w:vertAlign w:val="superscript"/>
                <w:lang w:val="en-US" w:eastAsia="zh-CN"/>
              </w:rPr>
              <w:t>2</w:t>
            </w:r>
            <w:r>
              <w:rPr>
                <w:rFonts w:hint="default" w:cs="Times New Roman"/>
                <w:color w:val="auto"/>
                <w:kern w:val="0"/>
                <w:sz w:val="24"/>
                <w:highlight w:val="none"/>
                <w:lang w:val="en-US" w:eastAsia="zh-CN"/>
              </w:rPr>
              <w:t>，该建筑为</w:t>
            </w:r>
            <w:r>
              <w:rPr>
                <w:rFonts w:hint="eastAsia" w:cs="Times New Roman"/>
                <w:color w:val="auto"/>
                <w:kern w:val="0"/>
                <w:sz w:val="24"/>
                <w:highlight w:val="none"/>
                <w:lang w:val="en-US" w:eastAsia="zh-CN"/>
              </w:rPr>
              <w:t>北京市海淀兴华农工商公司</w:t>
            </w:r>
            <w:r>
              <w:rPr>
                <w:rFonts w:hint="default" w:cs="Times New Roman"/>
                <w:color w:val="auto"/>
                <w:kern w:val="0"/>
                <w:sz w:val="24"/>
                <w:highlight w:val="none"/>
                <w:lang w:val="en-US" w:eastAsia="zh-CN"/>
              </w:rPr>
              <w:t>所有，根据《不动产权证书》，为地上</w:t>
            </w:r>
            <w:r>
              <w:rPr>
                <w:rFonts w:hint="eastAsia" w:cs="Times New Roman"/>
                <w:color w:val="auto"/>
                <w:kern w:val="0"/>
                <w:sz w:val="24"/>
                <w:highlight w:val="none"/>
                <w:lang w:val="en-US" w:eastAsia="zh-CN"/>
              </w:rPr>
              <w:t>8</w:t>
            </w:r>
            <w:r>
              <w:rPr>
                <w:rFonts w:hint="default" w:cs="Times New Roman"/>
                <w:color w:val="auto"/>
                <w:kern w:val="0"/>
                <w:sz w:val="24"/>
                <w:highlight w:val="none"/>
                <w:lang w:val="en-US" w:eastAsia="zh-CN"/>
              </w:rPr>
              <w:t>层</w:t>
            </w:r>
            <w:r>
              <w:rPr>
                <w:rFonts w:hint="eastAsia" w:cs="Times New Roman"/>
                <w:color w:val="auto"/>
                <w:kern w:val="0"/>
                <w:sz w:val="24"/>
                <w:highlight w:val="none"/>
                <w:lang w:val="en-US" w:eastAsia="zh-CN"/>
              </w:rPr>
              <w:t>、地下3层</w:t>
            </w:r>
            <w:r>
              <w:rPr>
                <w:rFonts w:hint="default" w:cs="Times New Roman"/>
                <w:color w:val="auto"/>
                <w:kern w:val="0"/>
                <w:sz w:val="24"/>
                <w:highlight w:val="none"/>
                <w:lang w:val="en-US" w:eastAsia="zh-CN"/>
              </w:rPr>
              <w:t>建筑，土地设计用途为</w:t>
            </w:r>
            <w:r>
              <w:rPr>
                <w:rFonts w:hint="eastAsia" w:cs="Times New Roman"/>
                <w:color w:val="auto"/>
                <w:kern w:val="0"/>
                <w:sz w:val="24"/>
                <w:highlight w:val="none"/>
                <w:lang w:val="en-US" w:eastAsia="zh-CN"/>
              </w:rPr>
              <w:t>租赁住房、配套服务用房（其他商业服务）</w:t>
            </w:r>
            <w:r>
              <w:rPr>
                <w:rFonts w:hint="default" w:cs="Times New Roman"/>
                <w:color w:val="auto"/>
                <w:kern w:val="0"/>
                <w:sz w:val="24"/>
                <w:highlight w:val="none"/>
                <w:lang w:val="en-US" w:eastAsia="zh-CN"/>
              </w:rPr>
              <w:t>，根据《北京市建设用地功能混合使用指导意见（试行）》（京规自发[2023]313号）附表2-3商业服务业用地兼容正负面清单，商业用地允许兼容</w:t>
            </w:r>
            <w:r>
              <w:rPr>
                <w:rFonts w:hint="eastAsia" w:cs="Times New Roman"/>
                <w:color w:val="auto"/>
                <w:kern w:val="0"/>
                <w:sz w:val="24"/>
                <w:highlight w:val="none"/>
                <w:lang w:val="en-US" w:eastAsia="zh-CN"/>
              </w:rPr>
              <w:t>“</w:t>
            </w:r>
            <w:r>
              <w:rPr>
                <w:rFonts w:hint="default" w:cs="Times New Roman"/>
                <w:color w:val="auto"/>
                <w:kern w:val="0"/>
                <w:sz w:val="24"/>
                <w:highlight w:val="none"/>
                <w:lang w:val="en-US" w:eastAsia="zh-CN"/>
              </w:rPr>
              <w:t>1.公共服务包括文化设施、教育设施、体育设施、医疗卫生设施（应符合相关规范的邻避要求）、社会福利设施等</w:t>
            </w:r>
            <w:r>
              <w:rPr>
                <w:rFonts w:hint="eastAsia" w:cs="Times New Roman"/>
                <w:color w:val="auto"/>
                <w:kern w:val="0"/>
                <w:sz w:val="24"/>
                <w:highlight w:val="none"/>
                <w:lang w:val="en-US" w:eastAsia="zh-CN"/>
              </w:rPr>
              <w:t>”</w:t>
            </w:r>
            <w:r>
              <w:rPr>
                <w:rFonts w:hint="default" w:cs="Times New Roman"/>
                <w:color w:val="auto"/>
                <w:kern w:val="0"/>
                <w:sz w:val="24"/>
                <w:highlight w:val="none"/>
                <w:lang w:val="en-US" w:eastAsia="zh-CN"/>
              </w:rPr>
              <w:t>，因此本项目中医医院建设符合房屋用途要求。项目区域周边交通便利，市政电力、通信、供水管网等均为正常运行状态，满足项目建设条件，因此本项目选址合理。</w:t>
            </w:r>
          </w:p>
          <w:p w14:paraId="376AAB0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cs="Times New Roman"/>
                <w:color w:val="auto"/>
                <w:kern w:val="0"/>
                <w:sz w:val="24"/>
                <w:highlight w:val="none"/>
                <w:lang w:val="en-US" w:eastAsia="zh-CN"/>
              </w:rPr>
            </w:pPr>
            <w:r>
              <w:rPr>
                <w:rFonts w:hint="eastAsia" w:cs="Times New Roman"/>
                <w:b/>
                <w:bCs/>
                <w:color w:val="auto"/>
                <w:kern w:val="0"/>
                <w:sz w:val="24"/>
                <w:highlight w:val="none"/>
                <w:lang w:val="en-US" w:eastAsia="zh-CN"/>
              </w:rPr>
              <w:t>6、碳排放</w:t>
            </w:r>
          </w:p>
          <w:p w14:paraId="65653AA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s="Times New Roman"/>
                <w:color w:val="auto"/>
                <w:kern w:val="0"/>
                <w:sz w:val="24"/>
                <w:highlight w:val="none"/>
                <w:lang w:val="en-US" w:eastAsia="zh-CN"/>
              </w:rPr>
            </w:pPr>
            <w:r>
              <w:rPr>
                <w:rFonts w:hint="eastAsia" w:cs="Times New Roman"/>
                <w:color w:val="auto"/>
                <w:kern w:val="0"/>
                <w:sz w:val="24"/>
                <w:highlight w:val="none"/>
                <w:lang w:val="en-US" w:eastAsia="zh-CN"/>
              </w:rPr>
              <w:t>本项目为中医医院，属于《国民经济行业分类》（GB/T4754-2017）及第1号修改单（自2019年3月29日起实施）中“Q8412 中医医院”，二氧化碳排放应按照《二氧化碳排放核算和报告要求 服务业》（DB11/T 1785-2020）的相关要求进行核算。本项目不使用化石燃料，无化石燃料消耗。项目主要使用外购电力和热力（冬季采暖），其二氧化碳排放核算如下：</w:t>
            </w:r>
          </w:p>
          <w:p w14:paraId="717FC1C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s="Times New Roman"/>
                <w:color w:val="auto"/>
                <w:kern w:val="0"/>
                <w:sz w:val="24"/>
                <w:highlight w:val="none"/>
                <w:lang w:val="en-US" w:eastAsia="zh-CN"/>
              </w:rPr>
            </w:pPr>
            <w:r>
              <w:rPr>
                <w:rFonts w:hint="default" w:cs="Times New Roman"/>
                <w:color w:val="auto"/>
                <w:kern w:val="0"/>
                <w:sz w:val="24"/>
                <w:highlight w:val="none"/>
                <w:lang w:val="en-US" w:eastAsia="zh-CN"/>
              </w:rPr>
              <w:t>（1）碳排放量</w:t>
            </w:r>
          </w:p>
          <w:p w14:paraId="12E96C2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s="Times New Roman"/>
                <w:color w:val="auto"/>
                <w:kern w:val="0"/>
                <w:sz w:val="24"/>
                <w:highlight w:val="none"/>
                <w:lang w:val="en-US" w:eastAsia="zh-CN"/>
              </w:rPr>
            </w:pPr>
            <w:r>
              <w:rPr>
                <w:rFonts w:hint="default" w:cs="Times New Roman"/>
                <w:color w:val="auto"/>
                <w:kern w:val="0"/>
                <w:sz w:val="24"/>
                <w:highlight w:val="none"/>
                <w:lang w:val="en-US" w:eastAsia="zh-CN"/>
              </w:rPr>
              <w:t>①消耗外购电力产生的排放</w:t>
            </w:r>
          </w:p>
          <w:p w14:paraId="5054656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s="Times New Roman"/>
                <w:color w:val="auto"/>
                <w:kern w:val="0"/>
                <w:sz w:val="24"/>
                <w:highlight w:val="none"/>
                <w:lang w:val="en-US" w:eastAsia="zh-CN"/>
              </w:rPr>
            </w:pPr>
            <w:r>
              <w:rPr>
                <w:rFonts w:hint="default" w:cs="Times New Roman"/>
                <w:color w:val="auto"/>
                <w:kern w:val="0"/>
                <w:sz w:val="24"/>
                <w:highlight w:val="none"/>
                <w:lang w:val="en-US" w:eastAsia="zh-CN"/>
              </w:rPr>
              <w:t>报告主体消耗外购电力产生的二氧化碳排放量E外购电按下式计算：</w:t>
            </w:r>
          </w:p>
          <w:p w14:paraId="540C059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cs="Times New Roman"/>
                <w:color w:val="auto"/>
                <w:kern w:val="0"/>
                <w:sz w:val="24"/>
                <w:highlight w:val="none"/>
                <w:lang w:val="en-US" w:eastAsia="zh-CN"/>
              </w:rPr>
            </w:pPr>
            <w:r>
              <w:rPr>
                <w:rFonts w:hint="eastAsia" w:eastAsia="楷体"/>
                <w:color w:val="auto"/>
                <w:position w:val="-14"/>
                <w:highlight w:val="none"/>
                <w:lang w:eastAsia="zh-CN"/>
              </w:rPr>
              <w:object>
                <v:shape id="_x0000_i1025" o:spt="75" type="#_x0000_t75" style="height:19pt;width:114pt;" o:ole="t" filled="f" o:preferrelative="t" stroked="f" coordsize="21600,21600">
                  <v:path/>
                  <v:fill on="f" focussize="0,0"/>
                  <v:stroke on="f"/>
                  <v:imagedata r:id="rId16" o:title=""/>
                  <o:lock v:ext="edit" aspectratio="t"/>
                  <w10:wrap type="none"/>
                  <w10:anchorlock/>
                </v:shape>
                <o:OLEObject Type="Embed" ProgID="Equation.KSEE3" ShapeID="_x0000_i1025" DrawAspect="Content" ObjectID="_1468075725" r:id="rId15">
                  <o:LockedField>false</o:LockedField>
                </o:OLEObject>
              </w:object>
            </w:r>
          </w:p>
          <w:p w14:paraId="7F427F8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s="Times New Roman"/>
                <w:color w:val="auto"/>
                <w:kern w:val="0"/>
                <w:sz w:val="24"/>
                <w:highlight w:val="none"/>
                <w:lang w:val="en-US" w:eastAsia="zh-CN"/>
              </w:rPr>
            </w:pPr>
            <w:r>
              <w:rPr>
                <w:rFonts w:hint="default" w:cs="Times New Roman"/>
                <w:color w:val="auto"/>
                <w:kern w:val="0"/>
                <w:sz w:val="24"/>
                <w:highlight w:val="none"/>
                <w:lang w:val="en-US" w:eastAsia="zh-CN"/>
              </w:rPr>
              <w:t>式中：</w:t>
            </w:r>
          </w:p>
          <w:p w14:paraId="5ECAEC2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s="Times New Roman"/>
                <w:color w:val="auto"/>
                <w:kern w:val="0"/>
                <w:sz w:val="24"/>
                <w:highlight w:val="none"/>
                <w:lang w:val="en-US" w:eastAsia="zh-CN"/>
              </w:rPr>
            </w:pPr>
            <w:r>
              <w:rPr>
                <w:rFonts w:hint="default" w:cs="Times New Roman"/>
                <w:color w:val="auto"/>
                <w:kern w:val="0"/>
                <w:sz w:val="24"/>
                <w:highlight w:val="none"/>
                <w:lang w:val="en-US" w:eastAsia="zh-CN"/>
              </w:rPr>
              <w:t>E</w:t>
            </w:r>
            <w:r>
              <w:rPr>
                <w:rFonts w:hint="default" w:cs="Times New Roman"/>
                <w:color w:val="auto"/>
                <w:kern w:val="0"/>
                <w:sz w:val="24"/>
                <w:highlight w:val="none"/>
                <w:vertAlign w:val="subscript"/>
                <w:lang w:val="en-US" w:eastAsia="zh-CN"/>
              </w:rPr>
              <w:t>外购电</w:t>
            </w:r>
            <w:r>
              <w:rPr>
                <w:rFonts w:hint="default" w:cs="Times New Roman"/>
                <w:color w:val="auto"/>
                <w:kern w:val="0"/>
                <w:sz w:val="24"/>
                <w:highlight w:val="none"/>
                <w:lang w:val="en-US" w:eastAsia="zh-CN"/>
              </w:rPr>
              <w:t>—消耗外购电力产生的二氧化碳排放量，单位为（tCO</w:t>
            </w:r>
            <w:r>
              <w:rPr>
                <w:rFonts w:hint="default" w:cs="Times New Roman"/>
                <w:color w:val="auto"/>
                <w:kern w:val="0"/>
                <w:sz w:val="24"/>
                <w:highlight w:val="none"/>
                <w:vertAlign w:val="subscript"/>
                <w:lang w:val="en-US" w:eastAsia="zh-CN"/>
              </w:rPr>
              <w:t>2</w:t>
            </w:r>
            <w:r>
              <w:rPr>
                <w:rFonts w:hint="default" w:cs="Times New Roman"/>
                <w:color w:val="auto"/>
                <w:kern w:val="0"/>
                <w:sz w:val="24"/>
                <w:highlight w:val="none"/>
                <w:lang w:val="en-US" w:eastAsia="zh-CN"/>
              </w:rPr>
              <w:t>/a）；</w:t>
            </w:r>
          </w:p>
          <w:p w14:paraId="0A6D334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s="Times New Roman"/>
                <w:color w:val="auto"/>
                <w:kern w:val="0"/>
                <w:sz w:val="24"/>
                <w:highlight w:val="none"/>
                <w:lang w:val="en-US" w:eastAsia="zh-CN"/>
              </w:rPr>
            </w:pPr>
            <w:r>
              <w:rPr>
                <w:rFonts w:hint="default" w:cs="Times New Roman"/>
                <w:color w:val="auto"/>
                <w:kern w:val="0"/>
                <w:sz w:val="24"/>
                <w:highlight w:val="none"/>
                <w:lang w:val="en-US" w:eastAsia="zh-CN"/>
              </w:rPr>
              <w:t>AD</w:t>
            </w:r>
            <w:r>
              <w:rPr>
                <w:rFonts w:hint="default" w:cs="Times New Roman"/>
                <w:color w:val="auto"/>
                <w:kern w:val="0"/>
                <w:sz w:val="24"/>
                <w:highlight w:val="none"/>
                <w:vertAlign w:val="subscript"/>
                <w:lang w:val="en-US" w:eastAsia="zh-CN"/>
              </w:rPr>
              <w:t>外购电</w:t>
            </w:r>
            <w:r>
              <w:rPr>
                <w:rFonts w:hint="default" w:cs="Times New Roman"/>
                <w:color w:val="auto"/>
                <w:kern w:val="0"/>
                <w:sz w:val="24"/>
                <w:highlight w:val="none"/>
                <w:lang w:val="en-US" w:eastAsia="zh-CN"/>
              </w:rPr>
              <w:t>—报告主体核算和报告年度内消耗外购电力电量，单位为兆瓦时（MWh）；</w:t>
            </w:r>
          </w:p>
          <w:p w14:paraId="1B174E5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s="Times New Roman"/>
                <w:color w:val="auto"/>
                <w:kern w:val="0"/>
                <w:sz w:val="24"/>
                <w:highlight w:val="none"/>
                <w:lang w:val="en-US" w:eastAsia="zh-CN"/>
              </w:rPr>
            </w:pPr>
            <w:r>
              <w:rPr>
                <w:rFonts w:hint="default" w:cs="Times New Roman"/>
                <w:color w:val="auto"/>
                <w:kern w:val="0"/>
                <w:sz w:val="24"/>
                <w:highlight w:val="none"/>
                <w:lang w:val="en-US" w:eastAsia="zh-CN"/>
              </w:rPr>
              <w:t>EF</w:t>
            </w:r>
            <w:r>
              <w:rPr>
                <w:rFonts w:hint="default" w:cs="Times New Roman"/>
                <w:color w:val="auto"/>
                <w:kern w:val="0"/>
                <w:sz w:val="24"/>
                <w:highlight w:val="none"/>
                <w:vertAlign w:val="subscript"/>
                <w:lang w:val="en-US" w:eastAsia="zh-CN"/>
              </w:rPr>
              <w:t>电</w:t>
            </w:r>
            <w:r>
              <w:rPr>
                <w:rFonts w:hint="default" w:cs="Times New Roman"/>
                <w:color w:val="auto"/>
                <w:kern w:val="0"/>
                <w:sz w:val="24"/>
                <w:highlight w:val="none"/>
                <w:lang w:val="en-US" w:eastAsia="zh-CN"/>
              </w:rPr>
              <w:t>—电网年平均供电排放因子，单位为吨二氧化碳每兆瓦时（tCO</w:t>
            </w:r>
            <w:r>
              <w:rPr>
                <w:rFonts w:hint="default" w:cs="Times New Roman"/>
                <w:color w:val="auto"/>
                <w:kern w:val="0"/>
                <w:sz w:val="24"/>
                <w:highlight w:val="none"/>
                <w:vertAlign w:val="subscript"/>
                <w:lang w:val="en-US" w:eastAsia="zh-CN"/>
              </w:rPr>
              <w:t>2</w:t>
            </w:r>
            <w:r>
              <w:rPr>
                <w:rFonts w:hint="default" w:cs="Times New Roman"/>
                <w:color w:val="auto"/>
                <w:kern w:val="0"/>
                <w:sz w:val="24"/>
                <w:highlight w:val="none"/>
                <w:lang w:val="en-US" w:eastAsia="zh-CN"/>
              </w:rPr>
              <w:t>/MWh）。</w:t>
            </w:r>
          </w:p>
          <w:p w14:paraId="50B3F9C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s="Times New Roman"/>
                <w:color w:val="auto"/>
                <w:kern w:val="0"/>
                <w:sz w:val="24"/>
                <w:highlight w:val="none"/>
                <w:lang w:val="en-US" w:eastAsia="zh-CN"/>
              </w:rPr>
            </w:pPr>
            <w:r>
              <w:rPr>
                <w:rFonts w:hint="default" w:cs="Times New Roman"/>
                <w:color w:val="auto"/>
                <w:kern w:val="0"/>
                <w:sz w:val="24"/>
                <w:highlight w:val="none"/>
                <w:lang w:val="en-US" w:eastAsia="zh-CN"/>
              </w:rPr>
              <w:t>本项目年耗电量为</w:t>
            </w:r>
            <w:r>
              <w:rPr>
                <w:rFonts w:hint="eastAsia" w:cs="Times New Roman"/>
                <w:color w:val="auto"/>
                <w:kern w:val="0"/>
                <w:sz w:val="24"/>
                <w:highlight w:val="none"/>
                <w:lang w:val="en-US" w:eastAsia="zh-CN"/>
              </w:rPr>
              <w:t>3</w:t>
            </w:r>
            <w:r>
              <w:rPr>
                <w:rFonts w:hint="default" w:cs="Times New Roman"/>
                <w:color w:val="auto"/>
                <w:kern w:val="0"/>
                <w:sz w:val="24"/>
                <w:highlight w:val="none"/>
                <w:lang w:val="en-US" w:eastAsia="zh-CN"/>
              </w:rPr>
              <w:t>万度，即</w:t>
            </w:r>
            <w:r>
              <w:rPr>
                <w:rFonts w:hint="eastAsia" w:cs="Times New Roman"/>
                <w:color w:val="auto"/>
                <w:kern w:val="0"/>
                <w:sz w:val="24"/>
                <w:highlight w:val="none"/>
                <w:lang w:val="en-US" w:eastAsia="zh-CN"/>
              </w:rPr>
              <w:t>30</w:t>
            </w:r>
            <w:r>
              <w:rPr>
                <w:rFonts w:hint="default" w:cs="Times New Roman"/>
                <w:color w:val="auto"/>
                <w:kern w:val="0"/>
                <w:sz w:val="24"/>
                <w:highlight w:val="none"/>
                <w:lang w:val="en-US" w:eastAsia="zh-CN"/>
              </w:rPr>
              <w:t>兆瓦时。根据《二氧化碳排放核算和报告要求 服务业》（DB11/T 1785-2020）中附录A中表A.2推荐的供电排放因子数据，EF电取值为0.604。通过计算可知，项目外购电力产生的二氧化碳排放量为</w:t>
            </w:r>
            <w:r>
              <w:rPr>
                <w:rFonts w:hint="eastAsia" w:cs="Times New Roman"/>
                <w:color w:val="auto"/>
                <w:kern w:val="0"/>
                <w:sz w:val="24"/>
                <w:highlight w:val="none"/>
                <w:lang w:val="en-US" w:eastAsia="zh-CN"/>
              </w:rPr>
              <w:t>18.12</w:t>
            </w:r>
            <w:r>
              <w:rPr>
                <w:rFonts w:hint="default" w:cs="Times New Roman"/>
                <w:color w:val="auto"/>
                <w:kern w:val="0"/>
                <w:sz w:val="24"/>
                <w:highlight w:val="none"/>
                <w:lang w:val="en-US" w:eastAsia="zh-CN"/>
              </w:rPr>
              <w:t>tCO</w:t>
            </w:r>
            <w:r>
              <w:rPr>
                <w:rFonts w:hint="default" w:cs="Times New Roman"/>
                <w:color w:val="auto"/>
                <w:kern w:val="0"/>
                <w:sz w:val="24"/>
                <w:highlight w:val="none"/>
                <w:vertAlign w:val="subscript"/>
                <w:lang w:val="en-US" w:eastAsia="zh-CN"/>
              </w:rPr>
              <w:t>2</w:t>
            </w:r>
            <w:r>
              <w:rPr>
                <w:rFonts w:hint="default" w:cs="Times New Roman"/>
                <w:color w:val="auto"/>
                <w:kern w:val="0"/>
                <w:sz w:val="24"/>
                <w:highlight w:val="none"/>
                <w:lang w:val="en-US" w:eastAsia="zh-CN"/>
              </w:rPr>
              <w:t>/a。</w:t>
            </w:r>
          </w:p>
          <w:p w14:paraId="47F57B5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s="Times New Roman"/>
                <w:color w:val="auto"/>
                <w:kern w:val="0"/>
                <w:sz w:val="24"/>
                <w:highlight w:val="none"/>
                <w:lang w:val="en-US" w:eastAsia="zh-CN"/>
              </w:rPr>
            </w:pPr>
            <w:r>
              <w:rPr>
                <w:rFonts w:hint="default" w:cs="Times New Roman"/>
                <w:color w:val="auto"/>
                <w:kern w:val="0"/>
                <w:sz w:val="24"/>
                <w:highlight w:val="none"/>
                <w:lang w:val="en-US" w:eastAsia="zh-CN"/>
              </w:rPr>
              <w:t>②消耗外购热力产生的排放</w:t>
            </w:r>
          </w:p>
          <w:p w14:paraId="67083FF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s="Times New Roman"/>
                <w:color w:val="auto"/>
                <w:kern w:val="0"/>
                <w:sz w:val="24"/>
                <w:highlight w:val="none"/>
                <w:lang w:val="en-US" w:eastAsia="zh-CN"/>
              </w:rPr>
            </w:pPr>
            <w:r>
              <w:rPr>
                <w:rFonts w:hint="default" w:cs="Times New Roman"/>
                <w:color w:val="auto"/>
                <w:kern w:val="0"/>
                <w:sz w:val="24"/>
                <w:highlight w:val="none"/>
                <w:lang w:val="en-US" w:eastAsia="zh-CN"/>
              </w:rPr>
              <w:t>报告主体消耗外购热力产生的二氧化碳排放量E外购电按下式计算：</w:t>
            </w:r>
          </w:p>
          <w:p w14:paraId="519354C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cs="Times New Roman"/>
                <w:color w:val="auto"/>
                <w:kern w:val="0"/>
                <w:sz w:val="24"/>
                <w:highlight w:val="none"/>
                <w:lang w:val="en-US" w:eastAsia="zh-CN"/>
              </w:rPr>
            </w:pPr>
            <w:r>
              <w:rPr>
                <w:rFonts w:hint="eastAsia" w:eastAsia="楷体"/>
                <w:color w:val="auto"/>
                <w:position w:val="-14"/>
                <w:highlight w:val="none"/>
                <w:lang w:eastAsia="zh-CN"/>
              </w:rPr>
              <w:object>
                <v:shape id="_x0000_i1026" o:spt="75" type="#_x0000_t75" style="height:19pt;width:163pt;" o:ole="t" filled="f" o:preferrelative="t" stroked="f" coordsize="21600,21600">
                  <v:path/>
                  <v:fill on="f" focussize="0,0"/>
                  <v:stroke on="f"/>
                  <v:imagedata r:id="rId18" o:title=""/>
                  <o:lock v:ext="edit" aspectratio="t"/>
                  <w10:wrap type="none"/>
                  <w10:anchorlock/>
                </v:shape>
                <o:OLEObject Type="Embed" ProgID="Equation.KSEE3" ShapeID="_x0000_i1026" DrawAspect="Content" ObjectID="_1468075726" r:id="rId17">
                  <o:LockedField>false</o:LockedField>
                </o:OLEObject>
              </w:object>
            </w:r>
          </w:p>
          <w:p w14:paraId="313D943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s="Times New Roman"/>
                <w:color w:val="auto"/>
                <w:kern w:val="0"/>
                <w:sz w:val="24"/>
                <w:highlight w:val="none"/>
                <w:lang w:val="en-US" w:eastAsia="zh-CN"/>
              </w:rPr>
            </w:pPr>
            <w:r>
              <w:rPr>
                <w:rFonts w:hint="default" w:cs="Times New Roman"/>
                <w:color w:val="auto"/>
                <w:kern w:val="0"/>
                <w:sz w:val="24"/>
                <w:highlight w:val="none"/>
                <w:lang w:val="en-US" w:eastAsia="zh-CN"/>
              </w:rPr>
              <w:t>式中：</w:t>
            </w:r>
          </w:p>
          <w:p w14:paraId="34A9D2D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s="Times New Roman"/>
                <w:color w:val="auto"/>
                <w:kern w:val="0"/>
                <w:sz w:val="24"/>
                <w:highlight w:val="none"/>
                <w:lang w:val="en-US" w:eastAsia="zh-CN"/>
              </w:rPr>
            </w:pPr>
            <w:r>
              <w:rPr>
                <w:rFonts w:hint="default" w:cs="Times New Roman"/>
                <w:color w:val="auto"/>
                <w:kern w:val="0"/>
                <w:sz w:val="24"/>
                <w:highlight w:val="none"/>
                <w:lang w:val="en-US" w:eastAsia="zh-CN"/>
              </w:rPr>
              <w:t>E</w:t>
            </w:r>
            <w:r>
              <w:rPr>
                <w:rFonts w:hint="default" w:cs="Times New Roman"/>
                <w:color w:val="auto"/>
                <w:kern w:val="0"/>
                <w:sz w:val="24"/>
                <w:highlight w:val="none"/>
                <w:vertAlign w:val="subscript"/>
                <w:lang w:val="en-US" w:eastAsia="zh-CN"/>
              </w:rPr>
              <w:t>外购热（热水）</w:t>
            </w:r>
            <w:r>
              <w:rPr>
                <w:rFonts w:hint="default" w:cs="Times New Roman"/>
                <w:color w:val="auto"/>
                <w:kern w:val="0"/>
                <w:sz w:val="24"/>
                <w:highlight w:val="none"/>
                <w:lang w:val="en-US" w:eastAsia="zh-CN"/>
              </w:rPr>
              <w:t>—消耗外购热力产生的二氧化碳排放量，单位为（tCO</w:t>
            </w:r>
            <w:r>
              <w:rPr>
                <w:rFonts w:hint="default" w:cs="Times New Roman"/>
                <w:color w:val="auto"/>
                <w:kern w:val="0"/>
                <w:sz w:val="24"/>
                <w:highlight w:val="none"/>
                <w:vertAlign w:val="subscript"/>
                <w:lang w:val="en-US" w:eastAsia="zh-CN"/>
              </w:rPr>
              <w:t>2</w:t>
            </w:r>
            <w:r>
              <w:rPr>
                <w:rFonts w:hint="default" w:cs="Times New Roman"/>
                <w:color w:val="auto"/>
                <w:kern w:val="0"/>
                <w:sz w:val="24"/>
                <w:highlight w:val="none"/>
                <w:lang w:val="en-US" w:eastAsia="zh-CN"/>
              </w:rPr>
              <w:t>/a）；</w:t>
            </w:r>
          </w:p>
          <w:p w14:paraId="17B442C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s="Times New Roman"/>
                <w:color w:val="auto"/>
                <w:kern w:val="0"/>
                <w:sz w:val="24"/>
                <w:highlight w:val="none"/>
                <w:lang w:val="en-US" w:eastAsia="zh-CN"/>
              </w:rPr>
            </w:pPr>
            <w:r>
              <w:rPr>
                <w:rFonts w:hint="default" w:cs="Times New Roman"/>
                <w:color w:val="auto"/>
                <w:kern w:val="0"/>
                <w:sz w:val="24"/>
                <w:highlight w:val="none"/>
                <w:lang w:val="en-US" w:eastAsia="zh-CN"/>
              </w:rPr>
              <w:t>AD</w:t>
            </w:r>
            <w:r>
              <w:rPr>
                <w:rFonts w:hint="default" w:cs="Times New Roman"/>
                <w:color w:val="auto"/>
                <w:kern w:val="0"/>
                <w:sz w:val="24"/>
                <w:highlight w:val="none"/>
                <w:vertAlign w:val="subscript"/>
                <w:lang w:val="en-US" w:eastAsia="zh-CN"/>
              </w:rPr>
              <w:t>外购热（热水）</w:t>
            </w:r>
            <w:r>
              <w:rPr>
                <w:rFonts w:hint="default" w:cs="Times New Roman"/>
                <w:color w:val="auto"/>
                <w:kern w:val="0"/>
                <w:sz w:val="24"/>
                <w:highlight w:val="none"/>
                <w:lang w:val="en-US" w:eastAsia="zh-CN"/>
              </w:rPr>
              <w:t>—报告主体核算和报告年度内消耗外购热力热量，单位为吉焦（GJ）；</w:t>
            </w:r>
          </w:p>
          <w:p w14:paraId="0784B24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s="Times New Roman"/>
                <w:color w:val="auto"/>
                <w:kern w:val="0"/>
                <w:sz w:val="24"/>
                <w:highlight w:val="none"/>
                <w:lang w:val="en-US" w:eastAsia="zh-CN"/>
              </w:rPr>
            </w:pPr>
            <w:r>
              <w:rPr>
                <w:rFonts w:hint="default" w:cs="Times New Roman"/>
                <w:color w:val="auto"/>
                <w:kern w:val="0"/>
                <w:sz w:val="24"/>
                <w:highlight w:val="none"/>
                <w:lang w:val="en-US" w:eastAsia="zh-CN"/>
              </w:rPr>
              <w:t>EF</w:t>
            </w:r>
            <w:r>
              <w:rPr>
                <w:rFonts w:hint="default" w:cs="Times New Roman"/>
                <w:color w:val="auto"/>
                <w:kern w:val="0"/>
                <w:sz w:val="24"/>
                <w:highlight w:val="none"/>
                <w:vertAlign w:val="subscript"/>
                <w:lang w:val="en-US" w:eastAsia="zh-CN"/>
              </w:rPr>
              <w:t>热</w:t>
            </w:r>
            <w:r>
              <w:rPr>
                <w:rFonts w:hint="default" w:cs="Times New Roman"/>
                <w:color w:val="auto"/>
                <w:kern w:val="0"/>
                <w:sz w:val="24"/>
                <w:highlight w:val="none"/>
                <w:lang w:val="en-US" w:eastAsia="zh-CN"/>
              </w:rPr>
              <w:t>—热力供应排放因子，单位为吨二氧化碳每吉焦（tCO</w:t>
            </w:r>
            <w:r>
              <w:rPr>
                <w:rFonts w:hint="default" w:cs="Times New Roman"/>
                <w:color w:val="auto"/>
                <w:kern w:val="0"/>
                <w:sz w:val="24"/>
                <w:highlight w:val="none"/>
                <w:vertAlign w:val="subscript"/>
                <w:lang w:val="en-US" w:eastAsia="zh-CN"/>
              </w:rPr>
              <w:t>2</w:t>
            </w:r>
            <w:r>
              <w:rPr>
                <w:rFonts w:hint="default" w:cs="Times New Roman"/>
                <w:color w:val="auto"/>
                <w:kern w:val="0"/>
                <w:sz w:val="24"/>
                <w:highlight w:val="none"/>
                <w:lang w:val="en-US" w:eastAsia="zh-CN"/>
              </w:rPr>
              <w:t>/GJ）。</w:t>
            </w:r>
          </w:p>
          <w:p w14:paraId="5C20FBE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s="Times New Roman"/>
                <w:color w:val="auto"/>
                <w:kern w:val="0"/>
                <w:sz w:val="24"/>
                <w:highlight w:val="none"/>
                <w:lang w:val="en-US" w:eastAsia="zh-CN"/>
              </w:rPr>
            </w:pPr>
            <w:r>
              <w:rPr>
                <w:rFonts w:hint="default" w:cs="Times New Roman"/>
                <w:color w:val="auto"/>
                <w:kern w:val="0"/>
                <w:sz w:val="24"/>
                <w:highlight w:val="none"/>
                <w:lang w:val="en-US" w:eastAsia="zh-CN"/>
              </w:rPr>
              <w:t>其中AD</w:t>
            </w:r>
            <w:r>
              <w:rPr>
                <w:rFonts w:hint="default" w:cs="Times New Roman"/>
                <w:color w:val="auto"/>
                <w:kern w:val="0"/>
                <w:sz w:val="24"/>
                <w:highlight w:val="none"/>
                <w:vertAlign w:val="subscript"/>
                <w:lang w:val="en-US" w:eastAsia="zh-CN"/>
              </w:rPr>
              <w:t>外购热（热水）</w:t>
            </w:r>
            <w:r>
              <w:rPr>
                <w:rFonts w:hint="default" w:cs="Times New Roman"/>
                <w:color w:val="auto"/>
                <w:kern w:val="0"/>
                <w:sz w:val="24"/>
                <w:highlight w:val="none"/>
                <w:lang w:val="en-US" w:eastAsia="zh-CN"/>
              </w:rPr>
              <w:t>取值按照供暖季1个吉焦可供热1.5~3m</w:t>
            </w:r>
            <w:r>
              <w:rPr>
                <w:rFonts w:hint="default" w:cs="Times New Roman"/>
                <w:color w:val="auto"/>
                <w:kern w:val="0"/>
                <w:sz w:val="24"/>
                <w:highlight w:val="none"/>
                <w:vertAlign w:val="superscript"/>
                <w:lang w:val="en-US" w:eastAsia="zh-CN"/>
              </w:rPr>
              <w:t>2</w:t>
            </w:r>
            <w:r>
              <w:rPr>
                <w:rFonts w:hint="default" w:cs="Times New Roman"/>
                <w:color w:val="auto"/>
                <w:kern w:val="0"/>
                <w:sz w:val="24"/>
                <w:highlight w:val="none"/>
                <w:lang w:val="en-US" w:eastAsia="zh-CN"/>
              </w:rPr>
              <w:t>面积，取2m</w:t>
            </w:r>
            <w:r>
              <w:rPr>
                <w:rFonts w:hint="default" w:cs="Times New Roman"/>
                <w:color w:val="auto"/>
                <w:kern w:val="0"/>
                <w:sz w:val="24"/>
                <w:highlight w:val="none"/>
                <w:vertAlign w:val="superscript"/>
                <w:lang w:val="en-US" w:eastAsia="zh-CN"/>
              </w:rPr>
              <w:t>2</w:t>
            </w:r>
            <w:r>
              <w:rPr>
                <w:rFonts w:hint="default" w:cs="Times New Roman"/>
                <w:color w:val="auto"/>
                <w:kern w:val="0"/>
                <w:sz w:val="24"/>
                <w:highlight w:val="none"/>
                <w:lang w:val="en-US" w:eastAsia="zh-CN"/>
              </w:rPr>
              <w:t>数值。项目建筑面积</w:t>
            </w:r>
            <w:r>
              <w:rPr>
                <w:rFonts w:hint="eastAsia" w:cs="Times New Roman"/>
                <w:color w:val="auto"/>
                <w:kern w:val="0"/>
                <w:sz w:val="24"/>
                <w:highlight w:val="none"/>
                <w:lang w:val="en-US" w:eastAsia="zh-CN"/>
              </w:rPr>
              <w:t>722.58</w:t>
            </w:r>
            <w:r>
              <w:rPr>
                <w:rFonts w:hint="default" w:cs="Times New Roman"/>
                <w:color w:val="auto"/>
                <w:kern w:val="0"/>
                <w:sz w:val="24"/>
                <w:highlight w:val="none"/>
                <w:lang w:val="en-US" w:eastAsia="zh-CN"/>
              </w:rPr>
              <w:t>m</w:t>
            </w:r>
            <w:r>
              <w:rPr>
                <w:rFonts w:hint="default" w:cs="Times New Roman"/>
                <w:color w:val="auto"/>
                <w:kern w:val="0"/>
                <w:sz w:val="24"/>
                <w:highlight w:val="none"/>
                <w:vertAlign w:val="superscript"/>
                <w:lang w:val="en-US" w:eastAsia="zh-CN"/>
              </w:rPr>
              <w:t>2</w:t>
            </w:r>
            <w:r>
              <w:rPr>
                <w:rFonts w:hint="default" w:cs="Times New Roman"/>
                <w:color w:val="auto"/>
                <w:kern w:val="0"/>
                <w:sz w:val="24"/>
                <w:highlight w:val="none"/>
                <w:lang w:val="en-US" w:eastAsia="zh-CN"/>
              </w:rPr>
              <w:t>，计算后为每年消耗热量</w:t>
            </w:r>
            <w:r>
              <w:rPr>
                <w:rFonts w:hint="eastAsia" w:cs="Times New Roman"/>
                <w:color w:val="auto"/>
                <w:kern w:val="0"/>
                <w:sz w:val="24"/>
                <w:highlight w:val="none"/>
                <w:lang w:val="en-US" w:eastAsia="zh-CN"/>
              </w:rPr>
              <w:t>361.29</w:t>
            </w:r>
            <w:r>
              <w:rPr>
                <w:rFonts w:hint="default" w:cs="Times New Roman"/>
                <w:color w:val="auto"/>
                <w:kern w:val="0"/>
                <w:sz w:val="24"/>
                <w:highlight w:val="none"/>
                <w:lang w:val="en-US" w:eastAsia="zh-CN"/>
              </w:rPr>
              <w:t>GJ。根据《二氧化碳排放核算和报告要求 服务业》（DB11/T 1785-2020）中附录A中表A.2推荐的热力供应排放因子数据，EF</w:t>
            </w:r>
            <w:r>
              <w:rPr>
                <w:rFonts w:hint="default" w:cs="Times New Roman"/>
                <w:color w:val="auto"/>
                <w:kern w:val="0"/>
                <w:sz w:val="24"/>
                <w:highlight w:val="none"/>
                <w:vertAlign w:val="subscript"/>
                <w:lang w:val="en-US" w:eastAsia="zh-CN"/>
              </w:rPr>
              <w:t>热</w:t>
            </w:r>
            <w:r>
              <w:rPr>
                <w:rFonts w:hint="default" w:cs="Times New Roman"/>
                <w:color w:val="auto"/>
                <w:kern w:val="0"/>
                <w:sz w:val="24"/>
                <w:highlight w:val="none"/>
                <w:lang w:val="en-US" w:eastAsia="zh-CN"/>
              </w:rPr>
              <w:t>取值为0.11。通过计算可知，项目外购热力产生的二氧化碳排放量为</w:t>
            </w:r>
            <w:r>
              <w:rPr>
                <w:rFonts w:hint="eastAsia" w:cs="Times New Roman"/>
                <w:color w:val="auto"/>
                <w:kern w:val="0"/>
                <w:sz w:val="24"/>
                <w:highlight w:val="none"/>
                <w:lang w:val="en-US" w:eastAsia="zh-CN"/>
              </w:rPr>
              <w:t>39.74</w:t>
            </w:r>
            <w:r>
              <w:rPr>
                <w:rFonts w:hint="default" w:cs="Times New Roman"/>
                <w:color w:val="auto"/>
                <w:kern w:val="0"/>
                <w:sz w:val="24"/>
                <w:highlight w:val="none"/>
                <w:lang w:val="en-US" w:eastAsia="zh-CN"/>
              </w:rPr>
              <w:t>tCO</w:t>
            </w:r>
            <w:r>
              <w:rPr>
                <w:rFonts w:hint="default" w:cs="Times New Roman"/>
                <w:color w:val="auto"/>
                <w:kern w:val="0"/>
                <w:sz w:val="24"/>
                <w:highlight w:val="none"/>
                <w:vertAlign w:val="subscript"/>
                <w:lang w:val="en-US" w:eastAsia="zh-CN"/>
              </w:rPr>
              <w:t>2</w:t>
            </w:r>
            <w:r>
              <w:rPr>
                <w:rFonts w:hint="default" w:cs="Times New Roman"/>
                <w:color w:val="auto"/>
                <w:kern w:val="0"/>
                <w:sz w:val="24"/>
                <w:highlight w:val="none"/>
                <w:lang w:val="en-US" w:eastAsia="zh-CN"/>
              </w:rPr>
              <w:t>/a。</w:t>
            </w:r>
          </w:p>
          <w:p w14:paraId="572EC8C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s="Times New Roman"/>
                <w:color w:val="auto"/>
                <w:kern w:val="0"/>
                <w:sz w:val="24"/>
                <w:highlight w:val="none"/>
                <w:lang w:val="en-US" w:eastAsia="zh-CN"/>
              </w:rPr>
            </w:pPr>
            <w:r>
              <w:rPr>
                <w:rFonts w:hint="default" w:cs="Times New Roman"/>
                <w:color w:val="auto"/>
                <w:kern w:val="0"/>
                <w:sz w:val="24"/>
                <w:highlight w:val="none"/>
                <w:lang w:val="en-US" w:eastAsia="zh-CN"/>
              </w:rPr>
              <w:t>③二氧化碳排放</w:t>
            </w:r>
          </w:p>
          <w:p w14:paraId="207F626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s="Times New Roman"/>
                <w:color w:val="auto"/>
                <w:kern w:val="0"/>
                <w:sz w:val="24"/>
                <w:highlight w:val="none"/>
                <w:lang w:val="en-US" w:eastAsia="zh-CN"/>
              </w:rPr>
            </w:pPr>
            <w:r>
              <w:rPr>
                <w:rFonts w:hint="default" w:cs="Times New Roman"/>
                <w:color w:val="auto"/>
                <w:kern w:val="0"/>
                <w:sz w:val="24"/>
                <w:highlight w:val="none"/>
                <w:lang w:val="en-US" w:eastAsia="zh-CN"/>
              </w:rPr>
              <w:t>综上，本项目外购电力和热力产生的二氧化碳排放总量为：</w:t>
            </w:r>
            <w:r>
              <w:rPr>
                <w:rFonts w:hint="eastAsia" w:cs="Times New Roman"/>
                <w:color w:val="auto"/>
                <w:kern w:val="0"/>
                <w:sz w:val="24"/>
                <w:highlight w:val="none"/>
                <w:lang w:val="en-US" w:eastAsia="zh-CN"/>
              </w:rPr>
              <w:t>18.12</w:t>
            </w:r>
            <w:r>
              <w:rPr>
                <w:rFonts w:hint="default" w:cs="Times New Roman"/>
                <w:color w:val="auto"/>
                <w:kern w:val="0"/>
                <w:sz w:val="24"/>
                <w:highlight w:val="none"/>
                <w:lang w:val="en-US" w:eastAsia="zh-CN"/>
              </w:rPr>
              <w:t>tCO</w:t>
            </w:r>
            <w:r>
              <w:rPr>
                <w:rFonts w:hint="default" w:cs="Times New Roman"/>
                <w:color w:val="auto"/>
                <w:kern w:val="0"/>
                <w:sz w:val="24"/>
                <w:highlight w:val="none"/>
                <w:vertAlign w:val="subscript"/>
                <w:lang w:val="en-US" w:eastAsia="zh-CN"/>
              </w:rPr>
              <w:t>2</w:t>
            </w:r>
            <w:r>
              <w:rPr>
                <w:rFonts w:hint="default" w:cs="Times New Roman"/>
                <w:color w:val="auto"/>
                <w:kern w:val="0"/>
                <w:sz w:val="24"/>
                <w:highlight w:val="none"/>
                <w:lang w:val="en-US" w:eastAsia="zh-CN"/>
              </w:rPr>
              <w:t>/a+</w:t>
            </w:r>
            <w:r>
              <w:rPr>
                <w:rFonts w:hint="eastAsia" w:cs="Times New Roman"/>
                <w:color w:val="auto"/>
                <w:kern w:val="0"/>
                <w:sz w:val="24"/>
                <w:highlight w:val="none"/>
                <w:lang w:val="en-US" w:eastAsia="zh-CN"/>
              </w:rPr>
              <w:t>39.74</w:t>
            </w:r>
            <w:r>
              <w:rPr>
                <w:rFonts w:hint="default" w:cs="Times New Roman"/>
                <w:color w:val="auto"/>
                <w:kern w:val="0"/>
                <w:sz w:val="24"/>
                <w:highlight w:val="none"/>
                <w:lang w:val="en-US" w:eastAsia="zh-CN"/>
              </w:rPr>
              <w:t>tCO</w:t>
            </w:r>
            <w:r>
              <w:rPr>
                <w:rFonts w:hint="default" w:cs="Times New Roman"/>
                <w:color w:val="auto"/>
                <w:kern w:val="0"/>
                <w:sz w:val="24"/>
                <w:highlight w:val="none"/>
                <w:vertAlign w:val="subscript"/>
                <w:lang w:val="en-US" w:eastAsia="zh-CN"/>
              </w:rPr>
              <w:t>2</w:t>
            </w:r>
            <w:r>
              <w:rPr>
                <w:rFonts w:hint="default" w:cs="Times New Roman"/>
                <w:color w:val="auto"/>
                <w:kern w:val="0"/>
                <w:sz w:val="24"/>
                <w:highlight w:val="none"/>
                <w:lang w:val="en-US" w:eastAsia="zh-CN"/>
              </w:rPr>
              <w:t>/a=</w:t>
            </w:r>
            <w:r>
              <w:rPr>
                <w:rFonts w:hint="eastAsia" w:cs="Times New Roman"/>
                <w:color w:val="auto"/>
                <w:kern w:val="0"/>
                <w:sz w:val="24"/>
                <w:highlight w:val="none"/>
                <w:lang w:val="en-US" w:eastAsia="zh-CN"/>
              </w:rPr>
              <w:t>57.86</w:t>
            </w:r>
            <w:r>
              <w:rPr>
                <w:rFonts w:hint="default" w:cs="Times New Roman"/>
                <w:color w:val="auto"/>
                <w:kern w:val="0"/>
                <w:sz w:val="24"/>
                <w:highlight w:val="none"/>
                <w:lang w:val="en-US" w:eastAsia="zh-CN"/>
              </w:rPr>
              <w:t>tCO</w:t>
            </w:r>
            <w:r>
              <w:rPr>
                <w:rFonts w:hint="default" w:cs="Times New Roman"/>
                <w:color w:val="auto"/>
                <w:kern w:val="0"/>
                <w:sz w:val="24"/>
                <w:highlight w:val="none"/>
                <w:vertAlign w:val="subscript"/>
                <w:lang w:val="en-US" w:eastAsia="zh-CN"/>
              </w:rPr>
              <w:t>2</w:t>
            </w:r>
            <w:r>
              <w:rPr>
                <w:rFonts w:hint="default" w:cs="Times New Roman"/>
                <w:color w:val="auto"/>
                <w:kern w:val="0"/>
                <w:sz w:val="24"/>
                <w:highlight w:val="none"/>
                <w:lang w:val="en-US" w:eastAsia="zh-CN"/>
              </w:rPr>
              <w:t>/a</w:t>
            </w:r>
          </w:p>
          <w:p w14:paraId="533B53E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s="Times New Roman"/>
                <w:color w:val="auto"/>
                <w:kern w:val="0"/>
                <w:sz w:val="24"/>
                <w:highlight w:val="none"/>
                <w:lang w:val="en-US" w:eastAsia="zh-CN"/>
              </w:rPr>
            </w:pPr>
            <w:r>
              <w:rPr>
                <w:rFonts w:hint="eastAsia" w:cs="Times New Roman"/>
                <w:color w:val="auto"/>
                <w:kern w:val="0"/>
                <w:sz w:val="24"/>
                <w:highlight w:val="none"/>
                <w:lang w:val="en-US" w:eastAsia="zh-CN"/>
              </w:rPr>
              <w:t>本项目综合业务量为日接诊量（60+20）人×365天=29200人，则本项目碳排放强度为1.98kg</w:t>
            </w:r>
            <w:r>
              <w:rPr>
                <w:rFonts w:hint="default" w:cs="Times New Roman"/>
                <w:color w:val="auto"/>
                <w:kern w:val="0"/>
                <w:sz w:val="24"/>
                <w:highlight w:val="none"/>
                <w:lang w:val="en-US" w:eastAsia="zh-CN"/>
              </w:rPr>
              <w:t>CO</w:t>
            </w:r>
            <w:r>
              <w:rPr>
                <w:rFonts w:hint="default" w:cs="Times New Roman"/>
                <w:color w:val="auto"/>
                <w:kern w:val="0"/>
                <w:sz w:val="24"/>
                <w:highlight w:val="none"/>
                <w:vertAlign w:val="subscript"/>
                <w:lang w:val="en-US" w:eastAsia="zh-CN"/>
              </w:rPr>
              <w:t>2</w:t>
            </w:r>
            <w:r>
              <w:rPr>
                <w:rFonts w:hint="default" w:cs="Times New Roman"/>
                <w:color w:val="auto"/>
                <w:kern w:val="0"/>
                <w:sz w:val="24"/>
                <w:highlight w:val="none"/>
                <w:lang w:val="en-US" w:eastAsia="zh-CN"/>
              </w:rPr>
              <w:t>/</w:t>
            </w:r>
            <w:r>
              <w:rPr>
                <w:rFonts w:hint="eastAsia" w:cs="Times New Roman"/>
                <w:color w:val="auto"/>
                <w:kern w:val="0"/>
                <w:sz w:val="24"/>
                <w:highlight w:val="none"/>
                <w:lang w:val="en-US" w:eastAsia="zh-CN"/>
              </w:rPr>
              <w:t>综合业务量，参考《北京市</w:t>
            </w:r>
            <w:r>
              <w:rPr>
                <w:rFonts w:hint="default" w:cs="Times New Roman"/>
                <w:color w:val="auto"/>
                <w:kern w:val="0"/>
                <w:sz w:val="24"/>
                <w:highlight w:val="none"/>
                <w:lang w:val="en-US" w:eastAsia="zh-CN"/>
              </w:rPr>
              <w:t>第二批行业碳排放强度先进值</w:t>
            </w:r>
            <w:r>
              <w:rPr>
                <w:rFonts w:hint="eastAsia" w:cs="Times New Roman"/>
                <w:color w:val="auto"/>
                <w:kern w:val="0"/>
                <w:sz w:val="24"/>
                <w:highlight w:val="none"/>
                <w:lang w:val="en-US" w:eastAsia="zh-CN"/>
              </w:rPr>
              <w:t>》大兴医院碳排放强度先进值为7.59kg</w:t>
            </w:r>
            <w:r>
              <w:rPr>
                <w:rFonts w:hint="default" w:cs="Times New Roman"/>
                <w:color w:val="auto"/>
                <w:kern w:val="0"/>
                <w:sz w:val="24"/>
                <w:highlight w:val="none"/>
                <w:lang w:val="en-US" w:eastAsia="zh-CN"/>
              </w:rPr>
              <w:t>CO</w:t>
            </w:r>
            <w:r>
              <w:rPr>
                <w:rFonts w:hint="default" w:cs="Times New Roman"/>
                <w:color w:val="auto"/>
                <w:kern w:val="0"/>
                <w:sz w:val="24"/>
                <w:highlight w:val="none"/>
                <w:vertAlign w:val="subscript"/>
                <w:lang w:val="en-US" w:eastAsia="zh-CN"/>
              </w:rPr>
              <w:t>2</w:t>
            </w:r>
            <w:r>
              <w:rPr>
                <w:rFonts w:hint="default" w:cs="Times New Roman"/>
                <w:color w:val="auto"/>
                <w:kern w:val="0"/>
                <w:sz w:val="24"/>
                <w:highlight w:val="none"/>
                <w:lang w:val="en-US" w:eastAsia="zh-CN"/>
              </w:rPr>
              <w:t>/</w:t>
            </w:r>
            <w:r>
              <w:rPr>
                <w:rFonts w:hint="eastAsia" w:cs="Times New Roman"/>
                <w:color w:val="auto"/>
                <w:kern w:val="0"/>
                <w:sz w:val="24"/>
                <w:highlight w:val="none"/>
                <w:lang w:val="en-US" w:eastAsia="zh-CN"/>
              </w:rPr>
              <w:t>综合业务量，本项目符合碳排放要求。</w:t>
            </w:r>
          </w:p>
          <w:p w14:paraId="47CE939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s="Times New Roman"/>
                <w:color w:val="auto"/>
                <w:kern w:val="0"/>
                <w:sz w:val="24"/>
                <w:highlight w:val="none"/>
                <w:lang w:val="en-US" w:eastAsia="zh-CN"/>
              </w:rPr>
            </w:pPr>
          </w:p>
          <w:p w14:paraId="7F9C360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s="Times New Roman"/>
                <w:color w:val="auto"/>
                <w:kern w:val="0"/>
                <w:sz w:val="24"/>
                <w:highlight w:val="none"/>
                <w:lang w:val="en-US" w:eastAsia="zh-CN"/>
              </w:rPr>
            </w:pPr>
          </w:p>
          <w:p w14:paraId="3351909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s="Times New Roman"/>
                <w:color w:val="auto"/>
                <w:kern w:val="0"/>
                <w:sz w:val="24"/>
                <w:highlight w:val="none"/>
                <w:lang w:val="en-US" w:eastAsia="zh-CN"/>
              </w:rPr>
            </w:pPr>
          </w:p>
          <w:p w14:paraId="6B94C49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s="Times New Roman"/>
                <w:color w:val="auto"/>
                <w:kern w:val="0"/>
                <w:sz w:val="24"/>
                <w:highlight w:val="none"/>
                <w:lang w:val="en-US" w:eastAsia="zh-CN"/>
              </w:rPr>
            </w:pPr>
          </w:p>
          <w:p w14:paraId="5F2571A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s="Times New Roman"/>
                <w:color w:val="auto"/>
                <w:kern w:val="0"/>
                <w:sz w:val="24"/>
                <w:highlight w:val="none"/>
                <w:lang w:val="en-US" w:eastAsia="zh-CN"/>
              </w:rPr>
            </w:pPr>
          </w:p>
          <w:p w14:paraId="61FCBE0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s="Times New Roman"/>
                <w:color w:val="auto"/>
                <w:kern w:val="0"/>
                <w:sz w:val="24"/>
                <w:highlight w:val="none"/>
                <w:lang w:val="en-US" w:eastAsia="zh-CN"/>
              </w:rPr>
            </w:pPr>
          </w:p>
          <w:p w14:paraId="2731B30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s="Times New Roman"/>
                <w:color w:val="auto"/>
                <w:kern w:val="0"/>
                <w:sz w:val="24"/>
                <w:highlight w:val="none"/>
                <w:lang w:val="en-US" w:eastAsia="zh-CN"/>
              </w:rPr>
            </w:pPr>
          </w:p>
          <w:p w14:paraId="0C9B78C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s="Times New Roman"/>
                <w:color w:val="auto"/>
                <w:kern w:val="0"/>
                <w:sz w:val="24"/>
                <w:highlight w:val="none"/>
                <w:lang w:val="en-US" w:eastAsia="zh-CN"/>
              </w:rPr>
            </w:pPr>
          </w:p>
          <w:p w14:paraId="51DC4A1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s="Times New Roman"/>
                <w:color w:val="auto"/>
                <w:kern w:val="0"/>
                <w:sz w:val="24"/>
                <w:highlight w:val="none"/>
                <w:lang w:val="en-US" w:eastAsia="zh-CN"/>
              </w:rPr>
            </w:pPr>
          </w:p>
          <w:p w14:paraId="0A285B0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s="Times New Roman"/>
                <w:color w:val="auto"/>
                <w:kern w:val="0"/>
                <w:sz w:val="24"/>
                <w:highlight w:val="none"/>
                <w:lang w:val="en-US" w:eastAsia="zh-CN"/>
              </w:rPr>
            </w:pPr>
          </w:p>
          <w:p w14:paraId="0C6B8E6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s="Times New Roman"/>
                <w:color w:val="auto"/>
                <w:kern w:val="0"/>
                <w:sz w:val="24"/>
                <w:highlight w:val="none"/>
                <w:lang w:val="en-US" w:eastAsia="zh-CN"/>
              </w:rPr>
            </w:pPr>
          </w:p>
          <w:p w14:paraId="7D8380F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s="Times New Roman"/>
                <w:color w:val="auto"/>
                <w:kern w:val="0"/>
                <w:sz w:val="24"/>
                <w:highlight w:val="none"/>
                <w:lang w:val="en-US" w:eastAsia="zh-CN"/>
              </w:rPr>
            </w:pPr>
          </w:p>
          <w:p w14:paraId="02D1772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s="Times New Roman"/>
                <w:color w:val="auto"/>
                <w:kern w:val="0"/>
                <w:sz w:val="24"/>
                <w:highlight w:val="none"/>
                <w:lang w:val="en-US" w:eastAsia="zh-CN"/>
              </w:rPr>
            </w:pPr>
          </w:p>
          <w:p w14:paraId="15FCD4D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s="Times New Roman"/>
                <w:color w:val="auto"/>
                <w:kern w:val="0"/>
                <w:sz w:val="24"/>
                <w:highlight w:val="none"/>
                <w:lang w:val="en-US" w:eastAsia="zh-CN"/>
              </w:rPr>
            </w:pPr>
          </w:p>
          <w:p w14:paraId="52A3AD8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s="Times New Roman"/>
                <w:color w:val="auto"/>
                <w:kern w:val="0"/>
                <w:sz w:val="24"/>
                <w:highlight w:val="none"/>
                <w:lang w:val="en-US" w:eastAsia="zh-CN"/>
              </w:rPr>
            </w:pPr>
          </w:p>
          <w:p w14:paraId="1100DA8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s="Times New Roman"/>
                <w:color w:val="auto"/>
                <w:kern w:val="0"/>
                <w:sz w:val="24"/>
                <w:highlight w:val="none"/>
                <w:lang w:val="en-US" w:eastAsia="zh-CN"/>
              </w:rPr>
            </w:pPr>
          </w:p>
        </w:tc>
      </w:tr>
    </w:tbl>
    <w:p w14:paraId="3C488E80">
      <w:pPr>
        <w:tabs>
          <w:tab w:val="left" w:pos="5250"/>
        </w:tabs>
        <w:spacing w:before="0" w:beforeAutospacing="0" w:after="0" w:afterAutospacing="0"/>
        <w:jc w:val="center"/>
        <w:outlineLvl w:val="0"/>
        <w:rPr>
          <w:rFonts w:hint="eastAsia" w:ascii="黑体" w:hAnsi="黑体" w:eastAsia="黑体"/>
          <w:snapToGrid w:val="0"/>
          <w:color w:val="auto"/>
          <w:sz w:val="30"/>
          <w:szCs w:val="30"/>
          <w:highlight w:val="none"/>
        </w:rPr>
        <w:sectPr>
          <w:footerReference r:id="rId6" w:type="default"/>
          <w:pgSz w:w="11905" w:h="16838"/>
          <w:pgMar w:top="1474" w:right="1474" w:bottom="1474" w:left="1474" w:header="850" w:footer="850" w:gutter="0"/>
          <w:pgBorders>
            <w:top w:val="none" w:sz="0" w:space="0"/>
            <w:left w:val="none" w:sz="0" w:space="0"/>
            <w:bottom w:val="none" w:sz="0" w:space="0"/>
            <w:right w:val="none" w:sz="0" w:space="0"/>
          </w:pgBorders>
          <w:pgNumType w:fmt="decimal" w:start="1"/>
          <w:cols w:space="0" w:num="1"/>
          <w:docGrid w:linePitch="312" w:charSpace="0"/>
        </w:sectPr>
      </w:pPr>
    </w:p>
    <w:p w14:paraId="4735425E">
      <w:pPr>
        <w:tabs>
          <w:tab w:val="left" w:pos="5250"/>
        </w:tabs>
        <w:spacing w:before="0" w:beforeAutospacing="0" w:after="0" w:afterAutospacing="0"/>
        <w:jc w:val="center"/>
        <w:outlineLvl w:val="0"/>
        <w:rPr>
          <w:rFonts w:ascii="黑体" w:hAnsi="黑体" w:eastAsia="黑体"/>
          <w:snapToGrid w:val="0"/>
          <w:color w:val="auto"/>
          <w:sz w:val="30"/>
          <w:szCs w:val="30"/>
          <w:highlight w:val="none"/>
        </w:rPr>
      </w:pPr>
      <w:r>
        <w:rPr>
          <w:rFonts w:hint="eastAsia" w:ascii="黑体" w:hAnsi="黑体" w:eastAsia="黑体" w:cs="黑体"/>
          <w:b/>
          <w:color w:val="auto"/>
          <w:kern w:val="2"/>
          <w:sz w:val="30"/>
          <w:szCs w:val="30"/>
          <w:highlight w:val="none"/>
        </w:rPr>
        <w:t>二、建设项目工程分析</w:t>
      </w:r>
    </w:p>
    <w:tbl>
      <w:tblPr>
        <w:tblStyle w:val="12"/>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99"/>
        <w:gridCol w:w="8474"/>
      </w:tblGrid>
      <w:tr w14:paraId="674AAF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81" w:type="pct"/>
            <w:vAlign w:val="center"/>
          </w:tcPr>
          <w:p w14:paraId="1B0E156C">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highlight w:val="none"/>
              </w:rPr>
            </w:pPr>
            <w:r>
              <w:rPr>
                <w:rFonts w:hint="default" w:ascii="Times New Roman" w:hAnsi="Times New Roman" w:cs="Times New Roman" w:eastAsiaTheme="minorEastAsia"/>
                <w:b w:val="0"/>
                <w:bCs w:val="0"/>
                <w:color w:val="auto"/>
                <w:highlight w:val="none"/>
              </w:rPr>
              <w:t>建设内容</w:t>
            </w:r>
          </w:p>
        </w:tc>
        <w:tc>
          <w:tcPr>
            <w:tcW w:w="4618" w:type="pct"/>
            <w:vAlign w:val="center"/>
          </w:tcPr>
          <w:p w14:paraId="54A2317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cs="Times New Roman" w:eastAsiaTheme="minorEastAsia"/>
                <w:b w:val="0"/>
                <w:bCs w:val="0"/>
                <w:color w:val="auto"/>
                <w:sz w:val="24"/>
                <w:highlight w:val="none"/>
                <w:lang w:val="en-US" w:eastAsia="zh-CN"/>
              </w:rPr>
            </w:pPr>
            <w:r>
              <w:rPr>
                <w:rFonts w:hint="eastAsia" w:ascii="Times New Roman" w:hAnsi="Times New Roman" w:cs="Times New Roman" w:eastAsiaTheme="minorEastAsia"/>
                <w:b w:val="0"/>
                <w:bCs w:val="0"/>
                <w:color w:val="auto"/>
                <w:sz w:val="24"/>
                <w:highlight w:val="none"/>
                <w:lang w:val="en-US" w:eastAsia="zh-CN"/>
              </w:rPr>
              <w:t>1、</w:t>
            </w:r>
            <w:r>
              <w:rPr>
                <w:rFonts w:hint="eastAsia" w:cs="Times New Roman" w:eastAsiaTheme="minorEastAsia"/>
                <w:b w:val="0"/>
                <w:bCs w:val="0"/>
                <w:color w:val="auto"/>
                <w:sz w:val="24"/>
                <w:highlight w:val="none"/>
                <w:lang w:val="en-US" w:eastAsia="zh-CN"/>
              </w:rPr>
              <w:t>项目建设内容及规模</w:t>
            </w:r>
          </w:p>
          <w:p w14:paraId="5611E82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cs="Times New Roman" w:eastAsiaTheme="minorEastAsia"/>
                <w:b w:val="0"/>
                <w:bCs w:val="0"/>
                <w:color w:val="auto"/>
                <w:sz w:val="24"/>
                <w:highlight w:val="none"/>
                <w:lang w:val="en-US" w:eastAsia="zh-CN"/>
              </w:rPr>
            </w:pPr>
            <w:r>
              <w:rPr>
                <w:rFonts w:hint="eastAsia" w:cs="Times New Roman" w:eastAsiaTheme="minorEastAsia"/>
                <w:b w:val="0"/>
                <w:bCs w:val="0"/>
                <w:color w:val="auto"/>
                <w:sz w:val="24"/>
                <w:highlight w:val="none"/>
                <w:lang w:val="en-US" w:eastAsia="zh-CN"/>
              </w:rPr>
              <w:t>建设内容：项目租用北京市海淀区黑泉路19号院1号楼1层101室1F104区，总建筑面积722.58m</w:t>
            </w:r>
            <w:r>
              <w:rPr>
                <w:rFonts w:hint="eastAsia" w:cs="Times New Roman" w:eastAsiaTheme="minorEastAsia"/>
                <w:b w:val="0"/>
                <w:bCs w:val="0"/>
                <w:color w:val="auto"/>
                <w:sz w:val="24"/>
                <w:highlight w:val="none"/>
                <w:vertAlign w:val="superscript"/>
                <w:lang w:val="en-US" w:eastAsia="zh-CN"/>
              </w:rPr>
              <w:t>2</w:t>
            </w:r>
            <w:r>
              <w:rPr>
                <w:rFonts w:hint="eastAsia" w:cs="Times New Roman" w:eastAsiaTheme="minorEastAsia"/>
                <w:b w:val="0"/>
                <w:bCs w:val="0"/>
                <w:color w:val="auto"/>
                <w:sz w:val="24"/>
                <w:highlight w:val="none"/>
                <w:lang w:val="en-US" w:eastAsia="zh-CN"/>
              </w:rPr>
              <w:t>，建设中医医院，从事面向社会的门诊等相关医疗服务。</w:t>
            </w:r>
          </w:p>
          <w:p w14:paraId="0CC41AF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cs="Times New Roman" w:eastAsiaTheme="minorEastAsia"/>
                <w:b w:val="0"/>
                <w:bCs w:val="0"/>
                <w:color w:val="auto"/>
                <w:sz w:val="24"/>
                <w:highlight w:val="none"/>
                <w:lang w:val="en-US" w:eastAsia="zh-CN"/>
              </w:rPr>
            </w:pPr>
            <w:r>
              <w:rPr>
                <w:rFonts w:hint="eastAsia" w:cs="Times New Roman" w:eastAsiaTheme="minorEastAsia"/>
                <w:b w:val="0"/>
                <w:bCs w:val="0"/>
                <w:color w:val="auto"/>
                <w:sz w:val="24"/>
                <w:highlight w:val="none"/>
                <w:lang w:val="en-US" w:eastAsia="zh-CN"/>
              </w:rPr>
              <w:t>设置科室：项目设置有中医内科、临床内科、皮肤科、影像科、骨伤科、针灸科、推拿科、耳鼻喉科、妇科、口腔科、检验科、超声诊断专业、心电图诊断专业。</w:t>
            </w:r>
          </w:p>
          <w:p w14:paraId="7EC69C8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cs="Times New Roman" w:eastAsiaTheme="minorEastAsia"/>
                <w:b w:val="0"/>
                <w:bCs w:val="0"/>
                <w:color w:val="auto"/>
                <w:sz w:val="24"/>
                <w:highlight w:val="none"/>
                <w:lang w:val="en-US" w:eastAsia="zh-CN"/>
              </w:rPr>
            </w:pPr>
            <w:r>
              <w:rPr>
                <w:rFonts w:hint="eastAsia" w:cs="Times New Roman" w:eastAsiaTheme="minorEastAsia"/>
                <w:b w:val="0"/>
                <w:bCs w:val="0"/>
                <w:color w:val="auto"/>
                <w:sz w:val="24"/>
                <w:highlight w:val="none"/>
                <w:lang w:val="en-US" w:eastAsia="zh-CN"/>
              </w:rPr>
              <w:t>规模：预计门诊接待量60人次/d；设置住院床位20张。医院类别为一级医院。</w:t>
            </w:r>
          </w:p>
          <w:p w14:paraId="64EC478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cs="Times New Roman" w:eastAsiaTheme="minorEastAsia"/>
                <w:b w:val="0"/>
                <w:bCs w:val="0"/>
                <w:color w:val="auto"/>
                <w:sz w:val="24"/>
                <w:highlight w:val="none"/>
                <w:lang w:val="en-US" w:eastAsia="zh-CN"/>
              </w:rPr>
            </w:pPr>
            <w:r>
              <w:rPr>
                <w:rFonts w:hint="eastAsia" w:cs="Times New Roman" w:eastAsiaTheme="minorEastAsia"/>
                <w:b w:val="0"/>
                <w:bCs w:val="0"/>
                <w:color w:val="auto"/>
                <w:sz w:val="24"/>
                <w:highlight w:val="none"/>
                <w:lang w:val="en-US" w:eastAsia="zh-CN"/>
              </w:rPr>
              <w:t>投资金额：总投资450万元，其中环保投资35万元，占总投资的7.78%。</w:t>
            </w:r>
          </w:p>
          <w:p w14:paraId="1485D59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cs="Times New Roman" w:eastAsiaTheme="minorEastAsia"/>
                <w:b w:val="0"/>
                <w:bCs w:val="0"/>
                <w:color w:val="auto"/>
                <w:sz w:val="24"/>
                <w:highlight w:val="none"/>
                <w:lang w:val="en-US" w:eastAsia="zh-CN"/>
              </w:rPr>
            </w:pPr>
            <w:r>
              <w:rPr>
                <w:rFonts w:hint="eastAsia" w:cs="Times New Roman" w:eastAsiaTheme="minorEastAsia"/>
                <w:b w:val="0"/>
                <w:bCs w:val="0"/>
                <w:color w:val="auto"/>
                <w:sz w:val="24"/>
                <w:highlight w:val="none"/>
                <w:lang w:val="en-US" w:eastAsia="zh-CN"/>
              </w:rPr>
              <w:t>工作时间：年工作日365天，门诊营运时间为8:00~18:00，住院病房全年全天运行。</w:t>
            </w:r>
          </w:p>
          <w:p w14:paraId="165A63D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cs="Times New Roman" w:eastAsiaTheme="minorEastAsia"/>
                <w:b w:val="0"/>
                <w:bCs w:val="0"/>
                <w:color w:val="auto"/>
                <w:sz w:val="24"/>
                <w:highlight w:val="none"/>
                <w:lang w:val="en-US" w:eastAsia="zh-CN"/>
              </w:rPr>
            </w:pPr>
            <w:r>
              <w:rPr>
                <w:rFonts w:hint="eastAsia" w:cs="Times New Roman" w:eastAsiaTheme="minorEastAsia"/>
                <w:b w:val="0"/>
                <w:bCs w:val="0"/>
                <w:color w:val="auto"/>
                <w:sz w:val="24"/>
                <w:highlight w:val="none"/>
                <w:lang w:val="en-US" w:eastAsia="zh-CN"/>
              </w:rPr>
              <w:t>员工人数：拟定职工20人，其中医护人员18人，包括门诊13人，病房5人；行政及后勤人员2人，医院不设置食堂。</w:t>
            </w:r>
          </w:p>
          <w:p w14:paraId="61A4C7A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cs="Times New Roman" w:eastAsiaTheme="minorEastAsia"/>
                <w:b w:val="0"/>
                <w:bCs w:val="0"/>
                <w:color w:val="auto"/>
                <w:sz w:val="24"/>
                <w:highlight w:val="none"/>
                <w:lang w:val="en-US" w:eastAsia="zh-CN"/>
              </w:rPr>
            </w:pPr>
            <w:r>
              <w:rPr>
                <w:rFonts w:hint="eastAsia" w:cs="Times New Roman" w:eastAsiaTheme="minorEastAsia"/>
                <w:b w:val="0"/>
                <w:bCs w:val="0"/>
                <w:color w:val="auto"/>
                <w:sz w:val="24"/>
                <w:highlight w:val="none"/>
                <w:lang w:val="en-US" w:eastAsia="zh-CN"/>
              </w:rPr>
              <w:t>项目涉及辐射装置使用的，应另行申报相关审批手续。</w:t>
            </w:r>
          </w:p>
          <w:p w14:paraId="6B1F9F7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cs="Times New Roman" w:eastAsiaTheme="minorEastAsia"/>
                <w:b w:val="0"/>
                <w:bCs w:val="0"/>
                <w:color w:val="auto"/>
                <w:sz w:val="24"/>
                <w:highlight w:val="none"/>
                <w:lang w:val="en-US" w:eastAsia="zh-CN"/>
              </w:rPr>
            </w:pPr>
            <w:r>
              <w:rPr>
                <w:rFonts w:hint="eastAsia" w:cs="Times New Roman" w:eastAsiaTheme="minorEastAsia"/>
                <w:b w:val="0"/>
                <w:bCs w:val="0"/>
                <w:color w:val="auto"/>
                <w:sz w:val="24"/>
                <w:highlight w:val="none"/>
                <w:lang w:val="en-US" w:eastAsia="zh-CN"/>
              </w:rPr>
              <w:t>项目主要技术指标见下表。</w:t>
            </w:r>
          </w:p>
          <w:p w14:paraId="1DD58ED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0" w:firstLineChars="0"/>
              <w:jc w:val="center"/>
              <w:textAlignment w:val="auto"/>
              <w:rPr>
                <w:rFonts w:hint="default" w:ascii="Times New Roman" w:hAnsi="Times New Roman" w:cs="Times New Roman" w:eastAsiaTheme="minorEastAsia"/>
                <w:b w:val="0"/>
                <w:bCs w:val="0"/>
                <w:color w:val="auto"/>
                <w:sz w:val="24"/>
                <w:highlight w:val="none"/>
                <w:lang w:val="en-US" w:eastAsia="zh-CN"/>
              </w:rPr>
            </w:pPr>
            <w:r>
              <w:rPr>
                <w:rFonts w:hint="eastAsia" w:cs="Times New Roman" w:eastAsiaTheme="minorEastAsia"/>
                <w:b/>
                <w:bCs/>
                <w:color w:val="auto"/>
                <w:sz w:val="21"/>
                <w:szCs w:val="21"/>
                <w:highlight w:val="none"/>
                <w:lang w:val="en-US" w:eastAsia="zh-CN"/>
              </w:rPr>
              <w:t>表2-1 项目主要技术指标一览表</w:t>
            </w:r>
          </w:p>
          <w:tbl>
            <w:tblPr>
              <w:tblStyle w:val="13"/>
              <w:tblW w:w="4898"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84"/>
              <w:gridCol w:w="795"/>
              <w:gridCol w:w="1725"/>
              <w:gridCol w:w="1050"/>
              <w:gridCol w:w="975"/>
              <w:gridCol w:w="2062"/>
            </w:tblGrid>
            <w:tr w14:paraId="4469C28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84" w:type="dxa"/>
                  <w:tcBorders>
                    <w:tl2br w:val="nil"/>
                    <w:tr2bl w:val="nil"/>
                  </w:tcBorders>
                  <w:vAlign w:val="center"/>
                </w:tcPr>
                <w:p w14:paraId="56A10C4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bCs/>
                      <w:color w:val="auto"/>
                      <w:sz w:val="21"/>
                      <w:szCs w:val="21"/>
                      <w:highlight w:val="none"/>
                      <w:vertAlign w:val="baseline"/>
                      <w:lang w:val="en-US" w:eastAsia="zh-CN"/>
                    </w:rPr>
                  </w:pPr>
                  <w:r>
                    <w:rPr>
                      <w:rFonts w:hint="eastAsia" w:cs="Times New Roman" w:eastAsiaTheme="minorEastAsia"/>
                      <w:b/>
                      <w:bCs/>
                      <w:color w:val="auto"/>
                      <w:sz w:val="21"/>
                      <w:szCs w:val="21"/>
                      <w:highlight w:val="none"/>
                      <w:vertAlign w:val="baseline"/>
                      <w:lang w:val="en-US" w:eastAsia="zh-CN"/>
                    </w:rPr>
                    <w:t>类别</w:t>
                  </w:r>
                </w:p>
              </w:tc>
              <w:tc>
                <w:tcPr>
                  <w:tcW w:w="795" w:type="dxa"/>
                  <w:tcBorders>
                    <w:tl2br w:val="nil"/>
                    <w:tr2bl w:val="nil"/>
                  </w:tcBorders>
                  <w:vAlign w:val="center"/>
                </w:tcPr>
                <w:p w14:paraId="698A2F9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bCs/>
                      <w:color w:val="auto"/>
                      <w:sz w:val="21"/>
                      <w:szCs w:val="21"/>
                      <w:highlight w:val="none"/>
                      <w:vertAlign w:val="baseline"/>
                      <w:lang w:val="en-US" w:eastAsia="zh-CN"/>
                    </w:rPr>
                  </w:pPr>
                  <w:r>
                    <w:rPr>
                      <w:rFonts w:hint="eastAsia" w:cs="Times New Roman" w:eastAsiaTheme="minorEastAsia"/>
                      <w:b/>
                      <w:bCs/>
                      <w:color w:val="auto"/>
                      <w:sz w:val="21"/>
                      <w:szCs w:val="21"/>
                      <w:highlight w:val="none"/>
                      <w:vertAlign w:val="baseline"/>
                      <w:lang w:val="en-US" w:eastAsia="zh-CN"/>
                    </w:rPr>
                    <w:t>序号</w:t>
                  </w:r>
                </w:p>
              </w:tc>
              <w:tc>
                <w:tcPr>
                  <w:tcW w:w="1725" w:type="dxa"/>
                  <w:tcBorders>
                    <w:tl2br w:val="nil"/>
                    <w:tr2bl w:val="nil"/>
                  </w:tcBorders>
                  <w:vAlign w:val="center"/>
                </w:tcPr>
                <w:p w14:paraId="3D38E30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bCs/>
                      <w:color w:val="auto"/>
                      <w:sz w:val="21"/>
                      <w:szCs w:val="21"/>
                      <w:highlight w:val="none"/>
                      <w:vertAlign w:val="baseline"/>
                      <w:lang w:val="en-US" w:eastAsia="zh-CN"/>
                    </w:rPr>
                  </w:pPr>
                  <w:r>
                    <w:rPr>
                      <w:rFonts w:hint="eastAsia" w:cs="Times New Roman" w:eastAsiaTheme="minorEastAsia"/>
                      <w:b/>
                      <w:bCs/>
                      <w:color w:val="auto"/>
                      <w:sz w:val="21"/>
                      <w:szCs w:val="21"/>
                      <w:highlight w:val="none"/>
                      <w:vertAlign w:val="baseline"/>
                      <w:lang w:val="en-US" w:eastAsia="zh-CN"/>
                    </w:rPr>
                    <w:t>项目</w:t>
                  </w:r>
                </w:p>
              </w:tc>
              <w:tc>
                <w:tcPr>
                  <w:tcW w:w="1050" w:type="dxa"/>
                  <w:tcBorders>
                    <w:tl2br w:val="nil"/>
                    <w:tr2bl w:val="nil"/>
                  </w:tcBorders>
                  <w:vAlign w:val="center"/>
                </w:tcPr>
                <w:p w14:paraId="73764EE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bCs/>
                      <w:color w:val="auto"/>
                      <w:sz w:val="21"/>
                      <w:szCs w:val="21"/>
                      <w:highlight w:val="none"/>
                      <w:vertAlign w:val="baseline"/>
                      <w:lang w:val="en-US" w:eastAsia="zh-CN"/>
                    </w:rPr>
                  </w:pPr>
                  <w:r>
                    <w:rPr>
                      <w:rFonts w:hint="eastAsia" w:cs="Times New Roman" w:eastAsiaTheme="minorEastAsia"/>
                      <w:b/>
                      <w:bCs/>
                      <w:color w:val="auto"/>
                      <w:sz w:val="21"/>
                      <w:szCs w:val="21"/>
                      <w:highlight w:val="none"/>
                      <w:vertAlign w:val="baseline"/>
                      <w:lang w:val="en-US" w:eastAsia="zh-CN"/>
                    </w:rPr>
                    <w:t>指标</w:t>
                  </w:r>
                </w:p>
              </w:tc>
              <w:tc>
                <w:tcPr>
                  <w:tcW w:w="975" w:type="dxa"/>
                  <w:tcBorders>
                    <w:tl2br w:val="nil"/>
                    <w:tr2bl w:val="nil"/>
                  </w:tcBorders>
                  <w:vAlign w:val="center"/>
                </w:tcPr>
                <w:p w14:paraId="4FAB7FF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s="Times New Roman" w:eastAsiaTheme="minorEastAsia"/>
                      <w:b/>
                      <w:bCs/>
                      <w:color w:val="auto"/>
                      <w:sz w:val="21"/>
                      <w:szCs w:val="21"/>
                      <w:highlight w:val="none"/>
                      <w:vertAlign w:val="baseline"/>
                      <w:lang w:val="en-US" w:eastAsia="zh-CN"/>
                    </w:rPr>
                  </w:pPr>
                  <w:r>
                    <w:rPr>
                      <w:rFonts w:hint="eastAsia" w:cs="Times New Roman" w:eastAsiaTheme="minorEastAsia"/>
                      <w:b/>
                      <w:bCs/>
                      <w:color w:val="auto"/>
                      <w:sz w:val="21"/>
                      <w:szCs w:val="21"/>
                      <w:highlight w:val="none"/>
                      <w:vertAlign w:val="baseline"/>
                      <w:lang w:val="en-US" w:eastAsia="zh-CN"/>
                    </w:rPr>
                    <w:t>单位</w:t>
                  </w:r>
                </w:p>
              </w:tc>
              <w:tc>
                <w:tcPr>
                  <w:tcW w:w="2062" w:type="dxa"/>
                  <w:tcBorders>
                    <w:tl2br w:val="nil"/>
                    <w:tr2bl w:val="nil"/>
                  </w:tcBorders>
                  <w:vAlign w:val="center"/>
                </w:tcPr>
                <w:p w14:paraId="7CCE71D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bCs/>
                      <w:color w:val="auto"/>
                      <w:sz w:val="21"/>
                      <w:szCs w:val="21"/>
                      <w:highlight w:val="none"/>
                      <w:vertAlign w:val="baseline"/>
                      <w:lang w:val="en-US" w:eastAsia="zh-CN"/>
                    </w:rPr>
                  </w:pPr>
                  <w:r>
                    <w:rPr>
                      <w:rFonts w:hint="eastAsia" w:cs="Times New Roman" w:eastAsiaTheme="minorEastAsia"/>
                      <w:b/>
                      <w:bCs/>
                      <w:color w:val="auto"/>
                      <w:sz w:val="21"/>
                      <w:szCs w:val="21"/>
                      <w:highlight w:val="none"/>
                      <w:vertAlign w:val="baseline"/>
                      <w:lang w:val="en-US" w:eastAsia="zh-CN"/>
                    </w:rPr>
                    <w:t>备注</w:t>
                  </w:r>
                </w:p>
              </w:tc>
            </w:tr>
            <w:tr w14:paraId="165B8A0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84" w:type="dxa"/>
                  <w:vMerge w:val="restart"/>
                  <w:tcBorders>
                    <w:tl2br w:val="nil"/>
                    <w:tr2bl w:val="nil"/>
                  </w:tcBorders>
                  <w:vAlign w:val="center"/>
                </w:tcPr>
                <w:p w14:paraId="2E70E40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建筑规模及</w:t>
                  </w:r>
                </w:p>
                <w:p w14:paraId="0AAC6E6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建设内容</w:t>
                  </w:r>
                </w:p>
              </w:tc>
              <w:tc>
                <w:tcPr>
                  <w:tcW w:w="795" w:type="dxa"/>
                  <w:tcBorders>
                    <w:tl2br w:val="nil"/>
                    <w:tr2bl w:val="nil"/>
                  </w:tcBorders>
                  <w:vAlign w:val="center"/>
                </w:tcPr>
                <w:p w14:paraId="19D6A37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1</w:t>
                  </w:r>
                </w:p>
              </w:tc>
              <w:tc>
                <w:tcPr>
                  <w:tcW w:w="1725" w:type="dxa"/>
                  <w:tcBorders>
                    <w:tl2br w:val="nil"/>
                    <w:tr2bl w:val="nil"/>
                  </w:tcBorders>
                  <w:vAlign w:val="center"/>
                </w:tcPr>
                <w:p w14:paraId="350F335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总建筑面积</w:t>
                  </w:r>
                </w:p>
              </w:tc>
              <w:tc>
                <w:tcPr>
                  <w:tcW w:w="1050" w:type="dxa"/>
                  <w:tcBorders>
                    <w:tl2br w:val="nil"/>
                    <w:tr2bl w:val="nil"/>
                  </w:tcBorders>
                  <w:vAlign w:val="center"/>
                </w:tcPr>
                <w:p w14:paraId="79DC6BA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722.58</w:t>
                  </w:r>
                </w:p>
              </w:tc>
              <w:tc>
                <w:tcPr>
                  <w:tcW w:w="975" w:type="dxa"/>
                  <w:tcBorders>
                    <w:tl2br w:val="nil"/>
                    <w:tr2bl w:val="nil"/>
                  </w:tcBorders>
                  <w:shd w:val="clear" w:color="auto" w:fill="auto"/>
                  <w:vAlign w:val="center"/>
                </w:tcPr>
                <w:p w14:paraId="7958EC3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sz w:val="21"/>
                      <w:szCs w:val="21"/>
                      <w:highlight w:val="none"/>
                      <w:vertAlign w:val="baseline"/>
                      <w:lang w:val="en-US" w:eastAsia="zh-CN"/>
                    </w:rPr>
                    <w:t>m</w:t>
                  </w:r>
                  <w:r>
                    <w:rPr>
                      <w:rFonts w:hint="eastAsia" w:cs="Times New Roman" w:eastAsiaTheme="minorEastAsia"/>
                      <w:b w:val="0"/>
                      <w:bCs w:val="0"/>
                      <w:color w:val="auto"/>
                      <w:sz w:val="21"/>
                      <w:szCs w:val="21"/>
                      <w:highlight w:val="none"/>
                      <w:vertAlign w:val="superscript"/>
                      <w:lang w:val="en-US" w:eastAsia="zh-CN"/>
                    </w:rPr>
                    <w:t>2</w:t>
                  </w:r>
                </w:p>
              </w:tc>
              <w:tc>
                <w:tcPr>
                  <w:tcW w:w="2062" w:type="dxa"/>
                  <w:tcBorders>
                    <w:tl2br w:val="nil"/>
                    <w:tr2bl w:val="nil"/>
                  </w:tcBorders>
                  <w:vAlign w:val="center"/>
                </w:tcPr>
                <w:p w14:paraId="2496629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w:t>
                  </w:r>
                </w:p>
              </w:tc>
            </w:tr>
            <w:tr w14:paraId="1BDF39E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84" w:type="dxa"/>
                  <w:vMerge w:val="continue"/>
                  <w:tcBorders>
                    <w:tl2br w:val="nil"/>
                    <w:tr2bl w:val="nil"/>
                  </w:tcBorders>
                  <w:vAlign w:val="center"/>
                </w:tcPr>
                <w:p w14:paraId="4ECF5FE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s="Times New Roman" w:eastAsiaTheme="minorEastAsia"/>
                      <w:b w:val="0"/>
                      <w:bCs w:val="0"/>
                      <w:color w:val="auto"/>
                      <w:sz w:val="21"/>
                      <w:szCs w:val="21"/>
                      <w:highlight w:val="none"/>
                      <w:vertAlign w:val="baseline"/>
                      <w:lang w:val="en-US" w:eastAsia="zh-CN"/>
                    </w:rPr>
                  </w:pPr>
                </w:p>
              </w:tc>
              <w:tc>
                <w:tcPr>
                  <w:tcW w:w="795" w:type="dxa"/>
                  <w:tcBorders>
                    <w:tl2br w:val="nil"/>
                    <w:tr2bl w:val="nil"/>
                  </w:tcBorders>
                  <w:vAlign w:val="center"/>
                </w:tcPr>
                <w:p w14:paraId="3E92035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1.1</w:t>
                  </w:r>
                </w:p>
              </w:tc>
              <w:tc>
                <w:tcPr>
                  <w:tcW w:w="1725" w:type="dxa"/>
                  <w:tcBorders>
                    <w:tl2br w:val="nil"/>
                    <w:tr2bl w:val="nil"/>
                  </w:tcBorders>
                  <w:vAlign w:val="center"/>
                </w:tcPr>
                <w:p w14:paraId="380613D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地上建筑面积</w:t>
                  </w:r>
                </w:p>
              </w:tc>
              <w:tc>
                <w:tcPr>
                  <w:tcW w:w="1050" w:type="dxa"/>
                  <w:tcBorders>
                    <w:tl2br w:val="nil"/>
                    <w:tr2bl w:val="nil"/>
                  </w:tcBorders>
                  <w:vAlign w:val="center"/>
                </w:tcPr>
                <w:p w14:paraId="150E652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722.58</w:t>
                  </w:r>
                </w:p>
              </w:tc>
              <w:tc>
                <w:tcPr>
                  <w:tcW w:w="975" w:type="dxa"/>
                  <w:tcBorders>
                    <w:tl2br w:val="nil"/>
                    <w:tr2bl w:val="nil"/>
                  </w:tcBorders>
                  <w:shd w:val="clear" w:color="auto" w:fill="auto"/>
                  <w:vAlign w:val="center"/>
                </w:tcPr>
                <w:p w14:paraId="23ABB0F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sz w:val="21"/>
                      <w:szCs w:val="21"/>
                      <w:highlight w:val="none"/>
                      <w:vertAlign w:val="baseline"/>
                      <w:lang w:val="en-US" w:eastAsia="zh-CN"/>
                    </w:rPr>
                    <w:t>m</w:t>
                  </w:r>
                  <w:r>
                    <w:rPr>
                      <w:rFonts w:hint="eastAsia" w:cs="Times New Roman" w:eastAsiaTheme="minorEastAsia"/>
                      <w:b w:val="0"/>
                      <w:bCs w:val="0"/>
                      <w:color w:val="auto"/>
                      <w:sz w:val="21"/>
                      <w:szCs w:val="21"/>
                      <w:highlight w:val="none"/>
                      <w:vertAlign w:val="superscript"/>
                      <w:lang w:val="en-US" w:eastAsia="zh-CN"/>
                    </w:rPr>
                    <w:t>2</w:t>
                  </w:r>
                </w:p>
              </w:tc>
              <w:tc>
                <w:tcPr>
                  <w:tcW w:w="2062" w:type="dxa"/>
                  <w:tcBorders>
                    <w:tl2br w:val="nil"/>
                    <w:tr2bl w:val="nil"/>
                  </w:tcBorders>
                  <w:vAlign w:val="center"/>
                </w:tcPr>
                <w:p w14:paraId="0E352CF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w:t>
                  </w:r>
                </w:p>
              </w:tc>
            </w:tr>
            <w:tr w14:paraId="6145A85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84" w:type="dxa"/>
                  <w:tcBorders>
                    <w:tl2br w:val="nil"/>
                    <w:tr2bl w:val="nil"/>
                  </w:tcBorders>
                  <w:vAlign w:val="center"/>
                </w:tcPr>
                <w:p w14:paraId="357AA29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建设技术指标</w:t>
                  </w:r>
                </w:p>
              </w:tc>
              <w:tc>
                <w:tcPr>
                  <w:tcW w:w="795" w:type="dxa"/>
                  <w:tcBorders>
                    <w:tl2br w:val="nil"/>
                    <w:tr2bl w:val="nil"/>
                  </w:tcBorders>
                  <w:vAlign w:val="center"/>
                </w:tcPr>
                <w:p w14:paraId="7185EA0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2</w:t>
                  </w:r>
                </w:p>
              </w:tc>
              <w:tc>
                <w:tcPr>
                  <w:tcW w:w="1725" w:type="dxa"/>
                  <w:tcBorders>
                    <w:tl2br w:val="nil"/>
                    <w:tr2bl w:val="nil"/>
                  </w:tcBorders>
                  <w:vAlign w:val="center"/>
                </w:tcPr>
                <w:p w14:paraId="76C6B34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建筑层数</w:t>
                  </w:r>
                </w:p>
              </w:tc>
              <w:tc>
                <w:tcPr>
                  <w:tcW w:w="1050" w:type="dxa"/>
                  <w:tcBorders>
                    <w:tl2br w:val="nil"/>
                    <w:tr2bl w:val="nil"/>
                  </w:tcBorders>
                  <w:vAlign w:val="center"/>
                </w:tcPr>
                <w:p w14:paraId="7AA7EB8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1</w:t>
                  </w:r>
                </w:p>
              </w:tc>
              <w:tc>
                <w:tcPr>
                  <w:tcW w:w="975" w:type="dxa"/>
                  <w:tcBorders>
                    <w:tl2br w:val="nil"/>
                    <w:tr2bl w:val="nil"/>
                  </w:tcBorders>
                  <w:shd w:val="clear" w:color="auto" w:fill="auto"/>
                  <w:vAlign w:val="center"/>
                </w:tcPr>
                <w:p w14:paraId="1D271D7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sz w:val="21"/>
                      <w:szCs w:val="21"/>
                      <w:highlight w:val="none"/>
                      <w:vertAlign w:val="baseline"/>
                      <w:lang w:val="en-US" w:eastAsia="zh-CN"/>
                    </w:rPr>
                    <w:t>层</w:t>
                  </w:r>
                </w:p>
              </w:tc>
              <w:tc>
                <w:tcPr>
                  <w:tcW w:w="2062" w:type="dxa"/>
                  <w:tcBorders>
                    <w:tl2br w:val="nil"/>
                    <w:tr2bl w:val="nil"/>
                  </w:tcBorders>
                  <w:vAlign w:val="center"/>
                </w:tcPr>
                <w:p w14:paraId="5C7E1DF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本项目所在为地下3层地上8层建筑，本项目位于地上1层</w:t>
                  </w:r>
                </w:p>
              </w:tc>
            </w:tr>
            <w:tr w14:paraId="1E2BCE0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84" w:type="dxa"/>
                  <w:vMerge w:val="restart"/>
                  <w:tcBorders>
                    <w:tl2br w:val="nil"/>
                    <w:tr2bl w:val="nil"/>
                  </w:tcBorders>
                  <w:vAlign w:val="center"/>
                </w:tcPr>
                <w:p w14:paraId="1BCC6EA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医疗技术指标</w:t>
                  </w:r>
                </w:p>
              </w:tc>
              <w:tc>
                <w:tcPr>
                  <w:tcW w:w="795" w:type="dxa"/>
                  <w:tcBorders>
                    <w:tl2br w:val="nil"/>
                    <w:tr2bl w:val="nil"/>
                  </w:tcBorders>
                  <w:vAlign w:val="center"/>
                </w:tcPr>
                <w:p w14:paraId="7F786D6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3</w:t>
                  </w:r>
                </w:p>
              </w:tc>
              <w:tc>
                <w:tcPr>
                  <w:tcW w:w="1725" w:type="dxa"/>
                  <w:tcBorders>
                    <w:tl2br w:val="nil"/>
                    <w:tr2bl w:val="nil"/>
                  </w:tcBorders>
                  <w:vAlign w:val="center"/>
                </w:tcPr>
                <w:p w14:paraId="4858EB1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日门诊量</w:t>
                  </w:r>
                </w:p>
              </w:tc>
              <w:tc>
                <w:tcPr>
                  <w:tcW w:w="1050" w:type="dxa"/>
                  <w:tcBorders>
                    <w:tl2br w:val="nil"/>
                    <w:tr2bl w:val="nil"/>
                  </w:tcBorders>
                  <w:vAlign w:val="center"/>
                </w:tcPr>
                <w:p w14:paraId="02AFB1B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60</w:t>
                  </w:r>
                </w:p>
              </w:tc>
              <w:tc>
                <w:tcPr>
                  <w:tcW w:w="975" w:type="dxa"/>
                  <w:tcBorders>
                    <w:tl2br w:val="nil"/>
                    <w:tr2bl w:val="nil"/>
                  </w:tcBorders>
                  <w:shd w:val="clear" w:color="auto" w:fill="auto"/>
                  <w:vAlign w:val="center"/>
                </w:tcPr>
                <w:p w14:paraId="078AAFE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sz w:val="21"/>
                      <w:szCs w:val="21"/>
                      <w:highlight w:val="none"/>
                      <w:vertAlign w:val="baseline"/>
                      <w:lang w:val="en-US" w:eastAsia="zh-CN"/>
                    </w:rPr>
                    <w:t>人次</w:t>
                  </w:r>
                </w:p>
              </w:tc>
              <w:tc>
                <w:tcPr>
                  <w:tcW w:w="2062" w:type="dxa"/>
                  <w:tcBorders>
                    <w:tl2br w:val="nil"/>
                    <w:tr2bl w:val="nil"/>
                  </w:tcBorders>
                  <w:vAlign w:val="center"/>
                </w:tcPr>
                <w:p w14:paraId="5FDCA60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w:t>
                  </w:r>
                </w:p>
              </w:tc>
            </w:tr>
            <w:tr w14:paraId="3878C3D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84" w:type="dxa"/>
                  <w:vMerge w:val="continue"/>
                  <w:tcBorders>
                    <w:tl2br w:val="nil"/>
                    <w:tr2bl w:val="nil"/>
                  </w:tcBorders>
                  <w:vAlign w:val="center"/>
                </w:tcPr>
                <w:p w14:paraId="67828C8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s="Times New Roman" w:eastAsiaTheme="minorEastAsia"/>
                      <w:b w:val="0"/>
                      <w:bCs w:val="0"/>
                      <w:color w:val="auto"/>
                      <w:sz w:val="21"/>
                      <w:szCs w:val="21"/>
                      <w:highlight w:val="none"/>
                      <w:vertAlign w:val="baseline"/>
                      <w:lang w:val="en-US" w:eastAsia="zh-CN"/>
                    </w:rPr>
                  </w:pPr>
                </w:p>
              </w:tc>
              <w:tc>
                <w:tcPr>
                  <w:tcW w:w="795" w:type="dxa"/>
                  <w:tcBorders>
                    <w:tl2br w:val="nil"/>
                    <w:tr2bl w:val="nil"/>
                  </w:tcBorders>
                  <w:vAlign w:val="center"/>
                </w:tcPr>
                <w:p w14:paraId="7CE05C1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4</w:t>
                  </w:r>
                </w:p>
              </w:tc>
              <w:tc>
                <w:tcPr>
                  <w:tcW w:w="1725" w:type="dxa"/>
                  <w:tcBorders>
                    <w:tl2br w:val="nil"/>
                    <w:tr2bl w:val="nil"/>
                  </w:tcBorders>
                  <w:vAlign w:val="center"/>
                </w:tcPr>
                <w:p w14:paraId="5EDE175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住院床位数</w:t>
                  </w:r>
                </w:p>
              </w:tc>
              <w:tc>
                <w:tcPr>
                  <w:tcW w:w="1050" w:type="dxa"/>
                  <w:tcBorders>
                    <w:tl2br w:val="nil"/>
                    <w:tr2bl w:val="nil"/>
                  </w:tcBorders>
                  <w:vAlign w:val="center"/>
                </w:tcPr>
                <w:p w14:paraId="2EEA274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20</w:t>
                  </w:r>
                </w:p>
              </w:tc>
              <w:tc>
                <w:tcPr>
                  <w:tcW w:w="975" w:type="dxa"/>
                  <w:tcBorders>
                    <w:tl2br w:val="nil"/>
                    <w:tr2bl w:val="nil"/>
                  </w:tcBorders>
                  <w:shd w:val="clear" w:color="auto" w:fill="auto"/>
                  <w:vAlign w:val="center"/>
                </w:tcPr>
                <w:p w14:paraId="1AC8F6B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sz w:val="21"/>
                      <w:szCs w:val="21"/>
                      <w:highlight w:val="none"/>
                      <w:vertAlign w:val="baseline"/>
                      <w:lang w:val="en-US" w:eastAsia="zh-CN"/>
                    </w:rPr>
                    <w:t>张</w:t>
                  </w:r>
                </w:p>
              </w:tc>
              <w:tc>
                <w:tcPr>
                  <w:tcW w:w="2062" w:type="dxa"/>
                  <w:tcBorders>
                    <w:tl2br w:val="nil"/>
                    <w:tr2bl w:val="nil"/>
                  </w:tcBorders>
                  <w:vAlign w:val="center"/>
                </w:tcPr>
                <w:p w14:paraId="35C779C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w:t>
                  </w:r>
                </w:p>
              </w:tc>
            </w:tr>
            <w:tr w14:paraId="63ACAF2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84" w:type="dxa"/>
                  <w:vMerge w:val="restart"/>
                  <w:tcBorders>
                    <w:tl2br w:val="nil"/>
                    <w:tr2bl w:val="nil"/>
                  </w:tcBorders>
                  <w:vAlign w:val="center"/>
                </w:tcPr>
                <w:p w14:paraId="593EF39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工程投资</w:t>
                  </w:r>
                </w:p>
              </w:tc>
              <w:tc>
                <w:tcPr>
                  <w:tcW w:w="795" w:type="dxa"/>
                  <w:tcBorders>
                    <w:tl2br w:val="nil"/>
                    <w:tr2bl w:val="nil"/>
                  </w:tcBorders>
                  <w:shd w:val="clear" w:color="auto" w:fill="auto"/>
                  <w:vAlign w:val="center"/>
                </w:tcPr>
                <w:p w14:paraId="42E79D4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kern w:val="2"/>
                      <w:sz w:val="21"/>
                      <w:szCs w:val="21"/>
                      <w:highlight w:val="none"/>
                      <w:vertAlign w:val="baseline"/>
                      <w:lang w:val="en-US" w:eastAsia="zh-CN" w:bidi="ar-SA"/>
                    </w:rPr>
                    <w:t>5</w:t>
                  </w:r>
                </w:p>
              </w:tc>
              <w:tc>
                <w:tcPr>
                  <w:tcW w:w="1725" w:type="dxa"/>
                  <w:tcBorders>
                    <w:tl2br w:val="nil"/>
                    <w:tr2bl w:val="nil"/>
                  </w:tcBorders>
                  <w:shd w:val="clear" w:color="auto" w:fill="auto"/>
                  <w:vAlign w:val="center"/>
                </w:tcPr>
                <w:p w14:paraId="1BF5727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sz w:val="21"/>
                      <w:szCs w:val="21"/>
                      <w:highlight w:val="none"/>
                      <w:vertAlign w:val="baseline"/>
                      <w:lang w:val="en-US" w:eastAsia="zh-CN"/>
                    </w:rPr>
                    <w:t>工程总投资</w:t>
                  </w:r>
                </w:p>
              </w:tc>
              <w:tc>
                <w:tcPr>
                  <w:tcW w:w="1050" w:type="dxa"/>
                  <w:tcBorders>
                    <w:tl2br w:val="nil"/>
                    <w:tr2bl w:val="nil"/>
                  </w:tcBorders>
                  <w:shd w:val="clear" w:color="auto" w:fill="auto"/>
                  <w:vAlign w:val="center"/>
                </w:tcPr>
                <w:p w14:paraId="7EC622A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sz w:val="21"/>
                      <w:szCs w:val="21"/>
                      <w:highlight w:val="none"/>
                      <w:vertAlign w:val="baseline"/>
                      <w:lang w:val="en-US" w:eastAsia="zh-CN"/>
                    </w:rPr>
                    <w:t>450</w:t>
                  </w:r>
                </w:p>
              </w:tc>
              <w:tc>
                <w:tcPr>
                  <w:tcW w:w="975" w:type="dxa"/>
                  <w:tcBorders>
                    <w:tl2br w:val="nil"/>
                    <w:tr2bl w:val="nil"/>
                  </w:tcBorders>
                  <w:shd w:val="clear" w:color="auto" w:fill="auto"/>
                  <w:vAlign w:val="center"/>
                </w:tcPr>
                <w:p w14:paraId="5FF24F8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sz w:val="21"/>
                      <w:szCs w:val="21"/>
                      <w:highlight w:val="none"/>
                      <w:vertAlign w:val="baseline"/>
                      <w:lang w:val="en-US" w:eastAsia="zh-CN"/>
                    </w:rPr>
                    <w:t>万元</w:t>
                  </w:r>
                </w:p>
              </w:tc>
              <w:tc>
                <w:tcPr>
                  <w:tcW w:w="2062" w:type="dxa"/>
                  <w:tcBorders>
                    <w:tl2br w:val="nil"/>
                    <w:tr2bl w:val="nil"/>
                  </w:tcBorders>
                  <w:shd w:val="clear" w:color="auto" w:fill="auto"/>
                  <w:vAlign w:val="center"/>
                </w:tcPr>
                <w:p w14:paraId="769FB82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kern w:val="2"/>
                      <w:sz w:val="21"/>
                      <w:szCs w:val="21"/>
                      <w:highlight w:val="none"/>
                      <w:vertAlign w:val="baseline"/>
                      <w:lang w:val="en-US" w:eastAsia="zh-CN" w:bidi="ar-SA"/>
                    </w:rPr>
                    <w:t>/</w:t>
                  </w:r>
                </w:p>
              </w:tc>
            </w:tr>
            <w:tr w14:paraId="29C0209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84" w:type="dxa"/>
                  <w:vMerge w:val="continue"/>
                  <w:tcBorders>
                    <w:tl2br w:val="nil"/>
                    <w:tr2bl w:val="nil"/>
                  </w:tcBorders>
                  <w:vAlign w:val="center"/>
                </w:tcPr>
                <w:p w14:paraId="62AE378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s="Times New Roman" w:eastAsiaTheme="minorEastAsia"/>
                      <w:b w:val="0"/>
                      <w:bCs w:val="0"/>
                      <w:color w:val="auto"/>
                      <w:sz w:val="21"/>
                      <w:szCs w:val="21"/>
                      <w:highlight w:val="none"/>
                      <w:vertAlign w:val="baseline"/>
                      <w:lang w:val="en-US" w:eastAsia="zh-CN"/>
                    </w:rPr>
                  </w:pPr>
                </w:p>
              </w:tc>
              <w:tc>
                <w:tcPr>
                  <w:tcW w:w="795" w:type="dxa"/>
                  <w:tcBorders>
                    <w:tl2br w:val="nil"/>
                    <w:tr2bl w:val="nil"/>
                  </w:tcBorders>
                  <w:shd w:val="clear" w:color="auto" w:fill="auto"/>
                  <w:vAlign w:val="center"/>
                </w:tcPr>
                <w:p w14:paraId="7813241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kern w:val="2"/>
                      <w:sz w:val="21"/>
                      <w:szCs w:val="21"/>
                      <w:highlight w:val="none"/>
                      <w:vertAlign w:val="baseline"/>
                      <w:lang w:val="en-US" w:eastAsia="zh-CN" w:bidi="ar-SA"/>
                    </w:rPr>
                    <w:t>6</w:t>
                  </w:r>
                </w:p>
              </w:tc>
              <w:tc>
                <w:tcPr>
                  <w:tcW w:w="1725" w:type="dxa"/>
                  <w:tcBorders>
                    <w:tl2br w:val="nil"/>
                    <w:tr2bl w:val="nil"/>
                  </w:tcBorders>
                  <w:shd w:val="clear" w:color="auto" w:fill="auto"/>
                  <w:vAlign w:val="center"/>
                </w:tcPr>
                <w:p w14:paraId="2804ECF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sz w:val="21"/>
                      <w:szCs w:val="21"/>
                      <w:highlight w:val="none"/>
                      <w:vertAlign w:val="baseline"/>
                      <w:lang w:val="en-US" w:eastAsia="zh-CN"/>
                    </w:rPr>
                    <w:t>环保投资</w:t>
                  </w:r>
                </w:p>
              </w:tc>
              <w:tc>
                <w:tcPr>
                  <w:tcW w:w="1050" w:type="dxa"/>
                  <w:tcBorders>
                    <w:tl2br w:val="nil"/>
                    <w:tr2bl w:val="nil"/>
                  </w:tcBorders>
                  <w:shd w:val="clear" w:color="auto" w:fill="auto"/>
                  <w:vAlign w:val="center"/>
                </w:tcPr>
                <w:p w14:paraId="3A773A5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sz w:val="21"/>
                      <w:szCs w:val="21"/>
                      <w:highlight w:val="none"/>
                      <w:vertAlign w:val="baseline"/>
                      <w:lang w:val="en-US" w:eastAsia="zh-CN"/>
                    </w:rPr>
                    <w:t>35</w:t>
                  </w:r>
                </w:p>
              </w:tc>
              <w:tc>
                <w:tcPr>
                  <w:tcW w:w="975" w:type="dxa"/>
                  <w:tcBorders>
                    <w:tl2br w:val="nil"/>
                    <w:tr2bl w:val="nil"/>
                  </w:tcBorders>
                  <w:shd w:val="clear" w:color="auto" w:fill="auto"/>
                  <w:vAlign w:val="center"/>
                </w:tcPr>
                <w:p w14:paraId="5568245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sz w:val="21"/>
                      <w:szCs w:val="21"/>
                      <w:highlight w:val="none"/>
                      <w:vertAlign w:val="baseline"/>
                      <w:lang w:val="en-US" w:eastAsia="zh-CN"/>
                    </w:rPr>
                    <w:t>万元</w:t>
                  </w:r>
                </w:p>
              </w:tc>
              <w:tc>
                <w:tcPr>
                  <w:tcW w:w="2062" w:type="dxa"/>
                  <w:tcBorders>
                    <w:tl2br w:val="nil"/>
                    <w:tr2bl w:val="nil"/>
                  </w:tcBorders>
                  <w:shd w:val="clear" w:color="auto" w:fill="auto"/>
                  <w:vAlign w:val="center"/>
                </w:tcPr>
                <w:p w14:paraId="2BAAADB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kern w:val="2"/>
                      <w:sz w:val="21"/>
                      <w:szCs w:val="21"/>
                      <w:highlight w:val="none"/>
                      <w:vertAlign w:val="baseline"/>
                      <w:lang w:val="en-US" w:eastAsia="zh-CN" w:bidi="ar-SA"/>
                    </w:rPr>
                    <w:t>/</w:t>
                  </w:r>
                </w:p>
              </w:tc>
            </w:tr>
          </w:tbl>
          <w:p w14:paraId="4F80963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cs="Times New Roman" w:eastAsiaTheme="minorEastAsia"/>
                <w:b w:val="0"/>
                <w:bCs w:val="0"/>
                <w:color w:val="auto"/>
                <w:sz w:val="24"/>
                <w:highlight w:val="none"/>
                <w:lang w:val="en-US" w:eastAsia="zh-CN"/>
              </w:rPr>
            </w:pPr>
            <w:r>
              <w:rPr>
                <w:rFonts w:hint="eastAsia" w:cs="Times New Roman" w:eastAsiaTheme="minorEastAsia"/>
                <w:b w:val="0"/>
                <w:bCs w:val="0"/>
                <w:color w:val="auto"/>
                <w:sz w:val="24"/>
                <w:highlight w:val="none"/>
                <w:lang w:val="en-US" w:eastAsia="zh-CN"/>
              </w:rPr>
              <w:t>本项目主要建设内容详见下表。</w:t>
            </w:r>
          </w:p>
          <w:p w14:paraId="1559A9D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0" w:firstLineChars="0"/>
              <w:jc w:val="center"/>
              <w:textAlignment w:val="auto"/>
              <w:rPr>
                <w:rFonts w:hint="default" w:cs="Times New Roman" w:eastAsiaTheme="minorEastAsia"/>
                <w:b w:val="0"/>
                <w:bCs w:val="0"/>
                <w:color w:val="auto"/>
                <w:sz w:val="24"/>
                <w:highlight w:val="none"/>
                <w:lang w:val="en-US" w:eastAsia="zh-CN"/>
              </w:rPr>
            </w:pPr>
            <w:r>
              <w:rPr>
                <w:rFonts w:hint="eastAsia" w:cs="Times New Roman" w:eastAsiaTheme="minorEastAsia"/>
                <w:b/>
                <w:bCs/>
                <w:color w:val="auto"/>
                <w:sz w:val="21"/>
                <w:szCs w:val="21"/>
                <w:highlight w:val="none"/>
                <w:lang w:val="en-US" w:eastAsia="zh-CN"/>
              </w:rPr>
              <w:t>表2-2 项目主要建设内容一览表</w:t>
            </w:r>
          </w:p>
          <w:tbl>
            <w:tblPr>
              <w:tblStyle w:val="13"/>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82"/>
              <w:gridCol w:w="675"/>
              <w:gridCol w:w="1485"/>
              <w:gridCol w:w="5416"/>
            </w:tblGrid>
            <w:tr w14:paraId="3240FB6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2" w:type="dxa"/>
                  <w:tcBorders>
                    <w:tl2br w:val="nil"/>
                    <w:tr2bl w:val="nil"/>
                  </w:tcBorders>
                  <w:vAlign w:val="center"/>
                </w:tcPr>
                <w:p w14:paraId="706C8D4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bCs/>
                      <w:color w:val="auto"/>
                      <w:sz w:val="21"/>
                      <w:szCs w:val="21"/>
                      <w:highlight w:val="none"/>
                      <w:vertAlign w:val="baseline"/>
                      <w:lang w:val="en-US" w:eastAsia="zh-CN"/>
                    </w:rPr>
                  </w:pPr>
                  <w:r>
                    <w:rPr>
                      <w:rFonts w:hint="eastAsia" w:cs="Times New Roman" w:eastAsiaTheme="minorEastAsia"/>
                      <w:b/>
                      <w:bCs/>
                      <w:color w:val="auto"/>
                      <w:sz w:val="21"/>
                      <w:szCs w:val="21"/>
                      <w:highlight w:val="none"/>
                      <w:vertAlign w:val="baseline"/>
                      <w:lang w:val="en-US" w:eastAsia="zh-CN"/>
                    </w:rPr>
                    <w:t>类别</w:t>
                  </w:r>
                </w:p>
              </w:tc>
              <w:tc>
                <w:tcPr>
                  <w:tcW w:w="675" w:type="dxa"/>
                  <w:tcBorders>
                    <w:tl2br w:val="nil"/>
                    <w:tr2bl w:val="nil"/>
                  </w:tcBorders>
                  <w:vAlign w:val="center"/>
                </w:tcPr>
                <w:p w14:paraId="3A2037A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bCs/>
                      <w:color w:val="auto"/>
                      <w:sz w:val="21"/>
                      <w:szCs w:val="21"/>
                      <w:highlight w:val="none"/>
                      <w:vertAlign w:val="baseline"/>
                      <w:lang w:val="en-US" w:eastAsia="zh-CN"/>
                    </w:rPr>
                  </w:pPr>
                  <w:r>
                    <w:rPr>
                      <w:rFonts w:hint="eastAsia" w:cs="Times New Roman" w:eastAsiaTheme="minorEastAsia"/>
                      <w:b/>
                      <w:bCs/>
                      <w:color w:val="auto"/>
                      <w:sz w:val="21"/>
                      <w:szCs w:val="21"/>
                      <w:highlight w:val="none"/>
                      <w:vertAlign w:val="baseline"/>
                      <w:lang w:val="en-US" w:eastAsia="zh-CN"/>
                    </w:rPr>
                    <w:t>序号</w:t>
                  </w:r>
                </w:p>
              </w:tc>
              <w:tc>
                <w:tcPr>
                  <w:tcW w:w="1485" w:type="dxa"/>
                  <w:tcBorders>
                    <w:tl2br w:val="nil"/>
                    <w:tr2bl w:val="nil"/>
                  </w:tcBorders>
                  <w:vAlign w:val="center"/>
                </w:tcPr>
                <w:p w14:paraId="34189E7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bCs/>
                      <w:color w:val="auto"/>
                      <w:sz w:val="21"/>
                      <w:szCs w:val="21"/>
                      <w:highlight w:val="none"/>
                      <w:vertAlign w:val="baseline"/>
                      <w:lang w:val="en-US" w:eastAsia="zh-CN"/>
                    </w:rPr>
                  </w:pPr>
                  <w:r>
                    <w:rPr>
                      <w:rFonts w:hint="eastAsia" w:cs="Times New Roman" w:eastAsiaTheme="minorEastAsia"/>
                      <w:b/>
                      <w:bCs/>
                      <w:color w:val="auto"/>
                      <w:sz w:val="21"/>
                      <w:szCs w:val="21"/>
                      <w:highlight w:val="none"/>
                      <w:vertAlign w:val="baseline"/>
                      <w:lang w:val="en-US" w:eastAsia="zh-CN"/>
                    </w:rPr>
                    <w:t>名称</w:t>
                  </w:r>
                </w:p>
              </w:tc>
              <w:tc>
                <w:tcPr>
                  <w:tcW w:w="5416" w:type="dxa"/>
                  <w:tcBorders>
                    <w:tl2br w:val="nil"/>
                    <w:tr2bl w:val="nil"/>
                  </w:tcBorders>
                  <w:vAlign w:val="center"/>
                </w:tcPr>
                <w:p w14:paraId="150700E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cs="Times New Roman" w:eastAsiaTheme="minorEastAsia"/>
                      <w:b/>
                      <w:bCs/>
                      <w:color w:val="auto"/>
                      <w:sz w:val="21"/>
                      <w:szCs w:val="21"/>
                      <w:highlight w:val="none"/>
                      <w:vertAlign w:val="baseline"/>
                      <w:lang w:val="en-US" w:eastAsia="zh-CN"/>
                    </w:rPr>
                  </w:pPr>
                  <w:r>
                    <w:rPr>
                      <w:rFonts w:hint="eastAsia" w:cs="Times New Roman" w:eastAsiaTheme="minorEastAsia"/>
                      <w:b/>
                      <w:bCs/>
                      <w:color w:val="auto"/>
                      <w:sz w:val="21"/>
                      <w:szCs w:val="21"/>
                      <w:highlight w:val="none"/>
                      <w:vertAlign w:val="baseline"/>
                      <w:lang w:val="en-US" w:eastAsia="zh-CN"/>
                    </w:rPr>
                    <w:t>建设内容</w:t>
                  </w:r>
                </w:p>
              </w:tc>
            </w:tr>
            <w:tr w14:paraId="3D92604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2" w:type="dxa"/>
                  <w:vMerge w:val="restart"/>
                  <w:tcBorders>
                    <w:tl2br w:val="nil"/>
                    <w:tr2bl w:val="nil"/>
                  </w:tcBorders>
                  <w:vAlign w:val="center"/>
                </w:tcPr>
                <w:p w14:paraId="3C4E2DF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主体工程</w:t>
                  </w:r>
                </w:p>
              </w:tc>
              <w:tc>
                <w:tcPr>
                  <w:tcW w:w="675" w:type="dxa"/>
                  <w:tcBorders>
                    <w:tl2br w:val="nil"/>
                    <w:tr2bl w:val="nil"/>
                  </w:tcBorders>
                  <w:vAlign w:val="center"/>
                </w:tcPr>
                <w:p w14:paraId="7075ED4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1</w:t>
                  </w:r>
                </w:p>
              </w:tc>
              <w:tc>
                <w:tcPr>
                  <w:tcW w:w="1485" w:type="dxa"/>
                  <w:tcBorders>
                    <w:tl2br w:val="nil"/>
                    <w:tr2bl w:val="nil"/>
                  </w:tcBorders>
                  <w:vAlign w:val="center"/>
                </w:tcPr>
                <w:p w14:paraId="7873C10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门诊</w:t>
                  </w:r>
                </w:p>
              </w:tc>
              <w:tc>
                <w:tcPr>
                  <w:tcW w:w="5416" w:type="dxa"/>
                  <w:tcBorders>
                    <w:tl2br w:val="nil"/>
                    <w:tr2bl w:val="nil"/>
                  </w:tcBorders>
                  <w:vAlign w:val="center"/>
                </w:tcPr>
                <w:p w14:paraId="09DDF7B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主要设置的科室如下：</w:t>
                  </w:r>
                </w:p>
                <w:p w14:paraId="1F7B524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主要设置有中医内科、临床内科、皮肤科、影像科、骨伤科、针灸科、推拿科、耳鼻喉科、妇科、口腔科、中医诊室、处置室等，总建筑面积约144.4m</w:t>
                  </w:r>
                  <w:r>
                    <w:rPr>
                      <w:rFonts w:hint="eastAsia" w:cs="Times New Roman" w:eastAsiaTheme="minorEastAsia"/>
                      <w:b w:val="0"/>
                      <w:bCs w:val="0"/>
                      <w:color w:val="auto"/>
                      <w:sz w:val="21"/>
                      <w:szCs w:val="21"/>
                      <w:highlight w:val="none"/>
                      <w:vertAlign w:val="superscript"/>
                      <w:lang w:val="en-US" w:eastAsia="zh-CN"/>
                    </w:rPr>
                    <w:t>2</w:t>
                  </w:r>
                  <w:r>
                    <w:rPr>
                      <w:rFonts w:hint="eastAsia" w:cs="Times New Roman" w:eastAsiaTheme="minorEastAsia"/>
                      <w:b w:val="0"/>
                      <w:bCs w:val="0"/>
                      <w:color w:val="auto"/>
                      <w:sz w:val="21"/>
                      <w:szCs w:val="21"/>
                      <w:highlight w:val="none"/>
                      <w:vertAlign w:val="baseline"/>
                      <w:lang w:val="en-US" w:eastAsia="zh-CN"/>
                    </w:rPr>
                    <w:t>。</w:t>
                  </w:r>
                </w:p>
              </w:tc>
            </w:tr>
            <w:tr w14:paraId="0E15CCC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2" w:type="dxa"/>
                  <w:vMerge w:val="continue"/>
                  <w:tcBorders>
                    <w:tl2br w:val="nil"/>
                    <w:tr2bl w:val="nil"/>
                  </w:tcBorders>
                  <w:vAlign w:val="center"/>
                </w:tcPr>
                <w:p w14:paraId="2BC596C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p>
              </w:tc>
              <w:tc>
                <w:tcPr>
                  <w:tcW w:w="675" w:type="dxa"/>
                  <w:tcBorders>
                    <w:tl2br w:val="nil"/>
                    <w:tr2bl w:val="nil"/>
                  </w:tcBorders>
                  <w:vAlign w:val="center"/>
                </w:tcPr>
                <w:p w14:paraId="399557C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2</w:t>
                  </w:r>
                </w:p>
              </w:tc>
              <w:tc>
                <w:tcPr>
                  <w:tcW w:w="1485" w:type="dxa"/>
                  <w:tcBorders>
                    <w:tl2br w:val="nil"/>
                    <w:tr2bl w:val="nil"/>
                  </w:tcBorders>
                  <w:vAlign w:val="center"/>
                </w:tcPr>
                <w:p w14:paraId="4F7C677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医技科室</w:t>
                  </w:r>
                </w:p>
              </w:tc>
              <w:tc>
                <w:tcPr>
                  <w:tcW w:w="5416" w:type="dxa"/>
                  <w:tcBorders>
                    <w:tl2br w:val="nil"/>
                    <w:tr2bl w:val="nil"/>
                  </w:tcBorders>
                  <w:vAlign w:val="center"/>
                </w:tcPr>
                <w:p w14:paraId="14645BC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主要设置的科室如下：</w:t>
                  </w:r>
                </w:p>
                <w:p w14:paraId="1FC18F2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主要设置有检验科、超声诊断、心电图诊断，总建筑面积约42.9m</w:t>
                  </w:r>
                  <w:r>
                    <w:rPr>
                      <w:rFonts w:hint="eastAsia" w:cs="Times New Roman" w:eastAsiaTheme="minorEastAsia"/>
                      <w:b w:val="0"/>
                      <w:bCs w:val="0"/>
                      <w:color w:val="auto"/>
                      <w:sz w:val="21"/>
                      <w:szCs w:val="21"/>
                      <w:highlight w:val="none"/>
                      <w:vertAlign w:val="superscript"/>
                      <w:lang w:val="en-US" w:eastAsia="zh-CN"/>
                    </w:rPr>
                    <w:t>2</w:t>
                  </w:r>
                  <w:r>
                    <w:rPr>
                      <w:rFonts w:hint="eastAsia" w:cs="Times New Roman" w:eastAsiaTheme="minorEastAsia"/>
                      <w:b w:val="0"/>
                      <w:bCs w:val="0"/>
                      <w:color w:val="auto"/>
                      <w:sz w:val="21"/>
                      <w:szCs w:val="21"/>
                      <w:highlight w:val="none"/>
                      <w:vertAlign w:val="baseline"/>
                      <w:lang w:val="en-US" w:eastAsia="zh-CN"/>
                    </w:rPr>
                    <w:t>。</w:t>
                  </w:r>
                </w:p>
              </w:tc>
            </w:tr>
            <w:tr w14:paraId="05BF5C2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2" w:type="dxa"/>
                  <w:vMerge w:val="continue"/>
                  <w:tcBorders>
                    <w:tl2br w:val="nil"/>
                    <w:tr2bl w:val="nil"/>
                  </w:tcBorders>
                  <w:vAlign w:val="center"/>
                </w:tcPr>
                <w:p w14:paraId="2EFEB24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p>
              </w:tc>
              <w:tc>
                <w:tcPr>
                  <w:tcW w:w="675" w:type="dxa"/>
                  <w:tcBorders>
                    <w:tl2br w:val="nil"/>
                    <w:tr2bl w:val="nil"/>
                  </w:tcBorders>
                  <w:vAlign w:val="center"/>
                </w:tcPr>
                <w:p w14:paraId="1FC1EB4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3</w:t>
                  </w:r>
                </w:p>
              </w:tc>
              <w:tc>
                <w:tcPr>
                  <w:tcW w:w="1485" w:type="dxa"/>
                  <w:tcBorders>
                    <w:tl2br w:val="nil"/>
                    <w:tr2bl w:val="nil"/>
                  </w:tcBorders>
                  <w:vAlign w:val="center"/>
                </w:tcPr>
                <w:p w14:paraId="0B3FE3B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住院病房</w:t>
                  </w:r>
                </w:p>
              </w:tc>
              <w:tc>
                <w:tcPr>
                  <w:tcW w:w="5416" w:type="dxa"/>
                  <w:tcBorders>
                    <w:tl2br w:val="nil"/>
                    <w:tr2bl w:val="nil"/>
                  </w:tcBorders>
                  <w:vAlign w:val="center"/>
                </w:tcPr>
                <w:p w14:paraId="7C3AB46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设置住院病房5间，共设置20张床位，总建筑面积约127.5m</w:t>
                  </w:r>
                  <w:r>
                    <w:rPr>
                      <w:rFonts w:hint="eastAsia" w:cs="Times New Roman" w:eastAsiaTheme="minorEastAsia"/>
                      <w:b w:val="0"/>
                      <w:bCs w:val="0"/>
                      <w:color w:val="auto"/>
                      <w:sz w:val="21"/>
                      <w:szCs w:val="21"/>
                      <w:highlight w:val="none"/>
                      <w:vertAlign w:val="superscript"/>
                      <w:lang w:val="en-US" w:eastAsia="zh-CN"/>
                    </w:rPr>
                    <w:t>2</w:t>
                  </w:r>
                  <w:r>
                    <w:rPr>
                      <w:rFonts w:hint="eastAsia" w:cs="Times New Roman" w:eastAsiaTheme="minorEastAsia"/>
                      <w:b w:val="0"/>
                      <w:bCs w:val="0"/>
                      <w:color w:val="auto"/>
                      <w:sz w:val="21"/>
                      <w:szCs w:val="21"/>
                      <w:highlight w:val="none"/>
                      <w:vertAlign w:val="baseline"/>
                      <w:lang w:val="en-US" w:eastAsia="zh-CN"/>
                    </w:rPr>
                    <w:t>。</w:t>
                  </w:r>
                </w:p>
              </w:tc>
            </w:tr>
            <w:tr w14:paraId="2F5E41D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2" w:type="dxa"/>
                  <w:vMerge w:val="restart"/>
                  <w:tcBorders>
                    <w:tl2br w:val="nil"/>
                    <w:tr2bl w:val="nil"/>
                  </w:tcBorders>
                  <w:vAlign w:val="center"/>
                </w:tcPr>
                <w:p w14:paraId="4E83F2A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公用工程</w:t>
                  </w:r>
                </w:p>
              </w:tc>
              <w:tc>
                <w:tcPr>
                  <w:tcW w:w="675" w:type="dxa"/>
                  <w:tcBorders>
                    <w:tl2br w:val="nil"/>
                    <w:tr2bl w:val="nil"/>
                  </w:tcBorders>
                  <w:vAlign w:val="center"/>
                </w:tcPr>
                <w:p w14:paraId="7CAD1A5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1</w:t>
                  </w:r>
                </w:p>
              </w:tc>
              <w:tc>
                <w:tcPr>
                  <w:tcW w:w="1485" w:type="dxa"/>
                  <w:tcBorders>
                    <w:tl2br w:val="nil"/>
                    <w:tr2bl w:val="nil"/>
                  </w:tcBorders>
                  <w:vAlign w:val="center"/>
                </w:tcPr>
                <w:p w14:paraId="762D59C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给水</w:t>
                  </w:r>
                </w:p>
              </w:tc>
              <w:tc>
                <w:tcPr>
                  <w:tcW w:w="5416" w:type="dxa"/>
                  <w:tcBorders>
                    <w:tl2br w:val="nil"/>
                    <w:tr2bl w:val="nil"/>
                  </w:tcBorders>
                  <w:vAlign w:val="center"/>
                </w:tcPr>
                <w:p w14:paraId="04A0305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本项目用水由市政自来水管网供给。</w:t>
                  </w:r>
                </w:p>
              </w:tc>
            </w:tr>
            <w:tr w14:paraId="52BB2B4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2" w:type="dxa"/>
                  <w:vMerge w:val="continue"/>
                  <w:tcBorders>
                    <w:tl2br w:val="nil"/>
                    <w:tr2bl w:val="nil"/>
                  </w:tcBorders>
                  <w:vAlign w:val="center"/>
                </w:tcPr>
                <w:p w14:paraId="6F14C71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p>
              </w:tc>
              <w:tc>
                <w:tcPr>
                  <w:tcW w:w="675" w:type="dxa"/>
                  <w:tcBorders>
                    <w:tl2br w:val="nil"/>
                    <w:tr2bl w:val="nil"/>
                  </w:tcBorders>
                  <w:vAlign w:val="center"/>
                </w:tcPr>
                <w:p w14:paraId="7D5F349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2</w:t>
                  </w:r>
                </w:p>
              </w:tc>
              <w:tc>
                <w:tcPr>
                  <w:tcW w:w="1485" w:type="dxa"/>
                  <w:tcBorders>
                    <w:tl2br w:val="nil"/>
                    <w:tr2bl w:val="nil"/>
                  </w:tcBorders>
                  <w:vAlign w:val="center"/>
                </w:tcPr>
                <w:p w14:paraId="0C770A0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排水</w:t>
                  </w:r>
                </w:p>
              </w:tc>
              <w:tc>
                <w:tcPr>
                  <w:tcW w:w="5416" w:type="dxa"/>
                  <w:tcBorders>
                    <w:tl2br w:val="nil"/>
                    <w:tr2bl w:val="nil"/>
                  </w:tcBorders>
                  <w:vAlign w:val="center"/>
                </w:tcPr>
                <w:p w14:paraId="76244A4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本项目废水主要包括门诊废水、病房废水和卫生清扫废水，全部排水均视为医疗废水。废水经“新建独立化粪池+污水处理设施”处理后通过市政管网汇入清河再生水厂。</w:t>
                  </w:r>
                </w:p>
              </w:tc>
            </w:tr>
            <w:tr w14:paraId="1C3600B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2" w:type="dxa"/>
                  <w:vMerge w:val="continue"/>
                  <w:tcBorders>
                    <w:tl2br w:val="nil"/>
                    <w:tr2bl w:val="nil"/>
                  </w:tcBorders>
                  <w:vAlign w:val="center"/>
                </w:tcPr>
                <w:p w14:paraId="20D861C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p>
              </w:tc>
              <w:tc>
                <w:tcPr>
                  <w:tcW w:w="675" w:type="dxa"/>
                  <w:tcBorders>
                    <w:tl2br w:val="nil"/>
                    <w:tr2bl w:val="nil"/>
                  </w:tcBorders>
                  <w:vAlign w:val="center"/>
                </w:tcPr>
                <w:p w14:paraId="4B5C391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3</w:t>
                  </w:r>
                </w:p>
              </w:tc>
              <w:tc>
                <w:tcPr>
                  <w:tcW w:w="1485" w:type="dxa"/>
                  <w:tcBorders>
                    <w:tl2br w:val="nil"/>
                    <w:tr2bl w:val="nil"/>
                  </w:tcBorders>
                  <w:vAlign w:val="center"/>
                </w:tcPr>
                <w:p w14:paraId="0D9593D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供热、制冷</w:t>
                  </w:r>
                </w:p>
              </w:tc>
              <w:tc>
                <w:tcPr>
                  <w:tcW w:w="5416" w:type="dxa"/>
                  <w:tcBorders>
                    <w:tl2br w:val="nil"/>
                    <w:tr2bl w:val="nil"/>
                  </w:tcBorders>
                  <w:vAlign w:val="center"/>
                </w:tcPr>
                <w:p w14:paraId="3E852FE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本项目夏季制冷、冬季供热由自备中央空调提供。医院整体采用1组空调机组，位于项目北侧。</w:t>
                  </w:r>
                </w:p>
              </w:tc>
            </w:tr>
            <w:tr w14:paraId="3DE81F0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2" w:type="dxa"/>
                  <w:vMerge w:val="continue"/>
                  <w:tcBorders>
                    <w:tl2br w:val="nil"/>
                    <w:tr2bl w:val="nil"/>
                  </w:tcBorders>
                  <w:vAlign w:val="center"/>
                </w:tcPr>
                <w:p w14:paraId="569EDCA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p>
              </w:tc>
              <w:tc>
                <w:tcPr>
                  <w:tcW w:w="675" w:type="dxa"/>
                  <w:tcBorders>
                    <w:tl2br w:val="nil"/>
                    <w:tr2bl w:val="nil"/>
                  </w:tcBorders>
                  <w:vAlign w:val="center"/>
                </w:tcPr>
                <w:p w14:paraId="740BD99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4</w:t>
                  </w:r>
                </w:p>
              </w:tc>
              <w:tc>
                <w:tcPr>
                  <w:tcW w:w="1485" w:type="dxa"/>
                  <w:tcBorders>
                    <w:tl2br w:val="nil"/>
                    <w:tr2bl w:val="nil"/>
                  </w:tcBorders>
                  <w:vAlign w:val="center"/>
                </w:tcPr>
                <w:p w14:paraId="345FBFB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供电</w:t>
                  </w:r>
                </w:p>
              </w:tc>
              <w:tc>
                <w:tcPr>
                  <w:tcW w:w="5416" w:type="dxa"/>
                  <w:tcBorders>
                    <w:tl2br w:val="nil"/>
                    <w:tr2bl w:val="nil"/>
                  </w:tcBorders>
                  <w:vAlign w:val="center"/>
                </w:tcPr>
                <w:p w14:paraId="49FE632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本项目照明、设备、空调等用电由国家电网提供。本项目未计划建设柴油发电机房，如果后续拟增加柴油发电项目，应按照相关法律法规的要求申报行政许可手续。</w:t>
                  </w:r>
                </w:p>
              </w:tc>
            </w:tr>
            <w:tr w14:paraId="23EED57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2" w:type="dxa"/>
                  <w:vMerge w:val="restart"/>
                  <w:tcBorders>
                    <w:tl2br w:val="nil"/>
                    <w:tr2bl w:val="nil"/>
                  </w:tcBorders>
                  <w:vAlign w:val="center"/>
                </w:tcPr>
                <w:p w14:paraId="3F65AA9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辅助工程</w:t>
                  </w:r>
                </w:p>
              </w:tc>
              <w:tc>
                <w:tcPr>
                  <w:tcW w:w="675" w:type="dxa"/>
                  <w:tcBorders>
                    <w:tl2br w:val="nil"/>
                    <w:tr2bl w:val="nil"/>
                  </w:tcBorders>
                  <w:vAlign w:val="center"/>
                </w:tcPr>
                <w:p w14:paraId="47346B2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1</w:t>
                  </w:r>
                </w:p>
              </w:tc>
              <w:tc>
                <w:tcPr>
                  <w:tcW w:w="1485" w:type="dxa"/>
                  <w:tcBorders>
                    <w:tl2br w:val="nil"/>
                    <w:tr2bl w:val="nil"/>
                  </w:tcBorders>
                  <w:vAlign w:val="center"/>
                </w:tcPr>
                <w:p w14:paraId="247311F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行政管理</w:t>
                  </w:r>
                </w:p>
              </w:tc>
              <w:tc>
                <w:tcPr>
                  <w:tcW w:w="5416" w:type="dxa"/>
                  <w:tcBorders>
                    <w:tl2br w:val="nil"/>
                    <w:tr2bl w:val="nil"/>
                  </w:tcBorders>
                  <w:vAlign w:val="center"/>
                </w:tcPr>
                <w:p w14:paraId="5EC19AA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设置医保办、医护工作站、挂号收费室、监控网络机房、设备机房，总建筑面积约40.4m</w:t>
                  </w:r>
                  <w:r>
                    <w:rPr>
                      <w:rFonts w:hint="eastAsia" w:cs="Times New Roman" w:eastAsiaTheme="minorEastAsia"/>
                      <w:b w:val="0"/>
                      <w:bCs w:val="0"/>
                      <w:color w:val="auto"/>
                      <w:sz w:val="21"/>
                      <w:szCs w:val="21"/>
                      <w:highlight w:val="none"/>
                      <w:vertAlign w:val="superscript"/>
                      <w:lang w:val="en-US" w:eastAsia="zh-CN"/>
                    </w:rPr>
                    <w:t>2</w:t>
                  </w:r>
                  <w:r>
                    <w:rPr>
                      <w:rFonts w:hint="eastAsia" w:cs="Times New Roman" w:eastAsiaTheme="minorEastAsia"/>
                      <w:b w:val="0"/>
                      <w:bCs w:val="0"/>
                      <w:color w:val="auto"/>
                      <w:sz w:val="21"/>
                      <w:szCs w:val="21"/>
                      <w:highlight w:val="none"/>
                      <w:vertAlign w:val="baseline"/>
                      <w:lang w:val="en-US" w:eastAsia="zh-CN"/>
                    </w:rPr>
                    <w:t>。</w:t>
                  </w:r>
                </w:p>
              </w:tc>
            </w:tr>
            <w:tr w14:paraId="4D7EC7F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2" w:type="dxa"/>
                  <w:vMerge w:val="continue"/>
                  <w:tcBorders>
                    <w:tl2br w:val="nil"/>
                    <w:tr2bl w:val="nil"/>
                  </w:tcBorders>
                  <w:vAlign w:val="center"/>
                </w:tcPr>
                <w:p w14:paraId="71F649F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s="Times New Roman" w:eastAsiaTheme="minorEastAsia"/>
                      <w:b w:val="0"/>
                      <w:bCs w:val="0"/>
                      <w:color w:val="auto"/>
                      <w:sz w:val="21"/>
                      <w:szCs w:val="21"/>
                      <w:highlight w:val="none"/>
                      <w:vertAlign w:val="baseline"/>
                      <w:lang w:val="en-US" w:eastAsia="zh-CN"/>
                    </w:rPr>
                  </w:pPr>
                </w:p>
              </w:tc>
              <w:tc>
                <w:tcPr>
                  <w:tcW w:w="675" w:type="dxa"/>
                  <w:tcBorders>
                    <w:tl2br w:val="nil"/>
                    <w:tr2bl w:val="nil"/>
                  </w:tcBorders>
                  <w:vAlign w:val="center"/>
                </w:tcPr>
                <w:p w14:paraId="78ABEB9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2</w:t>
                  </w:r>
                </w:p>
              </w:tc>
              <w:tc>
                <w:tcPr>
                  <w:tcW w:w="1485" w:type="dxa"/>
                  <w:tcBorders>
                    <w:tl2br w:val="nil"/>
                    <w:tr2bl w:val="nil"/>
                  </w:tcBorders>
                  <w:vAlign w:val="center"/>
                </w:tcPr>
                <w:p w14:paraId="73314FA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中药房</w:t>
                  </w:r>
                </w:p>
              </w:tc>
              <w:tc>
                <w:tcPr>
                  <w:tcW w:w="5416" w:type="dxa"/>
                  <w:tcBorders>
                    <w:tl2br w:val="nil"/>
                    <w:tr2bl w:val="nil"/>
                  </w:tcBorders>
                  <w:vAlign w:val="center"/>
                </w:tcPr>
                <w:p w14:paraId="48CFEF2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设置中药房1间，建筑面积约26.2m</w:t>
                  </w:r>
                  <w:r>
                    <w:rPr>
                      <w:rFonts w:hint="eastAsia" w:cs="Times New Roman" w:eastAsiaTheme="minorEastAsia"/>
                      <w:b w:val="0"/>
                      <w:bCs w:val="0"/>
                      <w:color w:val="auto"/>
                      <w:sz w:val="21"/>
                      <w:szCs w:val="21"/>
                      <w:highlight w:val="none"/>
                      <w:vertAlign w:val="superscript"/>
                      <w:lang w:val="en-US" w:eastAsia="zh-CN"/>
                    </w:rPr>
                    <w:t>2</w:t>
                  </w:r>
                  <w:r>
                    <w:rPr>
                      <w:rFonts w:hint="eastAsia" w:cs="Times New Roman" w:eastAsiaTheme="minorEastAsia"/>
                      <w:b w:val="0"/>
                      <w:bCs w:val="0"/>
                      <w:color w:val="auto"/>
                      <w:sz w:val="21"/>
                      <w:szCs w:val="21"/>
                      <w:highlight w:val="none"/>
                      <w:vertAlign w:val="baseline"/>
                      <w:lang w:val="en-US" w:eastAsia="zh-CN"/>
                    </w:rPr>
                    <w:t>，为患者提供配药服务同时用于存放中草药。</w:t>
                  </w:r>
                </w:p>
              </w:tc>
            </w:tr>
            <w:tr w14:paraId="4FCF49B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2" w:type="dxa"/>
                  <w:vMerge w:val="continue"/>
                  <w:tcBorders>
                    <w:tl2br w:val="nil"/>
                    <w:tr2bl w:val="nil"/>
                  </w:tcBorders>
                  <w:vAlign w:val="center"/>
                </w:tcPr>
                <w:p w14:paraId="23E78D2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s="Times New Roman" w:eastAsiaTheme="minorEastAsia"/>
                      <w:b w:val="0"/>
                      <w:bCs w:val="0"/>
                      <w:color w:val="auto"/>
                      <w:sz w:val="21"/>
                      <w:szCs w:val="21"/>
                      <w:highlight w:val="none"/>
                      <w:vertAlign w:val="baseline"/>
                      <w:lang w:val="en-US" w:eastAsia="zh-CN"/>
                    </w:rPr>
                  </w:pPr>
                </w:p>
              </w:tc>
              <w:tc>
                <w:tcPr>
                  <w:tcW w:w="675" w:type="dxa"/>
                  <w:tcBorders>
                    <w:tl2br w:val="nil"/>
                    <w:tr2bl w:val="nil"/>
                  </w:tcBorders>
                  <w:vAlign w:val="center"/>
                </w:tcPr>
                <w:p w14:paraId="033FDFF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3</w:t>
                  </w:r>
                </w:p>
              </w:tc>
              <w:tc>
                <w:tcPr>
                  <w:tcW w:w="1485" w:type="dxa"/>
                  <w:tcBorders>
                    <w:tl2br w:val="nil"/>
                    <w:tr2bl w:val="nil"/>
                  </w:tcBorders>
                  <w:vAlign w:val="center"/>
                </w:tcPr>
                <w:p w14:paraId="3E05CCB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西药房</w:t>
                  </w:r>
                </w:p>
              </w:tc>
              <w:tc>
                <w:tcPr>
                  <w:tcW w:w="5416" w:type="dxa"/>
                  <w:tcBorders>
                    <w:tl2br w:val="nil"/>
                    <w:tr2bl w:val="nil"/>
                  </w:tcBorders>
                  <w:vAlign w:val="center"/>
                </w:tcPr>
                <w:p w14:paraId="2DCCD09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设置西药房1间，建筑面积约14.7m</w:t>
                  </w:r>
                  <w:r>
                    <w:rPr>
                      <w:rFonts w:hint="eastAsia" w:cs="Times New Roman" w:eastAsiaTheme="minorEastAsia"/>
                      <w:b w:val="0"/>
                      <w:bCs w:val="0"/>
                      <w:color w:val="auto"/>
                      <w:sz w:val="21"/>
                      <w:szCs w:val="21"/>
                      <w:highlight w:val="none"/>
                      <w:vertAlign w:val="superscript"/>
                      <w:lang w:val="en-US" w:eastAsia="zh-CN"/>
                    </w:rPr>
                    <w:t>2</w:t>
                  </w:r>
                  <w:r>
                    <w:rPr>
                      <w:rFonts w:hint="eastAsia" w:cs="Times New Roman" w:eastAsiaTheme="minorEastAsia"/>
                      <w:b w:val="0"/>
                      <w:bCs w:val="0"/>
                      <w:color w:val="auto"/>
                      <w:sz w:val="21"/>
                      <w:szCs w:val="21"/>
                      <w:highlight w:val="none"/>
                      <w:vertAlign w:val="baseline"/>
                      <w:lang w:val="en-US" w:eastAsia="zh-CN"/>
                    </w:rPr>
                    <w:t>，为患者提供配药服务同时用于存放医药等。</w:t>
                  </w:r>
                </w:p>
              </w:tc>
            </w:tr>
            <w:tr w14:paraId="28E62FB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2" w:type="dxa"/>
                  <w:vMerge w:val="restart"/>
                  <w:tcBorders>
                    <w:tl2br w:val="nil"/>
                    <w:tr2bl w:val="nil"/>
                  </w:tcBorders>
                  <w:vAlign w:val="center"/>
                </w:tcPr>
                <w:p w14:paraId="09B3854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环保工程</w:t>
                  </w:r>
                </w:p>
              </w:tc>
              <w:tc>
                <w:tcPr>
                  <w:tcW w:w="675" w:type="dxa"/>
                  <w:tcBorders>
                    <w:tl2br w:val="nil"/>
                    <w:tr2bl w:val="nil"/>
                  </w:tcBorders>
                  <w:vAlign w:val="center"/>
                </w:tcPr>
                <w:p w14:paraId="59C7868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1</w:t>
                  </w:r>
                </w:p>
              </w:tc>
              <w:tc>
                <w:tcPr>
                  <w:tcW w:w="1485" w:type="dxa"/>
                  <w:tcBorders>
                    <w:tl2br w:val="nil"/>
                    <w:tr2bl w:val="nil"/>
                  </w:tcBorders>
                  <w:vAlign w:val="center"/>
                </w:tcPr>
                <w:p w14:paraId="332C234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废气</w:t>
                  </w:r>
                </w:p>
              </w:tc>
              <w:tc>
                <w:tcPr>
                  <w:tcW w:w="5416" w:type="dxa"/>
                  <w:tcBorders>
                    <w:tl2br w:val="nil"/>
                    <w:tr2bl w:val="nil"/>
                  </w:tcBorders>
                  <w:vAlign w:val="center"/>
                </w:tcPr>
                <w:p w14:paraId="054B6CC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污水处理设施采取一级强化处理工艺，一体化地埋式结构，上方定期喷洒除臭剂。</w:t>
                  </w:r>
                </w:p>
              </w:tc>
            </w:tr>
            <w:tr w14:paraId="4F6CF8E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2" w:type="dxa"/>
                  <w:vMerge w:val="continue"/>
                  <w:tcBorders>
                    <w:tl2br w:val="nil"/>
                    <w:tr2bl w:val="nil"/>
                  </w:tcBorders>
                  <w:vAlign w:val="center"/>
                </w:tcPr>
                <w:p w14:paraId="0A1820D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p>
              </w:tc>
              <w:tc>
                <w:tcPr>
                  <w:tcW w:w="675" w:type="dxa"/>
                  <w:tcBorders>
                    <w:tl2br w:val="nil"/>
                    <w:tr2bl w:val="nil"/>
                  </w:tcBorders>
                  <w:vAlign w:val="center"/>
                </w:tcPr>
                <w:p w14:paraId="5FF78C7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2</w:t>
                  </w:r>
                </w:p>
              </w:tc>
              <w:tc>
                <w:tcPr>
                  <w:tcW w:w="1485" w:type="dxa"/>
                  <w:tcBorders>
                    <w:tl2br w:val="nil"/>
                    <w:tr2bl w:val="nil"/>
                  </w:tcBorders>
                  <w:vAlign w:val="center"/>
                </w:tcPr>
                <w:p w14:paraId="448D940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废水</w:t>
                  </w:r>
                </w:p>
              </w:tc>
              <w:tc>
                <w:tcPr>
                  <w:tcW w:w="5416" w:type="dxa"/>
                  <w:tcBorders>
                    <w:tl2br w:val="nil"/>
                    <w:tr2bl w:val="nil"/>
                  </w:tcBorders>
                  <w:vAlign w:val="center"/>
                </w:tcPr>
                <w:p w14:paraId="601275B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本项目废水主要包括门诊废水、病房废水和卫生清扫废水，全部排水均视为医疗废水。废水经“新建独立化粪池+污水处理设施”处理后通过市政管网汇入清河再生水厂。污水处理设施采用“格栅+调节+絮凝沉淀+消毒”工艺，设计处理规模为7m</w:t>
                  </w:r>
                  <w:r>
                    <w:rPr>
                      <w:rFonts w:hint="eastAsia" w:cs="Times New Roman" w:eastAsiaTheme="minorEastAsia"/>
                      <w:b w:val="0"/>
                      <w:bCs w:val="0"/>
                      <w:color w:val="auto"/>
                      <w:sz w:val="21"/>
                      <w:szCs w:val="21"/>
                      <w:highlight w:val="none"/>
                      <w:vertAlign w:val="superscript"/>
                      <w:lang w:val="en-US" w:eastAsia="zh-CN"/>
                    </w:rPr>
                    <w:t>3</w:t>
                  </w:r>
                  <w:r>
                    <w:rPr>
                      <w:rFonts w:hint="eastAsia" w:cs="Times New Roman" w:eastAsiaTheme="minorEastAsia"/>
                      <w:b w:val="0"/>
                      <w:bCs w:val="0"/>
                      <w:color w:val="auto"/>
                      <w:sz w:val="21"/>
                      <w:szCs w:val="21"/>
                      <w:highlight w:val="none"/>
                      <w:vertAlign w:val="baseline"/>
                      <w:lang w:val="en-US" w:eastAsia="zh-CN"/>
                    </w:rPr>
                    <w:t>/d。</w:t>
                  </w:r>
                </w:p>
              </w:tc>
            </w:tr>
            <w:tr w14:paraId="229AAA9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2" w:type="dxa"/>
                  <w:vMerge w:val="continue"/>
                  <w:tcBorders>
                    <w:tl2br w:val="nil"/>
                    <w:tr2bl w:val="nil"/>
                  </w:tcBorders>
                  <w:vAlign w:val="center"/>
                </w:tcPr>
                <w:p w14:paraId="0028D49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p>
              </w:tc>
              <w:tc>
                <w:tcPr>
                  <w:tcW w:w="675" w:type="dxa"/>
                  <w:tcBorders>
                    <w:tl2br w:val="nil"/>
                    <w:tr2bl w:val="nil"/>
                  </w:tcBorders>
                  <w:vAlign w:val="center"/>
                </w:tcPr>
                <w:p w14:paraId="3AC3588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3</w:t>
                  </w:r>
                </w:p>
              </w:tc>
              <w:tc>
                <w:tcPr>
                  <w:tcW w:w="1485" w:type="dxa"/>
                  <w:tcBorders>
                    <w:tl2br w:val="nil"/>
                    <w:tr2bl w:val="nil"/>
                  </w:tcBorders>
                  <w:vAlign w:val="center"/>
                </w:tcPr>
                <w:p w14:paraId="4D35B5F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噪声</w:t>
                  </w:r>
                </w:p>
              </w:tc>
              <w:tc>
                <w:tcPr>
                  <w:tcW w:w="5416" w:type="dxa"/>
                  <w:tcBorders>
                    <w:tl2br w:val="nil"/>
                    <w:tr2bl w:val="nil"/>
                  </w:tcBorders>
                  <w:vAlign w:val="center"/>
                </w:tcPr>
                <w:p w14:paraId="0B08992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选用低噪声设备、合理布局、隔声等降噪措施</w:t>
                  </w:r>
                </w:p>
              </w:tc>
            </w:tr>
            <w:tr w14:paraId="4A1DD71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2" w:type="dxa"/>
                  <w:vMerge w:val="continue"/>
                  <w:tcBorders>
                    <w:tl2br w:val="nil"/>
                    <w:tr2bl w:val="nil"/>
                  </w:tcBorders>
                  <w:vAlign w:val="center"/>
                </w:tcPr>
                <w:p w14:paraId="63A30D5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p>
              </w:tc>
              <w:tc>
                <w:tcPr>
                  <w:tcW w:w="675" w:type="dxa"/>
                  <w:tcBorders>
                    <w:tl2br w:val="nil"/>
                    <w:tr2bl w:val="nil"/>
                  </w:tcBorders>
                  <w:vAlign w:val="center"/>
                </w:tcPr>
                <w:p w14:paraId="09E8728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4</w:t>
                  </w:r>
                </w:p>
              </w:tc>
              <w:tc>
                <w:tcPr>
                  <w:tcW w:w="1485" w:type="dxa"/>
                  <w:tcBorders>
                    <w:tl2br w:val="nil"/>
                    <w:tr2bl w:val="nil"/>
                  </w:tcBorders>
                  <w:vAlign w:val="center"/>
                </w:tcPr>
                <w:p w14:paraId="3B82594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固体废物</w:t>
                  </w:r>
                </w:p>
              </w:tc>
              <w:tc>
                <w:tcPr>
                  <w:tcW w:w="5416" w:type="dxa"/>
                  <w:tcBorders>
                    <w:tl2br w:val="nil"/>
                    <w:tr2bl w:val="nil"/>
                  </w:tcBorders>
                  <w:vAlign w:val="center"/>
                </w:tcPr>
                <w:p w14:paraId="0BAF035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①生活垃圾</w:t>
                  </w:r>
                </w:p>
                <w:p w14:paraId="3378F00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对生活垃圾进行分类收集，分类存放，由环卫部门清运处理。</w:t>
                  </w:r>
                </w:p>
                <w:p w14:paraId="6FBC32E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②一般固体废物</w:t>
                  </w:r>
                </w:p>
                <w:p w14:paraId="31A0EE3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医院使用的各类物品的外包装废物等经分类收集后由生产厂家或废品收购厂家回收再利用。</w:t>
                  </w:r>
                </w:p>
                <w:p w14:paraId="4D4C03C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③危险废物</w:t>
                  </w:r>
                </w:p>
                <w:p w14:paraId="03D9EFB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本项目设置1间医疗废物暂存间（建筑面积2.5m</w:t>
                  </w:r>
                  <w:r>
                    <w:rPr>
                      <w:rFonts w:hint="eastAsia" w:cs="Times New Roman" w:eastAsiaTheme="minorEastAsia"/>
                      <w:b w:val="0"/>
                      <w:bCs w:val="0"/>
                      <w:color w:val="auto"/>
                      <w:sz w:val="21"/>
                      <w:szCs w:val="21"/>
                      <w:highlight w:val="none"/>
                      <w:vertAlign w:val="superscript"/>
                      <w:lang w:val="en-US" w:eastAsia="zh-CN"/>
                    </w:rPr>
                    <w:t>2</w:t>
                  </w:r>
                  <w:r>
                    <w:rPr>
                      <w:rFonts w:hint="eastAsia" w:cs="Times New Roman" w:eastAsiaTheme="minorEastAsia"/>
                      <w:b w:val="0"/>
                      <w:bCs w:val="0"/>
                      <w:color w:val="auto"/>
                      <w:sz w:val="21"/>
                      <w:szCs w:val="21"/>
                      <w:highlight w:val="none"/>
                      <w:vertAlign w:val="baseline"/>
                      <w:lang w:val="en-US" w:eastAsia="zh-CN"/>
                    </w:rPr>
                    <w:t>）。</w:t>
                  </w:r>
                </w:p>
                <w:p w14:paraId="342E1C4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（HW01）医疗废物：医院医疗处置过程中产生的感染性废物、损伤性废物、药物性废物、化学性废物，分类收集后。暂存至医疗废物暂存间，委托资质单位定期清运处置。</w:t>
                  </w:r>
                </w:p>
                <w:p w14:paraId="245E472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（HW49）其他危险废物：门诊和病房日常消毒产生的消毒剂沾染物，暂存至医疗废物暂存间，委托资质单位定期清运处置。</w:t>
                  </w:r>
                </w:p>
                <w:p w14:paraId="7188761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（HW49）其他危险废物：污水处理设施产生的栅渣、污泥、化粪池污泥，定期委托资质单位清掏清运。</w:t>
                  </w:r>
                </w:p>
              </w:tc>
            </w:tr>
          </w:tbl>
          <w:p w14:paraId="246CC304">
            <w:pPr>
              <w:pStyle w:val="33"/>
              <w:keepNext w:val="0"/>
              <w:keepLines w:val="0"/>
              <w:suppressLineNumbers w:val="0"/>
              <w:bidi w:val="0"/>
              <w:spacing w:before="0" w:beforeAutospacing="0" w:after="0" w:afterAutospacing="0"/>
              <w:ind w:left="0" w:right="0"/>
              <w:rPr>
                <w:rFonts w:hint="default"/>
                <w:lang w:val="en-US" w:eastAsia="zh-CN"/>
              </w:rPr>
            </w:pPr>
            <w:r>
              <w:rPr>
                <w:rFonts w:hint="eastAsia"/>
                <w:lang w:val="en-US" w:eastAsia="zh-CN"/>
              </w:rPr>
              <w:t>注：本项目不设置洗衣房，需洗涤消毒的物品外委相关机构。</w:t>
            </w:r>
          </w:p>
          <w:p w14:paraId="3844B8A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cs="Times New Roman" w:eastAsiaTheme="minorEastAsia"/>
                <w:b w:val="0"/>
                <w:bCs w:val="0"/>
                <w:color w:val="auto"/>
                <w:sz w:val="24"/>
                <w:highlight w:val="none"/>
                <w:lang w:val="en-US" w:eastAsia="zh-CN"/>
              </w:rPr>
            </w:pPr>
            <w:r>
              <w:rPr>
                <w:rFonts w:hint="eastAsia" w:cs="Times New Roman" w:eastAsiaTheme="minorEastAsia"/>
                <w:b w:val="0"/>
                <w:bCs w:val="0"/>
                <w:color w:val="auto"/>
                <w:sz w:val="24"/>
                <w:highlight w:val="none"/>
                <w:lang w:val="en-US" w:eastAsia="zh-CN"/>
              </w:rPr>
              <w:t>2、主要设备清单</w:t>
            </w:r>
          </w:p>
          <w:p w14:paraId="1E2C780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cs="Times New Roman" w:eastAsiaTheme="minorEastAsia"/>
                <w:b w:val="0"/>
                <w:bCs w:val="0"/>
                <w:color w:val="auto"/>
                <w:sz w:val="24"/>
                <w:highlight w:val="none"/>
                <w:lang w:val="en-US" w:eastAsia="zh-CN"/>
              </w:rPr>
            </w:pPr>
            <w:r>
              <w:rPr>
                <w:rFonts w:hint="eastAsia" w:cs="Times New Roman" w:eastAsiaTheme="minorEastAsia"/>
                <w:b w:val="0"/>
                <w:bCs w:val="0"/>
                <w:color w:val="auto"/>
                <w:sz w:val="24"/>
                <w:highlight w:val="none"/>
                <w:lang w:val="en-US" w:eastAsia="zh-CN"/>
              </w:rPr>
              <w:t>本项目主要设备清单见下表。</w:t>
            </w:r>
          </w:p>
          <w:p w14:paraId="5003676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0" w:firstLineChars="0"/>
              <w:jc w:val="center"/>
              <w:textAlignment w:val="auto"/>
              <w:rPr>
                <w:rFonts w:hint="default" w:ascii="Times New Roman" w:hAnsi="Times New Roman" w:cs="Times New Roman" w:eastAsiaTheme="minorEastAsia"/>
                <w:b w:val="0"/>
                <w:bCs w:val="0"/>
                <w:color w:val="auto"/>
                <w:sz w:val="24"/>
                <w:highlight w:val="none"/>
                <w:lang w:val="en-US" w:eastAsia="zh-CN"/>
              </w:rPr>
            </w:pPr>
            <w:r>
              <w:rPr>
                <w:rFonts w:hint="eastAsia" w:cs="Times New Roman" w:eastAsiaTheme="minorEastAsia"/>
                <w:b/>
                <w:bCs/>
                <w:color w:val="auto"/>
                <w:sz w:val="21"/>
                <w:szCs w:val="21"/>
                <w:highlight w:val="none"/>
                <w:lang w:val="en-US" w:eastAsia="zh-CN"/>
              </w:rPr>
              <w:t>表2-3 主要生产设备一览表</w:t>
            </w:r>
          </w:p>
          <w:tbl>
            <w:tblPr>
              <w:tblStyle w:val="13"/>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27"/>
              <w:gridCol w:w="3503"/>
              <w:gridCol w:w="2291"/>
              <w:gridCol w:w="1637"/>
            </w:tblGrid>
            <w:tr w14:paraId="2E52056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7" w:type="dxa"/>
                  <w:tcBorders>
                    <w:tl2br w:val="nil"/>
                    <w:tr2bl w:val="nil"/>
                  </w:tcBorders>
                  <w:vAlign w:val="center"/>
                </w:tcPr>
                <w:p w14:paraId="1664147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bCs/>
                      <w:color w:val="auto"/>
                      <w:sz w:val="21"/>
                      <w:szCs w:val="21"/>
                      <w:highlight w:val="none"/>
                      <w:vertAlign w:val="baseline"/>
                      <w:lang w:val="en-US" w:eastAsia="zh-CN"/>
                    </w:rPr>
                  </w:pPr>
                  <w:r>
                    <w:rPr>
                      <w:rFonts w:hint="eastAsia" w:cs="Times New Roman" w:eastAsiaTheme="minorEastAsia"/>
                      <w:b/>
                      <w:bCs/>
                      <w:color w:val="auto"/>
                      <w:sz w:val="21"/>
                      <w:szCs w:val="21"/>
                      <w:highlight w:val="none"/>
                      <w:vertAlign w:val="baseline"/>
                      <w:lang w:val="en-US" w:eastAsia="zh-CN"/>
                    </w:rPr>
                    <w:t>序号</w:t>
                  </w:r>
                </w:p>
              </w:tc>
              <w:tc>
                <w:tcPr>
                  <w:tcW w:w="3503" w:type="dxa"/>
                  <w:tcBorders>
                    <w:tl2br w:val="nil"/>
                    <w:tr2bl w:val="nil"/>
                  </w:tcBorders>
                  <w:vAlign w:val="center"/>
                </w:tcPr>
                <w:p w14:paraId="582B104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bCs/>
                      <w:color w:val="auto"/>
                      <w:sz w:val="21"/>
                      <w:szCs w:val="21"/>
                      <w:highlight w:val="none"/>
                      <w:vertAlign w:val="baseline"/>
                      <w:lang w:val="en-US" w:eastAsia="zh-CN"/>
                    </w:rPr>
                  </w:pPr>
                  <w:r>
                    <w:rPr>
                      <w:rFonts w:hint="eastAsia" w:cs="Times New Roman" w:eastAsiaTheme="minorEastAsia"/>
                      <w:b/>
                      <w:bCs/>
                      <w:color w:val="auto"/>
                      <w:sz w:val="21"/>
                      <w:szCs w:val="21"/>
                      <w:highlight w:val="none"/>
                      <w:vertAlign w:val="baseline"/>
                      <w:lang w:val="en-US" w:eastAsia="zh-CN"/>
                    </w:rPr>
                    <w:t>设备名称</w:t>
                  </w:r>
                </w:p>
              </w:tc>
              <w:tc>
                <w:tcPr>
                  <w:tcW w:w="2291" w:type="dxa"/>
                  <w:tcBorders>
                    <w:tl2br w:val="nil"/>
                    <w:tr2bl w:val="nil"/>
                  </w:tcBorders>
                  <w:vAlign w:val="center"/>
                </w:tcPr>
                <w:p w14:paraId="7558D23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bCs/>
                      <w:color w:val="auto"/>
                      <w:sz w:val="21"/>
                      <w:szCs w:val="21"/>
                      <w:highlight w:val="none"/>
                      <w:vertAlign w:val="baseline"/>
                      <w:lang w:val="en-US" w:eastAsia="zh-CN"/>
                    </w:rPr>
                  </w:pPr>
                  <w:r>
                    <w:rPr>
                      <w:rFonts w:hint="eastAsia" w:cs="Times New Roman" w:eastAsiaTheme="minorEastAsia"/>
                      <w:b/>
                      <w:bCs/>
                      <w:color w:val="auto"/>
                      <w:sz w:val="21"/>
                      <w:szCs w:val="21"/>
                      <w:highlight w:val="none"/>
                      <w:vertAlign w:val="baseline"/>
                      <w:lang w:val="en-US" w:eastAsia="zh-CN"/>
                    </w:rPr>
                    <w:t>设备数量</w:t>
                  </w:r>
                </w:p>
              </w:tc>
              <w:tc>
                <w:tcPr>
                  <w:tcW w:w="1637" w:type="dxa"/>
                  <w:tcBorders>
                    <w:tl2br w:val="nil"/>
                    <w:tr2bl w:val="nil"/>
                  </w:tcBorders>
                  <w:vAlign w:val="center"/>
                </w:tcPr>
                <w:p w14:paraId="1070416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bCs/>
                      <w:color w:val="auto"/>
                      <w:sz w:val="21"/>
                      <w:szCs w:val="21"/>
                      <w:highlight w:val="none"/>
                      <w:vertAlign w:val="baseline"/>
                      <w:lang w:val="en-US" w:eastAsia="zh-CN"/>
                    </w:rPr>
                  </w:pPr>
                  <w:r>
                    <w:rPr>
                      <w:rFonts w:hint="eastAsia" w:cs="Times New Roman" w:eastAsiaTheme="minorEastAsia"/>
                      <w:b/>
                      <w:bCs/>
                      <w:color w:val="auto"/>
                      <w:sz w:val="21"/>
                      <w:szCs w:val="21"/>
                      <w:highlight w:val="none"/>
                      <w:vertAlign w:val="baseline"/>
                      <w:lang w:val="en-US" w:eastAsia="zh-CN"/>
                    </w:rPr>
                    <w:t>单位</w:t>
                  </w:r>
                </w:p>
              </w:tc>
            </w:tr>
            <w:tr w14:paraId="1EF7C91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7" w:type="dxa"/>
                  <w:tcBorders>
                    <w:tl2br w:val="nil"/>
                    <w:tr2bl w:val="nil"/>
                  </w:tcBorders>
                  <w:vAlign w:val="center"/>
                </w:tcPr>
                <w:p w14:paraId="0E703F1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1</w:t>
                  </w:r>
                </w:p>
              </w:tc>
              <w:tc>
                <w:tcPr>
                  <w:tcW w:w="3503" w:type="dxa"/>
                  <w:tcBorders>
                    <w:tl2br w:val="nil"/>
                    <w:tr2bl w:val="nil"/>
                  </w:tcBorders>
                  <w:vAlign w:val="center"/>
                </w:tcPr>
                <w:p w14:paraId="4D7044B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kern w:val="2"/>
                      <w:sz w:val="21"/>
                      <w:szCs w:val="21"/>
                      <w:highlight w:val="none"/>
                      <w:vertAlign w:val="baseline"/>
                      <w:lang w:val="en-US" w:eastAsia="zh-CN" w:bidi="ar-SA"/>
                    </w:rPr>
                    <w:t>抢救床</w:t>
                  </w:r>
                </w:p>
              </w:tc>
              <w:tc>
                <w:tcPr>
                  <w:tcW w:w="2291" w:type="dxa"/>
                  <w:tcBorders>
                    <w:tl2br w:val="nil"/>
                    <w:tr2bl w:val="nil"/>
                  </w:tcBorders>
                  <w:vAlign w:val="center"/>
                </w:tcPr>
                <w:p w14:paraId="4EA5E73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1</w:t>
                  </w:r>
                </w:p>
              </w:tc>
              <w:tc>
                <w:tcPr>
                  <w:tcW w:w="1637" w:type="dxa"/>
                  <w:tcBorders>
                    <w:tl2br w:val="nil"/>
                    <w:tr2bl w:val="nil"/>
                  </w:tcBorders>
                  <w:vAlign w:val="center"/>
                </w:tcPr>
                <w:p w14:paraId="61456E1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台</w:t>
                  </w:r>
                </w:p>
              </w:tc>
            </w:tr>
            <w:tr w14:paraId="5EFD4A7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7" w:type="dxa"/>
                  <w:tcBorders>
                    <w:tl2br w:val="nil"/>
                    <w:tr2bl w:val="nil"/>
                  </w:tcBorders>
                  <w:vAlign w:val="center"/>
                </w:tcPr>
                <w:p w14:paraId="59CFC70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2</w:t>
                  </w:r>
                </w:p>
              </w:tc>
              <w:tc>
                <w:tcPr>
                  <w:tcW w:w="3503" w:type="dxa"/>
                  <w:tcBorders>
                    <w:tl2br w:val="nil"/>
                    <w:tr2bl w:val="nil"/>
                  </w:tcBorders>
                  <w:shd w:val="clear" w:color="auto" w:fill="auto"/>
                  <w:vAlign w:val="center"/>
                </w:tcPr>
                <w:p w14:paraId="0F4B4AA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kern w:val="2"/>
                      <w:sz w:val="21"/>
                      <w:szCs w:val="21"/>
                      <w:highlight w:val="none"/>
                      <w:vertAlign w:val="baseline"/>
                      <w:lang w:val="en-US" w:eastAsia="zh-CN" w:bidi="ar-SA"/>
                    </w:rPr>
                    <w:t>平车</w:t>
                  </w:r>
                </w:p>
              </w:tc>
              <w:tc>
                <w:tcPr>
                  <w:tcW w:w="2291" w:type="dxa"/>
                  <w:tcBorders>
                    <w:tl2br w:val="nil"/>
                    <w:tr2bl w:val="nil"/>
                  </w:tcBorders>
                  <w:shd w:val="clear" w:color="auto" w:fill="auto"/>
                  <w:vAlign w:val="center"/>
                </w:tcPr>
                <w:p w14:paraId="5E8378E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sz w:val="21"/>
                      <w:szCs w:val="21"/>
                      <w:highlight w:val="none"/>
                      <w:vertAlign w:val="baseline"/>
                      <w:lang w:val="en-US" w:eastAsia="zh-CN"/>
                    </w:rPr>
                    <w:t>1</w:t>
                  </w:r>
                </w:p>
              </w:tc>
              <w:tc>
                <w:tcPr>
                  <w:tcW w:w="1637" w:type="dxa"/>
                  <w:tcBorders>
                    <w:tl2br w:val="nil"/>
                    <w:tr2bl w:val="nil"/>
                  </w:tcBorders>
                  <w:shd w:val="clear" w:color="auto" w:fill="auto"/>
                  <w:vAlign w:val="center"/>
                </w:tcPr>
                <w:p w14:paraId="43EF69F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sz w:val="21"/>
                      <w:szCs w:val="21"/>
                      <w:highlight w:val="none"/>
                      <w:vertAlign w:val="baseline"/>
                      <w:lang w:val="en-US" w:eastAsia="zh-CN"/>
                    </w:rPr>
                    <w:t>台</w:t>
                  </w:r>
                </w:p>
              </w:tc>
            </w:tr>
            <w:tr w14:paraId="4B7C321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7" w:type="dxa"/>
                  <w:tcBorders>
                    <w:tl2br w:val="nil"/>
                    <w:tr2bl w:val="nil"/>
                  </w:tcBorders>
                  <w:vAlign w:val="center"/>
                </w:tcPr>
                <w:p w14:paraId="04D889F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3</w:t>
                  </w:r>
                </w:p>
              </w:tc>
              <w:tc>
                <w:tcPr>
                  <w:tcW w:w="3503" w:type="dxa"/>
                  <w:tcBorders>
                    <w:tl2br w:val="nil"/>
                    <w:tr2bl w:val="nil"/>
                  </w:tcBorders>
                  <w:shd w:val="clear" w:color="auto" w:fill="auto"/>
                  <w:vAlign w:val="center"/>
                </w:tcPr>
                <w:p w14:paraId="0F334EA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kern w:val="2"/>
                      <w:sz w:val="21"/>
                      <w:szCs w:val="21"/>
                      <w:highlight w:val="none"/>
                      <w:vertAlign w:val="baseline"/>
                      <w:lang w:val="en-US" w:eastAsia="zh-CN" w:bidi="ar-SA"/>
                    </w:rPr>
                    <w:t>治疗车</w:t>
                  </w:r>
                </w:p>
              </w:tc>
              <w:tc>
                <w:tcPr>
                  <w:tcW w:w="2291" w:type="dxa"/>
                  <w:tcBorders>
                    <w:tl2br w:val="nil"/>
                    <w:tr2bl w:val="nil"/>
                  </w:tcBorders>
                  <w:shd w:val="clear" w:color="auto" w:fill="auto"/>
                  <w:vAlign w:val="center"/>
                </w:tcPr>
                <w:p w14:paraId="11FCD2A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sz w:val="21"/>
                      <w:szCs w:val="21"/>
                      <w:highlight w:val="none"/>
                      <w:vertAlign w:val="baseline"/>
                      <w:lang w:val="en-US" w:eastAsia="zh-CN"/>
                    </w:rPr>
                    <w:t>5</w:t>
                  </w:r>
                </w:p>
              </w:tc>
              <w:tc>
                <w:tcPr>
                  <w:tcW w:w="1637" w:type="dxa"/>
                  <w:tcBorders>
                    <w:tl2br w:val="nil"/>
                    <w:tr2bl w:val="nil"/>
                  </w:tcBorders>
                  <w:shd w:val="clear" w:color="auto" w:fill="auto"/>
                  <w:vAlign w:val="center"/>
                </w:tcPr>
                <w:p w14:paraId="63320B5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sz w:val="21"/>
                      <w:szCs w:val="21"/>
                      <w:highlight w:val="none"/>
                      <w:vertAlign w:val="baseline"/>
                      <w:lang w:val="en-US" w:eastAsia="zh-CN"/>
                    </w:rPr>
                    <w:t>台</w:t>
                  </w:r>
                </w:p>
              </w:tc>
            </w:tr>
            <w:tr w14:paraId="5583F59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7" w:type="dxa"/>
                  <w:tcBorders>
                    <w:tl2br w:val="nil"/>
                    <w:tr2bl w:val="nil"/>
                  </w:tcBorders>
                  <w:vAlign w:val="center"/>
                </w:tcPr>
                <w:p w14:paraId="3B0B0CE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4</w:t>
                  </w:r>
                </w:p>
              </w:tc>
              <w:tc>
                <w:tcPr>
                  <w:tcW w:w="3503" w:type="dxa"/>
                  <w:tcBorders>
                    <w:tl2br w:val="nil"/>
                    <w:tr2bl w:val="nil"/>
                  </w:tcBorders>
                  <w:shd w:val="clear" w:color="auto" w:fill="auto"/>
                  <w:vAlign w:val="center"/>
                </w:tcPr>
                <w:p w14:paraId="11AD328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kern w:val="2"/>
                      <w:sz w:val="21"/>
                      <w:szCs w:val="21"/>
                      <w:highlight w:val="none"/>
                      <w:vertAlign w:val="baseline"/>
                      <w:lang w:val="en-US" w:eastAsia="zh-CN" w:bidi="ar-SA"/>
                    </w:rPr>
                    <w:t>病例车</w:t>
                  </w:r>
                </w:p>
              </w:tc>
              <w:tc>
                <w:tcPr>
                  <w:tcW w:w="2291" w:type="dxa"/>
                  <w:tcBorders>
                    <w:tl2br w:val="nil"/>
                    <w:tr2bl w:val="nil"/>
                  </w:tcBorders>
                  <w:shd w:val="clear" w:color="auto" w:fill="auto"/>
                  <w:vAlign w:val="center"/>
                </w:tcPr>
                <w:p w14:paraId="56D0260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sz w:val="21"/>
                      <w:szCs w:val="21"/>
                      <w:highlight w:val="none"/>
                      <w:vertAlign w:val="baseline"/>
                      <w:lang w:val="en-US" w:eastAsia="zh-CN"/>
                    </w:rPr>
                    <w:t>1</w:t>
                  </w:r>
                </w:p>
              </w:tc>
              <w:tc>
                <w:tcPr>
                  <w:tcW w:w="1637" w:type="dxa"/>
                  <w:tcBorders>
                    <w:tl2br w:val="nil"/>
                    <w:tr2bl w:val="nil"/>
                  </w:tcBorders>
                  <w:shd w:val="clear" w:color="auto" w:fill="auto"/>
                  <w:vAlign w:val="center"/>
                </w:tcPr>
                <w:p w14:paraId="412741D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sz w:val="21"/>
                      <w:szCs w:val="21"/>
                      <w:highlight w:val="none"/>
                      <w:vertAlign w:val="baseline"/>
                      <w:lang w:val="en-US" w:eastAsia="zh-CN"/>
                    </w:rPr>
                    <w:t>台</w:t>
                  </w:r>
                </w:p>
              </w:tc>
            </w:tr>
            <w:tr w14:paraId="68BCDF6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7" w:type="dxa"/>
                  <w:tcBorders>
                    <w:tl2br w:val="nil"/>
                    <w:tr2bl w:val="nil"/>
                  </w:tcBorders>
                  <w:vAlign w:val="center"/>
                </w:tcPr>
                <w:p w14:paraId="4E6471C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5</w:t>
                  </w:r>
                </w:p>
              </w:tc>
              <w:tc>
                <w:tcPr>
                  <w:tcW w:w="3503" w:type="dxa"/>
                  <w:tcBorders>
                    <w:tl2br w:val="nil"/>
                    <w:tr2bl w:val="nil"/>
                  </w:tcBorders>
                  <w:shd w:val="clear" w:color="auto" w:fill="auto"/>
                  <w:vAlign w:val="center"/>
                </w:tcPr>
                <w:p w14:paraId="7D0D31F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sz w:val="21"/>
                      <w:szCs w:val="21"/>
                      <w:highlight w:val="none"/>
                      <w:vertAlign w:val="baseline"/>
                      <w:lang w:val="en-US" w:eastAsia="zh-CN"/>
                    </w:rPr>
                    <w:t>换药车</w:t>
                  </w:r>
                </w:p>
              </w:tc>
              <w:tc>
                <w:tcPr>
                  <w:tcW w:w="2291" w:type="dxa"/>
                  <w:tcBorders>
                    <w:tl2br w:val="nil"/>
                    <w:tr2bl w:val="nil"/>
                  </w:tcBorders>
                  <w:shd w:val="clear" w:color="auto" w:fill="auto"/>
                  <w:vAlign w:val="center"/>
                </w:tcPr>
                <w:p w14:paraId="771C05B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sz w:val="21"/>
                      <w:szCs w:val="21"/>
                      <w:highlight w:val="none"/>
                      <w:vertAlign w:val="baseline"/>
                      <w:lang w:val="en-US" w:eastAsia="zh-CN"/>
                    </w:rPr>
                    <w:t>1</w:t>
                  </w:r>
                </w:p>
              </w:tc>
              <w:tc>
                <w:tcPr>
                  <w:tcW w:w="1637" w:type="dxa"/>
                  <w:tcBorders>
                    <w:tl2br w:val="nil"/>
                    <w:tr2bl w:val="nil"/>
                  </w:tcBorders>
                  <w:shd w:val="clear" w:color="auto" w:fill="auto"/>
                  <w:vAlign w:val="center"/>
                </w:tcPr>
                <w:p w14:paraId="1B4F2CC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sz w:val="21"/>
                      <w:szCs w:val="21"/>
                      <w:highlight w:val="none"/>
                      <w:vertAlign w:val="baseline"/>
                      <w:lang w:val="en-US" w:eastAsia="zh-CN"/>
                    </w:rPr>
                    <w:t>台</w:t>
                  </w:r>
                </w:p>
              </w:tc>
            </w:tr>
            <w:tr w14:paraId="20400CB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7" w:type="dxa"/>
                  <w:tcBorders>
                    <w:tl2br w:val="nil"/>
                    <w:tr2bl w:val="nil"/>
                  </w:tcBorders>
                  <w:vAlign w:val="center"/>
                </w:tcPr>
                <w:p w14:paraId="2B95BBC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sz w:val="21"/>
                      <w:szCs w:val="21"/>
                      <w:highlight w:val="none"/>
                      <w:vertAlign w:val="baseline"/>
                      <w:lang w:val="en-US" w:eastAsia="zh-CN"/>
                    </w:rPr>
                    <w:t>6</w:t>
                  </w:r>
                </w:p>
              </w:tc>
              <w:tc>
                <w:tcPr>
                  <w:tcW w:w="3503" w:type="dxa"/>
                  <w:tcBorders>
                    <w:tl2br w:val="nil"/>
                    <w:tr2bl w:val="nil"/>
                  </w:tcBorders>
                  <w:shd w:val="clear" w:color="auto" w:fill="auto"/>
                  <w:vAlign w:val="center"/>
                </w:tcPr>
                <w:p w14:paraId="262FCDA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kern w:val="2"/>
                      <w:sz w:val="21"/>
                      <w:szCs w:val="21"/>
                      <w:highlight w:val="none"/>
                      <w:vertAlign w:val="baseline"/>
                      <w:lang w:val="en-US" w:eastAsia="zh-CN" w:bidi="ar-SA"/>
                    </w:rPr>
                    <w:t>心电图机</w:t>
                  </w:r>
                </w:p>
              </w:tc>
              <w:tc>
                <w:tcPr>
                  <w:tcW w:w="2291" w:type="dxa"/>
                  <w:tcBorders>
                    <w:tl2br w:val="nil"/>
                    <w:tr2bl w:val="nil"/>
                  </w:tcBorders>
                  <w:shd w:val="clear" w:color="auto" w:fill="auto"/>
                  <w:vAlign w:val="center"/>
                </w:tcPr>
                <w:p w14:paraId="7A58485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sz w:val="21"/>
                      <w:szCs w:val="21"/>
                      <w:highlight w:val="none"/>
                      <w:vertAlign w:val="baseline"/>
                      <w:lang w:val="en-US" w:eastAsia="zh-CN"/>
                    </w:rPr>
                    <w:t>1</w:t>
                  </w:r>
                </w:p>
              </w:tc>
              <w:tc>
                <w:tcPr>
                  <w:tcW w:w="1637" w:type="dxa"/>
                  <w:tcBorders>
                    <w:tl2br w:val="nil"/>
                    <w:tr2bl w:val="nil"/>
                  </w:tcBorders>
                  <w:shd w:val="clear" w:color="auto" w:fill="auto"/>
                  <w:vAlign w:val="center"/>
                </w:tcPr>
                <w:p w14:paraId="536B24A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sz w:val="21"/>
                      <w:szCs w:val="21"/>
                      <w:highlight w:val="none"/>
                      <w:vertAlign w:val="baseline"/>
                      <w:lang w:val="en-US" w:eastAsia="zh-CN"/>
                    </w:rPr>
                    <w:t>台</w:t>
                  </w:r>
                </w:p>
              </w:tc>
            </w:tr>
            <w:tr w14:paraId="22E4E33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7" w:type="dxa"/>
                  <w:tcBorders>
                    <w:tl2br w:val="nil"/>
                    <w:tr2bl w:val="nil"/>
                  </w:tcBorders>
                  <w:vAlign w:val="center"/>
                </w:tcPr>
                <w:p w14:paraId="065611D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sz w:val="21"/>
                      <w:szCs w:val="21"/>
                      <w:highlight w:val="none"/>
                      <w:vertAlign w:val="baseline"/>
                      <w:lang w:val="en-US" w:eastAsia="zh-CN"/>
                    </w:rPr>
                    <w:t>7</w:t>
                  </w:r>
                </w:p>
              </w:tc>
              <w:tc>
                <w:tcPr>
                  <w:tcW w:w="3503" w:type="dxa"/>
                  <w:tcBorders>
                    <w:tl2br w:val="nil"/>
                    <w:tr2bl w:val="nil"/>
                  </w:tcBorders>
                  <w:shd w:val="clear" w:color="auto" w:fill="auto"/>
                  <w:vAlign w:val="center"/>
                </w:tcPr>
                <w:p w14:paraId="5A20FA0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kern w:val="2"/>
                      <w:sz w:val="21"/>
                      <w:szCs w:val="21"/>
                      <w:highlight w:val="none"/>
                      <w:vertAlign w:val="baseline"/>
                      <w:lang w:val="en-US" w:eastAsia="zh-CN" w:bidi="ar-SA"/>
                    </w:rPr>
                    <w:t>中央监控系统</w:t>
                  </w:r>
                </w:p>
              </w:tc>
              <w:tc>
                <w:tcPr>
                  <w:tcW w:w="2291" w:type="dxa"/>
                  <w:tcBorders>
                    <w:tl2br w:val="nil"/>
                    <w:tr2bl w:val="nil"/>
                  </w:tcBorders>
                  <w:shd w:val="clear" w:color="auto" w:fill="auto"/>
                  <w:vAlign w:val="center"/>
                </w:tcPr>
                <w:p w14:paraId="59911E9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sz w:val="21"/>
                      <w:szCs w:val="21"/>
                      <w:highlight w:val="none"/>
                      <w:vertAlign w:val="baseline"/>
                      <w:lang w:val="en-US" w:eastAsia="zh-CN"/>
                    </w:rPr>
                    <w:t>1</w:t>
                  </w:r>
                </w:p>
              </w:tc>
              <w:tc>
                <w:tcPr>
                  <w:tcW w:w="1637" w:type="dxa"/>
                  <w:tcBorders>
                    <w:tl2br w:val="nil"/>
                    <w:tr2bl w:val="nil"/>
                  </w:tcBorders>
                  <w:shd w:val="clear" w:color="auto" w:fill="auto"/>
                  <w:vAlign w:val="center"/>
                </w:tcPr>
                <w:p w14:paraId="11764C9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sz w:val="21"/>
                      <w:szCs w:val="21"/>
                      <w:highlight w:val="none"/>
                      <w:vertAlign w:val="baseline"/>
                      <w:lang w:val="en-US" w:eastAsia="zh-CN"/>
                    </w:rPr>
                    <w:t>台</w:t>
                  </w:r>
                </w:p>
              </w:tc>
            </w:tr>
            <w:tr w14:paraId="166ED82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7" w:type="dxa"/>
                  <w:tcBorders>
                    <w:tl2br w:val="nil"/>
                    <w:tr2bl w:val="nil"/>
                  </w:tcBorders>
                  <w:vAlign w:val="center"/>
                </w:tcPr>
                <w:p w14:paraId="014703D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sz w:val="21"/>
                      <w:szCs w:val="21"/>
                      <w:highlight w:val="none"/>
                      <w:vertAlign w:val="baseline"/>
                      <w:lang w:val="en-US" w:eastAsia="zh-CN"/>
                    </w:rPr>
                    <w:t>8</w:t>
                  </w:r>
                </w:p>
              </w:tc>
              <w:tc>
                <w:tcPr>
                  <w:tcW w:w="3503" w:type="dxa"/>
                  <w:tcBorders>
                    <w:tl2br w:val="nil"/>
                    <w:tr2bl w:val="nil"/>
                  </w:tcBorders>
                  <w:shd w:val="clear" w:color="auto" w:fill="auto"/>
                  <w:vAlign w:val="center"/>
                </w:tcPr>
                <w:p w14:paraId="330B653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kern w:val="2"/>
                      <w:sz w:val="21"/>
                      <w:szCs w:val="21"/>
                      <w:highlight w:val="none"/>
                      <w:vertAlign w:val="baseline"/>
                      <w:lang w:val="en-US" w:eastAsia="zh-CN" w:bidi="ar-SA"/>
                    </w:rPr>
                    <w:t>监护仪</w:t>
                  </w:r>
                </w:p>
              </w:tc>
              <w:tc>
                <w:tcPr>
                  <w:tcW w:w="2291" w:type="dxa"/>
                  <w:tcBorders>
                    <w:tl2br w:val="nil"/>
                    <w:tr2bl w:val="nil"/>
                  </w:tcBorders>
                  <w:shd w:val="clear" w:color="auto" w:fill="auto"/>
                  <w:vAlign w:val="center"/>
                </w:tcPr>
                <w:p w14:paraId="065C901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sz w:val="21"/>
                      <w:szCs w:val="21"/>
                      <w:highlight w:val="none"/>
                      <w:vertAlign w:val="baseline"/>
                      <w:lang w:val="en-US" w:eastAsia="zh-CN"/>
                    </w:rPr>
                    <w:t>1</w:t>
                  </w:r>
                </w:p>
              </w:tc>
              <w:tc>
                <w:tcPr>
                  <w:tcW w:w="1637" w:type="dxa"/>
                  <w:tcBorders>
                    <w:tl2br w:val="nil"/>
                    <w:tr2bl w:val="nil"/>
                  </w:tcBorders>
                  <w:shd w:val="clear" w:color="auto" w:fill="auto"/>
                  <w:vAlign w:val="center"/>
                </w:tcPr>
                <w:p w14:paraId="750DECE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sz w:val="21"/>
                      <w:szCs w:val="21"/>
                      <w:highlight w:val="none"/>
                      <w:vertAlign w:val="baseline"/>
                      <w:lang w:val="en-US" w:eastAsia="zh-CN"/>
                    </w:rPr>
                    <w:t>台</w:t>
                  </w:r>
                </w:p>
              </w:tc>
            </w:tr>
            <w:tr w14:paraId="79F305C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7" w:type="dxa"/>
                  <w:tcBorders>
                    <w:tl2br w:val="nil"/>
                    <w:tr2bl w:val="nil"/>
                  </w:tcBorders>
                  <w:vAlign w:val="center"/>
                </w:tcPr>
                <w:p w14:paraId="790A75D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sz w:val="21"/>
                      <w:szCs w:val="21"/>
                      <w:highlight w:val="none"/>
                      <w:vertAlign w:val="baseline"/>
                      <w:lang w:val="en-US" w:eastAsia="zh-CN"/>
                    </w:rPr>
                    <w:t>9</w:t>
                  </w:r>
                </w:p>
              </w:tc>
              <w:tc>
                <w:tcPr>
                  <w:tcW w:w="3503" w:type="dxa"/>
                  <w:tcBorders>
                    <w:tl2br w:val="nil"/>
                    <w:tr2bl w:val="nil"/>
                  </w:tcBorders>
                  <w:shd w:val="clear" w:color="auto" w:fill="auto"/>
                  <w:vAlign w:val="center"/>
                </w:tcPr>
                <w:p w14:paraId="1C01FFD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kern w:val="2"/>
                      <w:sz w:val="21"/>
                      <w:szCs w:val="21"/>
                      <w:highlight w:val="none"/>
                      <w:vertAlign w:val="baseline"/>
                      <w:lang w:val="en-US" w:eastAsia="zh-CN" w:bidi="ar-SA"/>
                    </w:rPr>
                    <w:t>全数字彩色多普勒超声诊断仪</w:t>
                  </w:r>
                </w:p>
              </w:tc>
              <w:tc>
                <w:tcPr>
                  <w:tcW w:w="2291" w:type="dxa"/>
                  <w:tcBorders>
                    <w:tl2br w:val="nil"/>
                    <w:tr2bl w:val="nil"/>
                  </w:tcBorders>
                  <w:shd w:val="clear" w:color="auto" w:fill="auto"/>
                  <w:vAlign w:val="center"/>
                </w:tcPr>
                <w:p w14:paraId="6DDF90A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sz w:val="21"/>
                      <w:szCs w:val="21"/>
                      <w:highlight w:val="none"/>
                      <w:vertAlign w:val="baseline"/>
                      <w:lang w:val="en-US" w:eastAsia="zh-CN"/>
                    </w:rPr>
                    <w:t>1</w:t>
                  </w:r>
                </w:p>
              </w:tc>
              <w:tc>
                <w:tcPr>
                  <w:tcW w:w="1637" w:type="dxa"/>
                  <w:tcBorders>
                    <w:tl2br w:val="nil"/>
                    <w:tr2bl w:val="nil"/>
                  </w:tcBorders>
                  <w:shd w:val="clear" w:color="auto" w:fill="auto"/>
                  <w:vAlign w:val="center"/>
                </w:tcPr>
                <w:p w14:paraId="1ED58F3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sz w:val="21"/>
                      <w:szCs w:val="21"/>
                      <w:highlight w:val="none"/>
                      <w:vertAlign w:val="baseline"/>
                      <w:lang w:val="en-US" w:eastAsia="zh-CN"/>
                    </w:rPr>
                    <w:t>台</w:t>
                  </w:r>
                </w:p>
              </w:tc>
            </w:tr>
            <w:tr w14:paraId="3427D8F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7" w:type="dxa"/>
                  <w:tcBorders>
                    <w:tl2br w:val="nil"/>
                    <w:tr2bl w:val="nil"/>
                  </w:tcBorders>
                  <w:vAlign w:val="center"/>
                </w:tcPr>
                <w:p w14:paraId="0B3F73F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sz w:val="21"/>
                      <w:szCs w:val="21"/>
                      <w:highlight w:val="none"/>
                      <w:vertAlign w:val="baseline"/>
                      <w:lang w:val="en-US" w:eastAsia="zh-CN"/>
                    </w:rPr>
                    <w:t>10</w:t>
                  </w:r>
                </w:p>
              </w:tc>
              <w:tc>
                <w:tcPr>
                  <w:tcW w:w="3503" w:type="dxa"/>
                  <w:tcBorders>
                    <w:bottom w:val="single" w:color="000000" w:sz="4" w:space="0"/>
                    <w:tl2br w:val="nil"/>
                    <w:tr2bl w:val="nil"/>
                  </w:tcBorders>
                  <w:shd w:val="clear" w:color="auto" w:fill="auto"/>
                  <w:vAlign w:val="center"/>
                </w:tcPr>
                <w:p w14:paraId="33A4576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kern w:val="2"/>
                      <w:sz w:val="21"/>
                      <w:szCs w:val="21"/>
                      <w:highlight w:val="none"/>
                      <w:vertAlign w:val="baseline"/>
                      <w:lang w:val="en-US" w:eastAsia="zh-CN" w:bidi="ar-SA"/>
                    </w:rPr>
                    <w:t>X射线骨密度诊断仪*</w:t>
                  </w:r>
                </w:p>
              </w:tc>
              <w:tc>
                <w:tcPr>
                  <w:tcW w:w="2291" w:type="dxa"/>
                  <w:tcBorders>
                    <w:tl2br w:val="nil"/>
                    <w:tr2bl w:val="nil"/>
                  </w:tcBorders>
                  <w:shd w:val="clear" w:color="auto" w:fill="auto"/>
                  <w:vAlign w:val="center"/>
                </w:tcPr>
                <w:p w14:paraId="6DD4492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sz w:val="21"/>
                      <w:szCs w:val="21"/>
                      <w:highlight w:val="none"/>
                      <w:vertAlign w:val="baseline"/>
                      <w:lang w:val="en-US" w:eastAsia="zh-CN"/>
                    </w:rPr>
                    <w:t>1</w:t>
                  </w:r>
                </w:p>
              </w:tc>
              <w:tc>
                <w:tcPr>
                  <w:tcW w:w="1637" w:type="dxa"/>
                  <w:tcBorders>
                    <w:tl2br w:val="nil"/>
                    <w:tr2bl w:val="nil"/>
                  </w:tcBorders>
                  <w:shd w:val="clear" w:color="auto" w:fill="auto"/>
                  <w:vAlign w:val="center"/>
                </w:tcPr>
                <w:p w14:paraId="2897BF7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sz w:val="21"/>
                      <w:szCs w:val="21"/>
                      <w:highlight w:val="none"/>
                      <w:vertAlign w:val="baseline"/>
                      <w:lang w:val="en-US" w:eastAsia="zh-CN"/>
                    </w:rPr>
                    <w:t>台</w:t>
                  </w:r>
                </w:p>
              </w:tc>
            </w:tr>
            <w:tr w14:paraId="26E9A24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7" w:type="dxa"/>
                  <w:tcBorders>
                    <w:tl2br w:val="nil"/>
                    <w:tr2bl w:val="nil"/>
                  </w:tcBorders>
                  <w:vAlign w:val="center"/>
                </w:tcPr>
                <w:p w14:paraId="06AF42D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sz w:val="21"/>
                      <w:szCs w:val="21"/>
                      <w:highlight w:val="none"/>
                      <w:vertAlign w:val="baseline"/>
                      <w:lang w:val="en-US" w:eastAsia="zh-CN"/>
                    </w:rPr>
                    <w:t>11</w:t>
                  </w:r>
                </w:p>
              </w:tc>
              <w:tc>
                <w:tcPr>
                  <w:tcW w:w="3503" w:type="dxa"/>
                  <w:tcBorders>
                    <w:top w:val="single" w:color="000000" w:sz="4" w:space="0"/>
                    <w:tl2br w:val="nil"/>
                    <w:tr2bl w:val="nil"/>
                  </w:tcBorders>
                  <w:shd w:val="clear" w:color="auto" w:fill="auto"/>
                  <w:vAlign w:val="center"/>
                </w:tcPr>
                <w:p w14:paraId="6138EEA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sz w:val="21"/>
                      <w:szCs w:val="21"/>
                      <w:highlight w:val="none"/>
                      <w:vertAlign w:val="baseline"/>
                      <w:lang w:val="en-US" w:eastAsia="zh-CN"/>
                    </w:rPr>
                    <w:t>听诊器</w:t>
                  </w:r>
                </w:p>
              </w:tc>
              <w:tc>
                <w:tcPr>
                  <w:tcW w:w="2291" w:type="dxa"/>
                  <w:tcBorders>
                    <w:tl2br w:val="nil"/>
                    <w:tr2bl w:val="nil"/>
                  </w:tcBorders>
                  <w:shd w:val="clear" w:color="auto" w:fill="auto"/>
                  <w:vAlign w:val="center"/>
                </w:tcPr>
                <w:p w14:paraId="2795234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sz w:val="21"/>
                      <w:szCs w:val="21"/>
                      <w:highlight w:val="none"/>
                      <w:vertAlign w:val="baseline"/>
                      <w:lang w:val="en-US" w:eastAsia="zh-CN"/>
                    </w:rPr>
                    <w:t>5</w:t>
                  </w:r>
                </w:p>
              </w:tc>
              <w:tc>
                <w:tcPr>
                  <w:tcW w:w="1637" w:type="dxa"/>
                  <w:tcBorders>
                    <w:tl2br w:val="nil"/>
                    <w:tr2bl w:val="nil"/>
                  </w:tcBorders>
                  <w:shd w:val="clear" w:color="auto" w:fill="auto"/>
                  <w:vAlign w:val="center"/>
                </w:tcPr>
                <w:p w14:paraId="01F7826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sz w:val="21"/>
                      <w:szCs w:val="21"/>
                      <w:highlight w:val="none"/>
                      <w:vertAlign w:val="baseline"/>
                      <w:lang w:val="en-US" w:eastAsia="zh-CN"/>
                    </w:rPr>
                    <w:t>个</w:t>
                  </w:r>
                </w:p>
              </w:tc>
            </w:tr>
            <w:tr w14:paraId="3A55F66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7" w:type="dxa"/>
                  <w:tcBorders>
                    <w:tl2br w:val="nil"/>
                    <w:tr2bl w:val="nil"/>
                  </w:tcBorders>
                  <w:vAlign w:val="center"/>
                </w:tcPr>
                <w:p w14:paraId="2C14614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sz w:val="21"/>
                      <w:szCs w:val="21"/>
                      <w:highlight w:val="none"/>
                      <w:vertAlign w:val="baseline"/>
                      <w:lang w:val="en-US" w:eastAsia="zh-CN"/>
                    </w:rPr>
                    <w:t>12</w:t>
                  </w:r>
                </w:p>
              </w:tc>
              <w:tc>
                <w:tcPr>
                  <w:tcW w:w="3503" w:type="dxa"/>
                  <w:tcBorders>
                    <w:tl2br w:val="nil"/>
                    <w:tr2bl w:val="nil"/>
                  </w:tcBorders>
                  <w:shd w:val="clear" w:color="auto" w:fill="auto"/>
                  <w:vAlign w:val="center"/>
                </w:tcPr>
                <w:p w14:paraId="0D3B91E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sz w:val="21"/>
                      <w:szCs w:val="21"/>
                      <w:highlight w:val="none"/>
                      <w:vertAlign w:val="baseline"/>
                      <w:lang w:val="en-US" w:eastAsia="zh-CN"/>
                    </w:rPr>
                    <w:t>血压仪</w:t>
                  </w:r>
                </w:p>
              </w:tc>
              <w:tc>
                <w:tcPr>
                  <w:tcW w:w="2291" w:type="dxa"/>
                  <w:tcBorders>
                    <w:tl2br w:val="nil"/>
                    <w:tr2bl w:val="nil"/>
                  </w:tcBorders>
                  <w:shd w:val="clear" w:color="auto" w:fill="auto"/>
                  <w:vAlign w:val="center"/>
                </w:tcPr>
                <w:p w14:paraId="75666C1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sz w:val="21"/>
                      <w:szCs w:val="21"/>
                      <w:highlight w:val="none"/>
                      <w:vertAlign w:val="baseline"/>
                      <w:lang w:val="en-US" w:eastAsia="zh-CN"/>
                    </w:rPr>
                    <w:t>5</w:t>
                  </w:r>
                </w:p>
              </w:tc>
              <w:tc>
                <w:tcPr>
                  <w:tcW w:w="1637" w:type="dxa"/>
                  <w:tcBorders>
                    <w:tl2br w:val="nil"/>
                    <w:tr2bl w:val="nil"/>
                  </w:tcBorders>
                  <w:shd w:val="clear" w:color="auto" w:fill="auto"/>
                  <w:vAlign w:val="center"/>
                </w:tcPr>
                <w:p w14:paraId="1AF7370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sz w:val="21"/>
                      <w:szCs w:val="21"/>
                      <w:highlight w:val="none"/>
                      <w:vertAlign w:val="baseline"/>
                      <w:lang w:val="en-US" w:eastAsia="zh-CN"/>
                    </w:rPr>
                    <w:t>个</w:t>
                  </w:r>
                </w:p>
              </w:tc>
            </w:tr>
            <w:tr w14:paraId="6E01A05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7" w:type="dxa"/>
                  <w:tcBorders>
                    <w:tl2br w:val="nil"/>
                    <w:tr2bl w:val="nil"/>
                  </w:tcBorders>
                  <w:vAlign w:val="center"/>
                </w:tcPr>
                <w:p w14:paraId="614D403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sz w:val="21"/>
                      <w:szCs w:val="21"/>
                      <w:highlight w:val="none"/>
                      <w:vertAlign w:val="baseline"/>
                      <w:lang w:val="en-US" w:eastAsia="zh-CN"/>
                    </w:rPr>
                    <w:t>13</w:t>
                  </w:r>
                </w:p>
              </w:tc>
              <w:tc>
                <w:tcPr>
                  <w:tcW w:w="3503" w:type="dxa"/>
                  <w:tcBorders>
                    <w:tl2br w:val="nil"/>
                    <w:tr2bl w:val="nil"/>
                  </w:tcBorders>
                  <w:shd w:val="clear" w:color="auto" w:fill="auto"/>
                  <w:vAlign w:val="center"/>
                </w:tcPr>
                <w:p w14:paraId="1B6712A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sz w:val="21"/>
                      <w:szCs w:val="21"/>
                      <w:highlight w:val="none"/>
                      <w:vertAlign w:val="baseline"/>
                      <w:lang w:val="en-US" w:eastAsia="zh-CN"/>
                    </w:rPr>
                    <w:t>血糖仪</w:t>
                  </w:r>
                </w:p>
              </w:tc>
              <w:tc>
                <w:tcPr>
                  <w:tcW w:w="2291" w:type="dxa"/>
                  <w:tcBorders>
                    <w:tl2br w:val="nil"/>
                    <w:tr2bl w:val="nil"/>
                  </w:tcBorders>
                  <w:shd w:val="clear" w:color="auto" w:fill="auto"/>
                  <w:vAlign w:val="center"/>
                </w:tcPr>
                <w:p w14:paraId="41AC034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sz w:val="21"/>
                      <w:szCs w:val="21"/>
                      <w:highlight w:val="none"/>
                      <w:vertAlign w:val="baseline"/>
                      <w:lang w:val="en-US" w:eastAsia="zh-CN"/>
                    </w:rPr>
                    <w:t>5</w:t>
                  </w:r>
                </w:p>
              </w:tc>
              <w:tc>
                <w:tcPr>
                  <w:tcW w:w="1637" w:type="dxa"/>
                  <w:tcBorders>
                    <w:tl2br w:val="nil"/>
                    <w:tr2bl w:val="nil"/>
                  </w:tcBorders>
                  <w:shd w:val="clear" w:color="auto" w:fill="auto"/>
                  <w:vAlign w:val="center"/>
                </w:tcPr>
                <w:p w14:paraId="196F1D9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sz w:val="21"/>
                      <w:szCs w:val="21"/>
                      <w:highlight w:val="none"/>
                      <w:vertAlign w:val="baseline"/>
                      <w:lang w:val="en-US" w:eastAsia="zh-CN"/>
                    </w:rPr>
                    <w:t>个</w:t>
                  </w:r>
                </w:p>
              </w:tc>
            </w:tr>
            <w:tr w14:paraId="4725F85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7" w:type="dxa"/>
                  <w:tcBorders>
                    <w:tl2br w:val="nil"/>
                    <w:tr2bl w:val="nil"/>
                  </w:tcBorders>
                  <w:vAlign w:val="center"/>
                </w:tcPr>
                <w:p w14:paraId="3F4A500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sz w:val="21"/>
                      <w:szCs w:val="21"/>
                      <w:highlight w:val="none"/>
                      <w:vertAlign w:val="baseline"/>
                      <w:lang w:val="en-US" w:eastAsia="zh-CN"/>
                    </w:rPr>
                    <w:t>14</w:t>
                  </w:r>
                </w:p>
              </w:tc>
              <w:tc>
                <w:tcPr>
                  <w:tcW w:w="3503" w:type="dxa"/>
                  <w:tcBorders>
                    <w:tl2br w:val="nil"/>
                    <w:tr2bl w:val="nil"/>
                  </w:tcBorders>
                  <w:shd w:val="clear" w:color="auto" w:fill="auto"/>
                  <w:vAlign w:val="center"/>
                </w:tcPr>
                <w:p w14:paraId="7C51706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sz w:val="21"/>
                      <w:szCs w:val="21"/>
                      <w:highlight w:val="none"/>
                      <w:vertAlign w:val="baseline"/>
                      <w:lang w:val="en-US" w:eastAsia="zh-CN"/>
                    </w:rPr>
                    <w:t>叩诊锤</w:t>
                  </w:r>
                </w:p>
              </w:tc>
              <w:tc>
                <w:tcPr>
                  <w:tcW w:w="2291" w:type="dxa"/>
                  <w:tcBorders>
                    <w:tl2br w:val="nil"/>
                    <w:tr2bl w:val="nil"/>
                  </w:tcBorders>
                  <w:shd w:val="clear" w:color="auto" w:fill="auto"/>
                  <w:vAlign w:val="center"/>
                </w:tcPr>
                <w:p w14:paraId="49B0645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sz w:val="21"/>
                      <w:szCs w:val="21"/>
                      <w:highlight w:val="none"/>
                      <w:vertAlign w:val="baseline"/>
                      <w:lang w:val="en-US" w:eastAsia="zh-CN"/>
                    </w:rPr>
                    <w:t>2</w:t>
                  </w:r>
                </w:p>
              </w:tc>
              <w:tc>
                <w:tcPr>
                  <w:tcW w:w="1637" w:type="dxa"/>
                  <w:tcBorders>
                    <w:tl2br w:val="nil"/>
                    <w:tr2bl w:val="nil"/>
                  </w:tcBorders>
                  <w:shd w:val="clear" w:color="auto" w:fill="auto"/>
                  <w:vAlign w:val="center"/>
                </w:tcPr>
                <w:p w14:paraId="3112D11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sz w:val="21"/>
                      <w:szCs w:val="21"/>
                      <w:highlight w:val="none"/>
                      <w:vertAlign w:val="baseline"/>
                      <w:lang w:val="en-US" w:eastAsia="zh-CN"/>
                    </w:rPr>
                    <w:t>台</w:t>
                  </w:r>
                </w:p>
              </w:tc>
            </w:tr>
            <w:tr w14:paraId="3B1B84A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7" w:type="dxa"/>
                  <w:tcBorders>
                    <w:tl2br w:val="nil"/>
                    <w:tr2bl w:val="nil"/>
                  </w:tcBorders>
                  <w:vAlign w:val="center"/>
                </w:tcPr>
                <w:p w14:paraId="30F781B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15</w:t>
                  </w:r>
                </w:p>
              </w:tc>
              <w:tc>
                <w:tcPr>
                  <w:tcW w:w="3503" w:type="dxa"/>
                  <w:tcBorders>
                    <w:tl2br w:val="nil"/>
                    <w:tr2bl w:val="nil"/>
                  </w:tcBorders>
                  <w:shd w:val="clear" w:color="auto" w:fill="auto"/>
                  <w:vAlign w:val="center"/>
                </w:tcPr>
                <w:p w14:paraId="1B12511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sz w:val="21"/>
                      <w:szCs w:val="21"/>
                      <w:highlight w:val="none"/>
                      <w:vertAlign w:val="baseline"/>
                      <w:lang w:val="en-US" w:eastAsia="zh-CN"/>
                    </w:rPr>
                    <w:t>阅片灯</w:t>
                  </w:r>
                </w:p>
              </w:tc>
              <w:tc>
                <w:tcPr>
                  <w:tcW w:w="2291" w:type="dxa"/>
                  <w:tcBorders>
                    <w:tl2br w:val="nil"/>
                    <w:tr2bl w:val="nil"/>
                  </w:tcBorders>
                  <w:shd w:val="clear" w:color="auto" w:fill="auto"/>
                  <w:vAlign w:val="center"/>
                </w:tcPr>
                <w:p w14:paraId="263C10C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sz w:val="21"/>
                      <w:szCs w:val="21"/>
                      <w:highlight w:val="none"/>
                      <w:vertAlign w:val="baseline"/>
                      <w:lang w:val="en-US" w:eastAsia="zh-CN"/>
                    </w:rPr>
                    <w:t>4</w:t>
                  </w:r>
                </w:p>
              </w:tc>
              <w:tc>
                <w:tcPr>
                  <w:tcW w:w="1637" w:type="dxa"/>
                  <w:tcBorders>
                    <w:tl2br w:val="nil"/>
                    <w:tr2bl w:val="nil"/>
                  </w:tcBorders>
                  <w:shd w:val="clear" w:color="auto" w:fill="auto"/>
                  <w:vAlign w:val="center"/>
                </w:tcPr>
                <w:p w14:paraId="622547C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sz w:val="21"/>
                      <w:szCs w:val="21"/>
                      <w:highlight w:val="none"/>
                      <w:vertAlign w:val="baseline"/>
                      <w:lang w:val="en-US" w:eastAsia="zh-CN"/>
                    </w:rPr>
                    <w:t>台</w:t>
                  </w:r>
                </w:p>
              </w:tc>
            </w:tr>
            <w:tr w14:paraId="03C4ACC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7" w:type="dxa"/>
                  <w:tcBorders>
                    <w:tl2br w:val="nil"/>
                    <w:tr2bl w:val="nil"/>
                  </w:tcBorders>
                  <w:vAlign w:val="center"/>
                </w:tcPr>
                <w:p w14:paraId="1D3CAE2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16</w:t>
                  </w:r>
                </w:p>
              </w:tc>
              <w:tc>
                <w:tcPr>
                  <w:tcW w:w="3503" w:type="dxa"/>
                  <w:tcBorders>
                    <w:tl2br w:val="nil"/>
                    <w:tr2bl w:val="nil"/>
                  </w:tcBorders>
                  <w:shd w:val="clear" w:color="auto" w:fill="auto"/>
                  <w:vAlign w:val="center"/>
                </w:tcPr>
                <w:p w14:paraId="4E54A52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sz w:val="21"/>
                      <w:szCs w:val="21"/>
                      <w:highlight w:val="none"/>
                      <w:vertAlign w:val="baseline"/>
                      <w:lang w:val="en-US" w:eastAsia="zh-CN"/>
                    </w:rPr>
                    <w:t>LED紫外消毒灯</w:t>
                  </w:r>
                </w:p>
              </w:tc>
              <w:tc>
                <w:tcPr>
                  <w:tcW w:w="2291" w:type="dxa"/>
                  <w:tcBorders>
                    <w:tl2br w:val="nil"/>
                    <w:tr2bl w:val="nil"/>
                  </w:tcBorders>
                  <w:shd w:val="clear" w:color="auto" w:fill="auto"/>
                  <w:vAlign w:val="center"/>
                </w:tcPr>
                <w:p w14:paraId="4AB068C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sz w:val="21"/>
                      <w:szCs w:val="21"/>
                      <w:highlight w:val="none"/>
                      <w:vertAlign w:val="baseline"/>
                      <w:lang w:val="en-US" w:eastAsia="zh-CN"/>
                    </w:rPr>
                    <w:t>10</w:t>
                  </w:r>
                </w:p>
              </w:tc>
              <w:tc>
                <w:tcPr>
                  <w:tcW w:w="1637" w:type="dxa"/>
                  <w:tcBorders>
                    <w:tl2br w:val="nil"/>
                    <w:tr2bl w:val="nil"/>
                  </w:tcBorders>
                  <w:shd w:val="clear" w:color="auto" w:fill="auto"/>
                  <w:vAlign w:val="center"/>
                </w:tcPr>
                <w:p w14:paraId="3A38F30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sz w:val="21"/>
                      <w:szCs w:val="21"/>
                      <w:highlight w:val="none"/>
                      <w:vertAlign w:val="baseline"/>
                      <w:lang w:val="en-US" w:eastAsia="zh-CN"/>
                    </w:rPr>
                    <w:t>个</w:t>
                  </w:r>
                </w:p>
              </w:tc>
            </w:tr>
            <w:tr w14:paraId="0EA2A7C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7" w:type="dxa"/>
                  <w:tcBorders>
                    <w:tl2br w:val="nil"/>
                    <w:tr2bl w:val="nil"/>
                  </w:tcBorders>
                  <w:vAlign w:val="center"/>
                </w:tcPr>
                <w:p w14:paraId="2F8D543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17</w:t>
                  </w:r>
                </w:p>
              </w:tc>
              <w:tc>
                <w:tcPr>
                  <w:tcW w:w="3503" w:type="dxa"/>
                  <w:tcBorders>
                    <w:tl2br w:val="nil"/>
                    <w:tr2bl w:val="nil"/>
                  </w:tcBorders>
                  <w:shd w:val="clear" w:color="auto" w:fill="auto"/>
                  <w:vAlign w:val="center"/>
                </w:tcPr>
                <w:p w14:paraId="6AC4A94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sz w:val="21"/>
                      <w:szCs w:val="21"/>
                      <w:highlight w:val="none"/>
                      <w:vertAlign w:val="baseline"/>
                      <w:lang w:val="en-US" w:eastAsia="zh-CN"/>
                    </w:rPr>
                    <w:t>全自动血细胞分析仪</w:t>
                  </w:r>
                </w:p>
              </w:tc>
              <w:tc>
                <w:tcPr>
                  <w:tcW w:w="2291" w:type="dxa"/>
                  <w:tcBorders>
                    <w:tl2br w:val="nil"/>
                    <w:tr2bl w:val="nil"/>
                  </w:tcBorders>
                  <w:shd w:val="clear" w:color="auto" w:fill="auto"/>
                  <w:vAlign w:val="center"/>
                </w:tcPr>
                <w:p w14:paraId="3F4F851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sz w:val="21"/>
                      <w:szCs w:val="21"/>
                      <w:highlight w:val="none"/>
                      <w:vertAlign w:val="baseline"/>
                      <w:lang w:val="en-US" w:eastAsia="zh-CN"/>
                    </w:rPr>
                    <w:t>1</w:t>
                  </w:r>
                </w:p>
              </w:tc>
              <w:tc>
                <w:tcPr>
                  <w:tcW w:w="1637" w:type="dxa"/>
                  <w:tcBorders>
                    <w:tl2br w:val="nil"/>
                    <w:tr2bl w:val="nil"/>
                  </w:tcBorders>
                  <w:shd w:val="clear" w:color="auto" w:fill="auto"/>
                  <w:vAlign w:val="center"/>
                </w:tcPr>
                <w:p w14:paraId="4D60D78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sz w:val="21"/>
                      <w:szCs w:val="21"/>
                      <w:highlight w:val="none"/>
                      <w:vertAlign w:val="baseline"/>
                      <w:lang w:val="en-US" w:eastAsia="zh-CN"/>
                    </w:rPr>
                    <w:t>台</w:t>
                  </w:r>
                </w:p>
              </w:tc>
            </w:tr>
            <w:tr w14:paraId="2527911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7" w:type="dxa"/>
                  <w:tcBorders>
                    <w:tl2br w:val="nil"/>
                    <w:tr2bl w:val="nil"/>
                  </w:tcBorders>
                  <w:vAlign w:val="center"/>
                </w:tcPr>
                <w:p w14:paraId="0CA6FD2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18</w:t>
                  </w:r>
                </w:p>
              </w:tc>
              <w:tc>
                <w:tcPr>
                  <w:tcW w:w="3503" w:type="dxa"/>
                  <w:tcBorders>
                    <w:tl2br w:val="nil"/>
                    <w:tr2bl w:val="nil"/>
                  </w:tcBorders>
                  <w:shd w:val="clear" w:color="auto" w:fill="auto"/>
                  <w:vAlign w:val="center"/>
                </w:tcPr>
                <w:p w14:paraId="1DF05A1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sz w:val="21"/>
                      <w:szCs w:val="21"/>
                      <w:highlight w:val="none"/>
                      <w:vertAlign w:val="baseline"/>
                      <w:lang w:val="en-US" w:eastAsia="zh-CN"/>
                    </w:rPr>
                    <w:t>全自动尿机流水线</w:t>
                  </w:r>
                </w:p>
              </w:tc>
              <w:tc>
                <w:tcPr>
                  <w:tcW w:w="2291" w:type="dxa"/>
                  <w:tcBorders>
                    <w:tl2br w:val="nil"/>
                    <w:tr2bl w:val="nil"/>
                  </w:tcBorders>
                  <w:shd w:val="clear" w:color="auto" w:fill="auto"/>
                  <w:vAlign w:val="center"/>
                </w:tcPr>
                <w:p w14:paraId="370F271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sz w:val="21"/>
                      <w:szCs w:val="21"/>
                      <w:highlight w:val="none"/>
                      <w:vertAlign w:val="baseline"/>
                      <w:lang w:val="en-US" w:eastAsia="zh-CN"/>
                    </w:rPr>
                    <w:t>1</w:t>
                  </w:r>
                </w:p>
              </w:tc>
              <w:tc>
                <w:tcPr>
                  <w:tcW w:w="1637" w:type="dxa"/>
                  <w:tcBorders>
                    <w:tl2br w:val="nil"/>
                    <w:tr2bl w:val="nil"/>
                  </w:tcBorders>
                  <w:shd w:val="clear" w:color="auto" w:fill="auto"/>
                  <w:vAlign w:val="center"/>
                </w:tcPr>
                <w:p w14:paraId="7EBF5B1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sz w:val="21"/>
                      <w:szCs w:val="21"/>
                      <w:highlight w:val="none"/>
                      <w:vertAlign w:val="baseline"/>
                      <w:lang w:val="en-US" w:eastAsia="zh-CN"/>
                    </w:rPr>
                    <w:t>套</w:t>
                  </w:r>
                </w:p>
              </w:tc>
            </w:tr>
            <w:tr w14:paraId="50B0DB2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7" w:type="dxa"/>
                  <w:tcBorders>
                    <w:tl2br w:val="nil"/>
                    <w:tr2bl w:val="nil"/>
                  </w:tcBorders>
                  <w:vAlign w:val="center"/>
                </w:tcPr>
                <w:p w14:paraId="64A8EA1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19</w:t>
                  </w:r>
                </w:p>
              </w:tc>
              <w:tc>
                <w:tcPr>
                  <w:tcW w:w="3503" w:type="dxa"/>
                  <w:tcBorders>
                    <w:tl2br w:val="nil"/>
                    <w:tr2bl w:val="nil"/>
                  </w:tcBorders>
                  <w:shd w:val="clear" w:color="auto" w:fill="auto"/>
                  <w:vAlign w:val="center"/>
                </w:tcPr>
                <w:p w14:paraId="55DAA34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sz w:val="21"/>
                      <w:szCs w:val="21"/>
                      <w:highlight w:val="none"/>
                      <w:vertAlign w:val="baseline"/>
                      <w:lang w:val="en-US" w:eastAsia="zh-CN"/>
                    </w:rPr>
                    <w:t>全自动免疫分析仪</w:t>
                  </w:r>
                </w:p>
              </w:tc>
              <w:tc>
                <w:tcPr>
                  <w:tcW w:w="2291" w:type="dxa"/>
                  <w:tcBorders>
                    <w:tl2br w:val="nil"/>
                    <w:tr2bl w:val="nil"/>
                  </w:tcBorders>
                  <w:shd w:val="clear" w:color="auto" w:fill="auto"/>
                  <w:vAlign w:val="center"/>
                </w:tcPr>
                <w:p w14:paraId="6089579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sz w:val="21"/>
                      <w:szCs w:val="21"/>
                      <w:highlight w:val="none"/>
                      <w:vertAlign w:val="baseline"/>
                      <w:lang w:val="en-US" w:eastAsia="zh-CN"/>
                    </w:rPr>
                    <w:t>1</w:t>
                  </w:r>
                </w:p>
              </w:tc>
              <w:tc>
                <w:tcPr>
                  <w:tcW w:w="1637" w:type="dxa"/>
                  <w:tcBorders>
                    <w:tl2br w:val="nil"/>
                    <w:tr2bl w:val="nil"/>
                  </w:tcBorders>
                  <w:shd w:val="clear" w:color="auto" w:fill="auto"/>
                  <w:vAlign w:val="center"/>
                </w:tcPr>
                <w:p w14:paraId="6176B7C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sz w:val="21"/>
                      <w:szCs w:val="21"/>
                      <w:highlight w:val="none"/>
                      <w:vertAlign w:val="baseline"/>
                      <w:lang w:val="en-US" w:eastAsia="zh-CN"/>
                    </w:rPr>
                    <w:t>台</w:t>
                  </w:r>
                </w:p>
              </w:tc>
            </w:tr>
            <w:tr w14:paraId="4419BAC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7" w:type="dxa"/>
                  <w:tcBorders>
                    <w:tl2br w:val="nil"/>
                    <w:tr2bl w:val="nil"/>
                  </w:tcBorders>
                  <w:vAlign w:val="center"/>
                </w:tcPr>
                <w:p w14:paraId="75CE069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20</w:t>
                  </w:r>
                </w:p>
              </w:tc>
              <w:tc>
                <w:tcPr>
                  <w:tcW w:w="3503" w:type="dxa"/>
                  <w:tcBorders>
                    <w:tl2br w:val="nil"/>
                    <w:tr2bl w:val="nil"/>
                  </w:tcBorders>
                  <w:shd w:val="clear" w:color="auto" w:fill="auto"/>
                  <w:vAlign w:val="center"/>
                </w:tcPr>
                <w:p w14:paraId="3F0AE8A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sz w:val="21"/>
                      <w:szCs w:val="21"/>
                      <w:highlight w:val="none"/>
                      <w:vertAlign w:val="baseline"/>
                      <w:lang w:val="en-US" w:eastAsia="zh-CN"/>
                    </w:rPr>
                    <w:t>全自动血气分析仪</w:t>
                  </w:r>
                </w:p>
              </w:tc>
              <w:tc>
                <w:tcPr>
                  <w:tcW w:w="2291" w:type="dxa"/>
                  <w:tcBorders>
                    <w:tl2br w:val="nil"/>
                    <w:tr2bl w:val="nil"/>
                  </w:tcBorders>
                  <w:shd w:val="clear" w:color="auto" w:fill="auto"/>
                  <w:vAlign w:val="center"/>
                </w:tcPr>
                <w:p w14:paraId="0A2E69D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sz w:val="21"/>
                      <w:szCs w:val="21"/>
                      <w:highlight w:val="none"/>
                      <w:vertAlign w:val="baseline"/>
                      <w:lang w:val="en-US" w:eastAsia="zh-CN"/>
                    </w:rPr>
                    <w:t>1</w:t>
                  </w:r>
                </w:p>
              </w:tc>
              <w:tc>
                <w:tcPr>
                  <w:tcW w:w="1637" w:type="dxa"/>
                  <w:tcBorders>
                    <w:tl2br w:val="nil"/>
                    <w:tr2bl w:val="nil"/>
                  </w:tcBorders>
                  <w:shd w:val="clear" w:color="auto" w:fill="auto"/>
                  <w:vAlign w:val="center"/>
                </w:tcPr>
                <w:p w14:paraId="1AABB73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sz w:val="21"/>
                      <w:szCs w:val="21"/>
                      <w:highlight w:val="none"/>
                      <w:vertAlign w:val="baseline"/>
                      <w:lang w:val="en-US" w:eastAsia="zh-CN"/>
                    </w:rPr>
                    <w:t>台</w:t>
                  </w:r>
                </w:p>
              </w:tc>
            </w:tr>
            <w:tr w14:paraId="0A30FCE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7" w:type="dxa"/>
                  <w:tcBorders>
                    <w:tl2br w:val="nil"/>
                    <w:tr2bl w:val="nil"/>
                  </w:tcBorders>
                  <w:vAlign w:val="center"/>
                </w:tcPr>
                <w:p w14:paraId="521A1F6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21</w:t>
                  </w:r>
                </w:p>
              </w:tc>
              <w:tc>
                <w:tcPr>
                  <w:tcW w:w="3503" w:type="dxa"/>
                  <w:tcBorders>
                    <w:tl2br w:val="nil"/>
                    <w:tr2bl w:val="nil"/>
                  </w:tcBorders>
                  <w:shd w:val="clear" w:color="auto" w:fill="auto"/>
                  <w:vAlign w:val="center"/>
                </w:tcPr>
                <w:p w14:paraId="039470D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sz w:val="21"/>
                      <w:szCs w:val="21"/>
                      <w:highlight w:val="none"/>
                      <w:vertAlign w:val="baseline"/>
                      <w:lang w:val="en-US" w:eastAsia="zh-CN"/>
                    </w:rPr>
                    <w:t>全自动电解质分析仪</w:t>
                  </w:r>
                </w:p>
              </w:tc>
              <w:tc>
                <w:tcPr>
                  <w:tcW w:w="2291" w:type="dxa"/>
                  <w:tcBorders>
                    <w:tl2br w:val="nil"/>
                    <w:tr2bl w:val="nil"/>
                  </w:tcBorders>
                  <w:shd w:val="clear" w:color="auto" w:fill="auto"/>
                  <w:vAlign w:val="center"/>
                </w:tcPr>
                <w:p w14:paraId="31A6F2A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sz w:val="21"/>
                      <w:szCs w:val="21"/>
                      <w:highlight w:val="none"/>
                      <w:vertAlign w:val="baseline"/>
                      <w:lang w:val="en-US" w:eastAsia="zh-CN"/>
                    </w:rPr>
                    <w:t>1</w:t>
                  </w:r>
                </w:p>
              </w:tc>
              <w:tc>
                <w:tcPr>
                  <w:tcW w:w="1637" w:type="dxa"/>
                  <w:tcBorders>
                    <w:tl2br w:val="nil"/>
                    <w:tr2bl w:val="nil"/>
                  </w:tcBorders>
                  <w:shd w:val="clear" w:color="auto" w:fill="auto"/>
                  <w:vAlign w:val="center"/>
                </w:tcPr>
                <w:p w14:paraId="4075B94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sz w:val="21"/>
                      <w:szCs w:val="21"/>
                      <w:highlight w:val="none"/>
                      <w:vertAlign w:val="baseline"/>
                      <w:lang w:val="en-US" w:eastAsia="zh-CN"/>
                    </w:rPr>
                    <w:t>台</w:t>
                  </w:r>
                </w:p>
              </w:tc>
            </w:tr>
            <w:tr w14:paraId="32179CC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7" w:type="dxa"/>
                  <w:tcBorders>
                    <w:tl2br w:val="nil"/>
                    <w:tr2bl w:val="nil"/>
                  </w:tcBorders>
                  <w:vAlign w:val="center"/>
                </w:tcPr>
                <w:p w14:paraId="280EB53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22</w:t>
                  </w:r>
                </w:p>
              </w:tc>
              <w:tc>
                <w:tcPr>
                  <w:tcW w:w="3503" w:type="dxa"/>
                  <w:tcBorders>
                    <w:tl2br w:val="nil"/>
                    <w:tr2bl w:val="nil"/>
                  </w:tcBorders>
                  <w:shd w:val="clear" w:color="auto" w:fill="auto"/>
                  <w:vAlign w:val="center"/>
                </w:tcPr>
                <w:p w14:paraId="612EAED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sz w:val="21"/>
                      <w:szCs w:val="21"/>
                      <w:highlight w:val="none"/>
                      <w:vertAlign w:val="baseline"/>
                      <w:lang w:val="en-US" w:eastAsia="zh-CN"/>
                    </w:rPr>
                    <w:t>离心机</w:t>
                  </w:r>
                </w:p>
              </w:tc>
              <w:tc>
                <w:tcPr>
                  <w:tcW w:w="2291" w:type="dxa"/>
                  <w:tcBorders>
                    <w:tl2br w:val="nil"/>
                    <w:tr2bl w:val="nil"/>
                  </w:tcBorders>
                  <w:shd w:val="clear" w:color="auto" w:fill="auto"/>
                  <w:vAlign w:val="center"/>
                </w:tcPr>
                <w:p w14:paraId="768ED6D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sz w:val="21"/>
                      <w:szCs w:val="21"/>
                      <w:highlight w:val="none"/>
                      <w:vertAlign w:val="baseline"/>
                      <w:lang w:val="en-US" w:eastAsia="zh-CN"/>
                    </w:rPr>
                    <w:t>1</w:t>
                  </w:r>
                </w:p>
              </w:tc>
              <w:tc>
                <w:tcPr>
                  <w:tcW w:w="1637" w:type="dxa"/>
                  <w:tcBorders>
                    <w:tl2br w:val="nil"/>
                    <w:tr2bl w:val="nil"/>
                  </w:tcBorders>
                  <w:shd w:val="clear" w:color="auto" w:fill="auto"/>
                  <w:vAlign w:val="center"/>
                </w:tcPr>
                <w:p w14:paraId="6A69239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sz w:val="21"/>
                      <w:szCs w:val="21"/>
                      <w:highlight w:val="none"/>
                      <w:vertAlign w:val="baseline"/>
                      <w:lang w:val="en-US" w:eastAsia="zh-CN"/>
                    </w:rPr>
                    <w:t>台</w:t>
                  </w:r>
                </w:p>
              </w:tc>
            </w:tr>
            <w:tr w14:paraId="013274B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7" w:type="dxa"/>
                  <w:tcBorders>
                    <w:tl2br w:val="nil"/>
                    <w:tr2bl w:val="nil"/>
                  </w:tcBorders>
                  <w:vAlign w:val="center"/>
                </w:tcPr>
                <w:p w14:paraId="3AD6372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23</w:t>
                  </w:r>
                </w:p>
              </w:tc>
              <w:tc>
                <w:tcPr>
                  <w:tcW w:w="3503" w:type="dxa"/>
                  <w:tcBorders>
                    <w:tl2br w:val="nil"/>
                    <w:tr2bl w:val="nil"/>
                  </w:tcBorders>
                  <w:shd w:val="clear" w:color="auto" w:fill="auto"/>
                  <w:vAlign w:val="center"/>
                </w:tcPr>
                <w:p w14:paraId="1521463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sz w:val="21"/>
                      <w:szCs w:val="21"/>
                      <w:highlight w:val="none"/>
                      <w:vertAlign w:val="baseline"/>
                      <w:lang w:val="en-US" w:eastAsia="zh-CN"/>
                    </w:rPr>
                    <w:t>安全柜</w:t>
                  </w:r>
                </w:p>
              </w:tc>
              <w:tc>
                <w:tcPr>
                  <w:tcW w:w="2291" w:type="dxa"/>
                  <w:tcBorders>
                    <w:tl2br w:val="nil"/>
                    <w:tr2bl w:val="nil"/>
                  </w:tcBorders>
                  <w:shd w:val="clear" w:color="auto" w:fill="auto"/>
                  <w:vAlign w:val="center"/>
                </w:tcPr>
                <w:p w14:paraId="2CF701F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sz w:val="21"/>
                      <w:szCs w:val="21"/>
                      <w:highlight w:val="none"/>
                      <w:vertAlign w:val="baseline"/>
                      <w:lang w:val="en-US" w:eastAsia="zh-CN"/>
                    </w:rPr>
                    <w:t>1</w:t>
                  </w:r>
                </w:p>
              </w:tc>
              <w:tc>
                <w:tcPr>
                  <w:tcW w:w="1637" w:type="dxa"/>
                  <w:tcBorders>
                    <w:tl2br w:val="nil"/>
                    <w:tr2bl w:val="nil"/>
                  </w:tcBorders>
                  <w:shd w:val="clear" w:color="auto" w:fill="auto"/>
                  <w:vAlign w:val="center"/>
                </w:tcPr>
                <w:p w14:paraId="499B7C3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sz w:val="21"/>
                      <w:szCs w:val="21"/>
                      <w:highlight w:val="none"/>
                      <w:vertAlign w:val="baseline"/>
                      <w:lang w:val="en-US" w:eastAsia="zh-CN"/>
                    </w:rPr>
                    <w:t>台</w:t>
                  </w:r>
                </w:p>
              </w:tc>
            </w:tr>
            <w:tr w14:paraId="39E37FB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7" w:type="dxa"/>
                  <w:tcBorders>
                    <w:tl2br w:val="nil"/>
                    <w:tr2bl w:val="nil"/>
                  </w:tcBorders>
                  <w:vAlign w:val="center"/>
                </w:tcPr>
                <w:p w14:paraId="1A49010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24</w:t>
                  </w:r>
                </w:p>
              </w:tc>
              <w:tc>
                <w:tcPr>
                  <w:tcW w:w="3503" w:type="dxa"/>
                  <w:tcBorders>
                    <w:tl2br w:val="nil"/>
                    <w:tr2bl w:val="nil"/>
                  </w:tcBorders>
                  <w:shd w:val="clear" w:color="auto" w:fill="auto"/>
                  <w:vAlign w:val="center"/>
                </w:tcPr>
                <w:p w14:paraId="5171DCE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sz w:val="21"/>
                      <w:szCs w:val="21"/>
                      <w:highlight w:val="none"/>
                      <w:vertAlign w:val="baseline"/>
                      <w:lang w:val="en-US" w:eastAsia="zh-CN"/>
                    </w:rPr>
                    <w:t>医用冰箱</w:t>
                  </w:r>
                </w:p>
              </w:tc>
              <w:tc>
                <w:tcPr>
                  <w:tcW w:w="2291" w:type="dxa"/>
                  <w:tcBorders>
                    <w:tl2br w:val="nil"/>
                    <w:tr2bl w:val="nil"/>
                  </w:tcBorders>
                  <w:shd w:val="clear" w:color="auto" w:fill="auto"/>
                  <w:vAlign w:val="center"/>
                </w:tcPr>
                <w:p w14:paraId="64012DA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sz w:val="21"/>
                      <w:szCs w:val="21"/>
                      <w:highlight w:val="none"/>
                      <w:vertAlign w:val="baseline"/>
                      <w:lang w:val="en-US" w:eastAsia="zh-CN"/>
                    </w:rPr>
                    <w:t>3</w:t>
                  </w:r>
                </w:p>
              </w:tc>
              <w:tc>
                <w:tcPr>
                  <w:tcW w:w="1637" w:type="dxa"/>
                  <w:tcBorders>
                    <w:tl2br w:val="nil"/>
                    <w:tr2bl w:val="nil"/>
                  </w:tcBorders>
                  <w:shd w:val="clear" w:color="auto" w:fill="auto"/>
                  <w:vAlign w:val="center"/>
                </w:tcPr>
                <w:p w14:paraId="1BA1381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sz w:val="21"/>
                      <w:szCs w:val="21"/>
                      <w:highlight w:val="none"/>
                      <w:vertAlign w:val="baseline"/>
                      <w:lang w:val="en-US" w:eastAsia="zh-CN"/>
                    </w:rPr>
                    <w:t>台</w:t>
                  </w:r>
                </w:p>
              </w:tc>
            </w:tr>
            <w:tr w14:paraId="0C7D011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7" w:type="dxa"/>
                  <w:tcBorders>
                    <w:tl2br w:val="nil"/>
                    <w:tr2bl w:val="nil"/>
                  </w:tcBorders>
                  <w:vAlign w:val="center"/>
                </w:tcPr>
                <w:p w14:paraId="6070F5B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25</w:t>
                  </w:r>
                </w:p>
              </w:tc>
              <w:tc>
                <w:tcPr>
                  <w:tcW w:w="3503" w:type="dxa"/>
                  <w:tcBorders>
                    <w:tl2br w:val="nil"/>
                    <w:tr2bl w:val="nil"/>
                  </w:tcBorders>
                  <w:shd w:val="clear" w:color="auto" w:fill="auto"/>
                  <w:vAlign w:val="center"/>
                </w:tcPr>
                <w:p w14:paraId="69D4772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sz w:val="21"/>
                      <w:szCs w:val="21"/>
                      <w:highlight w:val="none"/>
                      <w:vertAlign w:val="baseline"/>
                      <w:lang w:val="en-US" w:eastAsia="zh-CN"/>
                    </w:rPr>
                    <w:t>医疗污水处理设施</w:t>
                  </w:r>
                </w:p>
              </w:tc>
              <w:tc>
                <w:tcPr>
                  <w:tcW w:w="2291" w:type="dxa"/>
                  <w:tcBorders>
                    <w:tl2br w:val="nil"/>
                    <w:tr2bl w:val="nil"/>
                  </w:tcBorders>
                  <w:shd w:val="clear" w:color="auto" w:fill="auto"/>
                  <w:vAlign w:val="center"/>
                </w:tcPr>
                <w:p w14:paraId="4A73999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sz w:val="21"/>
                      <w:szCs w:val="21"/>
                      <w:highlight w:val="none"/>
                      <w:vertAlign w:val="baseline"/>
                      <w:lang w:val="en-US" w:eastAsia="zh-CN"/>
                    </w:rPr>
                    <w:t>1</w:t>
                  </w:r>
                </w:p>
              </w:tc>
              <w:tc>
                <w:tcPr>
                  <w:tcW w:w="1637" w:type="dxa"/>
                  <w:tcBorders>
                    <w:tl2br w:val="nil"/>
                    <w:tr2bl w:val="nil"/>
                  </w:tcBorders>
                  <w:shd w:val="clear" w:color="auto" w:fill="auto"/>
                  <w:vAlign w:val="center"/>
                </w:tcPr>
                <w:p w14:paraId="57361B5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sz w:val="21"/>
                      <w:szCs w:val="21"/>
                      <w:highlight w:val="none"/>
                      <w:vertAlign w:val="baseline"/>
                      <w:lang w:val="en-US" w:eastAsia="zh-CN"/>
                    </w:rPr>
                    <w:t>套</w:t>
                  </w:r>
                </w:p>
              </w:tc>
            </w:tr>
          </w:tbl>
          <w:p w14:paraId="5626475D">
            <w:pPr>
              <w:pStyle w:val="33"/>
              <w:keepNext w:val="0"/>
              <w:keepLines w:val="0"/>
              <w:suppressLineNumbers w:val="0"/>
              <w:bidi w:val="0"/>
              <w:spacing w:before="0" w:beforeAutospacing="0" w:after="0" w:afterAutospacing="0"/>
              <w:ind w:left="0" w:right="0"/>
              <w:rPr>
                <w:rFonts w:hint="default" w:cs="Times New Roman" w:eastAsiaTheme="minorEastAsia"/>
                <w:b w:val="0"/>
                <w:bCs w:val="0"/>
                <w:color w:val="auto"/>
                <w:highlight w:val="none"/>
                <w:lang w:val="en-US" w:eastAsia="zh-CN"/>
              </w:rPr>
            </w:pPr>
            <w:r>
              <w:rPr>
                <w:rFonts w:hint="eastAsia"/>
                <w:lang w:val="en-US" w:eastAsia="zh-CN"/>
              </w:rPr>
              <w:t>注：*本项目涉及X射线辐射，需另行单独申报审批，不在本次评价范围内。</w:t>
            </w:r>
          </w:p>
          <w:p w14:paraId="2310682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cs="Times New Roman" w:eastAsiaTheme="minorEastAsia"/>
                <w:b w:val="0"/>
                <w:bCs w:val="0"/>
                <w:color w:val="auto"/>
                <w:sz w:val="24"/>
                <w:highlight w:val="none"/>
                <w:lang w:val="en-US" w:eastAsia="zh-CN"/>
              </w:rPr>
            </w:pPr>
            <w:r>
              <w:rPr>
                <w:rFonts w:hint="eastAsia" w:cs="Times New Roman" w:eastAsiaTheme="minorEastAsia"/>
                <w:b w:val="0"/>
                <w:bCs w:val="0"/>
                <w:color w:val="auto"/>
                <w:sz w:val="24"/>
                <w:highlight w:val="none"/>
                <w:lang w:val="en-US" w:eastAsia="zh-CN"/>
              </w:rPr>
              <w:t>3、原辅材料清单</w:t>
            </w:r>
          </w:p>
          <w:p w14:paraId="4DC211B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cs="Times New Roman" w:eastAsiaTheme="minorEastAsia"/>
                <w:b w:val="0"/>
                <w:bCs w:val="0"/>
                <w:color w:val="auto"/>
                <w:sz w:val="24"/>
                <w:highlight w:val="none"/>
                <w:lang w:val="en-US" w:eastAsia="zh-CN"/>
              </w:rPr>
            </w:pPr>
            <w:r>
              <w:rPr>
                <w:rFonts w:hint="eastAsia" w:cs="Times New Roman" w:eastAsiaTheme="minorEastAsia"/>
                <w:b w:val="0"/>
                <w:bCs w:val="0"/>
                <w:color w:val="auto"/>
                <w:sz w:val="24"/>
                <w:highlight w:val="none"/>
                <w:lang w:val="en-US" w:eastAsia="zh-CN"/>
              </w:rPr>
              <w:t>本项目不设实验室，检验科常规血液、尿液等生化指标化验主要使用快速检测试剂盒，血液、血清和化学检验分析中使用试剂盒，试剂盒成套购入，试剂盒中的试剂直接放入仪器，一次性使用，检验后试剂盒集中收集作为医疗废物处置，不使用有毒有害及挥发性化学试剂。</w:t>
            </w:r>
          </w:p>
          <w:p w14:paraId="231C397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cs="Times New Roman" w:eastAsiaTheme="minorEastAsia"/>
                <w:b w:val="0"/>
                <w:bCs w:val="0"/>
                <w:color w:val="auto"/>
                <w:sz w:val="24"/>
                <w:highlight w:val="none"/>
                <w:lang w:val="en-US" w:eastAsia="zh-CN"/>
              </w:rPr>
            </w:pPr>
            <w:r>
              <w:rPr>
                <w:rFonts w:hint="eastAsia" w:cs="Times New Roman" w:eastAsiaTheme="minorEastAsia"/>
                <w:b w:val="0"/>
                <w:bCs w:val="0"/>
                <w:color w:val="auto"/>
                <w:sz w:val="24"/>
                <w:highlight w:val="none"/>
                <w:lang w:val="en-US" w:eastAsia="zh-CN"/>
              </w:rPr>
              <w:t>本项目原辅材料及用量见下表。</w:t>
            </w:r>
          </w:p>
          <w:p w14:paraId="78BA664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0" w:firstLineChars="0"/>
              <w:jc w:val="center"/>
              <w:textAlignment w:val="auto"/>
              <w:rPr>
                <w:rFonts w:hint="default" w:ascii="Times New Roman" w:hAnsi="Times New Roman" w:cs="Times New Roman" w:eastAsiaTheme="minorEastAsia"/>
                <w:b w:val="0"/>
                <w:bCs w:val="0"/>
                <w:color w:val="auto"/>
                <w:sz w:val="24"/>
                <w:highlight w:val="none"/>
                <w:lang w:val="en-US" w:eastAsia="zh-CN"/>
              </w:rPr>
            </w:pPr>
            <w:r>
              <w:rPr>
                <w:rFonts w:hint="default" w:ascii="Times New Roman" w:hAnsi="Times New Roman" w:cs="Times New Roman" w:eastAsiaTheme="minorEastAsia"/>
                <w:b/>
                <w:bCs/>
                <w:color w:val="auto"/>
                <w:sz w:val="21"/>
                <w:szCs w:val="21"/>
                <w:highlight w:val="none"/>
                <w:lang w:val="en-US" w:eastAsia="zh-CN"/>
              </w:rPr>
              <w:t>表2-</w:t>
            </w:r>
            <w:r>
              <w:rPr>
                <w:rFonts w:hint="eastAsia" w:cs="Times New Roman" w:eastAsiaTheme="minorEastAsia"/>
                <w:b/>
                <w:bCs/>
                <w:color w:val="auto"/>
                <w:sz w:val="21"/>
                <w:szCs w:val="21"/>
                <w:highlight w:val="none"/>
                <w:lang w:val="en-US" w:eastAsia="zh-CN"/>
              </w:rPr>
              <w:t>4</w:t>
            </w:r>
            <w:r>
              <w:rPr>
                <w:rFonts w:hint="default" w:ascii="Times New Roman" w:hAnsi="Times New Roman" w:cs="Times New Roman" w:eastAsiaTheme="minorEastAsia"/>
                <w:b/>
                <w:bCs/>
                <w:color w:val="auto"/>
                <w:sz w:val="21"/>
                <w:szCs w:val="21"/>
                <w:highlight w:val="none"/>
                <w:lang w:val="en-US" w:eastAsia="zh-CN"/>
              </w:rPr>
              <w:t xml:space="preserve"> 主要</w:t>
            </w:r>
            <w:r>
              <w:rPr>
                <w:rFonts w:hint="eastAsia" w:cs="Times New Roman" w:eastAsiaTheme="minorEastAsia"/>
                <w:b/>
                <w:bCs/>
                <w:color w:val="auto"/>
                <w:sz w:val="21"/>
                <w:szCs w:val="21"/>
                <w:highlight w:val="none"/>
                <w:lang w:val="en-US" w:eastAsia="zh-CN"/>
              </w:rPr>
              <w:t>原辅材料及消耗</w:t>
            </w:r>
            <w:r>
              <w:rPr>
                <w:rFonts w:hint="default" w:ascii="Times New Roman" w:hAnsi="Times New Roman" w:cs="Times New Roman" w:eastAsiaTheme="minorEastAsia"/>
                <w:b/>
                <w:bCs/>
                <w:color w:val="auto"/>
                <w:sz w:val="21"/>
                <w:szCs w:val="21"/>
                <w:highlight w:val="none"/>
                <w:lang w:val="en-US" w:eastAsia="zh-CN"/>
              </w:rPr>
              <w:t>一览表</w:t>
            </w:r>
          </w:p>
          <w:tbl>
            <w:tblPr>
              <w:tblStyle w:val="13"/>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25"/>
              <w:gridCol w:w="2753"/>
              <w:gridCol w:w="1079"/>
              <w:gridCol w:w="1079"/>
              <w:gridCol w:w="1334"/>
              <w:gridCol w:w="1188"/>
            </w:tblGrid>
            <w:tr w14:paraId="27C6801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499" w:type="pct"/>
                  <w:tcBorders>
                    <w:tl2br w:val="nil"/>
                    <w:tr2bl w:val="nil"/>
                  </w:tcBorders>
                  <w:vAlign w:val="center"/>
                </w:tcPr>
                <w:p w14:paraId="4FCA7BF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bCs/>
                      <w:color w:val="auto"/>
                      <w:sz w:val="21"/>
                      <w:szCs w:val="21"/>
                      <w:highlight w:val="none"/>
                      <w:vertAlign w:val="baseline"/>
                      <w:lang w:val="en-US" w:eastAsia="zh-CN"/>
                    </w:rPr>
                  </w:pPr>
                  <w:r>
                    <w:rPr>
                      <w:rFonts w:hint="eastAsia" w:cs="Times New Roman" w:eastAsiaTheme="minorEastAsia"/>
                      <w:b/>
                      <w:bCs/>
                      <w:color w:val="auto"/>
                      <w:sz w:val="21"/>
                      <w:szCs w:val="21"/>
                      <w:highlight w:val="none"/>
                      <w:vertAlign w:val="baseline"/>
                      <w:lang w:val="en-US" w:eastAsia="zh-CN"/>
                    </w:rPr>
                    <w:t>序号</w:t>
                  </w:r>
                </w:p>
              </w:tc>
              <w:tc>
                <w:tcPr>
                  <w:tcW w:w="1666" w:type="pct"/>
                  <w:tcBorders>
                    <w:tl2br w:val="nil"/>
                    <w:tr2bl w:val="nil"/>
                  </w:tcBorders>
                  <w:vAlign w:val="center"/>
                </w:tcPr>
                <w:p w14:paraId="3329C73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bCs/>
                      <w:color w:val="auto"/>
                      <w:sz w:val="21"/>
                      <w:szCs w:val="21"/>
                      <w:highlight w:val="none"/>
                      <w:vertAlign w:val="baseline"/>
                      <w:lang w:val="en-US" w:eastAsia="zh-CN"/>
                    </w:rPr>
                  </w:pPr>
                  <w:r>
                    <w:rPr>
                      <w:rFonts w:hint="eastAsia" w:cs="Times New Roman" w:eastAsiaTheme="minorEastAsia"/>
                      <w:b/>
                      <w:bCs/>
                      <w:color w:val="auto"/>
                      <w:sz w:val="21"/>
                      <w:szCs w:val="21"/>
                      <w:highlight w:val="none"/>
                      <w:vertAlign w:val="baseline"/>
                      <w:lang w:val="en-US" w:eastAsia="zh-CN"/>
                    </w:rPr>
                    <w:t>名称</w:t>
                  </w:r>
                </w:p>
              </w:tc>
              <w:tc>
                <w:tcPr>
                  <w:tcW w:w="653" w:type="pct"/>
                  <w:tcBorders>
                    <w:tl2br w:val="nil"/>
                    <w:tr2bl w:val="nil"/>
                  </w:tcBorders>
                  <w:vAlign w:val="center"/>
                </w:tcPr>
                <w:p w14:paraId="360B6B1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bCs/>
                      <w:color w:val="auto"/>
                      <w:sz w:val="21"/>
                      <w:szCs w:val="21"/>
                      <w:highlight w:val="none"/>
                      <w:vertAlign w:val="baseline"/>
                      <w:lang w:val="en-US" w:eastAsia="zh-CN"/>
                    </w:rPr>
                  </w:pPr>
                  <w:r>
                    <w:rPr>
                      <w:rFonts w:hint="eastAsia" w:cs="Times New Roman" w:eastAsiaTheme="minorEastAsia"/>
                      <w:b/>
                      <w:bCs/>
                      <w:color w:val="auto"/>
                      <w:sz w:val="21"/>
                      <w:szCs w:val="21"/>
                      <w:highlight w:val="none"/>
                      <w:vertAlign w:val="baseline"/>
                      <w:lang w:val="en-US" w:eastAsia="zh-CN"/>
                    </w:rPr>
                    <w:t>单位</w:t>
                  </w:r>
                </w:p>
              </w:tc>
              <w:tc>
                <w:tcPr>
                  <w:tcW w:w="653" w:type="pct"/>
                  <w:tcBorders>
                    <w:tl2br w:val="nil"/>
                    <w:tr2bl w:val="nil"/>
                  </w:tcBorders>
                  <w:vAlign w:val="center"/>
                </w:tcPr>
                <w:p w14:paraId="2FF07B3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bCs/>
                      <w:color w:val="auto"/>
                      <w:kern w:val="2"/>
                      <w:sz w:val="21"/>
                      <w:szCs w:val="21"/>
                      <w:highlight w:val="none"/>
                      <w:vertAlign w:val="baseline"/>
                      <w:lang w:val="en-US" w:eastAsia="zh-CN" w:bidi="ar-SA"/>
                    </w:rPr>
                  </w:pPr>
                  <w:r>
                    <w:rPr>
                      <w:rFonts w:hint="eastAsia" w:cs="Times New Roman" w:eastAsiaTheme="minorEastAsia"/>
                      <w:b/>
                      <w:bCs/>
                      <w:color w:val="auto"/>
                      <w:sz w:val="21"/>
                      <w:szCs w:val="21"/>
                      <w:highlight w:val="none"/>
                      <w:vertAlign w:val="baseline"/>
                      <w:lang w:val="en-US" w:eastAsia="zh-CN"/>
                    </w:rPr>
                    <w:t>年用量</w:t>
                  </w:r>
                </w:p>
              </w:tc>
              <w:tc>
                <w:tcPr>
                  <w:tcW w:w="807" w:type="pct"/>
                  <w:tcBorders>
                    <w:tl2br w:val="nil"/>
                    <w:tr2bl w:val="nil"/>
                  </w:tcBorders>
                  <w:vAlign w:val="center"/>
                </w:tcPr>
                <w:p w14:paraId="5C3DE3A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bCs/>
                      <w:color w:val="auto"/>
                      <w:kern w:val="2"/>
                      <w:sz w:val="21"/>
                      <w:szCs w:val="21"/>
                      <w:highlight w:val="none"/>
                      <w:vertAlign w:val="baseline"/>
                      <w:lang w:val="en-US" w:eastAsia="zh-CN" w:bidi="ar-SA"/>
                    </w:rPr>
                  </w:pPr>
                  <w:r>
                    <w:rPr>
                      <w:rFonts w:hint="eastAsia" w:cs="Times New Roman" w:eastAsiaTheme="minorEastAsia"/>
                      <w:b/>
                      <w:bCs/>
                      <w:color w:val="auto"/>
                      <w:sz w:val="21"/>
                      <w:szCs w:val="21"/>
                      <w:highlight w:val="none"/>
                      <w:vertAlign w:val="baseline"/>
                      <w:lang w:val="en-US" w:eastAsia="zh-CN"/>
                    </w:rPr>
                    <w:t>储存量</w:t>
                  </w:r>
                </w:p>
              </w:tc>
              <w:tc>
                <w:tcPr>
                  <w:tcW w:w="719" w:type="pct"/>
                  <w:tcBorders>
                    <w:tl2br w:val="nil"/>
                    <w:tr2bl w:val="nil"/>
                  </w:tcBorders>
                  <w:vAlign w:val="center"/>
                </w:tcPr>
                <w:p w14:paraId="3D6E913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bCs/>
                      <w:color w:val="auto"/>
                      <w:sz w:val="21"/>
                      <w:szCs w:val="21"/>
                      <w:highlight w:val="none"/>
                      <w:vertAlign w:val="baseline"/>
                      <w:lang w:val="en-US" w:eastAsia="zh-CN"/>
                    </w:rPr>
                  </w:pPr>
                  <w:r>
                    <w:rPr>
                      <w:rFonts w:hint="eastAsia" w:cs="Times New Roman" w:eastAsiaTheme="minorEastAsia"/>
                      <w:b/>
                      <w:bCs/>
                      <w:color w:val="auto"/>
                      <w:sz w:val="21"/>
                      <w:szCs w:val="21"/>
                      <w:highlight w:val="none"/>
                      <w:vertAlign w:val="baseline"/>
                      <w:lang w:val="en-US" w:eastAsia="zh-CN"/>
                    </w:rPr>
                    <w:t>规格</w:t>
                  </w:r>
                </w:p>
              </w:tc>
            </w:tr>
            <w:tr w14:paraId="6F02009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0" w:type="pct"/>
                  <w:gridSpan w:val="6"/>
                  <w:tcBorders>
                    <w:tl2br w:val="nil"/>
                    <w:tr2bl w:val="nil"/>
                  </w:tcBorders>
                  <w:vAlign w:val="center"/>
                </w:tcPr>
                <w:p w14:paraId="7BF0850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医用耗材</w:t>
                  </w:r>
                </w:p>
              </w:tc>
            </w:tr>
            <w:tr w14:paraId="34A1F71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99" w:type="pct"/>
                  <w:tcBorders>
                    <w:tl2br w:val="nil"/>
                    <w:tr2bl w:val="nil"/>
                  </w:tcBorders>
                  <w:vAlign w:val="center"/>
                </w:tcPr>
                <w:p w14:paraId="437053F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1</w:t>
                  </w:r>
                </w:p>
              </w:tc>
              <w:tc>
                <w:tcPr>
                  <w:tcW w:w="1666" w:type="pct"/>
                  <w:tcBorders>
                    <w:tl2br w:val="nil"/>
                    <w:tr2bl w:val="nil"/>
                  </w:tcBorders>
                  <w:vAlign w:val="center"/>
                </w:tcPr>
                <w:p w14:paraId="6069E95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输液器</w:t>
                  </w:r>
                </w:p>
              </w:tc>
              <w:tc>
                <w:tcPr>
                  <w:tcW w:w="653" w:type="pct"/>
                  <w:tcBorders>
                    <w:tl2br w:val="nil"/>
                    <w:tr2bl w:val="nil"/>
                  </w:tcBorders>
                  <w:vAlign w:val="center"/>
                </w:tcPr>
                <w:p w14:paraId="61B061F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副/年</w:t>
                  </w:r>
                </w:p>
              </w:tc>
              <w:tc>
                <w:tcPr>
                  <w:tcW w:w="653" w:type="pct"/>
                  <w:tcBorders>
                    <w:tl2br w:val="nil"/>
                    <w:tr2bl w:val="nil"/>
                  </w:tcBorders>
                  <w:vAlign w:val="center"/>
                </w:tcPr>
                <w:p w14:paraId="11D09BE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7000</w:t>
                  </w:r>
                </w:p>
              </w:tc>
              <w:tc>
                <w:tcPr>
                  <w:tcW w:w="807" w:type="pct"/>
                  <w:tcBorders>
                    <w:tl2br w:val="nil"/>
                    <w:tr2bl w:val="nil"/>
                  </w:tcBorders>
                  <w:vAlign w:val="center"/>
                </w:tcPr>
                <w:p w14:paraId="0333241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kern w:val="2"/>
                      <w:sz w:val="21"/>
                      <w:szCs w:val="21"/>
                      <w:highlight w:val="none"/>
                      <w:vertAlign w:val="baseline"/>
                      <w:lang w:val="en-US" w:eastAsia="zh-CN" w:bidi="ar-SA"/>
                    </w:rPr>
                    <w:t>600</w:t>
                  </w:r>
                </w:p>
              </w:tc>
              <w:tc>
                <w:tcPr>
                  <w:tcW w:w="719" w:type="pct"/>
                  <w:tcBorders>
                    <w:tl2br w:val="nil"/>
                    <w:tr2bl w:val="nil"/>
                  </w:tcBorders>
                  <w:vAlign w:val="center"/>
                </w:tcPr>
                <w:p w14:paraId="1068CA4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w:t>
                  </w:r>
                </w:p>
              </w:tc>
            </w:tr>
            <w:tr w14:paraId="7BF79FF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99" w:type="pct"/>
                  <w:tcBorders>
                    <w:tl2br w:val="nil"/>
                    <w:tr2bl w:val="nil"/>
                  </w:tcBorders>
                  <w:vAlign w:val="center"/>
                </w:tcPr>
                <w:p w14:paraId="56664A8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2</w:t>
                  </w:r>
                </w:p>
              </w:tc>
              <w:tc>
                <w:tcPr>
                  <w:tcW w:w="1666" w:type="pct"/>
                  <w:tcBorders>
                    <w:tl2br w:val="nil"/>
                    <w:tr2bl w:val="nil"/>
                  </w:tcBorders>
                  <w:vAlign w:val="center"/>
                </w:tcPr>
                <w:p w14:paraId="22A3AB0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塑胶手套</w:t>
                  </w:r>
                </w:p>
              </w:tc>
              <w:tc>
                <w:tcPr>
                  <w:tcW w:w="653" w:type="pct"/>
                  <w:tcBorders>
                    <w:tl2br w:val="nil"/>
                    <w:tr2bl w:val="nil"/>
                  </w:tcBorders>
                  <w:vAlign w:val="center"/>
                </w:tcPr>
                <w:p w14:paraId="776E580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盒/年</w:t>
                  </w:r>
                </w:p>
              </w:tc>
              <w:tc>
                <w:tcPr>
                  <w:tcW w:w="653" w:type="pct"/>
                  <w:tcBorders>
                    <w:tl2br w:val="nil"/>
                    <w:tr2bl w:val="nil"/>
                  </w:tcBorders>
                  <w:vAlign w:val="center"/>
                </w:tcPr>
                <w:p w14:paraId="7E29767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300</w:t>
                  </w:r>
                </w:p>
              </w:tc>
              <w:tc>
                <w:tcPr>
                  <w:tcW w:w="807" w:type="pct"/>
                  <w:tcBorders>
                    <w:tl2br w:val="nil"/>
                    <w:tr2bl w:val="nil"/>
                  </w:tcBorders>
                  <w:vAlign w:val="center"/>
                </w:tcPr>
                <w:p w14:paraId="41C877C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kern w:val="2"/>
                      <w:sz w:val="21"/>
                      <w:szCs w:val="21"/>
                      <w:highlight w:val="none"/>
                      <w:vertAlign w:val="baseline"/>
                      <w:lang w:val="en-US" w:eastAsia="zh-CN" w:bidi="ar-SA"/>
                    </w:rPr>
                    <w:t>30</w:t>
                  </w:r>
                </w:p>
              </w:tc>
              <w:tc>
                <w:tcPr>
                  <w:tcW w:w="719" w:type="pct"/>
                  <w:tcBorders>
                    <w:tl2br w:val="nil"/>
                    <w:tr2bl w:val="nil"/>
                  </w:tcBorders>
                  <w:vAlign w:val="center"/>
                </w:tcPr>
                <w:p w14:paraId="65EC783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w:t>
                  </w:r>
                </w:p>
              </w:tc>
            </w:tr>
            <w:tr w14:paraId="628B5CF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99" w:type="pct"/>
                  <w:tcBorders>
                    <w:tl2br w:val="nil"/>
                    <w:tr2bl w:val="nil"/>
                  </w:tcBorders>
                  <w:vAlign w:val="center"/>
                </w:tcPr>
                <w:p w14:paraId="27A526C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3</w:t>
                  </w:r>
                </w:p>
              </w:tc>
              <w:tc>
                <w:tcPr>
                  <w:tcW w:w="1666" w:type="pct"/>
                  <w:tcBorders>
                    <w:tl2br w:val="nil"/>
                    <w:tr2bl w:val="nil"/>
                  </w:tcBorders>
                  <w:vAlign w:val="center"/>
                </w:tcPr>
                <w:p w14:paraId="604EACD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滞留针</w:t>
                  </w:r>
                </w:p>
              </w:tc>
              <w:tc>
                <w:tcPr>
                  <w:tcW w:w="653" w:type="pct"/>
                  <w:tcBorders>
                    <w:tl2br w:val="nil"/>
                    <w:tr2bl w:val="nil"/>
                  </w:tcBorders>
                  <w:vAlign w:val="center"/>
                </w:tcPr>
                <w:p w14:paraId="12E8F7A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盒/年</w:t>
                  </w:r>
                </w:p>
              </w:tc>
              <w:tc>
                <w:tcPr>
                  <w:tcW w:w="653" w:type="pct"/>
                  <w:tcBorders>
                    <w:tl2br w:val="nil"/>
                    <w:tr2bl w:val="nil"/>
                  </w:tcBorders>
                  <w:vAlign w:val="center"/>
                </w:tcPr>
                <w:p w14:paraId="4B33386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20</w:t>
                  </w:r>
                </w:p>
              </w:tc>
              <w:tc>
                <w:tcPr>
                  <w:tcW w:w="807" w:type="pct"/>
                  <w:tcBorders>
                    <w:tl2br w:val="nil"/>
                    <w:tr2bl w:val="nil"/>
                  </w:tcBorders>
                  <w:vAlign w:val="center"/>
                </w:tcPr>
                <w:p w14:paraId="7A585BD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kern w:val="2"/>
                      <w:sz w:val="21"/>
                      <w:szCs w:val="21"/>
                      <w:highlight w:val="none"/>
                      <w:vertAlign w:val="baseline"/>
                      <w:lang w:val="en-US" w:eastAsia="zh-CN" w:bidi="ar-SA"/>
                    </w:rPr>
                    <w:t>10</w:t>
                  </w:r>
                </w:p>
              </w:tc>
              <w:tc>
                <w:tcPr>
                  <w:tcW w:w="719" w:type="pct"/>
                  <w:tcBorders>
                    <w:tl2br w:val="nil"/>
                    <w:tr2bl w:val="nil"/>
                  </w:tcBorders>
                  <w:vAlign w:val="center"/>
                </w:tcPr>
                <w:p w14:paraId="6661A79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w:t>
                  </w:r>
                </w:p>
              </w:tc>
            </w:tr>
            <w:tr w14:paraId="3F147A7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99" w:type="pct"/>
                  <w:tcBorders>
                    <w:tl2br w:val="nil"/>
                    <w:tr2bl w:val="nil"/>
                  </w:tcBorders>
                  <w:vAlign w:val="center"/>
                </w:tcPr>
                <w:p w14:paraId="6B8D3F8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4</w:t>
                  </w:r>
                </w:p>
              </w:tc>
              <w:tc>
                <w:tcPr>
                  <w:tcW w:w="1666" w:type="pct"/>
                  <w:tcBorders>
                    <w:tl2br w:val="nil"/>
                    <w:tr2bl w:val="nil"/>
                  </w:tcBorders>
                  <w:vAlign w:val="center"/>
                </w:tcPr>
                <w:p w14:paraId="41277C0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缝合线</w:t>
                  </w:r>
                </w:p>
              </w:tc>
              <w:tc>
                <w:tcPr>
                  <w:tcW w:w="653" w:type="pct"/>
                  <w:tcBorders>
                    <w:tl2br w:val="nil"/>
                    <w:tr2bl w:val="nil"/>
                  </w:tcBorders>
                  <w:vAlign w:val="center"/>
                </w:tcPr>
                <w:p w14:paraId="48BF9FD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盒/年</w:t>
                  </w:r>
                </w:p>
              </w:tc>
              <w:tc>
                <w:tcPr>
                  <w:tcW w:w="653" w:type="pct"/>
                  <w:tcBorders>
                    <w:tl2br w:val="nil"/>
                    <w:tr2bl w:val="nil"/>
                  </w:tcBorders>
                  <w:vAlign w:val="center"/>
                </w:tcPr>
                <w:p w14:paraId="371BAAE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10</w:t>
                  </w:r>
                </w:p>
              </w:tc>
              <w:tc>
                <w:tcPr>
                  <w:tcW w:w="807" w:type="pct"/>
                  <w:tcBorders>
                    <w:tl2br w:val="nil"/>
                    <w:tr2bl w:val="nil"/>
                  </w:tcBorders>
                  <w:vAlign w:val="center"/>
                </w:tcPr>
                <w:p w14:paraId="6BEE95C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kern w:val="2"/>
                      <w:sz w:val="21"/>
                      <w:szCs w:val="21"/>
                      <w:highlight w:val="none"/>
                      <w:vertAlign w:val="baseline"/>
                      <w:lang w:val="en-US" w:eastAsia="zh-CN" w:bidi="ar-SA"/>
                    </w:rPr>
                    <w:t>5</w:t>
                  </w:r>
                </w:p>
              </w:tc>
              <w:tc>
                <w:tcPr>
                  <w:tcW w:w="719" w:type="pct"/>
                  <w:tcBorders>
                    <w:tl2br w:val="nil"/>
                    <w:tr2bl w:val="nil"/>
                  </w:tcBorders>
                  <w:vAlign w:val="center"/>
                </w:tcPr>
                <w:p w14:paraId="3E0CA5C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w:t>
                  </w:r>
                </w:p>
              </w:tc>
            </w:tr>
            <w:tr w14:paraId="2EC0402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99" w:type="pct"/>
                  <w:tcBorders>
                    <w:tl2br w:val="nil"/>
                    <w:tr2bl w:val="nil"/>
                  </w:tcBorders>
                  <w:vAlign w:val="center"/>
                </w:tcPr>
                <w:p w14:paraId="73869C1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5</w:t>
                  </w:r>
                </w:p>
              </w:tc>
              <w:tc>
                <w:tcPr>
                  <w:tcW w:w="1666" w:type="pct"/>
                  <w:tcBorders>
                    <w:tl2br w:val="nil"/>
                    <w:tr2bl w:val="nil"/>
                  </w:tcBorders>
                  <w:vAlign w:val="center"/>
                </w:tcPr>
                <w:p w14:paraId="4F1E6DD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一次性注射器</w:t>
                  </w:r>
                </w:p>
              </w:tc>
              <w:tc>
                <w:tcPr>
                  <w:tcW w:w="653" w:type="pct"/>
                  <w:tcBorders>
                    <w:tl2br w:val="nil"/>
                    <w:tr2bl w:val="nil"/>
                  </w:tcBorders>
                  <w:vAlign w:val="center"/>
                </w:tcPr>
                <w:p w14:paraId="3A66EC7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支/年</w:t>
                  </w:r>
                </w:p>
              </w:tc>
              <w:tc>
                <w:tcPr>
                  <w:tcW w:w="653" w:type="pct"/>
                  <w:tcBorders>
                    <w:tl2br w:val="nil"/>
                    <w:tr2bl w:val="nil"/>
                  </w:tcBorders>
                  <w:vAlign w:val="center"/>
                </w:tcPr>
                <w:p w14:paraId="1BF2B8F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10000</w:t>
                  </w:r>
                </w:p>
              </w:tc>
              <w:tc>
                <w:tcPr>
                  <w:tcW w:w="807" w:type="pct"/>
                  <w:tcBorders>
                    <w:tl2br w:val="nil"/>
                    <w:tr2bl w:val="nil"/>
                  </w:tcBorders>
                  <w:vAlign w:val="center"/>
                </w:tcPr>
                <w:p w14:paraId="7CBD5D3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kern w:val="2"/>
                      <w:sz w:val="21"/>
                      <w:szCs w:val="21"/>
                      <w:highlight w:val="none"/>
                      <w:vertAlign w:val="baseline"/>
                      <w:lang w:val="en-US" w:eastAsia="zh-CN" w:bidi="ar-SA"/>
                    </w:rPr>
                    <w:t>1000</w:t>
                  </w:r>
                </w:p>
              </w:tc>
              <w:tc>
                <w:tcPr>
                  <w:tcW w:w="719" w:type="pct"/>
                  <w:tcBorders>
                    <w:tl2br w:val="nil"/>
                    <w:tr2bl w:val="nil"/>
                  </w:tcBorders>
                  <w:vAlign w:val="center"/>
                </w:tcPr>
                <w:p w14:paraId="5246F1A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w:t>
                  </w:r>
                </w:p>
              </w:tc>
            </w:tr>
            <w:tr w14:paraId="55EBDA9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99" w:type="pct"/>
                  <w:tcBorders>
                    <w:tl2br w:val="nil"/>
                    <w:tr2bl w:val="nil"/>
                  </w:tcBorders>
                  <w:vAlign w:val="center"/>
                </w:tcPr>
                <w:p w14:paraId="55D8769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6</w:t>
                  </w:r>
                </w:p>
              </w:tc>
              <w:tc>
                <w:tcPr>
                  <w:tcW w:w="1666" w:type="pct"/>
                  <w:tcBorders>
                    <w:tl2br w:val="nil"/>
                    <w:tr2bl w:val="nil"/>
                  </w:tcBorders>
                  <w:vAlign w:val="center"/>
                </w:tcPr>
                <w:p w14:paraId="665F259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医用胶布</w:t>
                  </w:r>
                </w:p>
              </w:tc>
              <w:tc>
                <w:tcPr>
                  <w:tcW w:w="653" w:type="pct"/>
                  <w:tcBorders>
                    <w:tl2br w:val="nil"/>
                    <w:tr2bl w:val="nil"/>
                  </w:tcBorders>
                  <w:vAlign w:val="center"/>
                </w:tcPr>
                <w:p w14:paraId="57985F3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盒/年</w:t>
                  </w:r>
                </w:p>
              </w:tc>
              <w:tc>
                <w:tcPr>
                  <w:tcW w:w="653" w:type="pct"/>
                  <w:tcBorders>
                    <w:tl2br w:val="nil"/>
                    <w:tr2bl w:val="nil"/>
                  </w:tcBorders>
                  <w:vAlign w:val="center"/>
                </w:tcPr>
                <w:p w14:paraId="2A821F4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25</w:t>
                  </w:r>
                </w:p>
              </w:tc>
              <w:tc>
                <w:tcPr>
                  <w:tcW w:w="807" w:type="pct"/>
                  <w:tcBorders>
                    <w:tl2br w:val="nil"/>
                    <w:tr2bl w:val="nil"/>
                  </w:tcBorders>
                  <w:vAlign w:val="center"/>
                </w:tcPr>
                <w:p w14:paraId="3E276DC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kern w:val="2"/>
                      <w:sz w:val="21"/>
                      <w:szCs w:val="21"/>
                      <w:highlight w:val="none"/>
                      <w:vertAlign w:val="baseline"/>
                      <w:lang w:val="en-US" w:eastAsia="zh-CN" w:bidi="ar-SA"/>
                    </w:rPr>
                    <w:t>5</w:t>
                  </w:r>
                </w:p>
              </w:tc>
              <w:tc>
                <w:tcPr>
                  <w:tcW w:w="719" w:type="pct"/>
                  <w:tcBorders>
                    <w:tl2br w:val="nil"/>
                    <w:tr2bl w:val="nil"/>
                  </w:tcBorders>
                  <w:vAlign w:val="center"/>
                </w:tcPr>
                <w:p w14:paraId="511E016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w:t>
                  </w:r>
                </w:p>
              </w:tc>
            </w:tr>
            <w:tr w14:paraId="6C7977D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99" w:type="pct"/>
                  <w:tcBorders>
                    <w:tl2br w:val="nil"/>
                    <w:tr2bl w:val="nil"/>
                  </w:tcBorders>
                  <w:vAlign w:val="center"/>
                </w:tcPr>
                <w:p w14:paraId="2581034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7</w:t>
                  </w:r>
                </w:p>
              </w:tc>
              <w:tc>
                <w:tcPr>
                  <w:tcW w:w="1666" w:type="pct"/>
                  <w:tcBorders>
                    <w:tl2br w:val="nil"/>
                    <w:tr2bl w:val="nil"/>
                  </w:tcBorders>
                  <w:vAlign w:val="center"/>
                </w:tcPr>
                <w:p w14:paraId="2CC2C35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一次性使用医用导管（胃管）</w:t>
                  </w:r>
                </w:p>
              </w:tc>
              <w:tc>
                <w:tcPr>
                  <w:tcW w:w="653" w:type="pct"/>
                  <w:tcBorders>
                    <w:tl2br w:val="nil"/>
                    <w:tr2bl w:val="nil"/>
                  </w:tcBorders>
                  <w:vAlign w:val="center"/>
                </w:tcPr>
                <w:p w14:paraId="3C78C13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盒/年</w:t>
                  </w:r>
                </w:p>
              </w:tc>
              <w:tc>
                <w:tcPr>
                  <w:tcW w:w="653" w:type="pct"/>
                  <w:tcBorders>
                    <w:tl2br w:val="nil"/>
                    <w:tr2bl w:val="nil"/>
                  </w:tcBorders>
                  <w:vAlign w:val="center"/>
                </w:tcPr>
                <w:p w14:paraId="72A2ECA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10</w:t>
                  </w:r>
                </w:p>
              </w:tc>
              <w:tc>
                <w:tcPr>
                  <w:tcW w:w="807" w:type="pct"/>
                  <w:tcBorders>
                    <w:tl2br w:val="nil"/>
                    <w:tr2bl w:val="nil"/>
                  </w:tcBorders>
                  <w:vAlign w:val="center"/>
                </w:tcPr>
                <w:p w14:paraId="101353C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kern w:val="2"/>
                      <w:sz w:val="21"/>
                      <w:szCs w:val="21"/>
                      <w:highlight w:val="none"/>
                      <w:vertAlign w:val="baseline"/>
                      <w:lang w:val="en-US" w:eastAsia="zh-CN" w:bidi="ar-SA"/>
                    </w:rPr>
                    <w:t>5</w:t>
                  </w:r>
                </w:p>
              </w:tc>
              <w:tc>
                <w:tcPr>
                  <w:tcW w:w="719" w:type="pct"/>
                  <w:tcBorders>
                    <w:tl2br w:val="nil"/>
                    <w:tr2bl w:val="nil"/>
                  </w:tcBorders>
                  <w:vAlign w:val="center"/>
                </w:tcPr>
                <w:p w14:paraId="7B095F4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w:t>
                  </w:r>
                </w:p>
              </w:tc>
            </w:tr>
            <w:tr w14:paraId="73E995B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99" w:type="pct"/>
                  <w:tcBorders>
                    <w:tl2br w:val="nil"/>
                    <w:tr2bl w:val="nil"/>
                  </w:tcBorders>
                  <w:vAlign w:val="center"/>
                </w:tcPr>
                <w:p w14:paraId="0FC0C07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8</w:t>
                  </w:r>
                </w:p>
              </w:tc>
              <w:tc>
                <w:tcPr>
                  <w:tcW w:w="1666" w:type="pct"/>
                  <w:tcBorders>
                    <w:tl2br w:val="nil"/>
                    <w:tr2bl w:val="nil"/>
                  </w:tcBorders>
                  <w:vAlign w:val="center"/>
                </w:tcPr>
                <w:p w14:paraId="406E00C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消毒级医用防护服</w:t>
                  </w:r>
                </w:p>
              </w:tc>
              <w:tc>
                <w:tcPr>
                  <w:tcW w:w="653" w:type="pct"/>
                  <w:tcBorders>
                    <w:tl2br w:val="nil"/>
                    <w:tr2bl w:val="nil"/>
                  </w:tcBorders>
                  <w:vAlign w:val="center"/>
                </w:tcPr>
                <w:p w14:paraId="2352FB7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箱/年</w:t>
                  </w:r>
                </w:p>
              </w:tc>
              <w:tc>
                <w:tcPr>
                  <w:tcW w:w="653" w:type="pct"/>
                  <w:tcBorders>
                    <w:tl2br w:val="nil"/>
                    <w:tr2bl w:val="nil"/>
                  </w:tcBorders>
                  <w:vAlign w:val="center"/>
                </w:tcPr>
                <w:p w14:paraId="2C567DB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1</w:t>
                  </w:r>
                </w:p>
              </w:tc>
              <w:tc>
                <w:tcPr>
                  <w:tcW w:w="807" w:type="pct"/>
                  <w:tcBorders>
                    <w:tl2br w:val="nil"/>
                    <w:tr2bl w:val="nil"/>
                  </w:tcBorders>
                  <w:vAlign w:val="center"/>
                </w:tcPr>
                <w:p w14:paraId="4D776E4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kern w:val="2"/>
                      <w:sz w:val="21"/>
                      <w:szCs w:val="21"/>
                      <w:highlight w:val="none"/>
                      <w:vertAlign w:val="baseline"/>
                      <w:lang w:val="en-US" w:eastAsia="zh-CN" w:bidi="ar-SA"/>
                    </w:rPr>
                    <w:t>1</w:t>
                  </w:r>
                </w:p>
              </w:tc>
              <w:tc>
                <w:tcPr>
                  <w:tcW w:w="719" w:type="pct"/>
                  <w:tcBorders>
                    <w:tl2br w:val="nil"/>
                    <w:tr2bl w:val="nil"/>
                  </w:tcBorders>
                  <w:vAlign w:val="center"/>
                </w:tcPr>
                <w:p w14:paraId="50DA488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w:t>
                  </w:r>
                </w:p>
              </w:tc>
            </w:tr>
            <w:tr w14:paraId="2E2FC0B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0" w:type="pct"/>
                  <w:gridSpan w:val="6"/>
                  <w:tcBorders>
                    <w:tl2br w:val="nil"/>
                    <w:tr2bl w:val="nil"/>
                  </w:tcBorders>
                  <w:vAlign w:val="center"/>
                </w:tcPr>
                <w:p w14:paraId="59639FB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医技科室</w:t>
                  </w:r>
                </w:p>
              </w:tc>
            </w:tr>
            <w:tr w14:paraId="55DA64F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99" w:type="pct"/>
                  <w:tcBorders>
                    <w:tl2br w:val="nil"/>
                    <w:tr2bl w:val="nil"/>
                  </w:tcBorders>
                  <w:vAlign w:val="center"/>
                </w:tcPr>
                <w:p w14:paraId="50F83CD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9</w:t>
                  </w:r>
                </w:p>
              </w:tc>
              <w:tc>
                <w:tcPr>
                  <w:tcW w:w="1666" w:type="pct"/>
                  <w:tcBorders>
                    <w:tl2br w:val="nil"/>
                    <w:tr2bl w:val="nil"/>
                  </w:tcBorders>
                  <w:vAlign w:val="center"/>
                </w:tcPr>
                <w:p w14:paraId="3F6FB35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检验用试剂盒</w:t>
                  </w:r>
                </w:p>
              </w:tc>
              <w:tc>
                <w:tcPr>
                  <w:tcW w:w="653" w:type="pct"/>
                  <w:tcBorders>
                    <w:tl2br w:val="nil"/>
                    <w:tr2bl w:val="nil"/>
                  </w:tcBorders>
                  <w:vAlign w:val="center"/>
                </w:tcPr>
                <w:p w14:paraId="3B5BDC0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盒/年</w:t>
                  </w:r>
                </w:p>
              </w:tc>
              <w:tc>
                <w:tcPr>
                  <w:tcW w:w="653" w:type="pct"/>
                  <w:tcBorders>
                    <w:tl2br w:val="nil"/>
                    <w:tr2bl w:val="nil"/>
                  </w:tcBorders>
                  <w:vAlign w:val="center"/>
                </w:tcPr>
                <w:p w14:paraId="66889D5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300</w:t>
                  </w:r>
                </w:p>
              </w:tc>
              <w:tc>
                <w:tcPr>
                  <w:tcW w:w="807" w:type="pct"/>
                  <w:tcBorders>
                    <w:tl2br w:val="nil"/>
                    <w:tr2bl w:val="nil"/>
                  </w:tcBorders>
                  <w:vAlign w:val="center"/>
                </w:tcPr>
                <w:p w14:paraId="66BB4D3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kern w:val="2"/>
                      <w:sz w:val="21"/>
                      <w:szCs w:val="21"/>
                      <w:highlight w:val="none"/>
                      <w:vertAlign w:val="baseline"/>
                      <w:lang w:val="en-US" w:eastAsia="zh-CN" w:bidi="ar-SA"/>
                    </w:rPr>
                    <w:t>100</w:t>
                  </w:r>
                </w:p>
              </w:tc>
              <w:tc>
                <w:tcPr>
                  <w:tcW w:w="719" w:type="pct"/>
                  <w:tcBorders>
                    <w:tl2br w:val="nil"/>
                    <w:tr2bl w:val="nil"/>
                  </w:tcBorders>
                  <w:vAlign w:val="center"/>
                </w:tcPr>
                <w:p w14:paraId="3CCCF91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w:t>
                  </w:r>
                </w:p>
              </w:tc>
            </w:tr>
            <w:tr w14:paraId="588FBE1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99" w:type="pct"/>
                  <w:tcBorders>
                    <w:tl2br w:val="nil"/>
                    <w:tr2bl w:val="nil"/>
                  </w:tcBorders>
                  <w:vAlign w:val="center"/>
                </w:tcPr>
                <w:p w14:paraId="19372EB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10</w:t>
                  </w:r>
                </w:p>
              </w:tc>
              <w:tc>
                <w:tcPr>
                  <w:tcW w:w="1666" w:type="pct"/>
                  <w:tcBorders>
                    <w:tl2br w:val="nil"/>
                    <w:tr2bl w:val="nil"/>
                  </w:tcBorders>
                  <w:vAlign w:val="center"/>
                </w:tcPr>
                <w:p w14:paraId="54D3B47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无水乙醇</w:t>
                  </w:r>
                </w:p>
              </w:tc>
              <w:tc>
                <w:tcPr>
                  <w:tcW w:w="653" w:type="pct"/>
                  <w:tcBorders>
                    <w:tl2br w:val="nil"/>
                    <w:tr2bl w:val="nil"/>
                  </w:tcBorders>
                  <w:vAlign w:val="center"/>
                </w:tcPr>
                <w:p w14:paraId="0F6BD9F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瓶/年</w:t>
                  </w:r>
                </w:p>
              </w:tc>
              <w:tc>
                <w:tcPr>
                  <w:tcW w:w="653" w:type="pct"/>
                  <w:tcBorders>
                    <w:tl2br w:val="nil"/>
                    <w:tr2bl w:val="nil"/>
                  </w:tcBorders>
                  <w:vAlign w:val="center"/>
                </w:tcPr>
                <w:p w14:paraId="26452BE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100</w:t>
                  </w:r>
                </w:p>
              </w:tc>
              <w:tc>
                <w:tcPr>
                  <w:tcW w:w="807" w:type="pct"/>
                  <w:tcBorders>
                    <w:tl2br w:val="nil"/>
                    <w:tr2bl w:val="nil"/>
                  </w:tcBorders>
                  <w:vAlign w:val="center"/>
                </w:tcPr>
                <w:p w14:paraId="610DAEA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kern w:val="2"/>
                      <w:sz w:val="21"/>
                      <w:szCs w:val="21"/>
                      <w:highlight w:val="none"/>
                      <w:vertAlign w:val="baseline"/>
                      <w:lang w:val="en-US" w:eastAsia="zh-CN" w:bidi="ar-SA"/>
                    </w:rPr>
                    <w:t>20</w:t>
                  </w:r>
                </w:p>
              </w:tc>
              <w:tc>
                <w:tcPr>
                  <w:tcW w:w="719" w:type="pct"/>
                  <w:tcBorders>
                    <w:tl2br w:val="nil"/>
                    <w:tr2bl w:val="nil"/>
                  </w:tcBorders>
                  <w:vAlign w:val="center"/>
                </w:tcPr>
                <w:p w14:paraId="01CA1D0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500mL/瓶</w:t>
                  </w:r>
                </w:p>
              </w:tc>
            </w:tr>
            <w:tr w14:paraId="461F854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99" w:type="pct"/>
                  <w:tcBorders>
                    <w:tl2br w:val="nil"/>
                    <w:tr2bl w:val="nil"/>
                  </w:tcBorders>
                  <w:vAlign w:val="center"/>
                </w:tcPr>
                <w:p w14:paraId="6353A08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11</w:t>
                  </w:r>
                </w:p>
              </w:tc>
              <w:tc>
                <w:tcPr>
                  <w:tcW w:w="1666" w:type="pct"/>
                  <w:tcBorders>
                    <w:tl2br w:val="nil"/>
                    <w:tr2bl w:val="nil"/>
                  </w:tcBorders>
                  <w:vAlign w:val="center"/>
                </w:tcPr>
                <w:p w14:paraId="50AE40C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75%酒精</w:t>
                  </w:r>
                </w:p>
              </w:tc>
              <w:tc>
                <w:tcPr>
                  <w:tcW w:w="653" w:type="pct"/>
                  <w:tcBorders>
                    <w:tl2br w:val="nil"/>
                    <w:tr2bl w:val="nil"/>
                  </w:tcBorders>
                  <w:vAlign w:val="center"/>
                </w:tcPr>
                <w:p w14:paraId="06C5DF1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瓶/年</w:t>
                  </w:r>
                </w:p>
              </w:tc>
              <w:tc>
                <w:tcPr>
                  <w:tcW w:w="653" w:type="pct"/>
                  <w:tcBorders>
                    <w:tl2br w:val="nil"/>
                    <w:tr2bl w:val="nil"/>
                  </w:tcBorders>
                  <w:vAlign w:val="center"/>
                </w:tcPr>
                <w:p w14:paraId="7EA5167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100</w:t>
                  </w:r>
                </w:p>
              </w:tc>
              <w:tc>
                <w:tcPr>
                  <w:tcW w:w="807" w:type="pct"/>
                  <w:tcBorders>
                    <w:tl2br w:val="nil"/>
                    <w:tr2bl w:val="nil"/>
                  </w:tcBorders>
                  <w:vAlign w:val="center"/>
                </w:tcPr>
                <w:p w14:paraId="3FD4B15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kern w:val="2"/>
                      <w:sz w:val="21"/>
                      <w:szCs w:val="21"/>
                      <w:highlight w:val="none"/>
                      <w:vertAlign w:val="baseline"/>
                      <w:lang w:val="en-US" w:eastAsia="zh-CN" w:bidi="ar-SA"/>
                    </w:rPr>
                    <w:t>20</w:t>
                  </w:r>
                </w:p>
              </w:tc>
              <w:tc>
                <w:tcPr>
                  <w:tcW w:w="719" w:type="pct"/>
                  <w:tcBorders>
                    <w:tl2br w:val="nil"/>
                    <w:tr2bl w:val="nil"/>
                  </w:tcBorders>
                  <w:vAlign w:val="center"/>
                </w:tcPr>
                <w:p w14:paraId="33ED1A9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500mL/瓶</w:t>
                  </w:r>
                </w:p>
              </w:tc>
            </w:tr>
            <w:tr w14:paraId="14B4E33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99" w:type="pct"/>
                  <w:tcBorders>
                    <w:tl2br w:val="nil"/>
                    <w:tr2bl w:val="nil"/>
                  </w:tcBorders>
                  <w:vAlign w:val="center"/>
                </w:tcPr>
                <w:p w14:paraId="18346BD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12</w:t>
                  </w:r>
                </w:p>
              </w:tc>
              <w:tc>
                <w:tcPr>
                  <w:tcW w:w="1666" w:type="pct"/>
                  <w:tcBorders>
                    <w:tl2br w:val="nil"/>
                    <w:tr2bl w:val="nil"/>
                  </w:tcBorders>
                  <w:vAlign w:val="center"/>
                </w:tcPr>
                <w:p w14:paraId="35057AA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碘伏消毒液</w:t>
                  </w:r>
                </w:p>
              </w:tc>
              <w:tc>
                <w:tcPr>
                  <w:tcW w:w="653" w:type="pct"/>
                  <w:tcBorders>
                    <w:tl2br w:val="nil"/>
                    <w:tr2bl w:val="nil"/>
                  </w:tcBorders>
                  <w:vAlign w:val="center"/>
                </w:tcPr>
                <w:p w14:paraId="7920B8F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瓶/年</w:t>
                  </w:r>
                </w:p>
              </w:tc>
              <w:tc>
                <w:tcPr>
                  <w:tcW w:w="653" w:type="pct"/>
                  <w:tcBorders>
                    <w:tl2br w:val="nil"/>
                    <w:tr2bl w:val="nil"/>
                  </w:tcBorders>
                  <w:vAlign w:val="center"/>
                </w:tcPr>
                <w:p w14:paraId="5A6E0E8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500</w:t>
                  </w:r>
                </w:p>
              </w:tc>
              <w:tc>
                <w:tcPr>
                  <w:tcW w:w="807" w:type="pct"/>
                  <w:tcBorders>
                    <w:tl2br w:val="nil"/>
                    <w:tr2bl w:val="nil"/>
                  </w:tcBorders>
                  <w:vAlign w:val="center"/>
                </w:tcPr>
                <w:p w14:paraId="6E98C8D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kern w:val="2"/>
                      <w:sz w:val="21"/>
                      <w:szCs w:val="21"/>
                      <w:highlight w:val="none"/>
                      <w:vertAlign w:val="baseline"/>
                      <w:lang w:val="en-US" w:eastAsia="zh-CN" w:bidi="ar-SA"/>
                    </w:rPr>
                    <w:t>100</w:t>
                  </w:r>
                </w:p>
              </w:tc>
              <w:tc>
                <w:tcPr>
                  <w:tcW w:w="719" w:type="pct"/>
                  <w:tcBorders>
                    <w:tl2br w:val="nil"/>
                    <w:tr2bl w:val="nil"/>
                  </w:tcBorders>
                  <w:vAlign w:val="center"/>
                </w:tcPr>
                <w:p w14:paraId="4CB2403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50mL/瓶</w:t>
                  </w:r>
                </w:p>
              </w:tc>
            </w:tr>
            <w:tr w14:paraId="5C2B6D2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0" w:type="pct"/>
                  <w:gridSpan w:val="6"/>
                  <w:tcBorders>
                    <w:tl2br w:val="nil"/>
                    <w:tr2bl w:val="nil"/>
                  </w:tcBorders>
                  <w:vAlign w:val="center"/>
                </w:tcPr>
                <w:p w14:paraId="3AEB035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药房</w:t>
                  </w:r>
                </w:p>
              </w:tc>
            </w:tr>
            <w:tr w14:paraId="77431CB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99" w:type="pct"/>
                  <w:tcBorders>
                    <w:tl2br w:val="nil"/>
                    <w:tr2bl w:val="nil"/>
                  </w:tcBorders>
                  <w:vAlign w:val="center"/>
                </w:tcPr>
                <w:p w14:paraId="2F3C9A7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kern w:val="2"/>
                      <w:sz w:val="21"/>
                      <w:szCs w:val="21"/>
                      <w:highlight w:val="none"/>
                      <w:vertAlign w:val="baseline"/>
                      <w:lang w:val="en-US" w:eastAsia="zh-CN" w:bidi="ar-SA"/>
                    </w:rPr>
                    <w:t>13</w:t>
                  </w:r>
                </w:p>
              </w:tc>
              <w:tc>
                <w:tcPr>
                  <w:tcW w:w="1666" w:type="pct"/>
                  <w:tcBorders>
                    <w:tl2br w:val="nil"/>
                    <w:tr2bl w:val="nil"/>
                  </w:tcBorders>
                  <w:vAlign w:val="center"/>
                </w:tcPr>
                <w:p w14:paraId="0A6DEB9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kern w:val="2"/>
                      <w:sz w:val="21"/>
                      <w:szCs w:val="21"/>
                      <w:highlight w:val="none"/>
                      <w:vertAlign w:val="baseline"/>
                      <w:lang w:val="en-US" w:eastAsia="zh-CN" w:bidi="ar-SA"/>
                    </w:rPr>
                    <w:t>各类药品</w:t>
                  </w:r>
                </w:p>
              </w:tc>
              <w:tc>
                <w:tcPr>
                  <w:tcW w:w="653" w:type="pct"/>
                  <w:tcBorders>
                    <w:tl2br w:val="nil"/>
                    <w:tr2bl w:val="nil"/>
                  </w:tcBorders>
                  <w:vAlign w:val="center"/>
                </w:tcPr>
                <w:p w14:paraId="1898039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kern w:val="2"/>
                      <w:sz w:val="21"/>
                      <w:szCs w:val="21"/>
                      <w:highlight w:val="none"/>
                      <w:vertAlign w:val="baseline"/>
                      <w:lang w:val="en-US" w:eastAsia="zh-CN" w:bidi="ar-SA"/>
                    </w:rPr>
                    <w:t>/</w:t>
                  </w:r>
                </w:p>
              </w:tc>
              <w:tc>
                <w:tcPr>
                  <w:tcW w:w="1461" w:type="pct"/>
                  <w:gridSpan w:val="2"/>
                  <w:tcBorders>
                    <w:tl2br w:val="nil"/>
                    <w:tr2bl w:val="nil"/>
                  </w:tcBorders>
                  <w:vAlign w:val="center"/>
                </w:tcPr>
                <w:p w14:paraId="3B8CD40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kern w:val="2"/>
                      <w:sz w:val="21"/>
                      <w:szCs w:val="21"/>
                      <w:highlight w:val="none"/>
                      <w:vertAlign w:val="baseline"/>
                      <w:lang w:val="en-US" w:eastAsia="zh-CN" w:bidi="ar-SA"/>
                    </w:rPr>
                    <w:t>按需采购</w:t>
                  </w:r>
                </w:p>
              </w:tc>
              <w:tc>
                <w:tcPr>
                  <w:tcW w:w="719" w:type="pct"/>
                  <w:tcBorders>
                    <w:tl2br w:val="nil"/>
                    <w:tr2bl w:val="nil"/>
                  </w:tcBorders>
                  <w:vAlign w:val="center"/>
                </w:tcPr>
                <w:p w14:paraId="30EAB8E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kern w:val="2"/>
                      <w:sz w:val="21"/>
                      <w:szCs w:val="21"/>
                      <w:highlight w:val="none"/>
                      <w:vertAlign w:val="baseline"/>
                      <w:lang w:val="en-US" w:eastAsia="zh-CN" w:bidi="ar-SA"/>
                    </w:rPr>
                    <w:t>/</w:t>
                  </w:r>
                </w:p>
              </w:tc>
            </w:tr>
            <w:tr w14:paraId="7E929E8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0" w:type="pct"/>
                  <w:gridSpan w:val="6"/>
                  <w:tcBorders>
                    <w:tl2br w:val="nil"/>
                    <w:tr2bl w:val="nil"/>
                  </w:tcBorders>
                  <w:vAlign w:val="center"/>
                </w:tcPr>
                <w:p w14:paraId="7953DDC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kern w:val="2"/>
                      <w:sz w:val="21"/>
                      <w:szCs w:val="21"/>
                      <w:highlight w:val="none"/>
                      <w:vertAlign w:val="baseline"/>
                      <w:lang w:val="en-US" w:eastAsia="zh-CN" w:bidi="ar-SA"/>
                    </w:rPr>
                    <w:t>污水处理设施</w:t>
                  </w:r>
                </w:p>
              </w:tc>
            </w:tr>
            <w:tr w14:paraId="3580A53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99" w:type="pct"/>
                  <w:tcBorders>
                    <w:tl2br w:val="nil"/>
                    <w:tr2bl w:val="nil"/>
                  </w:tcBorders>
                  <w:vAlign w:val="center"/>
                </w:tcPr>
                <w:p w14:paraId="7788166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kern w:val="2"/>
                      <w:sz w:val="21"/>
                      <w:szCs w:val="21"/>
                      <w:highlight w:val="none"/>
                      <w:vertAlign w:val="baseline"/>
                      <w:lang w:val="en-US" w:eastAsia="zh-CN" w:bidi="ar-SA"/>
                    </w:rPr>
                    <w:t>14</w:t>
                  </w:r>
                </w:p>
              </w:tc>
              <w:tc>
                <w:tcPr>
                  <w:tcW w:w="1666" w:type="pct"/>
                  <w:tcBorders>
                    <w:tl2br w:val="nil"/>
                    <w:tr2bl w:val="nil"/>
                  </w:tcBorders>
                  <w:vAlign w:val="center"/>
                </w:tcPr>
                <w:p w14:paraId="550BCEC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kern w:val="2"/>
                      <w:sz w:val="21"/>
                      <w:szCs w:val="21"/>
                      <w:highlight w:val="none"/>
                      <w:vertAlign w:val="baseline"/>
                      <w:lang w:val="en-US" w:eastAsia="zh-CN" w:bidi="ar-SA"/>
                    </w:rPr>
                    <w:t>次氯酸钠溶液（13%）</w:t>
                  </w:r>
                </w:p>
              </w:tc>
              <w:tc>
                <w:tcPr>
                  <w:tcW w:w="653" w:type="pct"/>
                  <w:tcBorders>
                    <w:tl2br w:val="nil"/>
                    <w:tr2bl w:val="nil"/>
                  </w:tcBorders>
                  <w:vAlign w:val="center"/>
                </w:tcPr>
                <w:p w14:paraId="5E9C3F3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kern w:val="2"/>
                      <w:sz w:val="21"/>
                      <w:szCs w:val="21"/>
                      <w:highlight w:val="none"/>
                      <w:vertAlign w:val="baseline"/>
                      <w:lang w:val="en-US" w:eastAsia="zh-CN" w:bidi="ar-SA"/>
                    </w:rPr>
                    <w:t>桶/</w:t>
                  </w:r>
                  <w:r>
                    <w:rPr>
                      <w:rFonts w:hint="eastAsia" w:cs="Times New Roman" w:eastAsiaTheme="minorEastAsia"/>
                      <w:b w:val="0"/>
                      <w:bCs w:val="0"/>
                      <w:color w:val="auto"/>
                      <w:sz w:val="21"/>
                      <w:szCs w:val="21"/>
                      <w:highlight w:val="none"/>
                      <w:vertAlign w:val="baseline"/>
                      <w:lang w:val="en-US" w:eastAsia="zh-CN"/>
                    </w:rPr>
                    <w:t>年</w:t>
                  </w:r>
                </w:p>
              </w:tc>
              <w:tc>
                <w:tcPr>
                  <w:tcW w:w="653" w:type="pct"/>
                  <w:tcBorders>
                    <w:tl2br w:val="nil"/>
                    <w:tr2bl w:val="nil"/>
                  </w:tcBorders>
                  <w:vAlign w:val="center"/>
                </w:tcPr>
                <w:p w14:paraId="5E37109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kern w:val="2"/>
                      <w:sz w:val="21"/>
                      <w:szCs w:val="21"/>
                      <w:highlight w:val="none"/>
                      <w:vertAlign w:val="baseline"/>
                      <w:lang w:val="en-US" w:eastAsia="zh-CN" w:bidi="ar-SA"/>
                    </w:rPr>
                    <w:t>35</w:t>
                  </w:r>
                </w:p>
              </w:tc>
              <w:tc>
                <w:tcPr>
                  <w:tcW w:w="807" w:type="pct"/>
                  <w:tcBorders>
                    <w:tl2br w:val="nil"/>
                    <w:tr2bl w:val="nil"/>
                  </w:tcBorders>
                  <w:vAlign w:val="center"/>
                </w:tcPr>
                <w:p w14:paraId="2914A72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kern w:val="2"/>
                      <w:sz w:val="21"/>
                      <w:szCs w:val="21"/>
                      <w:highlight w:val="none"/>
                      <w:vertAlign w:val="baseline"/>
                      <w:lang w:val="en-US" w:eastAsia="zh-CN" w:bidi="ar-SA"/>
                    </w:rPr>
                    <w:t>3</w:t>
                  </w:r>
                </w:p>
              </w:tc>
              <w:tc>
                <w:tcPr>
                  <w:tcW w:w="719" w:type="pct"/>
                  <w:tcBorders>
                    <w:tl2br w:val="nil"/>
                    <w:tr2bl w:val="nil"/>
                  </w:tcBorders>
                  <w:vAlign w:val="center"/>
                </w:tcPr>
                <w:p w14:paraId="39D603A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kern w:val="2"/>
                      <w:sz w:val="21"/>
                      <w:szCs w:val="21"/>
                      <w:highlight w:val="none"/>
                      <w:vertAlign w:val="baseline"/>
                      <w:lang w:val="en-US" w:eastAsia="zh-CN" w:bidi="ar-SA"/>
                    </w:rPr>
                    <w:t>25kg/桶</w:t>
                  </w:r>
                </w:p>
              </w:tc>
            </w:tr>
            <w:tr w14:paraId="4926338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99" w:type="pct"/>
                  <w:tcBorders>
                    <w:tl2br w:val="nil"/>
                    <w:tr2bl w:val="nil"/>
                  </w:tcBorders>
                  <w:vAlign w:val="center"/>
                </w:tcPr>
                <w:p w14:paraId="1C84A9B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kern w:val="2"/>
                      <w:sz w:val="21"/>
                      <w:szCs w:val="21"/>
                      <w:highlight w:val="none"/>
                      <w:vertAlign w:val="baseline"/>
                      <w:lang w:val="en-US" w:eastAsia="zh-CN" w:bidi="ar-SA"/>
                    </w:rPr>
                    <w:t>15</w:t>
                  </w:r>
                </w:p>
              </w:tc>
              <w:tc>
                <w:tcPr>
                  <w:tcW w:w="1666" w:type="pct"/>
                  <w:tcBorders>
                    <w:tl2br w:val="nil"/>
                    <w:tr2bl w:val="nil"/>
                  </w:tcBorders>
                  <w:vAlign w:val="center"/>
                </w:tcPr>
                <w:p w14:paraId="47FFB79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kern w:val="2"/>
                      <w:sz w:val="21"/>
                      <w:szCs w:val="21"/>
                      <w:highlight w:val="none"/>
                      <w:vertAlign w:val="baseline"/>
                      <w:lang w:val="en-US" w:eastAsia="zh-CN" w:bidi="ar-SA"/>
                    </w:rPr>
                    <w:t>除臭剂</w:t>
                  </w:r>
                </w:p>
              </w:tc>
              <w:tc>
                <w:tcPr>
                  <w:tcW w:w="653" w:type="pct"/>
                  <w:tcBorders>
                    <w:tl2br w:val="nil"/>
                    <w:tr2bl w:val="nil"/>
                  </w:tcBorders>
                  <w:vAlign w:val="center"/>
                </w:tcPr>
                <w:p w14:paraId="10F8465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kern w:val="2"/>
                      <w:sz w:val="21"/>
                      <w:szCs w:val="21"/>
                      <w:highlight w:val="none"/>
                      <w:vertAlign w:val="baseline"/>
                      <w:lang w:val="en-US" w:eastAsia="zh-CN" w:bidi="ar-SA"/>
                    </w:rPr>
                    <w:t>瓶/</w:t>
                  </w:r>
                  <w:r>
                    <w:rPr>
                      <w:rFonts w:hint="eastAsia" w:cs="Times New Roman" w:eastAsiaTheme="minorEastAsia"/>
                      <w:b w:val="0"/>
                      <w:bCs w:val="0"/>
                      <w:color w:val="auto"/>
                      <w:sz w:val="21"/>
                      <w:szCs w:val="21"/>
                      <w:highlight w:val="none"/>
                      <w:vertAlign w:val="baseline"/>
                      <w:lang w:val="en-US" w:eastAsia="zh-CN"/>
                    </w:rPr>
                    <w:t>年</w:t>
                  </w:r>
                </w:p>
              </w:tc>
              <w:tc>
                <w:tcPr>
                  <w:tcW w:w="653" w:type="pct"/>
                  <w:tcBorders>
                    <w:tl2br w:val="nil"/>
                    <w:tr2bl w:val="nil"/>
                  </w:tcBorders>
                  <w:vAlign w:val="center"/>
                </w:tcPr>
                <w:p w14:paraId="34DBAF8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kern w:val="2"/>
                      <w:sz w:val="21"/>
                      <w:szCs w:val="21"/>
                      <w:highlight w:val="none"/>
                      <w:vertAlign w:val="baseline"/>
                      <w:lang w:val="en-US" w:eastAsia="zh-CN" w:bidi="ar-SA"/>
                    </w:rPr>
                    <w:t>10</w:t>
                  </w:r>
                </w:p>
              </w:tc>
              <w:tc>
                <w:tcPr>
                  <w:tcW w:w="807" w:type="pct"/>
                  <w:tcBorders>
                    <w:tl2br w:val="nil"/>
                    <w:tr2bl w:val="nil"/>
                  </w:tcBorders>
                  <w:vAlign w:val="center"/>
                </w:tcPr>
                <w:p w14:paraId="1C7A036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kern w:val="2"/>
                      <w:sz w:val="21"/>
                      <w:szCs w:val="21"/>
                      <w:highlight w:val="none"/>
                      <w:vertAlign w:val="baseline"/>
                      <w:lang w:val="en-US" w:eastAsia="zh-CN" w:bidi="ar-SA"/>
                    </w:rPr>
                    <w:t>5</w:t>
                  </w:r>
                </w:p>
              </w:tc>
              <w:tc>
                <w:tcPr>
                  <w:tcW w:w="719" w:type="pct"/>
                  <w:tcBorders>
                    <w:tl2br w:val="nil"/>
                    <w:tr2bl w:val="nil"/>
                  </w:tcBorders>
                  <w:vAlign w:val="center"/>
                </w:tcPr>
                <w:p w14:paraId="1EE5206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kern w:val="2"/>
                      <w:sz w:val="21"/>
                      <w:szCs w:val="21"/>
                      <w:highlight w:val="none"/>
                      <w:vertAlign w:val="baseline"/>
                      <w:lang w:val="en-US" w:eastAsia="zh-CN" w:bidi="ar-SA"/>
                    </w:rPr>
                    <w:t>2kg/瓶</w:t>
                  </w:r>
                </w:p>
              </w:tc>
            </w:tr>
            <w:tr w14:paraId="2EEEFB2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99" w:type="pct"/>
                  <w:tcBorders>
                    <w:tl2br w:val="nil"/>
                    <w:tr2bl w:val="nil"/>
                  </w:tcBorders>
                  <w:vAlign w:val="center"/>
                </w:tcPr>
                <w:p w14:paraId="4B85CDC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kern w:val="2"/>
                      <w:sz w:val="21"/>
                      <w:szCs w:val="21"/>
                      <w:highlight w:val="none"/>
                      <w:vertAlign w:val="baseline"/>
                      <w:lang w:val="en-US" w:eastAsia="zh-CN" w:bidi="ar-SA"/>
                    </w:rPr>
                    <w:t>16</w:t>
                  </w:r>
                </w:p>
              </w:tc>
              <w:tc>
                <w:tcPr>
                  <w:tcW w:w="1666" w:type="pct"/>
                  <w:tcBorders>
                    <w:tl2br w:val="nil"/>
                    <w:tr2bl w:val="nil"/>
                  </w:tcBorders>
                  <w:vAlign w:val="center"/>
                </w:tcPr>
                <w:p w14:paraId="209976C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kern w:val="2"/>
                      <w:sz w:val="21"/>
                      <w:szCs w:val="21"/>
                      <w:highlight w:val="none"/>
                      <w:vertAlign w:val="baseline"/>
                      <w:lang w:val="en-US" w:eastAsia="zh-CN" w:bidi="ar-SA"/>
                    </w:rPr>
                    <w:t>絮凝剂</w:t>
                  </w:r>
                </w:p>
              </w:tc>
              <w:tc>
                <w:tcPr>
                  <w:tcW w:w="653" w:type="pct"/>
                  <w:tcBorders>
                    <w:tl2br w:val="nil"/>
                    <w:tr2bl w:val="nil"/>
                  </w:tcBorders>
                  <w:vAlign w:val="center"/>
                </w:tcPr>
                <w:p w14:paraId="26A9EB3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kern w:val="2"/>
                      <w:sz w:val="21"/>
                      <w:szCs w:val="21"/>
                      <w:highlight w:val="none"/>
                      <w:vertAlign w:val="baseline"/>
                      <w:lang w:val="en-US" w:eastAsia="zh-CN" w:bidi="ar-SA"/>
                    </w:rPr>
                    <w:t>袋/</w:t>
                  </w:r>
                  <w:r>
                    <w:rPr>
                      <w:rFonts w:hint="eastAsia" w:cs="Times New Roman" w:eastAsiaTheme="minorEastAsia"/>
                      <w:b w:val="0"/>
                      <w:bCs w:val="0"/>
                      <w:color w:val="auto"/>
                      <w:sz w:val="21"/>
                      <w:szCs w:val="21"/>
                      <w:highlight w:val="none"/>
                      <w:vertAlign w:val="baseline"/>
                      <w:lang w:val="en-US" w:eastAsia="zh-CN"/>
                    </w:rPr>
                    <w:t>年</w:t>
                  </w:r>
                </w:p>
              </w:tc>
              <w:tc>
                <w:tcPr>
                  <w:tcW w:w="653" w:type="pct"/>
                  <w:tcBorders>
                    <w:tl2br w:val="nil"/>
                    <w:tr2bl w:val="nil"/>
                  </w:tcBorders>
                  <w:vAlign w:val="center"/>
                </w:tcPr>
                <w:p w14:paraId="26AA3CF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kern w:val="2"/>
                      <w:sz w:val="21"/>
                      <w:szCs w:val="21"/>
                      <w:highlight w:val="none"/>
                      <w:vertAlign w:val="baseline"/>
                      <w:lang w:val="en-US" w:eastAsia="zh-CN" w:bidi="ar-SA"/>
                    </w:rPr>
                    <w:t>32</w:t>
                  </w:r>
                </w:p>
              </w:tc>
              <w:tc>
                <w:tcPr>
                  <w:tcW w:w="807" w:type="pct"/>
                  <w:tcBorders>
                    <w:tl2br w:val="nil"/>
                    <w:tr2bl w:val="nil"/>
                  </w:tcBorders>
                  <w:vAlign w:val="center"/>
                </w:tcPr>
                <w:p w14:paraId="6CB2BAE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kern w:val="2"/>
                      <w:sz w:val="21"/>
                      <w:szCs w:val="21"/>
                      <w:highlight w:val="none"/>
                      <w:vertAlign w:val="baseline"/>
                      <w:lang w:val="en-US" w:eastAsia="zh-CN" w:bidi="ar-SA"/>
                    </w:rPr>
                    <w:t>3</w:t>
                  </w:r>
                </w:p>
              </w:tc>
              <w:tc>
                <w:tcPr>
                  <w:tcW w:w="719" w:type="pct"/>
                  <w:tcBorders>
                    <w:tl2br w:val="nil"/>
                    <w:tr2bl w:val="nil"/>
                  </w:tcBorders>
                  <w:vAlign w:val="center"/>
                </w:tcPr>
                <w:p w14:paraId="7C4156D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kern w:val="2"/>
                      <w:sz w:val="21"/>
                      <w:szCs w:val="21"/>
                      <w:highlight w:val="none"/>
                      <w:vertAlign w:val="baseline"/>
                      <w:lang w:val="en-US" w:eastAsia="zh-CN" w:bidi="ar-SA"/>
                    </w:rPr>
                    <w:t>25kg/袋</w:t>
                  </w:r>
                </w:p>
              </w:tc>
            </w:tr>
          </w:tbl>
          <w:p w14:paraId="369D500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cs="Times New Roman" w:eastAsiaTheme="minorEastAsia"/>
                <w:b w:val="0"/>
                <w:bCs w:val="0"/>
                <w:color w:val="auto"/>
                <w:sz w:val="24"/>
                <w:highlight w:val="none"/>
                <w:lang w:val="en-US" w:eastAsia="zh-CN"/>
              </w:rPr>
            </w:pPr>
            <w:r>
              <w:rPr>
                <w:rFonts w:hint="eastAsia" w:cs="Times New Roman" w:eastAsiaTheme="minorEastAsia"/>
                <w:b w:val="0"/>
                <w:bCs w:val="0"/>
                <w:color w:val="auto"/>
                <w:sz w:val="24"/>
                <w:highlight w:val="none"/>
                <w:lang w:val="en-US" w:eastAsia="zh-CN"/>
              </w:rPr>
              <w:t>本项目使用的化学品性质如下表所示。</w:t>
            </w:r>
          </w:p>
          <w:p w14:paraId="651C5B3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0" w:firstLineChars="0"/>
              <w:jc w:val="center"/>
              <w:textAlignment w:val="auto"/>
              <w:rPr>
                <w:rFonts w:hint="eastAsia" w:cs="Times New Roman" w:eastAsiaTheme="minorEastAsia"/>
                <w:b w:val="0"/>
                <w:bCs w:val="0"/>
                <w:color w:val="auto"/>
                <w:sz w:val="24"/>
                <w:highlight w:val="none"/>
                <w:lang w:val="en-US" w:eastAsia="zh-CN"/>
              </w:rPr>
            </w:pPr>
            <w:r>
              <w:rPr>
                <w:rFonts w:hint="eastAsia" w:cs="Times New Roman" w:eastAsiaTheme="minorEastAsia"/>
                <w:b/>
                <w:bCs/>
                <w:color w:val="auto"/>
                <w:sz w:val="21"/>
                <w:szCs w:val="21"/>
                <w:highlight w:val="none"/>
                <w:lang w:val="en-US" w:eastAsia="zh-CN"/>
              </w:rPr>
              <w:t>表2-5 主要试剂理化性质表</w:t>
            </w:r>
          </w:p>
          <w:tbl>
            <w:tblPr>
              <w:tblStyle w:val="13"/>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71"/>
              <w:gridCol w:w="1084"/>
              <w:gridCol w:w="6503"/>
            </w:tblGrid>
            <w:tr w14:paraId="4C67378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1" w:type="dxa"/>
                  <w:tcBorders>
                    <w:tl2br w:val="nil"/>
                    <w:tr2bl w:val="nil"/>
                  </w:tcBorders>
                  <w:vAlign w:val="center"/>
                </w:tcPr>
                <w:p w14:paraId="5FB6718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bCs/>
                      <w:color w:val="auto"/>
                      <w:sz w:val="21"/>
                      <w:szCs w:val="21"/>
                      <w:highlight w:val="none"/>
                      <w:vertAlign w:val="baseline"/>
                      <w:lang w:val="en-US" w:eastAsia="zh-CN"/>
                    </w:rPr>
                  </w:pPr>
                  <w:r>
                    <w:rPr>
                      <w:rFonts w:hint="eastAsia" w:cs="Times New Roman" w:eastAsiaTheme="minorEastAsia"/>
                      <w:b/>
                      <w:bCs/>
                      <w:color w:val="auto"/>
                      <w:sz w:val="21"/>
                      <w:szCs w:val="21"/>
                      <w:highlight w:val="none"/>
                      <w:vertAlign w:val="baseline"/>
                      <w:lang w:val="en-US" w:eastAsia="zh-CN"/>
                    </w:rPr>
                    <w:t>序号</w:t>
                  </w:r>
                </w:p>
              </w:tc>
              <w:tc>
                <w:tcPr>
                  <w:tcW w:w="1084" w:type="dxa"/>
                  <w:tcBorders>
                    <w:tl2br w:val="nil"/>
                    <w:tr2bl w:val="nil"/>
                  </w:tcBorders>
                  <w:vAlign w:val="center"/>
                </w:tcPr>
                <w:p w14:paraId="0BD1A64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bCs/>
                      <w:color w:val="auto"/>
                      <w:sz w:val="21"/>
                      <w:szCs w:val="21"/>
                      <w:highlight w:val="none"/>
                      <w:vertAlign w:val="baseline"/>
                      <w:lang w:val="en-US" w:eastAsia="zh-CN"/>
                    </w:rPr>
                  </w:pPr>
                  <w:r>
                    <w:rPr>
                      <w:rFonts w:hint="eastAsia" w:cs="Times New Roman" w:eastAsiaTheme="minorEastAsia"/>
                      <w:b/>
                      <w:bCs/>
                      <w:color w:val="auto"/>
                      <w:sz w:val="21"/>
                      <w:szCs w:val="21"/>
                      <w:highlight w:val="none"/>
                      <w:vertAlign w:val="baseline"/>
                      <w:lang w:val="en-US" w:eastAsia="zh-CN"/>
                    </w:rPr>
                    <w:t>名称</w:t>
                  </w:r>
                </w:p>
              </w:tc>
              <w:tc>
                <w:tcPr>
                  <w:tcW w:w="6503" w:type="dxa"/>
                  <w:tcBorders>
                    <w:tl2br w:val="nil"/>
                    <w:tr2bl w:val="nil"/>
                  </w:tcBorders>
                  <w:vAlign w:val="center"/>
                </w:tcPr>
                <w:p w14:paraId="21CC3EA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bCs/>
                      <w:color w:val="auto"/>
                      <w:sz w:val="21"/>
                      <w:szCs w:val="21"/>
                      <w:highlight w:val="none"/>
                      <w:vertAlign w:val="baseline"/>
                      <w:lang w:val="en-US" w:eastAsia="zh-CN"/>
                    </w:rPr>
                  </w:pPr>
                  <w:r>
                    <w:rPr>
                      <w:rFonts w:hint="eastAsia" w:cs="Times New Roman" w:eastAsiaTheme="minorEastAsia"/>
                      <w:b/>
                      <w:bCs/>
                      <w:color w:val="auto"/>
                      <w:sz w:val="21"/>
                      <w:szCs w:val="21"/>
                      <w:highlight w:val="none"/>
                      <w:vertAlign w:val="baseline"/>
                      <w:lang w:val="en-US" w:eastAsia="zh-CN"/>
                    </w:rPr>
                    <w:t>理化性质</w:t>
                  </w:r>
                </w:p>
              </w:tc>
            </w:tr>
            <w:tr w14:paraId="4F06279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1" w:type="dxa"/>
                  <w:tcBorders>
                    <w:tl2br w:val="nil"/>
                    <w:tr2bl w:val="nil"/>
                  </w:tcBorders>
                  <w:vAlign w:val="center"/>
                </w:tcPr>
                <w:p w14:paraId="257333A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1</w:t>
                  </w:r>
                </w:p>
              </w:tc>
              <w:tc>
                <w:tcPr>
                  <w:tcW w:w="1084" w:type="dxa"/>
                  <w:tcBorders>
                    <w:tl2br w:val="nil"/>
                    <w:tr2bl w:val="nil"/>
                  </w:tcBorders>
                  <w:vAlign w:val="center"/>
                </w:tcPr>
                <w:p w14:paraId="2BEF289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酒精</w:t>
                  </w:r>
                </w:p>
                <w:p w14:paraId="6BAC113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（乙醇）</w:t>
                  </w:r>
                </w:p>
              </w:tc>
              <w:tc>
                <w:tcPr>
                  <w:tcW w:w="6503" w:type="dxa"/>
                  <w:tcBorders>
                    <w:tl2br w:val="nil"/>
                    <w:tr2bl w:val="nil"/>
                  </w:tcBorders>
                  <w:vAlign w:val="center"/>
                </w:tcPr>
                <w:p w14:paraId="70AB732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default" w:ascii="Times New Roman" w:hAnsi="Times New Roman" w:cs="Times New Roman" w:eastAsiaTheme="minorEastAsia"/>
                      <w:b w:val="0"/>
                      <w:bCs w:val="0"/>
                      <w:color w:val="auto"/>
                      <w:sz w:val="21"/>
                      <w:szCs w:val="21"/>
                      <w:highlight w:val="none"/>
                      <w:vertAlign w:val="baseline"/>
                      <w:lang w:val="en-US" w:eastAsia="zh-CN"/>
                    </w:rPr>
                    <w:t>分子式：C</w:t>
                  </w:r>
                  <w:r>
                    <w:rPr>
                      <w:rFonts w:hint="default" w:ascii="Times New Roman" w:hAnsi="Times New Roman" w:cs="Times New Roman" w:eastAsiaTheme="minorEastAsia"/>
                      <w:b w:val="0"/>
                      <w:bCs w:val="0"/>
                      <w:color w:val="auto"/>
                      <w:sz w:val="21"/>
                      <w:szCs w:val="21"/>
                      <w:highlight w:val="none"/>
                      <w:vertAlign w:val="subscript"/>
                      <w:lang w:val="en-US" w:eastAsia="zh-CN"/>
                    </w:rPr>
                    <w:t>2</w:t>
                  </w:r>
                  <w:r>
                    <w:rPr>
                      <w:rFonts w:hint="default" w:ascii="Times New Roman" w:hAnsi="Times New Roman" w:cs="Times New Roman" w:eastAsiaTheme="minorEastAsia"/>
                      <w:b w:val="0"/>
                      <w:bCs w:val="0"/>
                      <w:color w:val="auto"/>
                      <w:sz w:val="21"/>
                      <w:szCs w:val="21"/>
                      <w:highlight w:val="none"/>
                      <w:vertAlign w:val="baseline"/>
                      <w:lang w:val="en-US" w:eastAsia="zh-CN"/>
                    </w:rPr>
                    <w:t>H</w:t>
                  </w:r>
                  <w:r>
                    <w:rPr>
                      <w:rFonts w:hint="default" w:ascii="Times New Roman" w:hAnsi="Times New Roman" w:cs="Times New Roman" w:eastAsiaTheme="minorEastAsia"/>
                      <w:b w:val="0"/>
                      <w:bCs w:val="0"/>
                      <w:color w:val="auto"/>
                      <w:sz w:val="21"/>
                      <w:szCs w:val="21"/>
                      <w:highlight w:val="none"/>
                      <w:vertAlign w:val="subscript"/>
                      <w:lang w:val="en-US" w:eastAsia="zh-CN"/>
                    </w:rPr>
                    <w:t>6</w:t>
                  </w:r>
                  <w:r>
                    <w:rPr>
                      <w:rFonts w:hint="default" w:ascii="Times New Roman" w:hAnsi="Times New Roman" w:cs="Times New Roman" w:eastAsiaTheme="minorEastAsia"/>
                      <w:b w:val="0"/>
                      <w:bCs w:val="0"/>
                      <w:color w:val="auto"/>
                      <w:sz w:val="21"/>
                      <w:szCs w:val="21"/>
                      <w:highlight w:val="none"/>
                      <w:vertAlign w:val="baseline"/>
                      <w:lang w:val="en-US" w:eastAsia="zh-CN"/>
                    </w:rPr>
                    <w:t>O；分子量：46.07；CAS号：64-17-5</w:t>
                  </w:r>
                </w:p>
                <w:p w14:paraId="7A3FC5B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default" w:ascii="Times New Roman" w:hAnsi="Times New Roman" w:cs="Times New Roman" w:eastAsiaTheme="minorEastAsia"/>
                      <w:b w:val="0"/>
                      <w:bCs w:val="0"/>
                      <w:color w:val="auto"/>
                      <w:sz w:val="21"/>
                      <w:szCs w:val="21"/>
                      <w:highlight w:val="none"/>
                      <w:vertAlign w:val="baseline"/>
                      <w:lang w:val="en-US" w:eastAsia="zh-CN"/>
                    </w:rPr>
                    <w:t>外观与性状：无色液体，有酒香</w:t>
                  </w:r>
                </w:p>
                <w:p w14:paraId="7A3E306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default" w:ascii="Times New Roman" w:hAnsi="Times New Roman" w:cs="Times New Roman" w:eastAsiaTheme="minorEastAsia"/>
                      <w:b w:val="0"/>
                      <w:bCs w:val="0"/>
                      <w:color w:val="auto"/>
                      <w:sz w:val="21"/>
                      <w:szCs w:val="21"/>
                      <w:highlight w:val="none"/>
                      <w:vertAlign w:val="baseline"/>
                      <w:lang w:val="en-US" w:eastAsia="zh-CN"/>
                    </w:rPr>
                    <w:t>熔点：-114.1℃；沸点：78.3℃；相对密度（水=1）：0.79</w:t>
                  </w:r>
                </w:p>
                <w:p w14:paraId="470B2E5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default" w:ascii="Times New Roman" w:hAnsi="Times New Roman" w:cs="Times New Roman" w:eastAsiaTheme="minorEastAsia"/>
                      <w:b w:val="0"/>
                      <w:bCs w:val="0"/>
                      <w:color w:val="auto"/>
                      <w:sz w:val="21"/>
                      <w:szCs w:val="21"/>
                      <w:highlight w:val="none"/>
                      <w:vertAlign w:val="baseline"/>
                      <w:lang w:val="en-US" w:eastAsia="zh-CN"/>
                    </w:rPr>
                    <w:t>溶解性：与水混溶，可混溶于醚、氯仿、甘油等多数有机溶剂</w:t>
                  </w:r>
                </w:p>
                <w:p w14:paraId="5D9A169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default" w:ascii="Times New Roman" w:hAnsi="Times New Roman" w:cs="Times New Roman" w:eastAsiaTheme="minorEastAsia"/>
                      <w:b w:val="0"/>
                      <w:bCs w:val="0"/>
                      <w:color w:val="auto"/>
                      <w:sz w:val="21"/>
                      <w:szCs w:val="21"/>
                      <w:highlight w:val="none"/>
                      <w:vertAlign w:val="baseline"/>
                      <w:lang w:val="en-US" w:eastAsia="zh-CN"/>
                    </w:rPr>
                    <w:t>燃爆危险：易燃，其蒸气与空气可形成爆炸性混合物</w:t>
                  </w:r>
                </w:p>
                <w:p w14:paraId="3CC3ED1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急性</w:t>
                  </w:r>
                  <w:r>
                    <w:rPr>
                      <w:rFonts w:hint="default" w:ascii="Times New Roman" w:hAnsi="Times New Roman" w:cs="Times New Roman" w:eastAsiaTheme="minorEastAsia"/>
                      <w:b w:val="0"/>
                      <w:bCs w:val="0"/>
                      <w:color w:val="auto"/>
                      <w:sz w:val="21"/>
                      <w:szCs w:val="21"/>
                      <w:highlight w:val="none"/>
                      <w:vertAlign w:val="baseline"/>
                      <w:lang w:val="en-US" w:eastAsia="zh-CN"/>
                    </w:rPr>
                    <w:t>毒性：LD</w:t>
                  </w:r>
                  <w:r>
                    <w:rPr>
                      <w:rFonts w:hint="default" w:ascii="Times New Roman" w:hAnsi="Times New Roman" w:cs="Times New Roman" w:eastAsiaTheme="minorEastAsia"/>
                      <w:b w:val="0"/>
                      <w:bCs w:val="0"/>
                      <w:color w:val="auto"/>
                      <w:sz w:val="21"/>
                      <w:szCs w:val="21"/>
                      <w:highlight w:val="none"/>
                      <w:vertAlign w:val="subscript"/>
                      <w:lang w:val="en-US" w:eastAsia="zh-CN"/>
                    </w:rPr>
                    <w:t>50</w:t>
                  </w:r>
                  <w:r>
                    <w:rPr>
                      <w:rFonts w:hint="default" w:ascii="Times New Roman" w:hAnsi="Times New Roman" w:cs="Times New Roman" w:eastAsiaTheme="minorEastAsia"/>
                      <w:b w:val="0"/>
                      <w:bCs w:val="0"/>
                      <w:color w:val="auto"/>
                      <w:sz w:val="21"/>
                      <w:szCs w:val="21"/>
                      <w:highlight w:val="none"/>
                      <w:vertAlign w:val="baseline"/>
                      <w:lang w:val="en-US" w:eastAsia="zh-CN"/>
                    </w:rPr>
                    <w:t>：7060mg/kg（兔经口）；</w:t>
                  </w:r>
                </w:p>
                <w:p w14:paraId="4CA85B0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default" w:ascii="Times New Roman" w:hAnsi="Times New Roman" w:cs="Times New Roman" w:eastAsiaTheme="minorEastAsia"/>
                      <w:b w:val="0"/>
                      <w:bCs w:val="0"/>
                      <w:color w:val="auto"/>
                      <w:sz w:val="21"/>
                      <w:szCs w:val="21"/>
                      <w:highlight w:val="none"/>
                      <w:vertAlign w:val="baseline"/>
                      <w:lang w:val="en-US" w:eastAsia="zh-CN"/>
                    </w:rPr>
                    <w:t>LC</w:t>
                  </w:r>
                  <w:r>
                    <w:rPr>
                      <w:rFonts w:hint="default" w:ascii="Times New Roman" w:hAnsi="Times New Roman" w:cs="Times New Roman" w:eastAsiaTheme="minorEastAsia"/>
                      <w:b w:val="0"/>
                      <w:bCs w:val="0"/>
                      <w:color w:val="auto"/>
                      <w:sz w:val="21"/>
                      <w:szCs w:val="21"/>
                      <w:highlight w:val="none"/>
                      <w:vertAlign w:val="subscript"/>
                      <w:lang w:val="en-US" w:eastAsia="zh-CN"/>
                    </w:rPr>
                    <w:t>50</w:t>
                  </w:r>
                  <w:r>
                    <w:rPr>
                      <w:rFonts w:hint="default" w:ascii="Times New Roman" w:hAnsi="Times New Roman" w:cs="Times New Roman" w:eastAsiaTheme="minorEastAsia"/>
                      <w:b w:val="0"/>
                      <w:bCs w:val="0"/>
                      <w:color w:val="auto"/>
                      <w:sz w:val="21"/>
                      <w:szCs w:val="21"/>
                      <w:highlight w:val="none"/>
                      <w:vertAlign w:val="baseline"/>
                      <w:lang w:val="en-US" w:eastAsia="zh-CN"/>
                    </w:rPr>
                    <w:t>：37620mg/m</w:t>
                  </w:r>
                  <w:r>
                    <w:rPr>
                      <w:rFonts w:hint="default" w:ascii="Times New Roman" w:hAnsi="Times New Roman" w:cs="Times New Roman" w:eastAsiaTheme="minorEastAsia"/>
                      <w:b w:val="0"/>
                      <w:bCs w:val="0"/>
                      <w:color w:val="auto"/>
                      <w:sz w:val="21"/>
                      <w:szCs w:val="21"/>
                      <w:highlight w:val="none"/>
                      <w:vertAlign w:val="superscript"/>
                      <w:lang w:val="en-US" w:eastAsia="zh-CN"/>
                    </w:rPr>
                    <w:t>3</w:t>
                  </w:r>
                  <w:r>
                    <w:rPr>
                      <w:rFonts w:hint="default" w:ascii="Times New Roman" w:hAnsi="Times New Roman" w:cs="Times New Roman" w:eastAsiaTheme="minorEastAsia"/>
                      <w:b w:val="0"/>
                      <w:bCs w:val="0"/>
                      <w:color w:val="auto"/>
                      <w:sz w:val="21"/>
                      <w:szCs w:val="21"/>
                      <w:highlight w:val="none"/>
                      <w:vertAlign w:val="baseline"/>
                      <w:lang w:val="en-US" w:eastAsia="zh-CN"/>
                    </w:rPr>
                    <w:t>（大鼠吸入，10h）</w:t>
                  </w:r>
                </w:p>
              </w:tc>
            </w:tr>
            <w:tr w14:paraId="1470D8A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1" w:type="dxa"/>
                  <w:tcBorders>
                    <w:tl2br w:val="nil"/>
                    <w:tr2bl w:val="nil"/>
                  </w:tcBorders>
                  <w:vAlign w:val="center"/>
                </w:tcPr>
                <w:p w14:paraId="1E7FB5E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2</w:t>
                  </w:r>
                </w:p>
              </w:tc>
              <w:tc>
                <w:tcPr>
                  <w:tcW w:w="1084" w:type="dxa"/>
                  <w:tcBorders>
                    <w:tl2br w:val="nil"/>
                    <w:tr2bl w:val="nil"/>
                  </w:tcBorders>
                  <w:vAlign w:val="center"/>
                </w:tcPr>
                <w:p w14:paraId="1F02141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碘伏</w:t>
                  </w:r>
                </w:p>
              </w:tc>
              <w:tc>
                <w:tcPr>
                  <w:tcW w:w="6503" w:type="dxa"/>
                  <w:tcBorders>
                    <w:tl2br w:val="nil"/>
                    <w:tr2bl w:val="nil"/>
                  </w:tcBorders>
                  <w:vAlign w:val="center"/>
                </w:tcPr>
                <w:p w14:paraId="7BD327D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default" w:ascii="Times New Roman" w:hAnsi="Times New Roman" w:cs="Times New Roman" w:eastAsiaTheme="minorEastAsia"/>
                      <w:b w:val="0"/>
                      <w:bCs w:val="0"/>
                      <w:color w:val="auto"/>
                      <w:sz w:val="21"/>
                      <w:szCs w:val="21"/>
                      <w:highlight w:val="none"/>
                      <w:vertAlign w:val="baseline"/>
                      <w:lang w:val="en-US" w:eastAsia="zh-CN"/>
                    </w:rPr>
                    <w:t>碘伏是单质碘与聚乙烯吡咯烷酮</w:t>
                  </w:r>
                  <w:r>
                    <w:rPr>
                      <w:rFonts w:hint="eastAsia" w:cs="Times New Roman" w:eastAsiaTheme="minorEastAsia"/>
                      <w:b w:val="0"/>
                      <w:bCs w:val="0"/>
                      <w:color w:val="auto"/>
                      <w:sz w:val="21"/>
                      <w:szCs w:val="21"/>
                      <w:highlight w:val="none"/>
                      <w:vertAlign w:val="baseline"/>
                      <w:lang w:val="en-US" w:eastAsia="zh-CN"/>
                    </w:rPr>
                    <w:t>（</w:t>
                  </w:r>
                  <w:r>
                    <w:rPr>
                      <w:rFonts w:hint="default" w:ascii="Times New Roman" w:hAnsi="Times New Roman" w:cs="Times New Roman" w:eastAsiaTheme="minorEastAsia"/>
                      <w:b w:val="0"/>
                      <w:bCs w:val="0"/>
                      <w:color w:val="auto"/>
                      <w:sz w:val="21"/>
                      <w:szCs w:val="21"/>
                      <w:highlight w:val="none"/>
                      <w:vertAlign w:val="baseline"/>
                      <w:lang w:val="en-US" w:eastAsia="zh-CN"/>
                    </w:rPr>
                    <w:t>Povidone</w:t>
                  </w:r>
                  <w:r>
                    <w:rPr>
                      <w:rFonts w:hint="eastAsia" w:cs="Times New Roman" w:eastAsiaTheme="minorEastAsia"/>
                      <w:b w:val="0"/>
                      <w:bCs w:val="0"/>
                      <w:color w:val="auto"/>
                      <w:sz w:val="21"/>
                      <w:szCs w:val="21"/>
                      <w:highlight w:val="none"/>
                      <w:vertAlign w:val="baseline"/>
                      <w:lang w:val="en-US" w:eastAsia="zh-CN"/>
                    </w:rPr>
                    <w:t>）</w:t>
                  </w:r>
                  <w:r>
                    <w:rPr>
                      <w:rFonts w:hint="default" w:ascii="Times New Roman" w:hAnsi="Times New Roman" w:cs="Times New Roman" w:eastAsiaTheme="minorEastAsia"/>
                      <w:b w:val="0"/>
                      <w:bCs w:val="0"/>
                      <w:color w:val="auto"/>
                      <w:sz w:val="21"/>
                      <w:szCs w:val="21"/>
                      <w:highlight w:val="none"/>
                      <w:vertAlign w:val="baseline"/>
                      <w:lang w:val="en-US" w:eastAsia="zh-CN"/>
                    </w:rPr>
                    <w:t>的不定型结合物。聚乙烯吡咯烷酮可溶解分散9%~12%的碘，此时呈现紫黑色液体。但医用碘伏通常浓度较低</w:t>
                  </w:r>
                  <w:r>
                    <w:rPr>
                      <w:rFonts w:hint="eastAsia" w:cs="Times New Roman" w:eastAsiaTheme="minorEastAsia"/>
                      <w:b w:val="0"/>
                      <w:bCs w:val="0"/>
                      <w:color w:val="auto"/>
                      <w:sz w:val="21"/>
                      <w:szCs w:val="21"/>
                      <w:highlight w:val="none"/>
                      <w:vertAlign w:val="baseline"/>
                      <w:lang w:val="en-US" w:eastAsia="zh-CN"/>
                    </w:rPr>
                    <w:t>（</w:t>
                  </w:r>
                  <w:r>
                    <w:rPr>
                      <w:rFonts w:hint="default" w:ascii="Times New Roman" w:hAnsi="Times New Roman" w:cs="Times New Roman" w:eastAsiaTheme="minorEastAsia"/>
                      <w:b w:val="0"/>
                      <w:bCs w:val="0"/>
                      <w:color w:val="auto"/>
                      <w:sz w:val="21"/>
                      <w:szCs w:val="21"/>
                      <w:highlight w:val="none"/>
                      <w:vertAlign w:val="baseline"/>
                      <w:lang w:val="en-US" w:eastAsia="zh-CN"/>
                    </w:rPr>
                    <w:t>1%或以下</w:t>
                  </w:r>
                  <w:r>
                    <w:rPr>
                      <w:rFonts w:hint="eastAsia" w:cs="Times New Roman" w:eastAsiaTheme="minorEastAsia"/>
                      <w:b w:val="0"/>
                      <w:bCs w:val="0"/>
                      <w:color w:val="auto"/>
                      <w:sz w:val="21"/>
                      <w:szCs w:val="21"/>
                      <w:highlight w:val="none"/>
                      <w:vertAlign w:val="baseline"/>
                      <w:lang w:val="en-US" w:eastAsia="zh-CN"/>
                    </w:rPr>
                    <w:t>）</w:t>
                  </w:r>
                  <w:r>
                    <w:rPr>
                      <w:rFonts w:hint="default" w:ascii="Times New Roman" w:hAnsi="Times New Roman" w:cs="Times New Roman" w:eastAsiaTheme="minorEastAsia"/>
                      <w:b w:val="0"/>
                      <w:bCs w:val="0"/>
                      <w:color w:val="auto"/>
                      <w:sz w:val="21"/>
                      <w:szCs w:val="21"/>
                      <w:highlight w:val="none"/>
                      <w:vertAlign w:val="baseline"/>
                      <w:lang w:val="en-US" w:eastAsia="zh-CN"/>
                    </w:rPr>
                    <w:t>，呈现浅棕色。</w:t>
                  </w:r>
                </w:p>
                <w:p w14:paraId="27525F3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default" w:ascii="Times New Roman" w:hAnsi="Times New Roman" w:cs="Times New Roman" w:eastAsiaTheme="minorEastAsia"/>
                      <w:b w:val="0"/>
                      <w:bCs w:val="0"/>
                      <w:color w:val="auto"/>
                      <w:sz w:val="21"/>
                      <w:szCs w:val="21"/>
                      <w:highlight w:val="none"/>
                      <w:vertAlign w:val="baseline"/>
                      <w:lang w:val="en-US" w:eastAsia="zh-CN"/>
                    </w:rPr>
                    <w:t>急性毒性：人经口D28mgg；</w:t>
                  </w:r>
                </w:p>
                <w:p w14:paraId="7F405E2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default" w:ascii="Times New Roman" w:hAnsi="Times New Roman" w:cs="Times New Roman" w:eastAsiaTheme="minorEastAsia"/>
                      <w:b w:val="0"/>
                      <w:bCs w:val="0"/>
                      <w:color w:val="auto"/>
                      <w:sz w:val="21"/>
                      <w:szCs w:val="21"/>
                      <w:highlight w:val="none"/>
                      <w:vertAlign w:val="baseline"/>
                      <w:lang w:val="en-US" w:eastAsia="zh-CN"/>
                    </w:rPr>
                    <w:t>大鼠经口LDso14g/kg，吸入LCLo137ppm/1h；小鼠经日LDso22g/kg。</w:t>
                  </w:r>
                </w:p>
              </w:tc>
            </w:tr>
            <w:tr w14:paraId="7CEE1EA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1" w:type="dxa"/>
                  <w:tcBorders>
                    <w:tl2br w:val="nil"/>
                    <w:tr2bl w:val="nil"/>
                  </w:tcBorders>
                  <w:vAlign w:val="center"/>
                </w:tcPr>
                <w:p w14:paraId="01611C1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3</w:t>
                  </w:r>
                </w:p>
              </w:tc>
              <w:tc>
                <w:tcPr>
                  <w:tcW w:w="1084" w:type="dxa"/>
                  <w:tcBorders>
                    <w:tl2br w:val="nil"/>
                    <w:tr2bl w:val="nil"/>
                  </w:tcBorders>
                  <w:vAlign w:val="center"/>
                </w:tcPr>
                <w:p w14:paraId="4E5ECEF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次氯酸钠</w:t>
                  </w:r>
                </w:p>
              </w:tc>
              <w:tc>
                <w:tcPr>
                  <w:tcW w:w="6503" w:type="dxa"/>
                  <w:tcBorders>
                    <w:tl2br w:val="nil"/>
                    <w:tr2bl w:val="nil"/>
                  </w:tcBorders>
                  <w:vAlign w:val="center"/>
                </w:tcPr>
                <w:p w14:paraId="33AB714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default" w:ascii="Times New Roman" w:hAnsi="Times New Roman" w:cs="Times New Roman" w:eastAsiaTheme="minorEastAsia"/>
                      <w:b w:val="0"/>
                      <w:bCs w:val="0"/>
                      <w:color w:val="auto"/>
                      <w:sz w:val="21"/>
                      <w:szCs w:val="21"/>
                      <w:highlight w:val="none"/>
                      <w:vertAlign w:val="baseline"/>
                      <w:lang w:val="en-US" w:eastAsia="zh-CN"/>
                    </w:rPr>
                    <w:t>分子式：NaClO，分子量：74.44</w:t>
                  </w:r>
                  <w:r>
                    <w:rPr>
                      <w:rFonts w:hint="eastAsia" w:cs="Times New Roman" w:eastAsiaTheme="minorEastAsia"/>
                      <w:b w:val="0"/>
                      <w:bCs w:val="0"/>
                      <w:color w:val="auto"/>
                      <w:sz w:val="21"/>
                      <w:szCs w:val="21"/>
                      <w:highlight w:val="none"/>
                      <w:vertAlign w:val="baseline"/>
                      <w:lang w:val="en-US" w:eastAsia="zh-CN"/>
                    </w:rPr>
                    <w:t>；</w:t>
                  </w:r>
                  <w:r>
                    <w:rPr>
                      <w:rFonts w:hint="default" w:ascii="Times New Roman" w:hAnsi="Times New Roman" w:cs="Times New Roman" w:eastAsiaTheme="minorEastAsia"/>
                      <w:b w:val="0"/>
                      <w:bCs w:val="0"/>
                      <w:color w:val="auto"/>
                      <w:sz w:val="21"/>
                      <w:szCs w:val="21"/>
                      <w:highlight w:val="none"/>
                      <w:vertAlign w:val="baseline"/>
                      <w:lang w:val="en-US" w:eastAsia="zh-CN"/>
                    </w:rPr>
                    <w:t>CAS号：7681-52-9</w:t>
                  </w:r>
                </w:p>
                <w:p w14:paraId="1442A36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default" w:ascii="Times New Roman" w:hAnsi="Times New Roman" w:cs="Times New Roman" w:eastAsiaTheme="minorEastAsia"/>
                      <w:b w:val="0"/>
                      <w:bCs w:val="0"/>
                      <w:color w:val="auto"/>
                      <w:sz w:val="21"/>
                      <w:szCs w:val="21"/>
                      <w:highlight w:val="none"/>
                      <w:vertAlign w:val="baseline"/>
                      <w:lang w:val="en-US" w:eastAsia="zh-CN"/>
                    </w:rPr>
                    <w:t>外观与性状：微黄色溶液，有似氯气的气味</w:t>
                  </w:r>
                </w:p>
                <w:p w14:paraId="451678A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default" w:ascii="Times New Roman" w:hAnsi="Times New Roman" w:cs="Times New Roman" w:eastAsiaTheme="minorEastAsia"/>
                      <w:b w:val="0"/>
                      <w:bCs w:val="0"/>
                      <w:color w:val="auto"/>
                      <w:sz w:val="21"/>
                      <w:szCs w:val="21"/>
                      <w:highlight w:val="none"/>
                      <w:vertAlign w:val="baseline"/>
                      <w:lang w:val="en-US" w:eastAsia="zh-CN"/>
                    </w:rPr>
                    <w:t>沸点：102.2℃；相对密度（水=1）：1.10；</w:t>
                  </w:r>
                </w:p>
                <w:p w14:paraId="1689E2A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燃爆危险：</w:t>
                  </w:r>
                  <w:r>
                    <w:rPr>
                      <w:rFonts w:hint="default" w:ascii="Times New Roman" w:hAnsi="Times New Roman" w:cs="Times New Roman" w:eastAsiaTheme="minorEastAsia"/>
                      <w:b w:val="0"/>
                      <w:bCs w:val="0"/>
                      <w:color w:val="auto"/>
                      <w:sz w:val="21"/>
                      <w:szCs w:val="21"/>
                      <w:highlight w:val="none"/>
                      <w:vertAlign w:val="baseline"/>
                      <w:lang w:val="en-US" w:eastAsia="zh-CN"/>
                    </w:rPr>
                    <w:t>不燃；不稳定，见光分解；具有腐蚀性</w:t>
                  </w:r>
                </w:p>
                <w:p w14:paraId="64FFE0A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default" w:ascii="Times New Roman" w:hAnsi="Times New Roman" w:cs="Times New Roman" w:eastAsiaTheme="minorEastAsia"/>
                      <w:b w:val="0"/>
                      <w:bCs w:val="0"/>
                      <w:color w:val="auto"/>
                      <w:sz w:val="21"/>
                      <w:szCs w:val="21"/>
                      <w:highlight w:val="none"/>
                      <w:vertAlign w:val="baseline"/>
                      <w:lang w:val="en-US" w:eastAsia="zh-CN"/>
                    </w:rPr>
                    <w:t>急性毒性：LD</w:t>
                  </w:r>
                  <w:r>
                    <w:rPr>
                      <w:rFonts w:hint="default" w:ascii="Times New Roman" w:hAnsi="Times New Roman" w:cs="Times New Roman" w:eastAsiaTheme="minorEastAsia"/>
                      <w:b w:val="0"/>
                      <w:bCs w:val="0"/>
                      <w:color w:val="auto"/>
                      <w:sz w:val="21"/>
                      <w:szCs w:val="21"/>
                      <w:highlight w:val="none"/>
                      <w:vertAlign w:val="subscript"/>
                      <w:lang w:val="en-US" w:eastAsia="zh-CN"/>
                    </w:rPr>
                    <w:t>50</w:t>
                  </w:r>
                  <w:r>
                    <w:rPr>
                      <w:rFonts w:hint="default" w:ascii="Times New Roman" w:hAnsi="Times New Roman" w:cs="Times New Roman" w:eastAsiaTheme="minorEastAsia"/>
                      <w:b w:val="0"/>
                      <w:bCs w:val="0"/>
                      <w:color w:val="auto"/>
                      <w:sz w:val="21"/>
                      <w:szCs w:val="21"/>
                      <w:highlight w:val="none"/>
                      <w:vertAlign w:val="baseline"/>
                      <w:lang w:val="en-US" w:eastAsia="zh-CN"/>
                    </w:rPr>
                    <w:t>：8500mg/kg（小鼠经口）；LC</w:t>
                  </w:r>
                  <w:r>
                    <w:rPr>
                      <w:rFonts w:hint="default" w:ascii="Times New Roman" w:hAnsi="Times New Roman" w:cs="Times New Roman" w:eastAsiaTheme="minorEastAsia"/>
                      <w:b w:val="0"/>
                      <w:bCs w:val="0"/>
                      <w:color w:val="auto"/>
                      <w:sz w:val="21"/>
                      <w:szCs w:val="21"/>
                      <w:highlight w:val="none"/>
                      <w:vertAlign w:val="subscript"/>
                      <w:lang w:val="en-US" w:eastAsia="zh-CN"/>
                    </w:rPr>
                    <w:t>50</w:t>
                  </w:r>
                  <w:r>
                    <w:rPr>
                      <w:rFonts w:hint="default" w:ascii="Times New Roman" w:hAnsi="Times New Roman" w:cs="Times New Roman" w:eastAsiaTheme="minorEastAsia"/>
                      <w:b w:val="0"/>
                      <w:bCs w:val="0"/>
                      <w:color w:val="auto"/>
                      <w:sz w:val="21"/>
                      <w:szCs w:val="21"/>
                      <w:highlight w:val="none"/>
                      <w:vertAlign w:val="baseline"/>
                      <w:lang w:val="en-US" w:eastAsia="zh-CN"/>
                    </w:rPr>
                    <w:t>：无资料</w:t>
                  </w:r>
                </w:p>
              </w:tc>
            </w:tr>
            <w:tr w14:paraId="0829068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1" w:type="dxa"/>
                  <w:tcBorders>
                    <w:tl2br w:val="nil"/>
                    <w:tr2bl w:val="nil"/>
                  </w:tcBorders>
                  <w:vAlign w:val="center"/>
                </w:tcPr>
                <w:p w14:paraId="1E86465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4</w:t>
                  </w:r>
                </w:p>
              </w:tc>
              <w:tc>
                <w:tcPr>
                  <w:tcW w:w="1084" w:type="dxa"/>
                  <w:tcBorders>
                    <w:tl2br w:val="nil"/>
                    <w:tr2bl w:val="nil"/>
                  </w:tcBorders>
                  <w:vAlign w:val="center"/>
                </w:tcPr>
                <w:p w14:paraId="4013719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絮凝剂</w:t>
                  </w:r>
                </w:p>
              </w:tc>
              <w:tc>
                <w:tcPr>
                  <w:tcW w:w="6503" w:type="dxa"/>
                  <w:tcBorders>
                    <w:tl2br w:val="nil"/>
                    <w:tr2bl w:val="nil"/>
                  </w:tcBorders>
                  <w:vAlign w:val="center"/>
                </w:tcPr>
                <w:p w14:paraId="2F1F6D3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default" w:ascii="Times New Roman" w:hAnsi="Times New Roman" w:cs="Times New Roman" w:eastAsiaTheme="minorEastAsia"/>
                      <w:b w:val="0"/>
                      <w:bCs w:val="0"/>
                      <w:color w:val="auto"/>
                      <w:sz w:val="21"/>
                      <w:szCs w:val="21"/>
                      <w:highlight w:val="none"/>
                      <w:vertAlign w:val="baseline"/>
                      <w:lang w:val="en-US" w:eastAsia="zh-CN"/>
                    </w:rPr>
                    <w:t>成分为聚合氯化铝（PAC），颜色呈黄色或淡黄色、深褐色、深灰色树脂状固体。该产品有较强的架桥吸附性能，在水解过程中，伴随发生凝聚，吸附和沉淀等物理化学过程。聚合氯化铝与传统无机混凝剂的根本区别在于传统无机混凝剂为低分子结晶盐，而聚合氯化铝的结构由形态多变的多元羧基络合物组成，絮凝沉淀速度快，适用pH值范围宽，对管道设备无腐蚀性，净水效果明显，能有效支除水中色质SS、COD、BOD及砷、汞等重金属离子，该产品广泛用于饮用水、工业用水和污水处理领域。</w:t>
                  </w:r>
                </w:p>
              </w:tc>
            </w:tr>
          </w:tbl>
          <w:p w14:paraId="3D07BAD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cs="Times New Roman" w:eastAsiaTheme="minorEastAsia"/>
                <w:b w:val="0"/>
                <w:bCs w:val="0"/>
                <w:color w:val="auto"/>
                <w:sz w:val="24"/>
                <w:highlight w:val="none"/>
                <w:lang w:val="en-US" w:eastAsia="zh-CN"/>
              </w:rPr>
            </w:pPr>
            <w:r>
              <w:rPr>
                <w:rFonts w:hint="eastAsia" w:cs="Times New Roman" w:eastAsiaTheme="minorEastAsia"/>
                <w:b w:val="0"/>
                <w:bCs w:val="0"/>
                <w:color w:val="auto"/>
                <w:sz w:val="24"/>
                <w:highlight w:val="none"/>
                <w:lang w:val="en-US" w:eastAsia="zh-CN"/>
              </w:rPr>
              <w:t>4、平面布置</w:t>
            </w:r>
          </w:p>
          <w:p w14:paraId="295DEB6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cs="Times New Roman" w:eastAsiaTheme="minorEastAsia"/>
                <w:b w:val="0"/>
                <w:bCs w:val="0"/>
                <w:color w:val="auto"/>
                <w:sz w:val="24"/>
                <w:highlight w:val="none"/>
                <w:lang w:val="en-US" w:eastAsia="zh-CN"/>
              </w:rPr>
            </w:pPr>
            <w:r>
              <w:rPr>
                <w:rFonts w:hint="eastAsia" w:cs="Times New Roman" w:eastAsiaTheme="minorEastAsia"/>
                <w:b w:val="0"/>
                <w:bCs w:val="0"/>
                <w:color w:val="auto"/>
                <w:sz w:val="24"/>
                <w:highlight w:val="none"/>
                <w:lang w:val="en-US" w:eastAsia="zh-CN"/>
              </w:rPr>
              <w:t>本项目租用北京市海淀区黑泉路19号院1号楼1层101室1F104区，共1层，总建筑面积722.58m</w:t>
            </w:r>
            <w:r>
              <w:rPr>
                <w:rFonts w:hint="eastAsia" w:cs="Times New Roman" w:eastAsiaTheme="minorEastAsia"/>
                <w:b w:val="0"/>
                <w:bCs w:val="0"/>
                <w:color w:val="auto"/>
                <w:sz w:val="24"/>
                <w:highlight w:val="none"/>
                <w:vertAlign w:val="superscript"/>
                <w:lang w:val="en-US" w:eastAsia="zh-CN"/>
              </w:rPr>
              <w:t>2</w:t>
            </w:r>
            <w:r>
              <w:rPr>
                <w:rFonts w:hint="eastAsia" w:cs="Times New Roman" w:eastAsiaTheme="minorEastAsia"/>
                <w:b w:val="0"/>
                <w:bCs w:val="0"/>
                <w:color w:val="auto"/>
                <w:sz w:val="24"/>
                <w:highlight w:val="none"/>
                <w:lang w:val="en-US" w:eastAsia="zh-CN"/>
              </w:rPr>
              <w:t>，房屋经营中医医院。医院主要设置有西药房、中药房、超声室、心电图室、皮肤科、影像科、监控网络机房、设备机房、中医内科、骨伤科、</w:t>
            </w:r>
          </w:p>
          <w:p w14:paraId="408FC98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cs="Times New Roman" w:eastAsiaTheme="minorEastAsia"/>
                <w:b w:val="0"/>
                <w:bCs w:val="0"/>
                <w:color w:val="auto"/>
                <w:sz w:val="24"/>
                <w:highlight w:val="none"/>
                <w:lang w:val="en-US" w:eastAsia="zh-CN"/>
              </w:rPr>
            </w:pPr>
            <w:r>
              <w:rPr>
                <w:rFonts w:hint="eastAsia" w:cs="Times New Roman" w:eastAsiaTheme="minorEastAsia"/>
                <w:b w:val="0"/>
                <w:bCs w:val="0"/>
                <w:color w:val="auto"/>
                <w:sz w:val="24"/>
                <w:highlight w:val="none"/>
                <w:lang w:val="en-US" w:eastAsia="zh-CN"/>
              </w:rPr>
              <w:t>项目平面布置详见附图3。</w:t>
            </w:r>
          </w:p>
          <w:p w14:paraId="29EDEA3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cs="Times New Roman" w:eastAsiaTheme="minorEastAsia"/>
                <w:b w:val="0"/>
                <w:bCs w:val="0"/>
                <w:color w:val="auto"/>
                <w:sz w:val="24"/>
                <w:highlight w:val="none"/>
                <w:lang w:val="en-US" w:eastAsia="zh-CN"/>
              </w:rPr>
            </w:pPr>
            <w:r>
              <w:rPr>
                <w:rFonts w:hint="eastAsia" w:cs="Times New Roman" w:eastAsiaTheme="minorEastAsia"/>
                <w:b w:val="0"/>
                <w:bCs w:val="0"/>
                <w:color w:val="auto"/>
                <w:sz w:val="24"/>
                <w:highlight w:val="none"/>
                <w:lang w:val="en-US" w:eastAsia="zh-CN"/>
              </w:rPr>
              <w:t>5、周边关系</w:t>
            </w:r>
          </w:p>
          <w:p w14:paraId="07239AD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cs="Times New Roman" w:eastAsiaTheme="minorEastAsia"/>
                <w:b w:val="0"/>
                <w:bCs w:val="0"/>
                <w:color w:val="auto"/>
                <w:sz w:val="24"/>
                <w:highlight w:val="none"/>
                <w:lang w:val="en-US" w:eastAsia="zh-CN"/>
              </w:rPr>
            </w:pPr>
            <w:r>
              <w:rPr>
                <w:rFonts w:hint="eastAsia" w:cs="Times New Roman" w:eastAsiaTheme="minorEastAsia"/>
                <w:b w:val="0"/>
                <w:bCs w:val="0"/>
                <w:color w:val="auto"/>
                <w:sz w:val="24"/>
                <w:highlight w:val="none"/>
                <w:lang w:val="en-US" w:eastAsia="zh-CN"/>
              </w:rPr>
              <w:t>项目租用北京市海淀区黑泉路19号院1号楼1层101室1F104区，所在建筑为云尚社区，是1栋11层（地下3层地上8层）环形建筑，其中地下1层、地上1层为商场等商业服务，地下2层、地下3层为地下停车场，地上2层-8层为公寓住宅。本项目位于云尚社区地上1层西南角。</w:t>
            </w:r>
          </w:p>
          <w:p w14:paraId="5B4163F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cs="Times New Roman" w:eastAsiaTheme="minorEastAsia"/>
                <w:b w:val="0"/>
                <w:bCs w:val="0"/>
                <w:color w:val="auto"/>
                <w:sz w:val="24"/>
                <w:highlight w:val="none"/>
                <w:lang w:val="en-US" w:eastAsia="zh-CN"/>
              </w:rPr>
            </w:pPr>
            <w:r>
              <w:rPr>
                <w:rFonts w:hint="eastAsia" w:cs="Times New Roman" w:eastAsiaTheme="minorEastAsia"/>
                <w:b w:val="0"/>
                <w:bCs w:val="0"/>
                <w:color w:val="auto"/>
                <w:sz w:val="24"/>
                <w:highlight w:val="none"/>
                <w:lang w:val="en-US" w:eastAsia="zh-CN"/>
              </w:rPr>
              <w:t>本项目西侧为1层商场走廊，隔走廊为商户；东侧为商户；北侧为环形建筑中部中空广场，隔中空广场为1层北部商户；南侧为空地，隔空地为北京公交宝盛里场站。</w:t>
            </w:r>
          </w:p>
          <w:p w14:paraId="0F074D2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cs="Times New Roman" w:eastAsiaTheme="minorEastAsia"/>
                <w:b w:val="0"/>
                <w:bCs w:val="0"/>
                <w:color w:val="auto"/>
                <w:sz w:val="24"/>
                <w:highlight w:val="none"/>
                <w:lang w:val="en-US" w:eastAsia="zh-CN"/>
              </w:rPr>
            </w:pPr>
            <w:r>
              <w:rPr>
                <w:rFonts w:hint="eastAsia" w:cs="Times New Roman" w:eastAsiaTheme="minorEastAsia"/>
                <w:b w:val="0"/>
                <w:bCs w:val="0"/>
                <w:color w:val="auto"/>
                <w:sz w:val="24"/>
                <w:highlight w:val="none"/>
                <w:lang w:val="en-US" w:eastAsia="zh-CN"/>
              </w:rPr>
              <w:t>本项目周边关系详见附图2。</w:t>
            </w:r>
          </w:p>
          <w:p w14:paraId="1D25723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cs="Times New Roman" w:eastAsiaTheme="minorEastAsia"/>
                <w:b w:val="0"/>
                <w:bCs w:val="0"/>
                <w:color w:val="auto"/>
                <w:sz w:val="24"/>
                <w:highlight w:val="none"/>
                <w:lang w:val="en-US" w:eastAsia="zh-CN"/>
              </w:rPr>
            </w:pPr>
            <w:r>
              <w:rPr>
                <w:rFonts w:hint="eastAsia" w:cs="Times New Roman" w:eastAsiaTheme="minorEastAsia"/>
                <w:b w:val="0"/>
                <w:bCs w:val="0"/>
                <w:color w:val="auto"/>
                <w:sz w:val="24"/>
                <w:highlight w:val="none"/>
                <w:lang w:val="en-US" w:eastAsia="zh-CN"/>
              </w:rPr>
              <w:t>6、劳动定员及工作制度</w:t>
            </w:r>
          </w:p>
          <w:p w14:paraId="180A186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cs="Times New Roman" w:eastAsiaTheme="minorEastAsia"/>
                <w:b w:val="0"/>
                <w:bCs w:val="0"/>
                <w:color w:val="auto"/>
                <w:sz w:val="24"/>
                <w:highlight w:val="none"/>
                <w:lang w:val="en-US" w:eastAsia="zh-CN"/>
              </w:rPr>
            </w:pPr>
            <w:r>
              <w:rPr>
                <w:rFonts w:hint="eastAsia" w:cs="Times New Roman" w:eastAsiaTheme="minorEastAsia"/>
                <w:b w:val="0"/>
                <w:bCs w:val="0"/>
                <w:color w:val="auto"/>
                <w:sz w:val="24"/>
                <w:highlight w:val="none"/>
                <w:lang w:val="en-US" w:eastAsia="zh-CN"/>
              </w:rPr>
              <w:t>本项目设置职工20人，其中医护人员18人，包括门诊13人，病房5人；行政及后勤人员2人，医院不设置食堂。</w:t>
            </w:r>
          </w:p>
          <w:p w14:paraId="31A5B24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cs="Times New Roman" w:eastAsiaTheme="minorEastAsia"/>
                <w:b w:val="0"/>
                <w:bCs w:val="0"/>
                <w:color w:val="auto"/>
                <w:sz w:val="24"/>
                <w:highlight w:val="none"/>
                <w:lang w:val="en-US" w:eastAsia="zh-CN"/>
              </w:rPr>
            </w:pPr>
            <w:r>
              <w:rPr>
                <w:rFonts w:hint="eastAsia" w:cs="Times New Roman" w:eastAsiaTheme="minorEastAsia"/>
                <w:b w:val="0"/>
                <w:bCs w:val="0"/>
                <w:color w:val="auto"/>
                <w:sz w:val="24"/>
                <w:highlight w:val="none"/>
                <w:lang w:val="en-US" w:eastAsia="zh-CN"/>
              </w:rPr>
              <w:t>医院</w:t>
            </w:r>
            <w:r>
              <w:rPr>
                <w:rFonts w:hint="default" w:cs="Times New Roman" w:eastAsiaTheme="minorEastAsia"/>
                <w:b w:val="0"/>
                <w:bCs w:val="0"/>
                <w:color w:val="auto"/>
                <w:sz w:val="24"/>
                <w:highlight w:val="none"/>
                <w:lang w:val="en-US" w:eastAsia="zh-CN"/>
              </w:rPr>
              <w:t>年工作365天，门诊营运时间为8:00~18:00，住院病房全年全天运行。</w:t>
            </w:r>
          </w:p>
          <w:p w14:paraId="566800D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cs="Times New Roman" w:eastAsiaTheme="minorEastAsia"/>
                <w:b w:val="0"/>
                <w:bCs w:val="0"/>
                <w:color w:val="auto"/>
                <w:sz w:val="24"/>
                <w:highlight w:val="none"/>
                <w:lang w:val="en-US" w:eastAsia="zh-CN"/>
              </w:rPr>
            </w:pPr>
            <w:r>
              <w:rPr>
                <w:rFonts w:hint="eastAsia" w:cs="Times New Roman" w:eastAsiaTheme="minorEastAsia"/>
                <w:b w:val="0"/>
                <w:bCs w:val="0"/>
                <w:color w:val="auto"/>
                <w:sz w:val="24"/>
                <w:highlight w:val="none"/>
                <w:lang w:val="en-US" w:eastAsia="zh-CN"/>
              </w:rPr>
              <w:t>7、公用工程</w:t>
            </w:r>
          </w:p>
          <w:p w14:paraId="06E977E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cs="Times New Roman" w:eastAsiaTheme="minorEastAsia"/>
                <w:b w:val="0"/>
                <w:bCs w:val="0"/>
                <w:color w:val="auto"/>
                <w:sz w:val="24"/>
                <w:highlight w:val="none"/>
                <w:lang w:val="en-US" w:eastAsia="zh-CN"/>
              </w:rPr>
            </w:pPr>
            <w:r>
              <w:rPr>
                <w:rFonts w:hint="eastAsia" w:cs="Times New Roman" w:eastAsiaTheme="minorEastAsia"/>
                <w:b w:val="0"/>
                <w:bCs w:val="0"/>
                <w:color w:val="auto"/>
                <w:sz w:val="24"/>
                <w:highlight w:val="none"/>
                <w:lang w:val="en-US" w:eastAsia="zh-CN"/>
              </w:rPr>
              <w:t>（1）给排水</w:t>
            </w:r>
          </w:p>
          <w:p w14:paraId="09EBFA0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cs="Times New Roman" w:eastAsiaTheme="minorEastAsia"/>
                <w:b w:val="0"/>
                <w:bCs w:val="0"/>
                <w:color w:val="auto"/>
                <w:sz w:val="24"/>
                <w:highlight w:val="none"/>
                <w:lang w:val="en-US" w:eastAsia="zh-CN"/>
              </w:rPr>
            </w:pPr>
            <w:r>
              <w:rPr>
                <w:rFonts w:hint="eastAsia" w:cs="Times New Roman" w:eastAsiaTheme="minorEastAsia"/>
                <w:b w:val="0"/>
                <w:bCs w:val="0"/>
                <w:color w:val="auto"/>
                <w:sz w:val="24"/>
                <w:highlight w:val="none"/>
                <w:lang w:val="en-US" w:eastAsia="zh-CN"/>
              </w:rPr>
              <w:t>1）给水</w:t>
            </w:r>
          </w:p>
          <w:p w14:paraId="48E3D39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cs="Times New Roman" w:eastAsiaTheme="minorEastAsia"/>
                <w:b w:val="0"/>
                <w:bCs w:val="0"/>
                <w:color w:val="auto"/>
                <w:sz w:val="24"/>
                <w:highlight w:val="none"/>
                <w:lang w:val="en-US" w:eastAsia="zh-CN"/>
              </w:rPr>
            </w:pPr>
            <w:r>
              <w:rPr>
                <w:rFonts w:hint="eastAsia" w:cs="Times New Roman" w:eastAsiaTheme="minorEastAsia"/>
                <w:b w:val="0"/>
                <w:bCs w:val="0"/>
                <w:color w:val="auto"/>
                <w:sz w:val="24"/>
                <w:highlight w:val="none"/>
                <w:lang w:val="en-US" w:eastAsia="zh-CN"/>
              </w:rPr>
              <w:t>本项目中医医院用水量依据《医院污水处理工程技术规范》（HJ2029-2013）、《建筑给水排水设计标准》（GB50015-2019）中相关数据进行估算。</w:t>
            </w:r>
          </w:p>
          <w:p w14:paraId="400EFB0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cs="Times New Roman" w:eastAsiaTheme="minorEastAsia"/>
                <w:b w:val="0"/>
                <w:bCs w:val="0"/>
                <w:color w:val="auto"/>
                <w:sz w:val="24"/>
                <w:highlight w:val="none"/>
                <w:lang w:val="en-US" w:eastAsia="zh-CN"/>
              </w:rPr>
            </w:pPr>
            <w:r>
              <w:rPr>
                <w:rFonts w:hint="eastAsia" w:cs="Times New Roman" w:eastAsiaTheme="minorEastAsia"/>
                <w:b w:val="0"/>
                <w:bCs w:val="0"/>
                <w:color w:val="auto"/>
                <w:sz w:val="24"/>
                <w:highlight w:val="none"/>
                <w:lang w:val="en-US" w:eastAsia="zh-CN"/>
              </w:rPr>
              <w:t>本项目用水环节主要包括门诊患者用水、住院病房用水、医务人员用水、行政及后勤人员，其中：门诊患者、住院病房、医务人员用水均包括医疗用水和生活用水。给水来源于市政给水管网统一提供。本项目医护人员医疗工作服、病房床上用品、病号服的清洗、消毒定期外委（每周一次），医院内不涉及洗衣废水。</w:t>
            </w:r>
          </w:p>
          <w:p w14:paraId="18F203F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cs="Times New Roman" w:eastAsiaTheme="minorEastAsia"/>
                <w:b w:val="0"/>
                <w:bCs w:val="0"/>
                <w:color w:val="auto"/>
                <w:sz w:val="24"/>
                <w:highlight w:val="none"/>
                <w:lang w:val="en-US" w:eastAsia="zh-CN"/>
              </w:rPr>
            </w:pPr>
            <w:r>
              <w:rPr>
                <w:rFonts w:hint="eastAsia" w:cs="Times New Roman" w:eastAsiaTheme="minorEastAsia"/>
                <w:b w:val="0"/>
                <w:bCs w:val="0"/>
                <w:color w:val="auto"/>
                <w:sz w:val="24"/>
                <w:highlight w:val="none"/>
                <w:lang w:val="en-US" w:eastAsia="zh-CN"/>
              </w:rPr>
              <w:t>本项目用水情况详见下表。</w:t>
            </w:r>
          </w:p>
          <w:p w14:paraId="1DD12C1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0" w:firstLineChars="0"/>
              <w:jc w:val="center"/>
              <w:textAlignment w:val="auto"/>
              <w:rPr>
                <w:rFonts w:hint="default" w:cs="Times New Roman" w:eastAsiaTheme="minorEastAsia"/>
                <w:b w:val="0"/>
                <w:bCs w:val="0"/>
                <w:color w:val="auto"/>
                <w:sz w:val="24"/>
                <w:highlight w:val="none"/>
                <w:lang w:val="en-US" w:eastAsia="zh-CN"/>
              </w:rPr>
            </w:pPr>
            <w:r>
              <w:rPr>
                <w:rFonts w:hint="eastAsia" w:cs="Times New Roman" w:eastAsiaTheme="minorEastAsia"/>
                <w:b/>
                <w:bCs/>
                <w:color w:val="auto"/>
                <w:sz w:val="21"/>
                <w:szCs w:val="21"/>
                <w:highlight w:val="none"/>
                <w:lang w:val="en-US" w:eastAsia="zh-CN"/>
              </w:rPr>
              <w:t>表2-6 项目用水情况一览表</w:t>
            </w:r>
          </w:p>
          <w:tbl>
            <w:tblPr>
              <w:tblStyle w:val="13"/>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75"/>
              <w:gridCol w:w="375"/>
              <w:gridCol w:w="1545"/>
              <w:gridCol w:w="1155"/>
              <w:gridCol w:w="1185"/>
              <w:gridCol w:w="1350"/>
              <w:gridCol w:w="1635"/>
              <w:gridCol w:w="638"/>
            </w:tblGrid>
            <w:tr w14:paraId="667FFEE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5" w:type="dxa"/>
                  <w:tcBorders>
                    <w:tl2br w:val="nil"/>
                    <w:tr2bl w:val="nil"/>
                  </w:tcBorders>
                  <w:vAlign w:val="center"/>
                </w:tcPr>
                <w:p w14:paraId="2B9F0BD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序号</w:t>
                  </w:r>
                </w:p>
              </w:tc>
              <w:tc>
                <w:tcPr>
                  <w:tcW w:w="1920" w:type="dxa"/>
                  <w:gridSpan w:val="2"/>
                  <w:tcBorders>
                    <w:tl2br w:val="nil"/>
                    <w:tr2bl w:val="nil"/>
                  </w:tcBorders>
                  <w:vAlign w:val="center"/>
                </w:tcPr>
                <w:p w14:paraId="370E1B7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用水项目</w:t>
                  </w:r>
                </w:p>
              </w:tc>
              <w:tc>
                <w:tcPr>
                  <w:tcW w:w="1155" w:type="dxa"/>
                  <w:tcBorders>
                    <w:tl2br w:val="nil"/>
                    <w:tr2bl w:val="nil"/>
                  </w:tcBorders>
                  <w:vAlign w:val="center"/>
                </w:tcPr>
                <w:p w14:paraId="2E09412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用水定额</w:t>
                  </w:r>
                </w:p>
              </w:tc>
              <w:tc>
                <w:tcPr>
                  <w:tcW w:w="1185" w:type="dxa"/>
                  <w:tcBorders>
                    <w:tl2br w:val="nil"/>
                    <w:tr2bl w:val="nil"/>
                  </w:tcBorders>
                  <w:vAlign w:val="center"/>
                </w:tcPr>
                <w:p w14:paraId="199D60F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规模</w:t>
                  </w:r>
                </w:p>
              </w:tc>
              <w:tc>
                <w:tcPr>
                  <w:tcW w:w="1350" w:type="dxa"/>
                  <w:tcBorders>
                    <w:tl2br w:val="nil"/>
                    <w:tr2bl w:val="nil"/>
                  </w:tcBorders>
                  <w:vAlign w:val="center"/>
                </w:tcPr>
                <w:p w14:paraId="76491A8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日用水量m</w:t>
                  </w:r>
                  <w:r>
                    <w:rPr>
                      <w:rFonts w:hint="default" w:ascii="Times New Roman" w:hAnsi="Times New Roman" w:eastAsia="宋体" w:cs="Times New Roman"/>
                      <w:b/>
                      <w:bCs/>
                      <w:color w:val="auto"/>
                      <w:sz w:val="21"/>
                      <w:szCs w:val="21"/>
                      <w:highlight w:val="none"/>
                      <w:vertAlign w:val="superscript"/>
                      <w:lang w:val="en-US" w:eastAsia="zh-CN"/>
                    </w:rPr>
                    <w:t>3</w:t>
                  </w:r>
                  <w:r>
                    <w:rPr>
                      <w:rFonts w:hint="default" w:ascii="Times New Roman" w:hAnsi="Times New Roman" w:eastAsia="宋体" w:cs="Times New Roman"/>
                      <w:b/>
                      <w:bCs/>
                      <w:color w:val="auto"/>
                      <w:sz w:val="21"/>
                      <w:szCs w:val="21"/>
                      <w:highlight w:val="none"/>
                      <w:vertAlign w:val="baseline"/>
                      <w:lang w:val="en-US" w:eastAsia="zh-CN"/>
                    </w:rPr>
                    <w:t>/d</w:t>
                  </w:r>
                </w:p>
              </w:tc>
              <w:tc>
                <w:tcPr>
                  <w:tcW w:w="1635" w:type="dxa"/>
                  <w:tcBorders>
                    <w:tl2br w:val="nil"/>
                    <w:tr2bl w:val="nil"/>
                  </w:tcBorders>
                  <w:vAlign w:val="center"/>
                </w:tcPr>
                <w:p w14:paraId="5D54C53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年用水量m</w:t>
                  </w:r>
                  <w:r>
                    <w:rPr>
                      <w:rFonts w:hint="default" w:ascii="Times New Roman" w:hAnsi="Times New Roman" w:eastAsia="宋体" w:cs="Times New Roman"/>
                      <w:b/>
                      <w:bCs/>
                      <w:color w:val="auto"/>
                      <w:sz w:val="21"/>
                      <w:szCs w:val="21"/>
                      <w:highlight w:val="none"/>
                      <w:vertAlign w:val="superscript"/>
                      <w:lang w:val="en-US" w:eastAsia="zh-CN"/>
                    </w:rPr>
                    <w:t>3</w:t>
                  </w:r>
                  <w:r>
                    <w:rPr>
                      <w:rFonts w:hint="default" w:ascii="Times New Roman" w:hAnsi="Times New Roman" w:eastAsia="宋体" w:cs="Times New Roman"/>
                      <w:b/>
                      <w:bCs/>
                      <w:color w:val="auto"/>
                      <w:sz w:val="21"/>
                      <w:szCs w:val="21"/>
                      <w:highlight w:val="none"/>
                      <w:vertAlign w:val="baseline"/>
                      <w:lang w:val="en-US" w:eastAsia="zh-CN"/>
                    </w:rPr>
                    <w:t>/a</w:t>
                  </w:r>
                </w:p>
              </w:tc>
              <w:tc>
                <w:tcPr>
                  <w:tcW w:w="638" w:type="dxa"/>
                  <w:tcBorders>
                    <w:tl2br w:val="nil"/>
                    <w:tr2bl w:val="nil"/>
                  </w:tcBorders>
                  <w:vAlign w:val="center"/>
                </w:tcPr>
                <w:p w14:paraId="7BC02E2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备注</w:t>
                  </w:r>
                </w:p>
              </w:tc>
            </w:tr>
            <w:tr w14:paraId="5F3FEF6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5" w:type="dxa"/>
                  <w:vMerge w:val="restart"/>
                  <w:tcBorders>
                    <w:tl2br w:val="nil"/>
                    <w:tr2bl w:val="nil"/>
                  </w:tcBorders>
                  <w:vAlign w:val="center"/>
                </w:tcPr>
                <w:p w14:paraId="4473A9D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1</w:t>
                  </w:r>
                </w:p>
              </w:tc>
              <w:tc>
                <w:tcPr>
                  <w:tcW w:w="375" w:type="dxa"/>
                  <w:vMerge w:val="restart"/>
                  <w:tcBorders>
                    <w:tl2br w:val="nil"/>
                    <w:tr2bl w:val="nil"/>
                  </w:tcBorders>
                  <w:vAlign w:val="center"/>
                </w:tcPr>
                <w:p w14:paraId="003A359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病房</w:t>
                  </w:r>
                </w:p>
              </w:tc>
              <w:tc>
                <w:tcPr>
                  <w:tcW w:w="1545" w:type="dxa"/>
                  <w:tcBorders>
                    <w:tl2br w:val="nil"/>
                    <w:tr2bl w:val="nil"/>
                  </w:tcBorders>
                  <w:vAlign w:val="center"/>
                </w:tcPr>
                <w:p w14:paraId="16720E3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住院患者</w:t>
                  </w:r>
                </w:p>
              </w:tc>
              <w:tc>
                <w:tcPr>
                  <w:tcW w:w="1155" w:type="dxa"/>
                  <w:tcBorders>
                    <w:tl2br w:val="nil"/>
                    <w:tr2bl w:val="nil"/>
                  </w:tcBorders>
                  <w:vAlign w:val="center"/>
                </w:tcPr>
                <w:p w14:paraId="3CB76CD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color w:val="auto"/>
                      <w:sz w:val="21"/>
                      <w:szCs w:val="21"/>
                      <w:lang w:val="en-US" w:eastAsia="zh-CN"/>
                    </w:rPr>
                    <w:t>200</w:t>
                  </w:r>
                  <w:r>
                    <w:rPr>
                      <w:rFonts w:hint="default" w:ascii="Times New Roman" w:hAnsi="Times New Roman" w:eastAsia="宋体" w:cs="Times New Roman"/>
                      <w:color w:val="auto"/>
                      <w:sz w:val="21"/>
                      <w:szCs w:val="21"/>
                    </w:rPr>
                    <w:t>L/床·d</w:t>
                  </w:r>
                </w:p>
              </w:tc>
              <w:tc>
                <w:tcPr>
                  <w:tcW w:w="1185" w:type="dxa"/>
                  <w:tcBorders>
                    <w:tl2br w:val="nil"/>
                    <w:tr2bl w:val="nil"/>
                  </w:tcBorders>
                  <w:vAlign w:val="center"/>
                </w:tcPr>
                <w:p w14:paraId="0589FF9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color w:val="auto"/>
                      <w:sz w:val="21"/>
                      <w:szCs w:val="21"/>
                    </w:rPr>
                    <w:t>20床</w:t>
                  </w:r>
                </w:p>
              </w:tc>
              <w:tc>
                <w:tcPr>
                  <w:tcW w:w="1350" w:type="dxa"/>
                  <w:tcBorders>
                    <w:tl2br w:val="nil"/>
                    <w:tr2bl w:val="nil"/>
                  </w:tcBorders>
                  <w:vAlign w:val="center"/>
                </w:tcPr>
                <w:p w14:paraId="0EA5800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color w:val="auto"/>
                      <w:sz w:val="21"/>
                      <w:szCs w:val="21"/>
                      <w:lang w:val="en-US" w:eastAsia="zh-CN"/>
                    </w:rPr>
                    <w:t>4.00</w:t>
                  </w:r>
                </w:p>
              </w:tc>
              <w:tc>
                <w:tcPr>
                  <w:tcW w:w="1635" w:type="dxa"/>
                  <w:tcBorders>
                    <w:tl2br w:val="nil"/>
                    <w:tr2bl w:val="nil"/>
                  </w:tcBorders>
                  <w:vAlign w:val="center"/>
                </w:tcPr>
                <w:p w14:paraId="60B1E7B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1460.00</w:t>
                  </w:r>
                </w:p>
              </w:tc>
              <w:tc>
                <w:tcPr>
                  <w:tcW w:w="638" w:type="dxa"/>
                  <w:vMerge w:val="restart"/>
                  <w:tcBorders>
                    <w:tl2br w:val="nil"/>
                    <w:tr2bl w:val="nil"/>
                  </w:tcBorders>
                  <w:vAlign w:val="center"/>
                </w:tcPr>
                <w:p w14:paraId="50E905B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以365d计</w:t>
                  </w:r>
                </w:p>
              </w:tc>
            </w:tr>
            <w:tr w14:paraId="5812967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5" w:type="dxa"/>
                  <w:vMerge w:val="continue"/>
                  <w:tcBorders>
                    <w:tl2br w:val="nil"/>
                    <w:tr2bl w:val="nil"/>
                  </w:tcBorders>
                  <w:vAlign w:val="center"/>
                </w:tcPr>
                <w:p w14:paraId="4DF7C07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p>
              </w:tc>
              <w:tc>
                <w:tcPr>
                  <w:tcW w:w="375" w:type="dxa"/>
                  <w:vMerge w:val="continue"/>
                  <w:tcBorders>
                    <w:tl2br w:val="nil"/>
                    <w:tr2bl w:val="nil"/>
                  </w:tcBorders>
                  <w:vAlign w:val="center"/>
                </w:tcPr>
                <w:p w14:paraId="546DF58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p>
              </w:tc>
              <w:tc>
                <w:tcPr>
                  <w:tcW w:w="1545" w:type="dxa"/>
                  <w:tcBorders>
                    <w:tl2br w:val="nil"/>
                    <w:tr2bl w:val="nil"/>
                  </w:tcBorders>
                  <w:vAlign w:val="center"/>
                </w:tcPr>
                <w:p w14:paraId="4E99B53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病房医务人员</w:t>
                  </w:r>
                </w:p>
              </w:tc>
              <w:tc>
                <w:tcPr>
                  <w:tcW w:w="1155" w:type="dxa"/>
                  <w:tcBorders>
                    <w:tl2br w:val="nil"/>
                    <w:tr2bl w:val="nil"/>
                  </w:tcBorders>
                  <w:vAlign w:val="center"/>
                </w:tcPr>
                <w:p w14:paraId="5EDF9EE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color w:val="auto"/>
                      <w:sz w:val="21"/>
                      <w:szCs w:val="21"/>
                      <w:lang w:val="en-US" w:eastAsia="zh-CN"/>
                    </w:rPr>
                    <w:t>200</w:t>
                  </w:r>
                  <w:r>
                    <w:rPr>
                      <w:rFonts w:hint="default" w:ascii="Times New Roman" w:hAnsi="Times New Roman" w:eastAsia="宋体" w:cs="Times New Roman"/>
                      <w:color w:val="auto"/>
                      <w:sz w:val="21"/>
                      <w:szCs w:val="21"/>
                    </w:rPr>
                    <w:t>L/人·d</w:t>
                  </w:r>
                </w:p>
              </w:tc>
              <w:tc>
                <w:tcPr>
                  <w:tcW w:w="1185" w:type="dxa"/>
                  <w:tcBorders>
                    <w:tl2br w:val="nil"/>
                    <w:tr2bl w:val="nil"/>
                  </w:tcBorders>
                  <w:vAlign w:val="center"/>
                </w:tcPr>
                <w:p w14:paraId="5DD05FF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rPr>
                    <w:t>5人</w:t>
                  </w:r>
                </w:p>
              </w:tc>
              <w:tc>
                <w:tcPr>
                  <w:tcW w:w="1350" w:type="dxa"/>
                  <w:tcBorders>
                    <w:tl2br w:val="nil"/>
                    <w:tr2bl w:val="nil"/>
                  </w:tcBorders>
                  <w:vAlign w:val="center"/>
                </w:tcPr>
                <w:p w14:paraId="1C5DF3C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1.00</w:t>
                  </w:r>
                </w:p>
              </w:tc>
              <w:tc>
                <w:tcPr>
                  <w:tcW w:w="1635" w:type="dxa"/>
                  <w:tcBorders>
                    <w:tl2br w:val="nil"/>
                    <w:tr2bl w:val="nil"/>
                  </w:tcBorders>
                  <w:vAlign w:val="center"/>
                </w:tcPr>
                <w:p w14:paraId="4A3C36A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365.00</w:t>
                  </w:r>
                </w:p>
              </w:tc>
              <w:tc>
                <w:tcPr>
                  <w:tcW w:w="638" w:type="dxa"/>
                  <w:vMerge w:val="continue"/>
                  <w:tcBorders>
                    <w:tl2br w:val="nil"/>
                    <w:tr2bl w:val="nil"/>
                  </w:tcBorders>
                  <w:vAlign w:val="center"/>
                </w:tcPr>
                <w:p w14:paraId="2F5FEDB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p>
              </w:tc>
            </w:tr>
            <w:tr w14:paraId="457A767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5" w:type="dxa"/>
                  <w:vMerge w:val="restart"/>
                  <w:tcBorders>
                    <w:tl2br w:val="nil"/>
                    <w:tr2bl w:val="nil"/>
                  </w:tcBorders>
                  <w:vAlign w:val="center"/>
                </w:tcPr>
                <w:p w14:paraId="38CABF5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2</w:t>
                  </w:r>
                </w:p>
              </w:tc>
              <w:tc>
                <w:tcPr>
                  <w:tcW w:w="375" w:type="dxa"/>
                  <w:vMerge w:val="restart"/>
                  <w:tcBorders>
                    <w:tl2br w:val="nil"/>
                    <w:tr2bl w:val="nil"/>
                  </w:tcBorders>
                  <w:vAlign w:val="center"/>
                </w:tcPr>
                <w:p w14:paraId="2C0A51C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门诊</w:t>
                  </w:r>
                </w:p>
              </w:tc>
              <w:tc>
                <w:tcPr>
                  <w:tcW w:w="1545" w:type="dxa"/>
                  <w:tcBorders>
                    <w:tl2br w:val="nil"/>
                    <w:tr2bl w:val="nil"/>
                  </w:tcBorders>
                  <w:vAlign w:val="center"/>
                </w:tcPr>
                <w:p w14:paraId="59CAE65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门诊患者</w:t>
                  </w:r>
                </w:p>
              </w:tc>
              <w:tc>
                <w:tcPr>
                  <w:tcW w:w="1155" w:type="dxa"/>
                  <w:tcBorders>
                    <w:tl2br w:val="nil"/>
                    <w:tr2bl w:val="nil"/>
                  </w:tcBorders>
                  <w:vAlign w:val="center"/>
                </w:tcPr>
                <w:p w14:paraId="5A2976B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color w:val="auto"/>
                      <w:sz w:val="21"/>
                      <w:szCs w:val="21"/>
                    </w:rPr>
                    <w:t>1</w:t>
                  </w:r>
                  <w:r>
                    <w:rPr>
                      <w:rFonts w:hint="eastAsia" w:cs="Times New Roman"/>
                      <w:color w:val="auto"/>
                      <w:sz w:val="21"/>
                      <w:szCs w:val="21"/>
                      <w:lang w:val="en-US" w:eastAsia="zh-CN"/>
                    </w:rPr>
                    <w:t>0</w:t>
                  </w:r>
                  <w:r>
                    <w:rPr>
                      <w:rFonts w:hint="default" w:ascii="Times New Roman" w:hAnsi="Times New Roman" w:eastAsia="宋体" w:cs="Times New Roman"/>
                      <w:color w:val="auto"/>
                      <w:sz w:val="21"/>
                      <w:szCs w:val="21"/>
                    </w:rPr>
                    <w:t>L/人·d</w:t>
                  </w:r>
                </w:p>
              </w:tc>
              <w:tc>
                <w:tcPr>
                  <w:tcW w:w="1185" w:type="dxa"/>
                  <w:tcBorders>
                    <w:tl2br w:val="nil"/>
                    <w:tr2bl w:val="nil"/>
                  </w:tcBorders>
                  <w:vAlign w:val="center"/>
                </w:tcPr>
                <w:p w14:paraId="38B431A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lang w:val="en-US" w:eastAsia="zh-CN"/>
                    </w:rPr>
                    <w:t>60</w:t>
                  </w:r>
                  <w:r>
                    <w:rPr>
                      <w:rFonts w:hint="default" w:ascii="Times New Roman" w:hAnsi="Times New Roman" w:eastAsia="宋体" w:cs="Times New Roman"/>
                      <w:color w:val="auto"/>
                      <w:sz w:val="21"/>
                      <w:szCs w:val="21"/>
                      <w:highlight w:val="none"/>
                    </w:rPr>
                    <w:t>人</w:t>
                  </w:r>
                </w:p>
              </w:tc>
              <w:tc>
                <w:tcPr>
                  <w:tcW w:w="1350" w:type="dxa"/>
                  <w:tcBorders>
                    <w:tl2br w:val="nil"/>
                    <w:tr2bl w:val="nil"/>
                  </w:tcBorders>
                  <w:vAlign w:val="center"/>
                </w:tcPr>
                <w:p w14:paraId="3085DEF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0.60</w:t>
                  </w:r>
                </w:p>
              </w:tc>
              <w:tc>
                <w:tcPr>
                  <w:tcW w:w="1635" w:type="dxa"/>
                  <w:tcBorders>
                    <w:tl2br w:val="nil"/>
                    <w:tr2bl w:val="nil"/>
                  </w:tcBorders>
                  <w:vAlign w:val="center"/>
                </w:tcPr>
                <w:p w14:paraId="498910F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219.00</w:t>
                  </w:r>
                </w:p>
              </w:tc>
              <w:tc>
                <w:tcPr>
                  <w:tcW w:w="638" w:type="dxa"/>
                  <w:vMerge w:val="continue"/>
                  <w:tcBorders>
                    <w:tl2br w:val="nil"/>
                    <w:tr2bl w:val="nil"/>
                  </w:tcBorders>
                  <w:vAlign w:val="center"/>
                </w:tcPr>
                <w:p w14:paraId="5A1F558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p>
              </w:tc>
            </w:tr>
            <w:tr w14:paraId="3A5EE66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5" w:type="dxa"/>
                  <w:vMerge w:val="continue"/>
                  <w:tcBorders>
                    <w:tl2br w:val="nil"/>
                    <w:tr2bl w:val="nil"/>
                  </w:tcBorders>
                  <w:vAlign w:val="center"/>
                </w:tcPr>
                <w:p w14:paraId="386A2DA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p>
              </w:tc>
              <w:tc>
                <w:tcPr>
                  <w:tcW w:w="375" w:type="dxa"/>
                  <w:vMerge w:val="continue"/>
                  <w:tcBorders>
                    <w:tl2br w:val="nil"/>
                    <w:tr2bl w:val="nil"/>
                  </w:tcBorders>
                  <w:vAlign w:val="center"/>
                </w:tcPr>
                <w:p w14:paraId="670FAA2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p>
              </w:tc>
              <w:tc>
                <w:tcPr>
                  <w:tcW w:w="1545" w:type="dxa"/>
                  <w:tcBorders>
                    <w:tl2br w:val="nil"/>
                    <w:tr2bl w:val="nil"/>
                  </w:tcBorders>
                  <w:vAlign w:val="center"/>
                </w:tcPr>
                <w:p w14:paraId="68A604E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门诊医务人员</w:t>
                  </w:r>
                </w:p>
              </w:tc>
              <w:tc>
                <w:tcPr>
                  <w:tcW w:w="1155" w:type="dxa"/>
                  <w:tcBorders>
                    <w:tl2br w:val="nil"/>
                    <w:tr2bl w:val="nil"/>
                  </w:tcBorders>
                  <w:vAlign w:val="center"/>
                </w:tcPr>
                <w:p w14:paraId="5B7AF88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color w:val="auto"/>
                      <w:sz w:val="21"/>
                      <w:szCs w:val="21"/>
                      <w:lang w:val="en-US" w:eastAsia="zh-CN"/>
                    </w:rPr>
                    <w:t>100</w:t>
                  </w:r>
                  <w:r>
                    <w:rPr>
                      <w:rFonts w:hint="default" w:ascii="Times New Roman" w:hAnsi="Times New Roman" w:eastAsia="宋体" w:cs="Times New Roman"/>
                      <w:color w:val="auto"/>
                      <w:sz w:val="21"/>
                      <w:szCs w:val="21"/>
                    </w:rPr>
                    <w:t>L/人·d</w:t>
                  </w:r>
                </w:p>
              </w:tc>
              <w:tc>
                <w:tcPr>
                  <w:tcW w:w="1185" w:type="dxa"/>
                  <w:tcBorders>
                    <w:tl2br w:val="nil"/>
                    <w:tr2bl w:val="nil"/>
                  </w:tcBorders>
                  <w:vAlign w:val="center"/>
                </w:tcPr>
                <w:p w14:paraId="2C11126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color w:val="auto"/>
                      <w:sz w:val="21"/>
                      <w:szCs w:val="21"/>
                      <w:highlight w:val="none"/>
                      <w:lang w:val="en-US" w:eastAsia="zh-CN"/>
                    </w:rPr>
                    <w:t>13</w:t>
                  </w:r>
                  <w:r>
                    <w:rPr>
                      <w:rFonts w:hint="default" w:ascii="Times New Roman" w:hAnsi="Times New Roman" w:eastAsia="宋体" w:cs="Times New Roman"/>
                      <w:color w:val="auto"/>
                      <w:sz w:val="21"/>
                      <w:szCs w:val="21"/>
                      <w:highlight w:val="none"/>
                    </w:rPr>
                    <w:t>人</w:t>
                  </w:r>
                </w:p>
              </w:tc>
              <w:tc>
                <w:tcPr>
                  <w:tcW w:w="1350" w:type="dxa"/>
                  <w:tcBorders>
                    <w:tl2br w:val="nil"/>
                    <w:tr2bl w:val="nil"/>
                  </w:tcBorders>
                  <w:vAlign w:val="center"/>
                </w:tcPr>
                <w:p w14:paraId="01F3E1F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1.30</w:t>
                  </w:r>
                </w:p>
              </w:tc>
              <w:tc>
                <w:tcPr>
                  <w:tcW w:w="1635" w:type="dxa"/>
                  <w:tcBorders>
                    <w:tl2br w:val="nil"/>
                    <w:tr2bl w:val="nil"/>
                  </w:tcBorders>
                  <w:vAlign w:val="center"/>
                </w:tcPr>
                <w:p w14:paraId="2E8CA67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474.50</w:t>
                  </w:r>
                </w:p>
              </w:tc>
              <w:tc>
                <w:tcPr>
                  <w:tcW w:w="638" w:type="dxa"/>
                  <w:vMerge w:val="continue"/>
                  <w:tcBorders>
                    <w:tl2br w:val="nil"/>
                    <w:tr2bl w:val="nil"/>
                  </w:tcBorders>
                  <w:vAlign w:val="center"/>
                </w:tcPr>
                <w:p w14:paraId="4051E7A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p>
              </w:tc>
            </w:tr>
            <w:tr w14:paraId="3A67083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5" w:type="dxa"/>
                  <w:tcBorders>
                    <w:tl2br w:val="nil"/>
                    <w:tr2bl w:val="nil"/>
                  </w:tcBorders>
                  <w:vAlign w:val="center"/>
                </w:tcPr>
                <w:p w14:paraId="5BE01F6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3</w:t>
                  </w:r>
                </w:p>
              </w:tc>
              <w:tc>
                <w:tcPr>
                  <w:tcW w:w="1920" w:type="dxa"/>
                  <w:gridSpan w:val="2"/>
                  <w:tcBorders>
                    <w:tl2br w:val="nil"/>
                    <w:tr2bl w:val="nil"/>
                  </w:tcBorders>
                  <w:vAlign w:val="center"/>
                </w:tcPr>
                <w:p w14:paraId="2C5803C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行政及后勤人员</w:t>
                  </w:r>
                </w:p>
              </w:tc>
              <w:tc>
                <w:tcPr>
                  <w:tcW w:w="1155" w:type="dxa"/>
                  <w:tcBorders>
                    <w:tl2br w:val="nil"/>
                    <w:tr2bl w:val="nil"/>
                  </w:tcBorders>
                  <w:vAlign w:val="center"/>
                </w:tcPr>
                <w:p w14:paraId="7BDBB1E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50</w:t>
                  </w:r>
                  <w:r>
                    <w:rPr>
                      <w:rFonts w:hint="default" w:ascii="Times New Roman" w:hAnsi="Times New Roman" w:eastAsia="宋体" w:cs="Times New Roman"/>
                      <w:color w:val="auto"/>
                      <w:sz w:val="21"/>
                      <w:szCs w:val="21"/>
                    </w:rPr>
                    <w:t>L/人·d</w:t>
                  </w:r>
                </w:p>
              </w:tc>
              <w:tc>
                <w:tcPr>
                  <w:tcW w:w="1185" w:type="dxa"/>
                  <w:tcBorders>
                    <w:tl2br w:val="nil"/>
                    <w:tr2bl w:val="nil"/>
                  </w:tcBorders>
                  <w:vAlign w:val="center"/>
                </w:tcPr>
                <w:p w14:paraId="2059513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2</w:t>
                  </w:r>
                </w:p>
              </w:tc>
              <w:tc>
                <w:tcPr>
                  <w:tcW w:w="1350" w:type="dxa"/>
                  <w:tcBorders>
                    <w:tl2br w:val="nil"/>
                    <w:tr2bl w:val="nil"/>
                  </w:tcBorders>
                  <w:vAlign w:val="center"/>
                </w:tcPr>
                <w:p w14:paraId="10F1F8F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0.10</w:t>
                  </w:r>
                </w:p>
              </w:tc>
              <w:tc>
                <w:tcPr>
                  <w:tcW w:w="1635" w:type="dxa"/>
                  <w:tcBorders>
                    <w:tl2br w:val="nil"/>
                    <w:tr2bl w:val="nil"/>
                  </w:tcBorders>
                  <w:vAlign w:val="center"/>
                </w:tcPr>
                <w:p w14:paraId="508F7E2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36.50</w:t>
                  </w:r>
                </w:p>
              </w:tc>
              <w:tc>
                <w:tcPr>
                  <w:tcW w:w="638" w:type="dxa"/>
                  <w:vMerge w:val="continue"/>
                  <w:tcBorders>
                    <w:tl2br w:val="nil"/>
                    <w:tr2bl w:val="nil"/>
                  </w:tcBorders>
                  <w:vAlign w:val="center"/>
                </w:tcPr>
                <w:p w14:paraId="729E6E3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p>
              </w:tc>
            </w:tr>
            <w:tr w14:paraId="5D45149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5" w:type="dxa"/>
                  <w:tcBorders>
                    <w:tl2br w:val="nil"/>
                    <w:tr2bl w:val="nil"/>
                  </w:tcBorders>
                  <w:vAlign w:val="center"/>
                </w:tcPr>
                <w:p w14:paraId="0DFF382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eastAsia" w:cs="Times New Roman"/>
                      <w:b w:val="0"/>
                      <w:bCs w:val="0"/>
                      <w:color w:val="auto"/>
                      <w:kern w:val="2"/>
                      <w:sz w:val="21"/>
                      <w:szCs w:val="21"/>
                      <w:highlight w:val="none"/>
                      <w:vertAlign w:val="baseline"/>
                      <w:lang w:val="en-US" w:eastAsia="zh-CN" w:bidi="ar-SA"/>
                    </w:rPr>
                    <w:t>4</w:t>
                  </w:r>
                </w:p>
              </w:tc>
              <w:tc>
                <w:tcPr>
                  <w:tcW w:w="1920" w:type="dxa"/>
                  <w:gridSpan w:val="2"/>
                  <w:tcBorders>
                    <w:tl2br w:val="nil"/>
                    <w:tr2bl w:val="nil"/>
                  </w:tcBorders>
                  <w:vAlign w:val="center"/>
                </w:tcPr>
                <w:p w14:paraId="5BBE4C9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sz w:val="21"/>
                      <w:szCs w:val="21"/>
                      <w:highlight w:val="none"/>
                      <w:vertAlign w:val="baseline"/>
                      <w:lang w:val="en-US" w:eastAsia="zh-CN"/>
                    </w:rPr>
                    <w:t>卫生清洁用水</w:t>
                  </w:r>
                </w:p>
              </w:tc>
              <w:tc>
                <w:tcPr>
                  <w:tcW w:w="1155" w:type="dxa"/>
                  <w:tcBorders>
                    <w:tl2br w:val="nil"/>
                    <w:tr2bl w:val="nil"/>
                  </w:tcBorders>
                  <w:vAlign w:val="center"/>
                </w:tcPr>
                <w:p w14:paraId="78F6C8F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eastAsia" w:cs="Times New Roman"/>
                      <w:color w:val="auto"/>
                      <w:sz w:val="21"/>
                      <w:szCs w:val="21"/>
                      <w:lang w:val="en-US" w:eastAsia="zh-CN"/>
                    </w:rPr>
                    <w:t>0.5</w:t>
                  </w:r>
                  <w:r>
                    <w:rPr>
                      <w:rFonts w:hint="default" w:ascii="Times New Roman" w:hAnsi="Times New Roman" w:eastAsia="宋体" w:cs="Times New Roman"/>
                      <w:color w:val="auto"/>
                      <w:sz w:val="21"/>
                      <w:szCs w:val="21"/>
                    </w:rPr>
                    <w:t>L/m</w:t>
                  </w:r>
                  <w:r>
                    <w:rPr>
                      <w:rFonts w:hint="default" w:ascii="Times New Roman" w:hAnsi="Times New Roman" w:eastAsia="宋体" w:cs="Times New Roman"/>
                      <w:color w:val="auto"/>
                      <w:sz w:val="21"/>
                      <w:szCs w:val="21"/>
                      <w:vertAlign w:val="superscript"/>
                    </w:rPr>
                    <w:t>2</w:t>
                  </w:r>
                </w:p>
              </w:tc>
              <w:tc>
                <w:tcPr>
                  <w:tcW w:w="1185" w:type="dxa"/>
                  <w:tcBorders>
                    <w:tl2br w:val="nil"/>
                    <w:tr2bl w:val="nil"/>
                  </w:tcBorders>
                  <w:vAlign w:val="center"/>
                </w:tcPr>
                <w:p w14:paraId="7137059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eastAsia" w:cs="Times New Roman"/>
                      <w:color w:val="auto"/>
                      <w:sz w:val="21"/>
                      <w:szCs w:val="21"/>
                      <w:highlight w:val="none"/>
                      <w:lang w:val="en-US" w:eastAsia="zh-CN"/>
                    </w:rPr>
                    <w:t>722.58</w:t>
                  </w:r>
                  <w:r>
                    <w:rPr>
                      <w:rFonts w:hint="default" w:ascii="Times New Roman" w:hAnsi="Times New Roman" w:eastAsia="宋体" w:cs="Times New Roman"/>
                      <w:color w:val="auto"/>
                      <w:sz w:val="21"/>
                      <w:szCs w:val="21"/>
                      <w:highlight w:val="none"/>
                    </w:rPr>
                    <w:t>m</w:t>
                  </w:r>
                  <w:r>
                    <w:rPr>
                      <w:rFonts w:hint="default" w:ascii="Times New Roman" w:hAnsi="Times New Roman" w:eastAsia="宋体" w:cs="Times New Roman"/>
                      <w:color w:val="auto"/>
                      <w:sz w:val="21"/>
                      <w:szCs w:val="21"/>
                      <w:highlight w:val="none"/>
                      <w:vertAlign w:val="superscript"/>
                    </w:rPr>
                    <w:t>2</w:t>
                  </w:r>
                </w:p>
              </w:tc>
              <w:tc>
                <w:tcPr>
                  <w:tcW w:w="1350" w:type="dxa"/>
                  <w:tcBorders>
                    <w:tl2br w:val="nil"/>
                    <w:tr2bl w:val="nil"/>
                  </w:tcBorders>
                  <w:vAlign w:val="center"/>
                </w:tcPr>
                <w:p w14:paraId="1CAC207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0.36</w:t>
                  </w:r>
                </w:p>
              </w:tc>
              <w:tc>
                <w:tcPr>
                  <w:tcW w:w="1635" w:type="dxa"/>
                  <w:tcBorders>
                    <w:tl2br w:val="nil"/>
                    <w:tr2bl w:val="nil"/>
                  </w:tcBorders>
                  <w:vAlign w:val="center"/>
                </w:tcPr>
                <w:p w14:paraId="653110A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131.40</w:t>
                  </w:r>
                </w:p>
              </w:tc>
              <w:tc>
                <w:tcPr>
                  <w:tcW w:w="638" w:type="dxa"/>
                  <w:vMerge w:val="continue"/>
                  <w:tcBorders>
                    <w:tl2br w:val="nil"/>
                    <w:tr2bl w:val="nil"/>
                  </w:tcBorders>
                  <w:vAlign w:val="center"/>
                </w:tcPr>
                <w:p w14:paraId="1377922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p>
              </w:tc>
            </w:tr>
            <w:tr w14:paraId="400CE18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35" w:type="dxa"/>
                  <w:gridSpan w:val="5"/>
                  <w:tcBorders>
                    <w:tl2br w:val="nil"/>
                    <w:tr2bl w:val="nil"/>
                  </w:tcBorders>
                  <w:vAlign w:val="center"/>
                </w:tcPr>
                <w:p w14:paraId="76DC977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总用水量</w:t>
                  </w:r>
                </w:p>
              </w:tc>
              <w:tc>
                <w:tcPr>
                  <w:tcW w:w="1350" w:type="dxa"/>
                  <w:tcBorders>
                    <w:tl2br w:val="nil"/>
                    <w:tr2bl w:val="nil"/>
                  </w:tcBorders>
                  <w:vAlign w:val="center"/>
                </w:tcPr>
                <w:p w14:paraId="39EB466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7.36</w:t>
                  </w:r>
                </w:p>
              </w:tc>
              <w:tc>
                <w:tcPr>
                  <w:tcW w:w="1635" w:type="dxa"/>
                  <w:tcBorders>
                    <w:tl2br w:val="nil"/>
                    <w:tr2bl w:val="nil"/>
                  </w:tcBorders>
                  <w:vAlign w:val="center"/>
                </w:tcPr>
                <w:p w14:paraId="6A18424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2686.40</w:t>
                  </w:r>
                </w:p>
              </w:tc>
              <w:tc>
                <w:tcPr>
                  <w:tcW w:w="638" w:type="dxa"/>
                  <w:tcBorders>
                    <w:tl2br w:val="nil"/>
                    <w:tr2bl w:val="nil"/>
                  </w:tcBorders>
                  <w:vAlign w:val="center"/>
                </w:tcPr>
                <w:p w14:paraId="7F419C3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w:t>
                  </w:r>
                </w:p>
              </w:tc>
            </w:tr>
          </w:tbl>
          <w:p w14:paraId="104FCFB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cs="Times New Roman" w:eastAsiaTheme="minorEastAsia"/>
                <w:b w:val="0"/>
                <w:bCs w:val="0"/>
                <w:color w:val="auto"/>
                <w:sz w:val="24"/>
                <w:highlight w:val="none"/>
                <w:lang w:val="en-US" w:eastAsia="zh-CN"/>
              </w:rPr>
            </w:pPr>
            <w:r>
              <w:rPr>
                <w:rFonts w:hint="eastAsia" w:cs="Times New Roman" w:eastAsiaTheme="minorEastAsia"/>
                <w:b w:val="0"/>
                <w:bCs w:val="0"/>
                <w:color w:val="auto"/>
                <w:sz w:val="24"/>
                <w:highlight w:val="none"/>
                <w:lang w:val="en-US" w:eastAsia="zh-CN"/>
              </w:rPr>
              <w:t>2）排水</w:t>
            </w:r>
          </w:p>
          <w:p w14:paraId="2E4023C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cs="Times New Roman" w:eastAsiaTheme="minorEastAsia"/>
                <w:b w:val="0"/>
                <w:bCs w:val="0"/>
                <w:color w:val="auto"/>
                <w:sz w:val="24"/>
                <w:highlight w:val="none"/>
                <w:lang w:val="en-US" w:eastAsia="zh-CN"/>
              </w:rPr>
            </w:pPr>
            <w:r>
              <w:rPr>
                <w:rFonts w:hint="eastAsia" w:cs="Times New Roman" w:eastAsiaTheme="minorEastAsia"/>
                <w:b w:val="0"/>
                <w:bCs w:val="0"/>
                <w:color w:val="auto"/>
                <w:sz w:val="24"/>
                <w:highlight w:val="none"/>
                <w:lang w:val="en-US" w:eastAsia="zh-CN"/>
              </w:rPr>
              <w:t>本项目排水包括病房废水、门诊废水、卫生清扫废水等。全部废水均作为医疗废水排入化粪池+污水处理设施处理后，经市政管网汇入清河再生水厂。根据《医院污水处理工程技术规范》（HJ2029-2013）中医院废水排放系数，项目废水排放情况详见下表。</w:t>
            </w:r>
          </w:p>
          <w:p w14:paraId="232A683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cs="Times New Roman" w:eastAsiaTheme="minorEastAsia"/>
                <w:b w:val="0"/>
                <w:bCs w:val="0"/>
                <w:color w:val="auto"/>
                <w:sz w:val="24"/>
                <w:highlight w:val="none"/>
                <w:lang w:val="en-US" w:eastAsia="zh-CN"/>
              </w:rPr>
            </w:pPr>
            <w:r>
              <w:rPr>
                <w:rFonts w:hint="eastAsia" w:cs="Times New Roman" w:eastAsiaTheme="minorEastAsia"/>
                <w:b w:val="0"/>
                <w:bCs w:val="0"/>
                <w:color w:val="auto"/>
                <w:sz w:val="24"/>
                <w:highlight w:val="none"/>
                <w:lang w:val="en-US" w:eastAsia="zh-CN"/>
              </w:rPr>
              <w:t>本项目不设发热门诊、传染门诊等，不涉及特殊医疗废水。</w:t>
            </w:r>
          </w:p>
          <w:p w14:paraId="33DA0BC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0" w:firstLineChars="0"/>
              <w:jc w:val="center"/>
              <w:textAlignment w:val="auto"/>
              <w:rPr>
                <w:rFonts w:hint="default" w:cs="Times New Roman" w:eastAsiaTheme="minorEastAsia"/>
                <w:b w:val="0"/>
                <w:bCs w:val="0"/>
                <w:color w:val="auto"/>
                <w:sz w:val="24"/>
                <w:highlight w:val="none"/>
                <w:lang w:val="en-US" w:eastAsia="zh-CN"/>
              </w:rPr>
            </w:pPr>
            <w:r>
              <w:rPr>
                <w:rFonts w:hint="eastAsia" w:cs="Times New Roman" w:eastAsiaTheme="minorEastAsia"/>
                <w:b/>
                <w:bCs/>
                <w:color w:val="auto"/>
                <w:sz w:val="21"/>
                <w:szCs w:val="21"/>
                <w:highlight w:val="none"/>
                <w:lang w:val="en-US" w:eastAsia="zh-CN"/>
              </w:rPr>
              <w:t>表2-7 项目排水情况一览表</w:t>
            </w:r>
          </w:p>
          <w:tbl>
            <w:tblPr>
              <w:tblStyle w:val="13"/>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65"/>
              <w:gridCol w:w="435"/>
              <w:gridCol w:w="1515"/>
              <w:gridCol w:w="1365"/>
              <w:gridCol w:w="1365"/>
              <w:gridCol w:w="795"/>
              <w:gridCol w:w="1170"/>
              <w:gridCol w:w="1148"/>
            </w:tblGrid>
            <w:tr w14:paraId="17F692F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5" w:type="dxa"/>
                  <w:tcBorders>
                    <w:tl2br w:val="nil"/>
                    <w:tr2bl w:val="nil"/>
                  </w:tcBorders>
                  <w:vAlign w:val="center"/>
                </w:tcPr>
                <w:p w14:paraId="6A03263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bCs/>
                      <w:color w:val="auto"/>
                      <w:sz w:val="21"/>
                      <w:szCs w:val="21"/>
                      <w:highlight w:val="none"/>
                      <w:vertAlign w:val="baseline"/>
                      <w:lang w:val="en-US" w:eastAsia="zh-CN"/>
                    </w:rPr>
                  </w:pPr>
                  <w:r>
                    <w:rPr>
                      <w:rFonts w:hint="eastAsia" w:cs="Times New Roman" w:eastAsiaTheme="minorEastAsia"/>
                      <w:b/>
                      <w:bCs/>
                      <w:color w:val="auto"/>
                      <w:sz w:val="21"/>
                      <w:szCs w:val="21"/>
                      <w:highlight w:val="none"/>
                      <w:vertAlign w:val="baseline"/>
                      <w:lang w:val="en-US" w:eastAsia="zh-CN"/>
                    </w:rPr>
                    <w:t>序号</w:t>
                  </w:r>
                </w:p>
              </w:tc>
              <w:tc>
                <w:tcPr>
                  <w:tcW w:w="1950" w:type="dxa"/>
                  <w:gridSpan w:val="2"/>
                  <w:tcBorders>
                    <w:tl2br w:val="nil"/>
                    <w:tr2bl w:val="nil"/>
                  </w:tcBorders>
                  <w:vAlign w:val="center"/>
                </w:tcPr>
                <w:p w14:paraId="4EA700C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bCs/>
                      <w:color w:val="auto"/>
                      <w:sz w:val="21"/>
                      <w:szCs w:val="21"/>
                      <w:highlight w:val="none"/>
                      <w:vertAlign w:val="baseline"/>
                      <w:lang w:val="en-US" w:eastAsia="zh-CN"/>
                    </w:rPr>
                  </w:pPr>
                  <w:r>
                    <w:rPr>
                      <w:rFonts w:hint="eastAsia" w:cs="Times New Roman" w:eastAsiaTheme="minorEastAsia"/>
                      <w:b/>
                      <w:bCs/>
                      <w:color w:val="auto"/>
                      <w:sz w:val="21"/>
                      <w:szCs w:val="21"/>
                      <w:highlight w:val="none"/>
                      <w:vertAlign w:val="baseline"/>
                      <w:lang w:val="en-US" w:eastAsia="zh-CN"/>
                    </w:rPr>
                    <w:t>排水明细</w:t>
                  </w:r>
                </w:p>
              </w:tc>
              <w:tc>
                <w:tcPr>
                  <w:tcW w:w="1365" w:type="dxa"/>
                  <w:tcBorders>
                    <w:tl2br w:val="nil"/>
                    <w:tr2bl w:val="nil"/>
                  </w:tcBorders>
                  <w:vAlign w:val="center"/>
                </w:tcPr>
                <w:p w14:paraId="195E765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bCs/>
                      <w:color w:val="auto"/>
                      <w:sz w:val="21"/>
                      <w:szCs w:val="21"/>
                      <w:highlight w:val="none"/>
                      <w:vertAlign w:val="baseline"/>
                      <w:lang w:val="en-US" w:eastAsia="zh-CN"/>
                    </w:rPr>
                  </w:pPr>
                  <w:r>
                    <w:rPr>
                      <w:rFonts w:hint="eastAsia" w:cs="Times New Roman" w:eastAsiaTheme="minorEastAsia"/>
                      <w:b/>
                      <w:bCs/>
                      <w:color w:val="auto"/>
                      <w:sz w:val="21"/>
                      <w:szCs w:val="21"/>
                      <w:highlight w:val="none"/>
                      <w:vertAlign w:val="baseline"/>
                      <w:lang w:val="en-US" w:eastAsia="zh-CN"/>
                    </w:rPr>
                    <w:t>日用水量m</w:t>
                  </w:r>
                  <w:r>
                    <w:rPr>
                      <w:rFonts w:hint="eastAsia" w:cs="Times New Roman" w:eastAsiaTheme="minorEastAsia"/>
                      <w:b/>
                      <w:bCs/>
                      <w:color w:val="auto"/>
                      <w:sz w:val="21"/>
                      <w:szCs w:val="21"/>
                      <w:highlight w:val="none"/>
                      <w:vertAlign w:val="superscript"/>
                      <w:lang w:val="en-US" w:eastAsia="zh-CN"/>
                    </w:rPr>
                    <w:t>3</w:t>
                  </w:r>
                  <w:r>
                    <w:rPr>
                      <w:rFonts w:hint="eastAsia" w:cs="Times New Roman" w:eastAsiaTheme="minorEastAsia"/>
                      <w:b/>
                      <w:bCs/>
                      <w:color w:val="auto"/>
                      <w:sz w:val="21"/>
                      <w:szCs w:val="21"/>
                      <w:highlight w:val="none"/>
                      <w:vertAlign w:val="baseline"/>
                      <w:lang w:val="en-US" w:eastAsia="zh-CN"/>
                    </w:rPr>
                    <w:t>/d</w:t>
                  </w:r>
                </w:p>
              </w:tc>
              <w:tc>
                <w:tcPr>
                  <w:tcW w:w="1365" w:type="dxa"/>
                  <w:tcBorders>
                    <w:tl2br w:val="nil"/>
                    <w:tr2bl w:val="nil"/>
                  </w:tcBorders>
                  <w:vAlign w:val="center"/>
                </w:tcPr>
                <w:p w14:paraId="2B963CF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bCs/>
                      <w:color w:val="auto"/>
                      <w:sz w:val="21"/>
                      <w:szCs w:val="21"/>
                      <w:highlight w:val="none"/>
                      <w:vertAlign w:val="baseline"/>
                      <w:lang w:val="en-US" w:eastAsia="zh-CN"/>
                    </w:rPr>
                  </w:pPr>
                  <w:r>
                    <w:rPr>
                      <w:rFonts w:hint="eastAsia" w:cs="Times New Roman" w:eastAsiaTheme="minorEastAsia"/>
                      <w:b/>
                      <w:bCs/>
                      <w:color w:val="auto"/>
                      <w:sz w:val="21"/>
                      <w:szCs w:val="21"/>
                      <w:highlight w:val="none"/>
                      <w:vertAlign w:val="baseline"/>
                      <w:lang w:val="en-US" w:eastAsia="zh-CN"/>
                    </w:rPr>
                    <w:t>年用水量m</w:t>
                  </w:r>
                  <w:r>
                    <w:rPr>
                      <w:rFonts w:hint="eastAsia" w:cs="Times New Roman" w:eastAsiaTheme="minorEastAsia"/>
                      <w:b/>
                      <w:bCs/>
                      <w:color w:val="auto"/>
                      <w:sz w:val="21"/>
                      <w:szCs w:val="21"/>
                      <w:highlight w:val="none"/>
                      <w:vertAlign w:val="superscript"/>
                      <w:lang w:val="en-US" w:eastAsia="zh-CN"/>
                    </w:rPr>
                    <w:t>3</w:t>
                  </w:r>
                  <w:r>
                    <w:rPr>
                      <w:rFonts w:hint="eastAsia" w:cs="Times New Roman" w:eastAsiaTheme="minorEastAsia"/>
                      <w:b/>
                      <w:bCs/>
                      <w:color w:val="auto"/>
                      <w:sz w:val="21"/>
                      <w:szCs w:val="21"/>
                      <w:highlight w:val="none"/>
                      <w:vertAlign w:val="baseline"/>
                      <w:lang w:val="en-US" w:eastAsia="zh-CN"/>
                    </w:rPr>
                    <w:t>/a</w:t>
                  </w:r>
                </w:p>
              </w:tc>
              <w:tc>
                <w:tcPr>
                  <w:tcW w:w="795" w:type="dxa"/>
                  <w:tcBorders>
                    <w:tl2br w:val="nil"/>
                    <w:tr2bl w:val="nil"/>
                  </w:tcBorders>
                  <w:vAlign w:val="center"/>
                </w:tcPr>
                <w:p w14:paraId="0297324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bCs/>
                      <w:color w:val="auto"/>
                      <w:sz w:val="21"/>
                      <w:szCs w:val="21"/>
                      <w:highlight w:val="none"/>
                      <w:vertAlign w:val="baseline"/>
                      <w:lang w:val="en-US" w:eastAsia="zh-CN"/>
                    </w:rPr>
                  </w:pPr>
                  <w:r>
                    <w:rPr>
                      <w:rFonts w:hint="eastAsia" w:cs="Times New Roman" w:eastAsiaTheme="minorEastAsia"/>
                      <w:b/>
                      <w:bCs/>
                      <w:color w:val="auto"/>
                      <w:sz w:val="21"/>
                      <w:szCs w:val="21"/>
                      <w:highlight w:val="none"/>
                      <w:vertAlign w:val="baseline"/>
                      <w:lang w:val="en-US" w:eastAsia="zh-CN"/>
                    </w:rPr>
                    <w:t>排放系数</w:t>
                  </w:r>
                </w:p>
              </w:tc>
              <w:tc>
                <w:tcPr>
                  <w:tcW w:w="1170" w:type="dxa"/>
                  <w:tcBorders>
                    <w:tl2br w:val="nil"/>
                    <w:tr2bl w:val="nil"/>
                  </w:tcBorders>
                  <w:vAlign w:val="center"/>
                </w:tcPr>
                <w:p w14:paraId="5BB87BD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bCs/>
                      <w:color w:val="auto"/>
                      <w:sz w:val="21"/>
                      <w:szCs w:val="21"/>
                      <w:highlight w:val="none"/>
                      <w:vertAlign w:val="baseline"/>
                      <w:lang w:val="en-US" w:eastAsia="zh-CN"/>
                    </w:rPr>
                  </w:pPr>
                  <w:r>
                    <w:rPr>
                      <w:rFonts w:hint="eastAsia" w:cs="Times New Roman" w:eastAsiaTheme="minorEastAsia"/>
                      <w:b/>
                      <w:bCs/>
                      <w:color w:val="auto"/>
                      <w:sz w:val="21"/>
                      <w:szCs w:val="21"/>
                      <w:highlight w:val="none"/>
                      <w:vertAlign w:val="baseline"/>
                      <w:lang w:val="en-US" w:eastAsia="zh-CN"/>
                    </w:rPr>
                    <w:t>日排水量m</w:t>
                  </w:r>
                  <w:r>
                    <w:rPr>
                      <w:rFonts w:hint="eastAsia" w:cs="Times New Roman" w:eastAsiaTheme="minorEastAsia"/>
                      <w:b/>
                      <w:bCs/>
                      <w:color w:val="auto"/>
                      <w:sz w:val="21"/>
                      <w:szCs w:val="21"/>
                      <w:highlight w:val="none"/>
                      <w:vertAlign w:val="superscript"/>
                      <w:lang w:val="en-US" w:eastAsia="zh-CN"/>
                    </w:rPr>
                    <w:t>3</w:t>
                  </w:r>
                  <w:r>
                    <w:rPr>
                      <w:rFonts w:hint="eastAsia" w:cs="Times New Roman" w:eastAsiaTheme="minorEastAsia"/>
                      <w:b/>
                      <w:bCs/>
                      <w:color w:val="auto"/>
                      <w:sz w:val="21"/>
                      <w:szCs w:val="21"/>
                      <w:highlight w:val="none"/>
                      <w:vertAlign w:val="baseline"/>
                      <w:lang w:val="en-US" w:eastAsia="zh-CN"/>
                    </w:rPr>
                    <w:t>/d</w:t>
                  </w:r>
                </w:p>
              </w:tc>
              <w:tc>
                <w:tcPr>
                  <w:tcW w:w="1148" w:type="dxa"/>
                  <w:tcBorders>
                    <w:tl2br w:val="nil"/>
                    <w:tr2bl w:val="nil"/>
                  </w:tcBorders>
                  <w:vAlign w:val="center"/>
                </w:tcPr>
                <w:p w14:paraId="367BBC1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bCs/>
                      <w:color w:val="auto"/>
                      <w:sz w:val="21"/>
                      <w:szCs w:val="21"/>
                      <w:highlight w:val="none"/>
                      <w:vertAlign w:val="baseline"/>
                      <w:lang w:val="en-US" w:eastAsia="zh-CN"/>
                    </w:rPr>
                  </w:pPr>
                  <w:r>
                    <w:rPr>
                      <w:rFonts w:hint="eastAsia" w:cs="Times New Roman" w:eastAsiaTheme="minorEastAsia"/>
                      <w:b/>
                      <w:bCs/>
                      <w:color w:val="auto"/>
                      <w:sz w:val="21"/>
                      <w:szCs w:val="21"/>
                      <w:highlight w:val="none"/>
                      <w:vertAlign w:val="baseline"/>
                      <w:lang w:val="en-US" w:eastAsia="zh-CN"/>
                    </w:rPr>
                    <w:t>年排水量m</w:t>
                  </w:r>
                  <w:r>
                    <w:rPr>
                      <w:rFonts w:hint="eastAsia" w:cs="Times New Roman" w:eastAsiaTheme="minorEastAsia"/>
                      <w:b/>
                      <w:bCs/>
                      <w:color w:val="auto"/>
                      <w:sz w:val="21"/>
                      <w:szCs w:val="21"/>
                      <w:highlight w:val="none"/>
                      <w:vertAlign w:val="superscript"/>
                      <w:lang w:val="en-US" w:eastAsia="zh-CN"/>
                    </w:rPr>
                    <w:t>3</w:t>
                  </w:r>
                  <w:r>
                    <w:rPr>
                      <w:rFonts w:hint="eastAsia" w:cs="Times New Roman" w:eastAsiaTheme="minorEastAsia"/>
                      <w:b/>
                      <w:bCs/>
                      <w:color w:val="auto"/>
                      <w:sz w:val="21"/>
                      <w:szCs w:val="21"/>
                      <w:highlight w:val="none"/>
                      <w:vertAlign w:val="baseline"/>
                      <w:lang w:val="en-US" w:eastAsia="zh-CN"/>
                    </w:rPr>
                    <w:t>/a</w:t>
                  </w:r>
                </w:p>
              </w:tc>
            </w:tr>
            <w:tr w14:paraId="6762725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5" w:type="dxa"/>
                  <w:vMerge w:val="restart"/>
                  <w:tcBorders>
                    <w:tl2br w:val="nil"/>
                    <w:tr2bl w:val="nil"/>
                  </w:tcBorders>
                  <w:vAlign w:val="center"/>
                </w:tcPr>
                <w:p w14:paraId="47D4690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1</w:t>
                  </w:r>
                </w:p>
              </w:tc>
              <w:tc>
                <w:tcPr>
                  <w:tcW w:w="435" w:type="dxa"/>
                  <w:vMerge w:val="restart"/>
                  <w:tcBorders>
                    <w:tl2br w:val="nil"/>
                    <w:tr2bl w:val="nil"/>
                  </w:tcBorders>
                  <w:vAlign w:val="center"/>
                </w:tcPr>
                <w:p w14:paraId="330C37C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病房</w:t>
                  </w:r>
                </w:p>
              </w:tc>
              <w:tc>
                <w:tcPr>
                  <w:tcW w:w="1515" w:type="dxa"/>
                  <w:tcBorders>
                    <w:tl2br w:val="nil"/>
                    <w:tr2bl w:val="nil"/>
                  </w:tcBorders>
                  <w:vAlign w:val="center"/>
                </w:tcPr>
                <w:p w14:paraId="0E16178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住院患者</w:t>
                  </w:r>
                </w:p>
              </w:tc>
              <w:tc>
                <w:tcPr>
                  <w:tcW w:w="1365" w:type="dxa"/>
                  <w:tcBorders>
                    <w:tl2br w:val="nil"/>
                    <w:tr2bl w:val="nil"/>
                  </w:tcBorders>
                  <w:vAlign w:val="center"/>
                </w:tcPr>
                <w:p w14:paraId="656EFF2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color w:val="auto"/>
                      <w:sz w:val="21"/>
                      <w:szCs w:val="21"/>
                      <w:lang w:val="en-US" w:eastAsia="zh-CN"/>
                    </w:rPr>
                    <w:t>4.00</w:t>
                  </w:r>
                </w:p>
              </w:tc>
              <w:tc>
                <w:tcPr>
                  <w:tcW w:w="1365" w:type="dxa"/>
                  <w:tcBorders>
                    <w:tl2br w:val="nil"/>
                    <w:tr2bl w:val="nil"/>
                  </w:tcBorders>
                  <w:vAlign w:val="center"/>
                </w:tcPr>
                <w:p w14:paraId="609319C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1460.00</w:t>
                  </w:r>
                </w:p>
              </w:tc>
              <w:tc>
                <w:tcPr>
                  <w:tcW w:w="795" w:type="dxa"/>
                  <w:tcBorders>
                    <w:tl2br w:val="nil"/>
                    <w:tr2bl w:val="nil"/>
                  </w:tcBorders>
                  <w:vAlign w:val="center"/>
                </w:tcPr>
                <w:p w14:paraId="16A2A3A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85%</w:t>
                  </w:r>
                </w:p>
              </w:tc>
              <w:tc>
                <w:tcPr>
                  <w:tcW w:w="1170" w:type="dxa"/>
                  <w:tcBorders>
                    <w:tl2br w:val="nil"/>
                    <w:tr2bl w:val="nil"/>
                  </w:tcBorders>
                  <w:vAlign w:val="center"/>
                </w:tcPr>
                <w:p w14:paraId="6CF1B4B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3.40</w:t>
                  </w:r>
                </w:p>
              </w:tc>
              <w:tc>
                <w:tcPr>
                  <w:tcW w:w="1148" w:type="dxa"/>
                  <w:tcBorders>
                    <w:tl2br w:val="nil"/>
                    <w:tr2bl w:val="nil"/>
                  </w:tcBorders>
                  <w:vAlign w:val="center"/>
                </w:tcPr>
                <w:p w14:paraId="1600335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1241.00</w:t>
                  </w:r>
                </w:p>
              </w:tc>
            </w:tr>
            <w:tr w14:paraId="06F6AED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5" w:type="dxa"/>
                  <w:vMerge w:val="continue"/>
                  <w:tcBorders>
                    <w:tl2br w:val="nil"/>
                    <w:tr2bl w:val="nil"/>
                  </w:tcBorders>
                  <w:vAlign w:val="center"/>
                </w:tcPr>
                <w:p w14:paraId="4255675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p>
              </w:tc>
              <w:tc>
                <w:tcPr>
                  <w:tcW w:w="435" w:type="dxa"/>
                  <w:vMerge w:val="continue"/>
                  <w:tcBorders>
                    <w:tl2br w:val="nil"/>
                    <w:tr2bl w:val="nil"/>
                  </w:tcBorders>
                  <w:vAlign w:val="center"/>
                </w:tcPr>
                <w:p w14:paraId="3D50C6C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p>
              </w:tc>
              <w:tc>
                <w:tcPr>
                  <w:tcW w:w="1515" w:type="dxa"/>
                  <w:tcBorders>
                    <w:tl2br w:val="nil"/>
                    <w:tr2bl w:val="nil"/>
                  </w:tcBorders>
                  <w:vAlign w:val="center"/>
                </w:tcPr>
                <w:p w14:paraId="4DFF37F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病房医务人员</w:t>
                  </w:r>
                </w:p>
              </w:tc>
              <w:tc>
                <w:tcPr>
                  <w:tcW w:w="1365" w:type="dxa"/>
                  <w:tcBorders>
                    <w:tl2br w:val="nil"/>
                    <w:tr2bl w:val="nil"/>
                  </w:tcBorders>
                  <w:vAlign w:val="center"/>
                </w:tcPr>
                <w:p w14:paraId="19442BC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1.00</w:t>
                  </w:r>
                </w:p>
              </w:tc>
              <w:tc>
                <w:tcPr>
                  <w:tcW w:w="1365" w:type="dxa"/>
                  <w:tcBorders>
                    <w:tl2br w:val="nil"/>
                    <w:tr2bl w:val="nil"/>
                  </w:tcBorders>
                  <w:vAlign w:val="center"/>
                </w:tcPr>
                <w:p w14:paraId="4EF3910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365.00</w:t>
                  </w:r>
                </w:p>
              </w:tc>
              <w:tc>
                <w:tcPr>
                  <w:tcW w:w="795" w:type="dxa"/>
                  <w:tcBorders>
                    <w:tl2br w:val="nil"/>
                    <w:tr2bl w:val="nil"/>
                  </w:tcBorders>
                  <w:vAlign w:val="center"/>
                </w:tcPr>
                <w:p w14:paraId="15EA0F7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85%</w:t>
                  </w:r>
                </w:p>
              </w:tc>
              <w:tc>
                <w:tcPr>
                  <w:tcW w:w="1170" w:type="dxa"/>
                  <w:tcBorders>
                    <w:tl2br w:val="nil"/>
                    <w:tr2bl w:val="nil"/>
                  </w:tcBorders>
                  <w:vAlign w:val="center"/>
                </w:tcPr>
                <w:p w14:paraId="40312F5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0.85</w:t>
                  </w:r>
                </w:p>
              </w:tc>
              <w:tc>
                <w:tcPr>
                  <w:tcW w:w="1148" w:type="dxa"/>
                  <w:tcBorders>
                    <w:tl2br w:val="nil"/>
                    <w:tr2bl w:val="nil"/>
                  </w:tcBorders>
                  <w:vAlign w:val="center"/>
                </w:tcPr>
                <w:p w14:paraId="4D6532F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310.25</w:t>
                  </w:r>
                </w:p>
              </w:tc>
            </w:tr>
            <w:tr w14:paraId="1067BD2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5" w:type="dxa"/>
                  <w:vMerge w:val="restart"/>
                  <w:tcBorders>
                    <w:tl2br w:val="nil"/>
                    <w:tr2bl w:val="nil"/>
                  </w:tcBorders>
                  <w:vAlign w:val="center"/>
                </w:tcPr>
                <w:p w14:paraId="1AB94DD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2</w:t>
                  </w:r>
                </w:p>
              </w:tc>
              <w:tc>
                <w:tcPr>
                  <w:tcW w:w="435" w:type="dxa"/>
                  <w:vMerge w:val="restart"/>
                  <w:tcBorders>
                    <w:tl2br w:val="nil"/>
                    <w:tr2bl w:val="nil"/>
                  </w:tcBorders>
                  <w:vAlign w:val="center"/>
                </w:tcPr>
                <w:p w14:paraId="2C0E95C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门诊</w:t>
                  </w:r>
                </w:p>
              </w:tc>
              <w:tc>
                <w:tcPr>
                  <w:tcW w:w="1515" w:type="dxa"/>
                  <w:tcBorders>
                    <w:tl2br w:val="nil"/>
                    <w:tr2bl w:val="nil"/>
                  </w:tcBorders>
                  <w:vAlign w:val="center"/>
                </w:tcPr>
                <w:p w14:paraId="219F61E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门诊患者</w:t>
                  </w:r>
                </w:p>
              </w:tc>
              <w:tc>
                <w:tcPr>
                  <w:tcW w:w="1365" w:type="dxa"/>
                  <w:tcBorders>
                    <w:tl2br w:val="nil"/>
                    <w:tr2bl w:val="nil"/>
                  </w:tcBorders>
                  <w:vAlign w:val="center"/>
                </w:tcPr>
                <w:p w14:paraId="755C3AA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0.60</w:t>
                  </w:r>
                </w:p>
              </w:tc>
              <w:tc>
                <w:tcPr>
                  <w:tcW w:w="1365" w:type="dxa"/>
                  <w:tcBorders>
                    <w:tl2br w:val="nil"/>
                    <w:tr2bl w:val="nil"/>
                  </w:tcBorders>
                  <w:vAlign w:val="center"/>
                </w:tcPr>
                <w:p w14:paraId="3CAE1B4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219.00</w:t>
                  </w:r>
                </w:p>
              </w:tc>
              <w:tc>
                <w:tcPr>
                  <w:tcW w:w="795" w:type="dxa"/>
                  <w:tcBorders>
                    <w:tl2br w:val="nil"/>
                    <w:tr2bl w:val="nil"/>
                  </w:tcBorders>
                  <w:vAlign w:val="center"/>
                </w:tcPr>
                <w:p w14:paraId="51CDA01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85%</w:t>
                  </w:r>
                </w:p>
              </w:tc>
              <w:tc>
                <w:tcPr>
                  <w:tcW w:w="1170" w:type="dxa"/>
                  <w:tcBorders>
                    <w:tl2br w:val="nil"/>
                    <w:tr2bl w:val="nil"/>
                  </w:tcBorders>
                  <w:vAlign w:val="center"/>
                </w:tcPr>
                <w:p w14:paraId="3008E2D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0.51</w:t>
                  </w:r>
                </w:p>
              </w:tc>
              <w:tc>
                <w:tcPr>
                  <w:tcW w:w="1148" w:type="dxa"/>
                  <w:tcBorders>
                    <w:tl2br w:val="nil"/>
                    <w:tr2bl w:val="nil"/>
                  </w:tcBorders>
                  <w:vAlign w:val="center"/>
                </w:tcPr>
                <w:p w14:paraId="649A712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186.15</w:t>
                  </w:r>
                </w:p>
              </w:tc>
            </w:tr>
            <w:tr w14:paraId="4122934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5" w:type="dxa"/>
                  <w:vMerge w:val="continue"/>
                  <w:tcBorders>
                    <w:tl2br w:val="nil"/>
                    <w:tr2bl w:val="nil"/>
                  </w:tcBorders>
                  <w:vAlign w:val="center"/>
                </w:tcPr>
                <w:p w14:paraId="59FF4A2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p>
              </w:tc>
              <w:tc>
                <w:tcPr>
                  <w:tcW w:w="435" w:type="dxa"/>
                  <w:vMerge w:val="continue"/>
                  <w:tcBorders>
                    <w:tl2br w:val="nil"/>
                    <w:tr2bl w:val="nil"/>
                  </w:tcBorders>
                  <w:vAlign w:val="center"/>
                </w:tcPr>
                <w:p w14:paraId="30DF743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p>
              </w:tc>
              <w:tc>
                <w:tcPr>
                  <w:tcW w:w="1515" w:type="dxa"/>
                  <w:tcBorders>
                    <w:tl2br w:val="nil"/>
                    <w:tr2bl w:val="nil"/>
                  </w:tcBorders>
                  <w:vAlign w:val="center"/>
                </w:tcPr>
                <w:p w14:paraId="587B337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门诊医务人员</w:t>
                  </w:r>
                </w:p>
              </w:tc>
              <w:tc>
                <w:tcPr>
                  <w:tcW w:w="1365" w:type="dxa"/>
                  <w:tcBorders>
                    <w:tl2br w:val="nil"/>
                    <w:tr2bl w:val="nil"/>
                  </w:tcBorders>
                  <w:vAlign w:val="center"/>
                </w:tcPr>
                <w:p w14:paraId="6504095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1.30</w:t>
                  </w:r>
                </w:p>
              </w:tc>
              <w:tc>
                <w:tcPr>
                  <w:tcW w:w="1365" w:type="dxa"/>
                  <w:tcBorders>
                    <w:tl2br w:val="nil"/>
                    <w:tr2bl w:val="nil"/>
                  </w:tcBorders>
                  <w:vAlign w:val="center"/>
                </w:tcPr>
                <w:p w14:paraId="223BBC1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474.50</w:t>
                  </w:r>
                </w:p>
              </w:tc>
              <w:tc>
                <w:tcPr>
                  <w:tcW w:w="795" w:type="dxa"/>
                  <w:tcBorders>
                    <w:tl2br w:val="nil"/>
                    <w:tr2bl w:val="nil"/>
                  </w:tcBorders>
                  <w:vAlign w:val="center"/>
                </w:tcPr>
                <w:p w14:paraId="3A166DD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85%</w:t>
                  </w:r>
                </w:p>
              </w:tc>
              <w:tc>
                <w:tcPr>
                  <w:tcW w:w="1170" w:type="dxa"/>
                  <w:tcBorders>
                    <w:tl2br w:val="nil"/>
                    <w:tr2bl w:val="nil"/>
                  </w:tcBorders>
                  <w:vAlign w:val="center"/>
                </w:tcPr>
                <w:p w14:paraId="3535DEA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1.11</w:t>
                  </w:r>
                </w:p>
              </w:tc>
              <w:tc>
                <w:tcPr>
                  <w:tcW w:w="1148" w:type="dxa"/>
                  <w:tcBorders>
                    <w:tl2br w:val="nil"/>
                    <w:tr2bl w:val="nil"/>
                  </w:tcBorders>
                  <w:vAlign w:val="center"/>
                </w:tcPr>
                <w:p w14:paraId="0BC965B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403.33</w:t>
                  </w:r>
                </w:p>
              </w:tc>
            </w:tr>
            <w:tr w14:paraId="671996C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5" w:type="dxa"/>
                  <w:tcBorders>
                    <w:tl2br w:val="nil"/>
                    <w:tr2bl w:val="nil"/>
                  </w:tcBorders>
                  <w:vAlign w:val="center"/>
                </w:tcPr>
                <w:p w14:paraId="11EE1E8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3</w:t>
                  </w:r>
                </w:p>
              </w:tc>
              <w:tc>
                <w:tcPr>
                  <w:tcW w:w="1950" w:type="dxa"/>
                  <w:gridSpan w:val="2"/>
                  <w:tcBorders>
                    <w:tl2br w:val="nil"/>
                    <w:tr2bl w:val="nil"/>
                  </w:tcBorders>
                  <w:vAlign w:val="center"/>
                </w:tcPr>
                <w:p w14:paraId="1BE7631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行政及及后勤人员</w:t>
                  </w:r>
                </w:p>
              </w:tc>
              <w:tc>
                <w:tcPr>
                  <w:tcW w:w="1365" w:type="dxa"/>
                  <w:tcBorders>
                    <w:tl2br w:val="nil"/>
                    <w:tr2bl w:val="nil"/>
                  </w:tcBorders>
                  <w:vAlign w:val="center"/>
                </w:tcPr>
                <w:p w14:paraId="7A424EB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eastAsiaTheme="minorEastAsia"/>
                      <w:color w:val="auto"/>
                      <w:sz w:val="21"/>
                      <w:szCs w:val="21"/>
                    </w:rPr>
                  </w:pPr>
                  <w:r>
                    <w:rPr>
                      <w:rFonts w:hint="eastAsia" w:cs="Times New Roman"/>
                      <w:color w:val="auto"/>
                      <w:sz w:val="21"/>
                      <w:szCs w:val="21"/>
                      <w:highlight w:val="none"/>
                      <w:lang w:val="en-US" w:eastAsia="zh-CN"/>
                    </w:rPr>
                    <w:t>0.10</w:t>
                  </w:r>
                </w:p>
              </w:tc>
              <w:tc>
                <w:tcPr>
                  <w:tcW w:w="1365" w:type="dxa"/>
                  <w:tcBorders>
                    <w:tl2br w:val="nil"/>
                    <w:tr2bl w:val="nil"/>
                  </w:tcBorders>
                  <w:vAlign w:val="center"/>
                </w:tcPr>
                <w:p w14:paraId="1FCBE1C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eastAsiaTheme="minorEastAsia"/>
                      <w:color w:val="auto"/>
                      <w:sz w:val="21"/>
                      <w:szCs w:val="21"/>
                    </w:rPr>
                  </w:pPr>
                  <w:r>
                    <w:rPr>
                      <w:rFonts w:hint="eastAsia" w:cs="Times New Roman"/>
                      <w:color w:val="auto"/>
                      <w:sz w:val="21"/>
                      <w:szCs w:val="21"/>
                      <w:highlight w:val="none"/>
                      <w:lang w:val="en-US" w:eastAsia="zh-CN"/>
                    </w:rPr>
                    <w:t>36.50</w:t>
                  </w:r>
                </w:p>
              </w:tc>
              <w:tc>
                <w:tcPr>
                  <w:tcW w:w="795" w:type="dxa"/>
                  <w:tcBorders>
                    <w:tl2br w:val="nil"/>
                    <w:tr2bl w:val="nil"/>
                  </w:tcBorders>
                  <w:vAlign w:val="center"/>
                </w:tcPr>
                <w:p w14:paraId="64725FE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85%</w:t>
                  </w:r>
                </w:p>
              </w:tc>
              <w:tc>
                <w:tcPr>
                  <w:tcW w:w="1170" w:type="dxa"/>
                  <w:tcBorders>
                    <w:tl2br w:val="nil"/>
                    <w:tr2bl w:val="nil"/>
                  </w:tcBorders>
                  <w:vAlign w:val="center"/>
                </w:tcPr>
                <w:p w14:paraId="288ACBF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0.09</w:t>
                  </w:r>
                </w:p>
              </w:tc>
              <w:tc>
                <w:tcPr>
                  <w:tcW w:w="1148" w:type="dxa"/>
                  <w:tcBorders>
                    <w:tl2br w:val="nil"/>
                    <w:tr2bl w:val="nil"/>
                  </w:tcBorders>
                  <w:vAlign w:val="center"/>
                </w:tcPr>
                <w:p w14:paraId="0EB2823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31.03</w:t>
                  </w:r>
                </w:p>
              </w:tc>
            </w:tr>
            <w:tr w14:paraId="17E77AE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5" w:type="dxa"/>
                  <w:tcBorders>
                    <w:tl2br w:val="nil"/>
                    <w:tr2bl w:val="nil"/>
                  </w:tcBorders>
                  <w:vAlign w:val="center"/>
                </w:tcPr>
                <w:p w14:paraId="48B247F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4</w:t>
                  </w:r>
                </w:p>
              </w:tc>
              <w:tc>
                <w:tcPr>
                  <w:tcW w:w="1950" w:type="dxa"/>
                  <w:gridSpan w:val="2"/>
                  <w:tcBorders>
                    <w:tl2br w:val="nil"/>
                    <w:tr2bl w:val="nil"/>
                  </w:tcBorders>
                  <w:vAlign w:val="center"/>
                </w:tcPr>
                <w:p w14:paraId="3B1399C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卫生清洁排水</w:t>
                  </w:r>
                </w:p>
              </w:tc>
              <w:tc>
                <w:tcPr>
                  <w:tcW w:w="1365" w:type="dxa"/>
                  <w:tcBorders>
                    <w:tl2br w:val="nil"/>
                    <w:tr2bl w:val="nil"/>
                  </w:tcBorders>
                  <w:vAlign w:val="center"/>
                </w:tcPr>
                <w:p w14:paraId="037355C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0.36</w:t>
                  </w:r>
                </w:p>
              </w:tc>
              <w:tc>
                <w:tcPr>
                  <w:tcW w:w="1365" w:type="dxa"/>
                  <w:tcBorders>
                    <w:tl2br w:val="nil"/>
                    <w:tr2bl w:val="nil"/>
                  </w:tcBorders>
                  <w:vAlign w:val="center"/>
                </w:tcPr>
                <w:p w14:paraId="7BB9B90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131.40</w:t>
                  </w:r>
                </w:p>
              </w:tc>
              <w:tc>
                <w:tcPr>
                  <w:tcW w:w="795" w:type="dxa"/>
                  <w:tcBorders>
                    <w:tl2br w:val="nil"/>
                    <w:tr2bl w:val="nil"/>
                  </w:tcBorders>
                  <w:vAlign w:val="center"/>
                </w:tcPr>
                <w:p w14:paraId="61C6C11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60%</w:t>
                  </w:r>
                </w:p>
              </w:tc>
              <w:tc>
                <w:tcPr>
                  <w:tcW w:w="1170" w:type="dxa"/>
                  <w:tcBorders>
                    <w:tl2br w:val="nil"/>
                    <w:tr2bl w:val="nil"/>
                  </w:tcBorders>
                  <w:vAlign w:val="center"/>
                </w:tcPr>
                <w:p w14:paraId="72BACF3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0.22</w:t>
                  </w:r>
                </w:p>
              </w:tc>
              <w:tc>
                <w:tcPr>
                  <w:tcW w:w="1148" w:type="dxa"/>
                  <w:tcBorders>
                    <w:tl2br w:val="nil"/>
                    <w:tr2bl w:val="nil"/>
                  </w:tcBorders>
                  <w:vAlign w:val="center"/>
                </w:tcPr>
                <w:p w14:paraId="3B640A5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78.84</w:t>
                  </w:r>
                </w:p>
              </w:tc>
            </w:tr>
            <w:tr w14:paraId="72066C0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45" w:type="dxa"/>
                  <w:gridSpan w:val="5"/>
                  <w:tcBorders>
                    <w:tl2br w:val="nil"/>
                    <w:tr2bl w:val="nil"/>
                  </w:tcBorders>
                  <w:vAlign w:val="center"/>
                </w:tcPr>
                <w:p w14:paraId="6CBB825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总排水量</w:t>
                  </w:r>
                </w:p>
              </w:tc>
              <w:tc>
                <w:tcPr>
                  <w:tcW w:w="795" w:type="dxa"/>
                  <w:tcBorders>
                    <w:tl2br w:val="nil"/>
                    <w:tr2bl w:val="nil"/>
                  </w:tcBorders>
                  <w:vAlign w:val="center"/>
                </w:tcPr>
                <w:p w14:paraId="7219512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w:t>
                  </w:r>
                </w:p>
              </w:tc>
              <w:tc>
                <w:tcPr>
                  <w:tcW w:w="1170" w:type="dxa"/>
                  <w:tcBorders>
                    <w:tl2br w:val="nil"/>
                    <w:tr2bl w:val="nil"/>
                  </w:tcBorders>
                  <w:vAlign w:val="center"/>
                </w:tcPr>
                <w:p w14:paraId="34A4DB0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6.18</w:t>
                  </w:r>
                </w:p>
              </w:tc>
              <w:tc>
                <w:tcPr>
                  <w:tcW w:w="1148" w:type="dxa"/>
                  <w:tcBorders>
                    <w:tl2br w:val="nil"/>
                    <w:tr2bl w:val="nil"/>
                  </w:tcBorders>
                  <w:vAlign w:val="center"/>
                </w:tcPr>
                <w:p w14:paraId="0EF1AFB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2250.60</w:t>
                  </w:r>
                </w:p>
              </w:tc>
            </w:tr>
          </w:tbl>
          <w:p w14:paraId="01B9952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0" w:firstLineChars="0"/>
              <w:jc w:val="center"/>
              <w:textAlignment w:val="auto"/>
              <w:rPr>
                <w:rFonts w:hint="default" w:ascii="Times New Roman" w:hAnsi="Times New Roman" w:cs="Times New Roman" w:eastAsiaTheme="minorEastAsia"/>
                <w:b w:val="0"/>
                <w:bCs w:val="0"/>
                <w:color w:val="auto"/>
                <w:sz w:val="24"/>
                <w:highlight w:val="none"/>
                <w:lang w:val="en-US" w:eastAsia="zh-CN"/>
              </w:rPr>
            </w:pPr>
          </w:p>
          <w:p w14:paraId="5222E5D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0" w:firstLineChars="0"/>
              <w:jc w:val="center"/>
              <w:textAlignment w:val="auto"/>
              <w:rPr>
                <w:rFonts w:hint="default" w:ascii="Times New Roman" w:hAnsi="Times New Roman" w:cs="Times New Roman" w:eastAsiaTheme="minorEastAsia"/>
                <w:b w:val="0"/>
                <w:bCs w:val="0"/>
                <w:color w:val="auto"/>
                <w:sz w:val="24"/>
                <w:highlight w:val="none"/>
                <w:lang w:val="en-US" w:eastAsia="zh-CN"/>
              </w:rPr>
            </w:pPr>
            <w:r>
              <w:rPr>
                <w:rFonts w:hint="default" w:ascii="Times New Roman" w:hAnsi="Times New Roman" w:cs="Times New Roman" w:eastAsiaTheme="minorEastAsia"/>
                <w:b w:val="0"/>
                <w:bCs w:val="0"/>
                <w:color w:val="auto"/>
                <w:sz w:val="24"/>
                <w:highlight w:val="none"/>
                <w:lang w:val="en-US" w:eastAsia="zh-CN"/>
              </w:rPr>
              <w:drawing>
                <wp:inline distT="0" distB="0" distL="114300" distR="114300">
                  <wp:extent cx="4319905" cy="4206875"/>
                  <wp:effectExtent l="0" t="0" r="0" b="0"/>
                  <wp:docPr id="34" name="ECB019B1-382A-4266-B25C-5B523AA43C14-1" descr="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ECB019B1-382A-4266-B25C-5B523AA43C14-1" descr="wps"/>
                          <pic:cNvPicPr>
                            <a:picLocks noChangeAspect="1"/>
                          </pic:cNvPicPr>
                        </pic:nvPicPr>
                        <pic:blipFill>
                          <a:blip r:embed="rId19"/>
                          <a:stretch>
                            <a:fillRect/>
                          </a:stretch>
                        </pic:blipFill>
                        <pic:spPr>
                          <a:xfrm>
                            <a:off x="0" y="0"/>
                            <a:ext cx="4319905" cy="4206875"/>
                          </a:xfrm>
                          <a:prstGeom prst="rect">
                            <a:avLst/>
                          </a:prstGeom>
                        </pic:spPr>
                      </pic:pic>
                    </a:graphicData>
                  </a:graphic>
                </wp:inline>
              </w:drawing>
            </w:r>
          </w:p>
          <w:p w14:paraId="2D4D21D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0" w:firstLineChars="0"/>
              <w:jc w:val="center"/>
              <w:textAlignment w:val="auto"/>
              <w:rPr>
                <w:rFonts w:hint="default" w:ascii="Times New Roman" w:hAnsi="Times New Roman" w:cs="Times New Roman" w:eastAsiaTheme="minorEastAsia"/>
                <w:b w:val="0"/>
                <w:bCs w:val="0"/>
                <w:color w:val="auto"/>
                <w:sz w:val="24"/>
                <w:highlight w:val="none"/>
                <w:lang w:val="en-US" w:eastAsia="zh-CN"/>
              </w:rPr>
            </w:pPr>
            <w:r>
              <w:rPr>
                <w:rFonts w:hint="eastAsia" w:cs="Times New Roman" w:eastAsiaTheme="minorEastAsia"/>
                <w:b/>
                <w:bCs/>
                <w:color w:val="auto"/>
                <w:sz w:val="21"/>
                <w:szCs w:val="21"/>
                <w:highlight w:val="none"/>
                <w:lang w:val="en-US" w:eastAsia="zh-CN"/>
              </w:rPr>
              <w:t>图2-1 全院给排水平衡图  单位：m</w:t>
            </w:r>
            <w:r>
              <w:rPr>
                <w:rFonts w:hint="eastAsia" w:cs="Times New Roman" w:eastAsiaTheme="minorEastAsia"/>
                <w:b/>
                <w:bCs/>
                <w:color w:val="auto"/>
                <w:sz w:val="21"/>
                <w:szCs w:val="21"/>
                <w:highlight w:val="none"/>
                <w:vertAlign w:val="superscript"/>
                <w:lang w:val="en-US" w:eastAsia="zh-CN"/>
              </w:rPr>
              <w:t>3</w:t>
            </w:r>
            <w:r>
              <w:rPr>
                <w:rFonts w:hint="eastAsia" w:cs="Times New Roman" w:eastAsiaTheme="minorEastAsia"/>
                <w:b/>
                <w:bCs/>
                <w:color w:val="auto"/>
                <w:sz w:val="21"/>
                <w:szCs w:val="21"/>
                <w:highlight w:val="none"/>
                <w:lang w:val="en-US" w:eastAsia="zh-CN"/>
              </w:rPr>
              <w:t>/d</w:t>
            </w:r>
          </w:p>
          <w:p w14:paraId="4D6C881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cs="Times New Roman" w:eastAsiaTheme="minorEastAsia"/>
                <w:b w:val="0"/>
                <w:bCs w:val="0"/>
                <w:color w:val="auto"/>
                <w:sz w:val="24"/>
                <w:highlight w:val="none"/>
                <w:lang w:val="en-US" w:eastAsia="zh-CN"/>
              </w:rPr>
            </w:pPr>
            <w:r>
              <w:rPr>
                <w:rFonts w:hint="eastAsia" w:cs="Times New Roman" w:eastAsiaTheme="minorEastAsia"/>
                <w:b w:val="0"/>
                <w:bCs w:val="0"/>
                <w:color w:val="auto"/>
                <w:sz w:val="24"/>
                <w:highlight w:val="none"/>
                <w:lang w:val="en-US" w:eastAsia="zh-CN"/>
              </w:rPr>
              <w:t>（2）供电</w:t>
            </w:r>
          </w:p>
          <w:p w14:paraId="08D03C1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cs="Times New Roman" w:eastAsiaTheme="minorEastAsia"/>
                <w:b w:val="0"/>
                <w:bCs w:val="0"/>
                <w:color w:val="auto"/>
                <w:sz w:val="24"/>
                <w:highlight w:val="none"/>
                <w:lang w:val="en-US" w:eastAsia="zh-CN"/>
              </w:rPr>
            </w:pPr>
            <w:r>
              <w:rPr>
                <w:rFonts w:hint="eastAsia" w:cs="Times New Roman" w:eastAsiaTheme="minorEastAsia"/>
                <w:b w:val="0"/>
                <w:bCs w:val="0"/>
                <w:color w:val="auto"/>
                <w:sz w:val="24"/>
                <w:highlight w:val="none"/>
                <w:lang w:val="en-US" w:eastAsia="zh-CN"/>
              </w:rPr>
              <w:t>本项目用电引自园区市政电网，电力供应充足，可以满足项目需求。</w:t>
            </w:r>
          </w:p>
          <w:p w14:paraId="630B58F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cs="Times New Roman" w:eastAsiaTheme="minorEastAsia"/>
                <w:b w:val="0"/>
                <w:bCs w:val="0"/>
                <w:color w:val="auto"/>
                <w:sz w:val="24"/>
                <w:highlight w:val="none"/>
                <w:lang w:val="en-US" w:eastAsia="zh-CN"/>
              </w:rPr>
            </w:pPr>
            <w:r>
              <w:rPr>
                <w:rFonts w:hint="eastAsia" w:cs="Times New Roman" w:eastAsiaTheme="minorEastAsia"/>
                <w:b w:val="0"/>
                <w:bCs w:val="0"/>
                <w:color w:val="auto"/>
                <w:sz w:val="24"/>
                <w:highlight w:val="none"/>
                <w:lang w:val="en-US" w:eastAsia="zh-CN"/>
              </w:rPr>
              <w:t>（3）供暖、制冷</w:t>
            </w:r>
          </w:p>
          <w:p w14:paraId="506FB2E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cs="Times New Roman" w:eastAsiaTheme="minorEastAsia"/>
                <w:b w:val="0"/>
                <w:bCs w:val="0"/>
                <w:color w:val="auto"/>
                <w:sz w:val="24"/>
                <w:highlight w:val="none"/>
                <w:lang w:val="en-US" w:eastAsia="zh-CN"/>
              </w:rPr>
            </w:pPr>
            <w:r>
              <w:rPr>
                <w:rFonts w:hint="eastAsia" w:cs="Times New Roman" w:eastAsiaTheme="minorEastAsia"/>
                <w:b w:val="0"/>
                <w:bCs w:val="0"/>
                <w:color w:val="auto"/>
                <w:sz w:val="24"/>
                <w:highlight w:val="none"/>
                <w:lang w:val="en-US" w:eastAsia="zh-CN"/>
              </w:rPr>
              <w:t>本项目冬季供暖由市政集中供暖提供，夏季制冷使用空调。</w:t>
            </w:r>
          </w:p>
        </w:tc>
      </w:tr>
      <w:tr w14:paraId="75AB785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81" w:type="pct"/>
            <w:vAlign w:val="center"/>
          </w:tcPr>
          <w:p w14:paraId="2E541F8C">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highlight w:val="none"/>
              </w:rPr>
            </w:pPr>
            <w:r>
              <w:rPr>
                <w:rFonts w:hint="default" w:ascii="Times New Roman" w:hAnsi="Times New Roman" w:cs="Times New Roman" w:eastAsiaTheme="minorEastAsia"/>
                <w:b w:val="0"/>
                <w:bCs w:val="0"/>
                <w:color w:val="auto"/>
                <w:highlight w:val="none"/>
              </w:rPr>
              <w:t>工艺流程和产排污环节</w:t>
            </w:r>
          </w:p>
        </w:tc>
        <w:tc>
          <w:tcPr>
            <w:tcW w:w="4618" w:type="pct"/>
            <w:vAlign w:val="center"/>
          </w:tcPr>
          <w:p w14:paraId="29E69AA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Times New Roman" w:hAnsi="Times New Roman" w:cs="Times New Roman" w:eastAsiaTheme="minorEastAsia"/>
                <w:b w:val="0"/>
                <w:bCs w:val="0"/>
                <w:color w:val="auto"/>
                <w:sz w:val="24"/>
                <w:szCs w:val="24"/>
                <w:highlight w:val="none"/>
                <w:lang w:val="en-US" w:eastAsia="zh-CN"/>
              </w:rPr>
            </w:pPr>
            <w:r>
              <w:rPr>
                <w:rFonts w:hint="eastAsia" w:ascii="Times New Roman" w:hAnsi="Times New Roman" w:cs="Times New Roman" w:eastAsiaTheme="minorEastAsia"/>
                <w:b w:val="0"/>
                <w:bCs w:val="0"/>
                <w:color w:val="auto"/>
                <w:sz w:val="24"/>
                <w:szCs w:val="24"/>
                <w:highlight w:val="none"/>
                <w:lang w:val="en-US" w:eastAsia="zh-CN"/>
              </w:rPr>
              <w:t>1、施工期</w:t>
            </w:r>
          </w:p>
          <w:p w14:paraId="0DC7110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Times New Roman" w:hAnsi="Times New Roman" w:cs="Times New Roman" w:eastAsiaTheme="minorEastAsia"/>
                <w:b w:val="0"/>
                <w:bCs w:val="0"/>
                <w:color w:val="auto"/>
                <w:sz w:val="24"/>
                <w:szCs w:val="24"/>
                <w:highlight w:val="none"/>
                <w:lang w:val="en-US" w:eastAsia="zh-CN"/>
              </w:rPr>
            </w:pPr>
            <w:r>
              <w:rPr>
                <w:rFonts w:hint="eastAsia" w:ascii="Times New Roman" w:hAnsi="Times New Roman" w:cs="Times New Roman" w:eastAsiaTheme="minorEastAsia"/>
                <w:b w:val="0"/>
                <w:bCs w:val="0"/>
                <w:color w:val="auto"/>
                <w:sz w:val="24"/>
                <w:szCs w:val="24"/>
                <w:highlight w:val="none"/>
                <w:lang w:val="en-US" w:eastAsia="zh-CN"/>
              </w:rPr>
              <w:t>本项目利用现有</w:t>
            </w:r>
            <w:r>
              <w:rPr>
                <w:rFonts w:hint="eastAsia" w:cs="Times New Roman" w:eastAsiaTheme="minorEastAsia"/>
                <w:b w:val="0"/>
                <w:bCs w:val="0"/>
                <w:color w:val="auto"/>
                <w:sz w:val="24"/>
                <w:szCs w:val="24"/>
                <w:highlight w:val="none"/>
                <w:lang w:val="en-US" w:eastAsia="zh-CN"/>
              </w:rPr>
              <w:t>建筑</w:t>
            </w:r>
            <w:r>
              <w:rPr>
                <w:rFonts w:hint="eastAsia" w:ascii="Times New Roman" w:hAnsi="Times New Roman" w:cs="Times New Roman" w:eastAsiaTheme="minorEastAsia"/>
                <w:b w:val="0"/>
                <w:bCs w:val="0"/>
                <w:color w:val="auto"/>
                <w:sz w:val="24"/>
                <w:szCs w:val="24"/>
                <w:highlight w:val="none"/>
                <w:lang w:val="en-US" w:eastAsia="zh-CN"/>
              </w:rPr>
              <w:t>，不新增占地，不涉及土建工程。施工期间主要工程内容为房屋内部改造和设备安装，施工过程中会产生废气、废水、噪声和固体废物。施工期工艺流程及产污环节见下图。</w:t>
            </w:r>
          </w:p>
          <w:p w14:paraId="485F752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0" w:firstLineChars="0"/>
              <w:jc w:val="center"/>
              <w:textAlignment w:val="auto"/>
              <w:rPr>
                <w:rFonts w:hint="eastAsia" w:ascii="Times New Roman" w:hAnsi="Times New Roman" w:cs="Times New Roman" w:eastAsiaTheme="minorEastAsia"/>
                <w:b w:val="0"/>
                <w:bCs w:val="0"/>
                <w:color w:val="auto"/>
                <w:sz w:val="24"/>
                <w:szCs w:val="24"/>
                <w:highlight w:val="none"/>
                <w:lang w:val="en-US" w:eastAsia="zh-CN"/>
              </w:rPr>
            </w:pPr>
            <w:r>
              <w:rPr>
                <w:rFonts w:hint="default"/>
                <w:b/>
                <w:sz w:val="21"/>
                <w:szCs w:val="21"/>
              </w:rPr>
              <mc:AlternateContent>
                <mc:Choice Requires="wpc">
                  <w:drawing>
                    <wp:inline distT="0" distB="0" distL="0" distR="0">
                      <wp:extent cx="3190875" cy="1247775"/>
                      <wp:effectExtent l="0" t="0" r="0" b="0"/>
                      <wp:docPr id="467" name="画布 467"/>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0" name="文本框 2563"/>
                              <wps:cNvSpPr txBox="1">
                                <a:spLocks noChangeArrowheads="1"/>
                              </wps:cNvSpPr>
                              <wps:spPr bwMode="auto">
                                <a:xfrm>
                                  <a:off x="2607310" y="842645"/>
                                  <a:ext cx="342265" cy="297180"/>
                                </a:xfrm>
                                <a:prstGeom prst="rect">
                                  <a:avLst/>
                                </a:prstGeom>
                                <a:noFill/>
                                <a:ln w="9525">
                                  <a:solidFill>
                                    <a:srgbClr val="000000"/>
                                  </a:solidFill>
                                  <a:miter lim="800000"/>
                                </a:ln>
                              </wps:spPr>
                              <wps:txbx>
                                <w:txbxContent>
                                  <w:p w14:paraId="648CB560">
                                    <w:pPr>
                                      <w:keepNext w:val="0"/>
                                      <w:keepLines w:val="0"/>
                                      <w:pageBreakBefore w:val="0"/>
                                      <w:widowControl w:val="0"/>
                                      <w:kinsoku/>
                                      <w:wordWrap/>
                                      <w:overflowPunct/>
                                      <w:topLinePunct w:val="0"/>
                                      <w:bidi w:val="0"/>
                                      <w:adjustRightInd/>
                                      <w:snapToGrid/>
                                      <w:ind w:firstLine="0" w:firstLineChars="0"/>
                                      <w:jc w:val="center"/>
                                      <w:textAlignment w:val="auto"/>
                                      <w:rPr>
                                        <w:rFonts w:asciiTheme="minorEastAsia" w:hAnsiTheme="minorEastAsia" w:eastAsiaTheme="minorEastAsia"/>
                                        <w:sz w:val="21"/>
                                        <w:szCs w:val="21"/>
                                      </w:rPr>
                                    </w:pPr>
                                    <w:r>
                                      <w:rPr>
                                        <w:rFonts w:hint="eastAsia" w:asciiTheme="minorEastAsia" w:hAnsiTheme="minorEastAsia" w:eastAsiaTheme="minorEastAsia"/>
                                        <w:sz w:val="21"/>
                                        <w:szCs w:val="21"/>
                                      </w:rPr>
                                      <w:t>竣工</w:t>
                                    </w:r>
                                  </w:p>
                                </w:txbxContent>
                              </wps:txbx>
                              <wps:bodyPr rot="0" vert="horz" wrap="square" lIns="0" tIns="45720" rIns="0" bIns="45720" anchor="t" anchorCtr="0" upright="1">
                                <a:noAutofit/>
                              </wps:bodyPr>
                            </wps:wsp>
                            <wps:wsp>
                              <wps:cNvPr id="11" name="文本框 2564"/>
                              <wps:cNvSpPr txBox="1">
                                <a:spLocks noChangeArrowheads="1"/>
                              </wps:cNvSpPr>
                              <wps:spPr bwMode="auto">
                                <a:xfrm>
                                  <a:off x="1736725" y="837565"/>
                                  <a:ext cx="626110" cy="297815"/>
                                </a:xfrm>
                                <a:prstGeom prst="rect">
                                  <a:avLst/>
                                </a:prstGeom>
                                <a:noFill/>
                                <a:ln w="9525">
                                  <a:solidFill>
                                    <a:srgbClr val="000000"/>
                                  </a:solidFill>
                                  <a:miter lim="800000"/>
                                </a:ln>
                              </wps:spPr>
                              <wps:txbx>
                                <w:txbxContent>
                                  <w:p w14:paraId="5E4104F4">
                                    <w:pPr>
                                      <w:keepNext w:val="0"/>
                                      <w:keepLines w:val="0"/>
                                      <w:pageBreakBefore w:val="0"/>
                                      <w:widowControl w:val="0"/>
                                      <w:kinsoku/>
                                      <w:wordWrap/>
                                      <w:overflowPunct/>
                                      <w:topLinePunct w:val="0"/>
                                      <w:bidi w:val="0"/>
                                      <w:adjustRightInd w:val="0"/>
                                      <w:snapToGrid w:val="0"/>
                                      <w:ind w:firstLine="0" w:firstLineChars="0"/>
                                      <w:jc w:val="center"/>
                                      <w:textAlignment w:val="auto"/>
                                      <w:rPr>
                                        <w:rFonts w:asciiTheme="minorEastAsia" w:hAnsiTheme="minorEastAsia" w:eastAsiaTheme="minorEastAsia"/>
                                        <w:sz w:val="21"/>
                                        <w:szCs w:val="21"/>
                                      </w:rPr>
                                    </w:pPr>
                                    <w:r>
                                      <w:rPr>
                                        <w:rFonts w:hint="eastAsia" w:asciiTheme="minorEastAsia" w:hAnsiTheme="minorEastAsia" w:eastAsiaTheme="minorEastAsia"/>
                                        <w:sz w:val="21"/>
                                        <w:szCs w:val="21"/>
                                      </w:rPr>
                                      <w:t>场地清理</w:t>
                                    </w:r>
                                  </w:p>
                                </w:txbxContent>
                              </wps:txbx>
                              <wps:bodyPr rot="0" vert="horz" wrap="square" lIns="0" tIns="45720" rIns="0" bIns="45720" anchor="t" anchorCtr="0" upright="1">
                                <a:noAutofit/>
                              </wps:bodyPr>
                            </wps:wsp>
                            <wps:wsp>
                              <wps:cNvPr id="32" name="文本框 2565"/>
                              <wps:cNvSpPr txBox="1">
                                <a:spLocks noChangeArrowheads="1"/>
                              </wps:cNvSpPr>
                              <wps:spPr bwMode="auto">
                                <a:xfrm>
                                  <a:off x="1095375" y="838835"/>
                                  <a:ext cx="400685" cy="297815"/>
                                </a:xfrm>
                                <a:prstGeom prst="rect">
                                  <a:avLst/>
                                </a:prstGeom>
                                <a:noFill/>
                                <a:ln w="9525">
                                  <a:solidFill>
                                    <a:srgbClr val="000000"/>
                                  </a:solidFill>
                                  <a:miter lim="800000"/>
                                </a:ln>
                              </wps:spPr>
                              <wps:txbx>
                                <w:txbxContent>
                                  <w:p w14:paraId="4FBD7B9F">
                                    <w:pPr>
                                      <w:keepNext w:val="0"/>
                                      <w:keepLines w:val="0"/>
                                      <w:pageBreakBefore w:val="0"/>
                                      <w:widowControl w:val="0"/>
                                      <w:kinsoku/>
                                      <w:wordWrap/>
                                      <w:overflowPunct/>
                                      <w:topLinePunct w:val="0"/>
                                      <w:bidi w:val="0"/>
                                      <w:adjustRightInd w:val="0"/>
                                      <w:snapToGrid w:val="0"/>
                                      <w:ind w:firstLine="0" w:firstLineChars="0"/>
                                      <w:jc w:val="center"/>
                                      <w:textAlignment w:val="auto"/>
                                      <w:rPr>
                                        <w:rFonts w:asciiTheme="minorEastAsia" w:hAnsiTheme="minorEastAsia" w:eastAsiaTheme="minorEastAsia"/>
                                        <w:sz w:val="21"/>
                                        <w:szCs w:val="21"/>
                                      </w:rPr>
                                    </w:pPr>
                                    <w:r>
                                      <w:rPr>
                                        <w:rFonts w:hint="eastAsia" w:asciiTheme="minorEastAsia" w:hAnsiTheme="minorEastAsia" w:eastAsiaTheme="minorEastAsia"/>
                                        <w:sz w:val="21"/>
                                        <w:szCs w:val="21"/>
                                      </w:rPr>
                                      <w:t>装修</w:t>
                                    </w:r>
                                  </w:p>
                                </w:txbxContent>
                              </wps:txbx>
                              <wps:bodyPr rot="0" vert="horz" wrap="square" lIns="0" tIns="45720" rIns="0" bIns="45720" anchor="t" anchorCtr="0" upright="1">
                                <a:noAutofit/>
                              </wps:bodyPr>
                            </wps:wsp>
                            <wps:wsp>
                              <wps:cNvPr id="43" name="文本框 2566"/>
                              <wps:cNvSpPr txBox="1">
                                <a:spLocks noChangeArrowheads="1"/>
                              </wps:cNvSpPr>
                              <wps:spPr bwMode="auto">
                                <a:xfrm>
                                  <a:off x="228600" y="842645"/>
                                  <a:ext cx="626110" cy="297180"/>
                                </a:xfrm>
                                <a:prstGeom prst="rect">
                                  <a:avLst/>
                                </a:prstGeom>
                                <a:noFill/>
                                <a:ln w="9525">
                                  <a:solidFill>
                                    <a:srgbClr val="000000"/>
                                  </a:solidFill>
                                  <a:miter lim="800000"/>
                                </a:ln>
                              </wps:spPr>
                              <wps:txbx>
                                <w:txbxContent>
                                  <w:p w14:paraId="2E268CB4">
                                    <w:pPr>
                                      <w:keepNext w:val="0"/>
                                      <w:keepLines w:val="0"/>
                                      <w:pageBreakBefore w:val="0"/>
                                      <w:widowControl w:val="0"/>
                                      <w:kinsoku/>
                                      <w:wordWrap/>
                                      <w:overflowPunct/>
                                      <w:topLinePunct w:val="0"/>
                                      <w:bidi w:val="0"/>
                                      <w:adjustRightInd/>
                                      <w:snapToGrid/>
                                      <w:ind w:firstLine="0" w:firstLineChars="0"/>
                                      <w:jc w:val="center"/>
                                      <w:textAlignment w:val="auto"/>
                                      <w:rPr>
                                        <w:rFonts w:asciiTheme="minorEastAsia" w:hAnsiTheme="minorEastAsia" w:eastAsiaTheme="minorEastAsia"/>
                                        <w:sz w:val="21"/>
                                        <w:szCs w:val="21"/>
                                      </w:rPr>
                                    </w:pPr>
                                    <w:r>
                                      <w:rPr>
                                        <w:rFonts w:hint="eastAsia" w:asciiTheme="minorEastAsia" w:hAnsiTheme="minorEastAsia" w:eastAsiaTheme="minorEastAsia"/>
                                        <w:sz w:val="21"/>
                                        <w:szCs w:val="21"/>
                                      </w:rPr>
                                      <w:t>前期准备</w:t>
                                    </w:r>
                                  </w:p>
                                </w:txbxContent>
                              </wps:txbx>
                              <wps:bodyPr rot="0" vert="horz" wrap="square" lIns="0" tIns="45720" rIns="0" bIns="45720" anchor="t" anchorCtr="0" upright="1">
                                <a:noAutofit/>
                              </wps:bodyPr>
                            </wps:wsp>
                            <wps:wsp>
                              <wps:cNvPr id="61" name="直线 2567"/>
                              <wps:cNvCnPr>
                                <a:cxnSpLocks noChangeShapeType="1"/>
                              </wps:cNvCnPr>
                              <wps:spPr bwMode="auto">
                                <a:xfrm>
                                  <a:off x="876935" y="990600"/>
                                  <a:ext cx="228600" cy="635"/>
                                </a:xfrm>
                                <a:prstGeom prst="line">
                                  <a:avLst/>
                                </a:prstGeom>
                                <a:noFill/>
                                <a:ln w="9525">
                                  <a:solidFill>
                                    <a:srgbClr val="000000"/>
                                  </a:solidFill>
                                  <a:round/>
                                  <a:tailEnd type="triangle" w="med" len="med"/>
                                </a:ln>
                              </wps:spPr>
                              <wps:bodyPr/>
                            </wps:wsp>
                            <wps:wsp>
                              <wps:cNvPr id="460" name="直线 2568"/>
                              <wps:cNvCnPr>
                                <a:cxnSpLocks noChangeShapeType="1"/>
                              </wps:cNvCnPr>
                              <wps:spPr bwMode="auto">
                                <a:xfrm>
                                  <a:off x="1498600" y="981710"/>
                                  <a:ext cx="228600" cy="635"/>
                                </a:xfrm>
                                <a:prstGeom prst="line">
                                  <a:avLst/>
                                </a:prstGeom>
                                <a:noFill/>
                                <a:ln w="9525">
                                  <a:solidFill>
                                    <a:srgbClr val="000000"/>
                                  </a:solidFill>
                                  <a:round/>
                                  <a:tailEnd type="triangle" w="med" len="med"/>
                                </a:ln>
                              </wps:spPr>
                              <wps:bodyPr/>
                            </wps:wsp>
                            <wps:wsp>
                              <wps:cNvPr id="461" name="直线 2569"/>
                              <wps:cNvCnPr>
                                <a:cxnSpLocks noChangeShapeType="1"/>
                              </wps:cNvCnPr>
                              <wps:spPr bwMode="auto">
                                <a:xfrm>
                                  <a:off x="2375535" y="990600"/>
                                  <a:ext cx="228600" cy="635"/>
                                </a:xfrm>
                                <a:prstGeom prst="line">
                                  <a:avLst/>
                                </a:prstGeom>
                                <a:noFill/>
                                <a:ln w="9525">
                                  <a:solidFill>
                                    <a:srgbClr val="000000"/>
                                  </a:solidFill>
                                  <a:round/>
                                  <a:tailEnd type="triangle" w="med" len="med"/>
                                </a:ln>
                              </wps:spPr>
                              <wps:bodyPr/>
                            </wps:wsp>
                            <wps:wsp>
                              <wps:cNvPr id="462" name="文本框 2570"/>
                              <wps:cNvSpPr txBox="1">
                                <a:spLocks noChangeArrowheads="1"/>
                              </wps:cNvSpPr>
                              <wps:spPr bwMode="auto">
                                <a:xfrm>
                                  <a:off x="1049655" y="116205"/>
                                  <a:ext cx="1313180" cy="260985"/>
                                </a:xfrm>
                                <a:prstGeom prst="rect">
                                  <a:avLst/>
                                </a:prstGeom>
                                <a:noFill/>
                                <a:ln>
                                  <a:noFill/>
                                </a:ln>
                              </wps:spPr>
                              <wps:txbx>
                                <w:txbxContent>
                                  <w:p w14:paraId="06F54251">
                                    <w:pPr>
                                      <w:keepNext w:val="0"/>
                                      <w:keepLines w:val="0"/>
                                      <w:pageBreakBefore w:val="0"/>
                                      <w:widowControl w:val="0"/>
                                      <w:kinsoku/>
                                      <w:wordWrap/>
                                      <w:overflowPunct/>
                                      <w:topLinePunct w:val="0"/>
                                      <w:bidi w:val="0"/>
                                      <w:adjustRightInd/>
                                      <w:snapToGrid/>
                                      <w:ind w:firstLine="0" w:firstLineChars="0"/>
                                      <w:jc w:val="center"/>
                                      <w:textAlignment w:val="auto"/>
                                      <w:rPr>
                                        <w:rFonts w:asciiTheme="minorEastAsia" w:hAnsiTheme="minorEastAsia" w:eastAsiaTheme="minorEastAsia"/>
                                        <w:sz w:val="21"/>
                                        <w:szCs w:val="21"/>
                                      </w:rPr>
                                    </w:pPr>
                                    <w:r>
                                      <w:rPr>
                                        <w:rFonts w:hint="eastAsia" w:asciiTheme="minorEastAsia" w:hAnsiTheme="minorEastAsia" w:eastAsiaTheme="minorEastAsia"/>
                                        <w:sz w:val="21"/>
                                        <w:szCs w:val="21"/>
                                      </w:rPr>
                                      <w:t>扬尘、噪声、固体废物</w:t>
                                    </w:r>
                                  </w:p>
                                </w:txbxContent>
                              </wps:txbx>
                              <wps:bodyPr rot="0" vert="horz" wrap="square" lIns="0" tIns="45720" rIns="0" bIns="45720" anchor="t" anchorCtr="0" upright="1">
                                <a:noAutofit/>
                              </wps:bodyPr>
                            </wps:wsp>
                            <wps:wsp>
                              <wps:cNvPr id="463" name="直线 2571"/>
                              <wps:cNvCnPr>
                                <a:cxnSpLocks noChangeShapeType="1"/>
                              </wps:cNvCnPr>
                              <wps:spPr bwMode="auto">
                                <a:xfrm flipV="1">
                                  <a:off x="1282700" y="622935"/>
                                  <a:ext cx="635" cy="198120"/>
                                </a:xfrm>
                                <a:prstGeom prst="line">
                                  <a:avLst/>
                                </a:prstGeom>
                                <a:noFill/>
                                <a:ln w="9525">
                                  <a:solidFill>
                                    <a:srgbClr val="000000"/>
                                  </a:solidFill>
                                  <a:prstDash val="dash"/>
                                  <a:round/>
                                  <a:tailEnd type="triangle" w="sm" len="med"/>
                                </a:ln>
                                <a:effectLst/>
                              </wps:spPr>
                              <wps:bodyPr/>
                            </wps:wsp>
                            <wps:wsp>
                              <wps:cNvPr id="464" name="直线 2572"/>
                              <wps:cNvCnPr>
                                <a:cxnSpLocks noChangeShapeType="1"/>
                              </wps:cNvCnPr>
                              <wps:spPr bwMode="auto">
                                <a:xfrm flipV="1">
                                  <a:off x="2047240" y="622935"/>
                                  <a:ext cx="635" cy="198120"/>
                                </a:xfrm>
                                <a:prstGeom prst="line">
                                  <a:avLst/>
                                </a:prstGeom>
                                <a:noFill/>
                                <a:ln w="9525">
                                  <a:solidFill>
                                    <a:srgbClr val="000000"/>
                                  </a:solidFill>
                                  <a:prstDash val="dash"/>
                                  <a:round/>
                                  <a:tailEnd type="triangle" w="sm" len="med"/>
                                </a:ln>
                                <a:effectLst/>
                              </wps:spPr>
                              <wps:bodyPr/>
                            </wps:wsp>
                            <wps:wsp>
                              <wps:cNvPr id="465" name="直线 2573"/>
                              <wps:cNvCnPr>
                                <a:cxnSpLocks noChangeShapeType="1"/>
                              </wps:cNvCnPr>
                              <wps:spPr bwMode="auto">
                                <a:xfrm>
                                  <a:off x="1282700" y="610870"/>
                                  <a:ext cx="773430" cy="635"/>
                                </a:xfrm>
                                <a:prstGeom prst="line">
                                  <a:avLst/>
                                </a:prstGeom>
                                <a:noFill/>
                                <a:ln w="9525">
                                  <a:solidFill>
                                    <a:srgbClr val="000000"/>
                                  </a:solidFill>
                                  <a:prstDash val="dash"/>
                                  <a:round/>
                                </a:ln>
                              </wps:spPr>
                              <wps:bodyPr/>
                            </wps:wsp>
                            <wps:wsp>
                              <wps:cNvPr id="466" name="直线 2574"/>
                              <wps:cNvCnPr>
                                <a:cxnSpLocks noChangeShapeType="1"/>
                              </wps:cNvCnPr>
                              <wps:spPr bwMode="auto">
                                <a:xfrm>
                                  <a:off x="1686560" y="386715"/>
                                  <a:ext cx="635" cy="198120"/>
                                </a:xfrm>
                                <a:prstGeom prst="line">
                                  <a:avLst/>
                                </a:prstGeom>
                                <a:noFill/>
                                <a:ln w="9525">
                                  <a:solidFill>
                                    <a:srgbClr val="000000"/>
                                  </a:solidFill>
                                  <a:prstDash val="dash"/>
                                  <a:round/>
                                  <a:headEnd type="triangle" w="sm" len="med"/>
                                </a:ln>
                              </wps:spPr>
                              <wps:bodyPr/>
                            </wps:wsp>
                          </wpc:wpc>
                        </a:graphicData>
                      </a:graphic>
                    </wp:inline>
                  </w:drawing>
                </mc:Choice>
                <mc:Fallback>
                  <w:pict>
                    <v:group id="_x0000_s1026" o:spid="_x0000_s1026" o:spt="203" style="height:98.25pt;width:251.25pt;" coordsize="3190875,1247775" editas="canvas" o:gfxdata="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">
                      <o:lock v:ext="edit" aspectratio="f"/>
                      <v:shape id="_x0000_s1026" o:spid="_x0000_s1026" style="position:absolute;left:0;top:0;height:1247775;width:3190875;" filled="f" stroked="f" coordsize="21600,21600" o:gfxdata="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">
                        <v:fill on="f" focussize="0,0"/>
                        <v:stroke on="f"/>
                        <v:imagedata o:title=""/>
                        <o:lock v:ext="edit" aspectratio="t"/>
                      </v:shape>
                      <v:shape id="文本框 2563" o:spid="_x0000_s1026" o:spt="202" type="#_x0000_t202" style="position:absolute;left:2607310;top:842645;height:297180;width:342265;" filled="f" stroked="t" coordsize="21600,21600" o:gfxdata="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RNH/29MAAAAFAQAADwAAAAAAAAABACAAAAAi&#10;AAAAZHJzL2Rvd25yZXYueG1sUEsBAhQAFAAAAAgAh07iQPCT4RlIAgAAZAQAAA4AAAAAAAAAAQAg&#10;AAAAIgEAAGRycy9lMm9Eb2MueG1sUEsFBgAAAAAGAAYAWQEAANwFAAAAAA==&#10;">
                        <v:fill on="f" focussize="0,0"/>
                        <v:stroke color="#000000" miterlimit="8" joinstyle="miter"/>
                        <v:imagedata o:title=""/>
                        <o:lock v:ext="edit" aspectratio="f"/>
                        <v:textbox inset="0mm,1.27mm,0mm,1.27mm">
                          <w:txbxContent>
                            <w:p w14:paraId="648CB560">
                              <w:pPr>
                                <w:keepNext w:val="0"/>
                                <w:keepLines w:val="0"/>
                                <w:pageBreakBefore w:val="0"/>
                                <w:widowControl w:val="0"/>
                                <w:kinsoku/>
                                <w:wordWrap/>
                                <w:overflowPunct/>
                                <w:topLinePunct w:val="0"/>
                                <w:bidi w:val="0"/>
                                <w:adjustRightInd/>
                                <w:snapToGrid/>
                                <w:ind w:firstLine="0" w:firstLineChars="0"/>
                                <w:jc w:val="center"/>
                                <w:textAlignment w:val="auto"/>
                                <w:rPr>
                                  <w:rFonts w:asciiTheme="minorEastAsia" w:hAnsiTheme="minorEastAsia" w:eastAsiaTheme="minorEastAsia"/>
                                  <w:sz w:val="21"/>
                                  <w:szCs w:val="21"/>
                                </w:rPr>
                              </w:pPr>
                              <w:r>
                                <w:rPr>
                                  <w:rFonts w:hint="eastAsia" w:asciiTheme="minorEastAsia" w:hAnsiTheme="minorEastAsia" w:eastAsiaTheme="minorEastAsia"/>
                                  <w:sz w:val="21"/>
                                  <w:szCs w:val="21"/>
                                </w:rPr>
                                <w:t>竣工</w:t>
                              </w:r>
                            </w:p>
                          </w:txbxContent>
                        </v:textbox>
                      </v:shape>
                      <v:shape id="文本框 2564" o:spid="_x0000_s1026" o:spt="202" type="#_x0000_t202" style="position:absolute;left:1736725;top:837565;height:297815;width:626110;" filled="f" stroked="t" coordsize="21600,21600" o:gfxdata="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ETR/9vTAAAABQEAAA8AAAAAAAAAAQAgAAAAIgAA&#10;AGRycy9kb3ducmV2LnhtbFBLAQIUABQAAAAIAIdO4kAzGu1pRgIAAGQEAAAOAAAAAAAAAAEAIAAA&#10;ACIBAABkcnMvZTJvRG9jLnhtbFBLBQYAAAAABgAGAFkBAADaBQAAAAA=&#10;">
                        <v:fill on="f" focussize="0,0"/>
                        <v:stroke color="#000000" miterlimit="8" joinstyle="miter"/>
                        <v:imagedata o:title=""/>
                        <o:lock v:ext="edit" aspectratio="f"/>
                        <v:textbox inset="0mm,1.27mm,0mm,1.27mm">
                          <w:txbxContent>
                            <w:p w14:paraId="5E4104F4">
                              <w:pPr>
                                <w:keepNext w:val="0"/>
                                <w:keepLines w:val="0"/>
                                <w:pageBreakBefore w:val="0"/>
                                <w:widowControl w:val="0"/>
                                <w:kinsoku/>
                                <w:wordWrap/>
                                <w:overflowPunct/>
                                <w:topLinePunct w:val="0"/>
                                <w:bidi w:val="0"/>
                                <w:adjustRightInd w:val="0"/>
                                <w:snapToGrid w:val="0"/>
                                <w:ind w:firstLine="0" w:firstLineChars="0"/>
                                <w:jc w:val="center"/>
                                <w:textAlignment w:val="auto"/>
                                <w:rPr>
                                  <w:rFonts w:asciiTheme="minorEastAsia" w:hAnsiTheme="minorEastAsia" w:eastAsiaTheme="minorEastAsia"/>
                                  <w:sz w:val="21"/>
                                  <w:szCs w:val="21"/>
                                </w:rPr>
                              </w:pPr>
                              <w:r>
                                <w:rPr>
                                  <w:rFonts w:hint="eastAsia" w:asciiTheme="minorEastAsia" w:hAnsiTheme="minorEastAsia" w:eastAsiaTheme="minorEastAsia"/>
                                  <w:sz w:val="21"/>
                                  <w:szCs w:val="21"/>
                                </w:rPr>
                                <w:t>场地清理</w:t>
                              </w:r>
                            </w:p>
                          </w:txbxContent>
                        </v:textbox>
                      </v:shape>
                      <v:shape id="文本框 2565" o:spid="_x0000_s1026" o:spt="202" type="#_x0000_t202" style="position:absolute;left:1095375;top:838835;height:297815;width:400685;" filled="f" stroked="t" coordsize="21600,21600" o:gfxdata="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BE0f/b0wAAAAUBAAAPAAAAAAAAAAEAIAAAACIA&#10;AABkcnMvZG93bnJldi54bWxQSwECFAAUAAAACACHTuJAgaCw6EcCAABkBAAADgAAAAAAAAABACAA&#10;AAAiAQAAZHJzL2Uyb0RvYy54bWxQSwUGAAAAAAYABgBZAQAA2wUAAAAA&#10;">
                        <v:fill on="f" focussize="0,0"/>
                        <v:stroke color="#000000" miterlimit="8" joinstyle="miter"/>
                        <v:imagedata o:title=""/>
                        <o:lock v:ext="edit" aspectratio="f"/>
                        <v:textbox inset="0mm,1.27mm,0mm,1.27mm">
                          <w:txbxContent>
                            <w:p w14:paraId="4FBD7B9F">
                              <w:pPr>
                                <w:keepNext w:val="0"/>
                                <w:keepLines w:val="0"/>
                                <w:pageBreakBefore w:val="0"/>
                                <w:widowControl w:val="0"/>
                                <w:kinsoku/>
                                <w:wordWrap/>
                                <w:overflowPunct/>
                                <w:topLinePunct w:val="0"/>
                                <w:bidi w:val="0"/>
                                <w:adjustRightInd w:val="0"/>
                                <w:snapToGrid w:val="0"/>
                                <w:ind w:firstLine="0" w:firstLineChars="0"/>
                                <w:jc w:val="center"/>
                                <w:textAlignment w:val="auto"/>
                                <w:rPr>
                                  <w:rFonts w:asciiTheme="minorEastAsia" w:hAnsiTheme="minorEastAsia" w:eastAsiaTheme="minorEastAsia"/>
                                  <w:sz w:val="21"/>
                                  <w:szCs w:val="21"/>
                                </w:rPr>
                              </w:pPr>
                              <w:r>
                                <w:rPr>
                                  <w:rFonts w:hint="eastAsia" w:asciiTheme="minorEastAsia" w:hAnsiTheme="minorEastAsia" w:eastAsiaTheme="minorEastAsia"/>
                                  <w:sz w:val="21"/>
                                  <w:szCs w:val="21"/>
                                </w:rPr>
                                <w:t>装修</w:t>
                              </w:r>
                            </w:p>
                          </w:txbxContent>
                        </v:textbox>
                      </v:shape>
                      <v:shape id="文本框 2566" o:spid="_x0000_s1026" o:spt="202" type="#_x0000_t202" style="position:absolute;left:228600;top:842645;height:297180;width:626110;" filled="f" stroked="t" coordsize="21600,21600" o:gfxdata="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BE0f/b0wAAAAUBAAAPAAAAAAAAAAEAIAAAACIA&#10;AABkcnMvZG93bnJldi54bWxQSwECFAAUAAAACACHTuJAn4Raa0cCAABjBAAADgAAAAAAAAABACAA&#10;AAAiAQAAZHJzL2Uyb0RvYy54bWxQSwUGAAAAAAYABgBZAQAA2wUAAAAA&#10;">
                        <v:fill on="f" focussize="0,0"/>
                        <v:stroke color="#000000" miterlimit="8" joinstyle="miter"/>
                        <v:imagedata o:title=""/>
                        <o:lock v:ext="edit" aspectratio="f"/>
                        <v:textbox inset="0mm,1.27mm,0mm,1.27mm">
                          <w:txbxContent>
                            <w:p w14:paraId="2E268CB4">
                              <w:pPr>
                                <w:keepNext w:val="0"/>
                                <w:keepLines w:val="0"/>
                                <w:pageBreakBefore w:val="0"/>
                                <w:widowControl w:val="0"/>
                                <w:kinsoku/>
                                <w:wordWrap/>
                                <w:overflowPunct/>
                                <w:topLinePunct w:val="0"/>
                                <w:bidi w:val="0"/>
                                <w:adjustRightInd/>
                                <w:snapToGrid/>
                                <w:ind w:firstLine="0" w:firstLineChars="0"/>
                                <w:jc w:val="center"/>
                                <w:textAlignment w:val="auto"/>
                                <w:rPr>
                                  <w:rFonts w:asciiTheme="minorEastAsia" w:hAnsiTheme="minorEastAsia" w:eastAsiaTheme="minorEastAsia"/>
                                  <w:sz w:val="21"/>
                                  <w:szCs w:val="21"/>
                                </w:rPr>
                              </w:pPr>
                              <w:r>
                                <w:rPr>
                                  <w:rFonts w:hint="eastAsia" w:asciiTheme="minorEastAsia" w:hAnsiTheme="minorEastAsia" w:eastAsiaTheme="minorEastAsia"/>
                                  <w:sz w:val="21"/>
                                  <w:szCs w:val="21"/>
                                </w:rPr>
                                <w:t>前期准备</w:t>
                              </w:r>
                            </w:p>
                          </w:txbxContent>
                        </v:textbox>
                      </v:shape>
                      <v:line id="直线 2567" o:spid="_x0000_s1026" o:spt="20" style="position:absolute;left:876935;top:990600;height:635;width:228600;" filled="f" stroked="t" coordsize="21600,21600" o:gfxdata="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jpPLl1wAAAAUBAAAPAAAAAAAAAAEAIAAAACIAAABkcnMvZG93bnJl&#10;di54bWxQSwECFAAUAAAACACHTuJAYbmoiP4BAADeAwAADgAAAAAAAAABACAAAAAmAQAAZHJzL2Uy&#10;b0RvYy54bWxQSwUGAAAAAAYABgBZAQAAlgUAAAAA&#10;">
                        <v:fill on="f" focussize="0,0"/>
                        <v:stroke color="#000000" joinstyle="round" endarrow="block"/>
                        <v:imagedata o:title=""/>
                        <o:lock v:ext="edit" aspectratio="f"/>
                      </v:line>
                      <v:line id="直线 2568" o:spid="_x0000_s1026" o:spt="20" style="position:absolute;left:1498600;top:981710;height:635;width:228600;" filled="f" stroked="t" coordsize="21600,21600" o:gfxdata="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46Ty5dcAAAAFAQAADwAAAAAAAAABACAAAAAiAAAAZHJzL2Rvd25y&#10;ZXYueG1sUEsBAhQAFAAAAAgAh07iQIXtxyT/AQAA4AMAAA4AAAAAAAAAAQAgAAAAJgEAAGRycy9l&#10;Mm9Eb2MueG1sUEsFBgAAAAAGAAYAWQEAAJcFAAAAAA==&#10;">
                        <v:fill on="f" focussize="0,0"/>
                        <v:stroke color="#000000" joinstyle="round" endarrow="block"/>
                        <v:imagedata o:title=""/>
                        <o:lock v:ext="edit" aspectratio="f"/>
                      </v:line>
                      <v:line id="直线 2569" o:spid="_x0000_s1026" o:spt="20" style="position:absolute;left:2375535;top:990600;height:635;width:228600;" filled="f" stroked="t" coordsize="21600,21600" o:gfxdata="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OOk8uXXAAAABQEAAA8AAAAAAAAAAQAgAAAAIgAAAGRycy9kb3du&#10;cmV2LnhtbFBLAQIUABQAAAAIAIdO4kAX0u5AAAIAAOADAAAOAAAAAAAAAAEAIAAAACYBAABkcnMv&#10;ZTJvRG9jLnhtbFBLBQYAAAAABgAGAFkBAACYBQAAAAA=&#10;">
                        <v:fill on="f" focussize="0,0"/>
                        <v:stroke color="#000000" joinstyle="round" endarrow="block"/>
                        <v:imagedata o:title=""/>
                        <o:lock v:ext="edit" aspectratio="f"/>
                      </v:line>
                      <v:shape id="文本框 2570" o:spid="_x0000_s1026" o:spt="202" type="#_x0000_t202" style="position:absolute;left:1049655;top:116205;height:260985;width:1313180;" filled="f" stroked="f" coordsize="21600,21600" o:gfxdata="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KkeyGHW&#10;AAAABQEAAA8AAAAAAAAAAQAgAAAAIgAAAGRycy9kb3ducmV2LnhtbFBLAQIUABQAAAAIAIdO4kA/&#10;FgKRIgIAAB0EAAAOAAAAAAAAAAEAIAAAACUBAABkcnMvZTJvRG9jLnhtbFBLBQYAAAAABgAGAFkB&#10;AAC5BQAAAAA=&#10;">
                        <v:fill on="f" focussize="0,0"/>
                        <v:stroke on="f"/>
                        <v:imagedata o:title=""/>
                        <o:lock v:ext="edit" aspectratio="f"/>
                        <v:textbox inset="0mm,1.27mm,0mm,1.27mm">
                          <w:txbxContent>
                            <w:p w14:paraId="06F54251">
                              <w:pPr>
                                <w:keepNext w:val="0"/>
                                <w:keepLines w:val="0"/>
                                <w:pageBreakBefore w:val="0"/>
                                <w:widowControl w:val="0"/>
                                <w:kinsoku/>
                                <w:wordWrap/>
                                <w:overflowPunct/>
                                <w:topLinePunct w:val="0"/>
                                <w:bidi w:val="0"/>
                                <w:adjustRightInd/>
                                <w:snapToGrid/>
                                <w:ind w:firstLine="0" w:firstLineChars="0"/>
                                <w:jc w:val="center"/>
                                <w:textAlignment w:val="auto"/>
                                <w:rPr>
                                  <w:rFonts w:asciiTheme="minorEastAsia" w:hAnsiTheme="minorEastAsia" w:eastAsiaTheme="minorEastAsia"/>
                                  <w:sz w:val="21"/>
                                  <w:szCs w:val="21"/>
                                </w:rPr>
                              </w:pPr>
                              <w:r>
                                <w:rPr>
                                  <w:rFonts w:hint="eastAsia" w:asciiTheme="minorEastAsia" w:hAnsiTheme="minorEastAsia" w:eastAsiaTheme="minorEastAsia"/>
                                  <w:sz w:val="21"/>
                                  <w:szCs w:val="21"/>
                                </w:rPr>
                                <w:t>扬尘、噪声、固体废物</w:t>
                              </w:r>
                            </w:p>
                          </w:txbxContent>
                        </v:textbox>
                      </v:shape>
                      <v:line id="直线 2571" o:spid="_x0000_s1026" o:spt="20" style="position:absolute;left:1282700;top:622935;flip:y;height:198120;width:635;" filled="f" stroked="t" coordsize="21600,21600" o:gfxdata="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AxVgenVAAAABQEAAA8A&#10;AAAAAAAAAQAgAAAAIgAAAGRycy9kb3ducmV2LnhtbFBLAQIUABQAAAAIAIdO4kBn8dY4GgIAAA8E&#10;AAAOAAAAAAAAAAEAIAAAACQBAABkcnMvZTJvRG9jLnhtbFBLBQYAAAAABgAGAFkBAACwBQAAAAA=&#10;">
                        <v:fill on="f" focussize="0,0"/>
                        <v:stroke color="#000000" joinstyle="round" dashstyle="dash" endarrow="block" endarrowwidth="narrow"/>
                        <v:imagedata o:title=""/>
                        <o:lock v:ext="edit" aspectratio="f"/>
                      </v:line>
                      <v:line id="直线 2572" o:spid="_x0000_s1026" o:spt="20" style="position:absolute;left:2047240;top:622935;flip:y;height:198120;width:635;" filled="f" stroked="t" coordsize="21600,21600" o:gfxdata="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DFWB6dUAAAAFAQAADwAA&#10;AAAAAAABACAAAAAiAAAAZHJzL2Rvd25yZXYueG1sUEsBAhQAFAAAAAgAh07iQFEcMXQZAgAADwQA&#10;AA4AAAAAAAAAAQAgAAAAJAEAAGRycy9lMm9Eb2MueG1sUEsFBgAAAAAGAAYAWQEAAK8FAAAAAA==&#10;">
                        <v:fill on="f" focussize="0,0"/>
                        <v:stroke color="#000000" joinstyle="round" dashstyle="dash" endarrow="block" endarrowwidth="narrow"/>
                        <v:imagedata o:title=""/>
                        <o:lock v:ext="edit" aspectratio="f"/>
                      </v:line>
                      <v:line id="直线 2573" o:spid="_x0000_s1026" o:spt="20" style="position:absolute;left:1282700;top:610870;height:635;width:773430;" filled="f" stroked="t" coordsize="21600,21600" o:gfxdata="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ItJiVTUAAAABQEAAA8AAAAAAAAAAQAgAAAAIgAAAGRycy9kb3ducmV2LnhtbFBLAQIUABQA&#10;AAAIAIdO4kDQqymn9AEAAMoDAAAOAAAAAAAAAAEAIAAAACMBAABkcnMvZTJvRG9jLnhtbFBLBQYA&#10;AAAABgAGAFkBAACJBQAAAAA=&#10;">
                        <v:fill on="f" focussize="0,0"/>
                        <v:stroke color="#000000" joinstyle="round" dashstyle="dash"/>
                        <v:imagedata o:title=""/>
                        <o:lock v:ext="edit" aspectratio="f"/>
                      </v:line>
                      <v:line id="直线 2574" o:spid="_x0000_s1026" o:spt="20" style="position:absolute;left:1686560;top:386715;height:198120;width:635;" filled="f" stroked="t" coordsize="21600,21600" o:gfxdata="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aDSfOdYAAAAFAQAADwAAAAAAAAABACAA&#10;AAAiAAAAZHJzL2Rvd25yZXYueG1sUEsBAhQAFAAAAAgAh07iQGrwA0APAgAA9wMAAA4AAAAAAAAA&#10;AQAgAAAAJQEAAGRycy9lMm9Eb2MueG1sUEsFBgAAAAAGAAYAWQEAAKYFAAAAAA==&#10;">
                        <v:fill on="f" focussize="0,0"/>
                        <v:stroke color="#000000" joinstyle="round" dashstyle="dash" startarrow="block" startarrowwidth="narrow"/>
                        <v:imagedata o:title=""/>
                        <o:lock v:ext="edit" aspectratio="f"/>
                      </v:line>
                      <w10:wrap type="none"/>
                      <w10:anchorlock/>
                    </v:group>
                  </w:pict>
                </mc:Fallback>
              </mc:AlternateContent>
            </w:r>
          </w:p>
          <w:p w14:paraId="176AFF5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0" w:firstLineChars="0"/>
              <w:jc w:val="center"/>
              <w:textAlignment w:val="auto"/>
              <w:rPr>
                <w:rFonts w:hint="default" w:ascii="Times New Roman" w:hAnsi="Times New Roman" w:cs="Times New Roman" w:eastAsiaTheme="minorEastAsia"/>
                <w:b w:val="0"/>
                <w:bCs w:val="0"/>
                <w:color w:val="auto"/>
                <w:sz w:val="24"/>
                <w:szCs w:val="24"/>
                <w:highlight w:val="none"/>
                <w:lang w:val="en-US" w:eastAsia="zh-CN"/>
              </w:rPr>
            </w:pPr>
            <w:r>
              <w:rPr>
                <w:rFonts w:hint="eastAsia" w:ascii="Times New Roman" w:hAnsi="Times New Roman" w:cs="Times New Roman" w:eastAsiaTheme="minorEastAsia"/>
                <w:b/>
                <w:bCs/>
                <w:color w:val="auto"/>
                <w:sz w:val="21"/>
                <w:szCs w:val="21"/>
                <w:highlight w:val="none"/>
                <w:lang w:val="en-US" w:eastAsia="zh-CN"/>
              </w:rPr>
              <w:t>图2-2 施工期工艺流程及产排污节点图</w:t>
            </w:r>
          </w:p>
          <w:p w14:paraId="5F0487A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cs="Times New Roman" w:eastAsiaTheme="minorEastAsia"/>
                <w:b w:val="0"/>
                <w:bCs w:val="0"/>
                <w:color w:val="auto"/>
                <w:sz w:val="24"/>
                <w:szCs w:val="24"/>
                <w:highlight w:val="none"/>
                <w:lang w:val="en-US" w:eastAsia="zh-CN"/>
              </w:rPr>
            </w:pPr>
            <w:r>
              <w:rPr>
                <w:rFonts w:hint="eastAsia" w:ascii="Times New Roman" w:hAnsi="Times New Roman" w:cs="Times New Roman" w:eastAsiaTheme="minorEastAsia"/>
                <w:b w:val="0"/>
                <w:bCs w:val="0"/>
                <w:color w:val="auto"/>
                <w:sz w:val="24"/>
                <w:szCs w:val="24"/>
                <w:highlight w:val="none"/>
                <w:lang w:val="en-US" w:eastAsia="zh-CN"/>
              </w:rPr>
              <w:t>2、运营期</w:t>
            </w:r>
          </w:p>
          <w:p w14:paraId="51C6F0C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cs="Times New Roman" w:eastAsiaTheme="minorEastAsia"/>
                <w:b w:val="0"/>
                <w:bCs w:val="0"/>
                <w:color w:val="auto"/>
                <w:sz w:val="24"/>
                <w:szCs w:val="24"/>
                <w:highlight w:val="none"/>
                <w:lang w:val="en-US" w:eastAsia="zh-CN"/>
              </w:rPr>
            </w:pPr>
            <w:r>
              <w:rPr>
                <w:rFonts w:hint="eastAsia" w:ascii="Times New Roman" w:hAnsi="Times New Roman" w:cs="Times New Roman" w:eastAsiaTheme="minorEastAsia"/>
                <w:b w:val="0"/>
                <w:bCs w:val="0"/>
                <w:color w:val="auto"/>
                <w:sz w:val="24"/>
                <w:szCs w:val="24"/>
                <w:highlight w:val="none"/>
                <w:lang w:val="en-US" w:eastAsia="zh-CN"/>
              </w:rPr>
              <w:t>本项目</w:t>
            </w:r>
            <w:r>
              <w:rPr>
                <w:rFonts w:hint="eastAsia" w:cs="Times New Roman" w:eastAsiaTheme="minorEastAsia"/>
                <w:b w:val="0"/>
                <w:bCs w:val="0"/>
                <w:color w:val="auto"/>
                <w:sz w:val="24"/>
                <w:szCs w:val="24"/>
                <w:highlight w:val="none"/>
                <w:lang w:val="en-US" w:eastAsia="zh-CN"/>
              </w:rPr>
              <w:t>中医医院主要从事诊断、住院、治疗等诊疗服务，运营期诊疗流程产排污环节如下：</w:t>
            </w:r>
          </w:p>
          <w:p w14:paraId="7B61A91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0" w:firstLineChars="0"/>
              <w:jc w:val="center"/>
              <w:textAlignment w:val="auto"/>
              <w:rPr>
                <w:rFonts w:hint="default" w:ascii="Times New Roman" w:hAnsi="Times New Roman" w:cs="Times New Roman" w:eastAsiaTheme="minorEastAsia"/>
                <w:b w:val="0"/>
                <w:bCs w:val="0"/>
                <w:color w:val="auto"/>
                <w:sz w:val="24"/>
                <w:szCs w:val="24"/>
                <w:highlight w:val="none"/>
                <w:lang w:val="en-US" w:eastAsia="zh-CN"/>
              </w:rPr>
            </w:pPr>
            <w:r>
              <w:rPr>
                <w:rFonts w:hint="default" w:ascii="Times New Roman" w:hAnsi="Times New Roman" w:cs="Times New Roman" w:eastAsiaTheme="minorEastAsia"/>
                <w:b w:val="0"/>
                <w:bCs w:val="0"/>
                <w:color w:val="auto"/>
                <w:sz w:val="24"/>
                <w:szCs w:val="24"/>
                <w:highlight w:val="none"/>
                <w:lang w:val="en-US" w:eastAsia="zh-CN"/>
              </w:rPr>
              <w:drawing>
                <wp:inline distT="0" distB="0" distL="114300" distR="114300">
                  <wp:extent cx="5039995" cy="3596005"/>
                  <wp:effectExtent l="0" t="0" r="0" b="0"/>
                  <wp:docPr id="1" name="ECB019B1-382A-4266-B25C-5B523AA43C14-2" descr="C:/Users/Administrator/AppData/Local/Temp/wps.hECpxg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CB019B1-382A-4266-B25C-5B523AA43C14-2" descr="C:/Users/Administrator/AppData/Local/Temp/wps.hECpxgwps"/>
                          <pic:cNvPicPr>
                            <a:picLocks noChangeAspect="1"/>
                          </pic:cNvPicPr>
                        </pic:nvPicPr>
                        <pic:blipFill>
                          <a:blip r:embed="rId20"/>
                          <a:stretch>
                            <a:fillRect/>
                          </a:stretch>
                        </pic:blipFill>
                        <pic:spPr>
                          <a:xfrm>
                            <a:off x="0" y="0"/>
                            <a:ext cx="5039995" cy="3596005"/>
                          </a:xfrm>
                          <a:prstGeom prst="rect">
                            <a:avLst/>
                          </a:prstGeom>
                        </pic:spPr>
                      </pic:pic>
                    </a:graphicData>
                  </a:graphic>
                </wp:inline>
              </w:drawing>
            </w:r>
          </w:p>
          <w:p w14:paraId="1777ECE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0" w:firstLineChars="0"/>
              <w:jc w:val="center"/>
              <w:textAlignment w:val="auto"/>
              <w:rPr>
                <w:rFonts w:hint="eastAsia" w:ascii="Times New Roman" w:hAnsi="Times New Roman" w:cs="Times New Roman" w:eastAsiaTheme="minorEastAsia"/>
                <w:b w:val="0"/>
                <w:bCs w:val="0"/>
                <w:color w:val="auto"/>
                <w:sz w:val="24"/>
                <w:szCs w:val="24"/>
                <w:highlight w:val="none"/>
                <w:lang w:val="en-US" w:eastAsia="zh-CN"/>
              </w:rPr>
            </w:pPr>
            <w:r>
              <w:rPr>
                <w:rFonts w:hint="eastAsia" w:ascii="Times New Roman" w:hAnsi="Times New Roman" w:cs="Times New Roman" w:eastAsiaTheme="minorEastAsia"/>
                <w:b/>
                <w:bCs/>
                <w:color w:val="auto"/>
                <w:sz w:val="21"/>
                <w:szCs w:val="21"/>
                <w:highlight w:val="none"/>
                <w:lang w:val="en-US" w:eastAsia="zh-CN"/>
              </w:rPr>
              <w:t>图2-3 本项目运营期工艺流程及产污环节示意图</w:t>
            </w:r>
          </w:p>
          <w:p w14:paraId="36A0843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Times New Roman" w:hAnsi="Times New Roman" w:cs="Times New Roman" w:eastAsiaTheme="minorEastAsia"/>
                <w:b w:val="0"/>
                <w:bCs w:val="0"/>
                <w:color w:val="auto"/>
                <w:sz w:val="24"/>
                <w:szCs w:val="24"/>
                <w:highlight w:val="none"/>
                <w:lang w:val="en-US" w:eastAsia="zh-CN"/>
              </w:rPr>
            </w:pPr>
            <w:r>
              <w:rPr>
                <w:rFonts w:hint="eastAsia" w:ascii="Times New Roman" w:hAnsi="Times New Roman" w:cs="Times New Roman" w:eastAsiaTheme="minorEastAsia"/>
                <w:b w:val="0"/>
                <w:bCs w:val="0"/>
                <w:color w:val="auto"/>
                <w:sz w:val="24"/>
                <w:szCs w:val="24"/>
                <w:highlight w:val="none"/>
                <w:lang w:val="en-US" w:eastAsia="zh-CN"/>
              </w:rPr>
              <w:t>患者到医院挂号后，由医护人员进行分诊叫号。然后进入相应科室进行医生问诊处置。病情轻微的，由医护进行医疗处置后开药离开。复杂的则开具检验化验单进行身体各指标的检验（如验血、验尿等）和诊断（如心电图、彩超等），进而开展各项医学治疗（如牙科治疗、针灸、推拿等），处置后取药离开或根据情况安排住院继续疗程，住院治疗完成后出院。医院煎药委托第三方机构代煎。</w:t>
            </w:r>
          </w:p>
          <w:p w14:paraId="7D437E8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Times New Roman" w:hAnsi="Times New Roman" w:cs="Times New Roman" w:eastAsiaTheme="minorEastAsia"/>
                <w:b w:val="0"/>
                <w:bCs w:val="0"/>
                <w:color w:val="auto"/>
                <w:sz w:val="24"/>
                <w:szCs w:val="24"/>
                <w:highlight w:val="none"/>
                <w:lang w:val="en-US" w:eastAsia="zh-CN"/>
              </w:rPr>
            </w:pPr>
            <w:r>
              <w:rPr>
                <w:rFonts w:hint="eastAsia" w:ascii="Times New Roman" w:hAnsi="Times New Roman" w:cs="Times New Roman" w:eastAsiaTheme="minorEastAsia"/>
                <w:b w:val="0"/>
                <w:bCs w:val="0"/>
                <w:color w:val="auto"/>
                <w:sz w:val="24"/>
                <w:szCs w:val="24"/>
                <w:highlight w:val="none"/>
                <w:lang w:val="en-US" w:eastAsia="zh-CN"/>
              </w:rPr>
              <w:t>医院医学影像科采用先进的设备技术，使用干式胶片，影像结果由干式胶片打印机直接打印成像，不需要进行传统的洗片、定影，没有洗印废水及废显影液产生，不产生含银、含汞废水。</w:t>
            </w:r>
          </w:p>
          <w:p w14:paraId="1C1D666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Times New Roman" w:hAnsi="Times New Roman" w:cs="Times New Roman" w:eastAsiaTheme="minorEastAsia"/>
                <w:b w:val="0"/>
                <w:bCs w:val="0"/>
                <w:color w:val="auto"/>
                <w:sz w:val="24"/>
                <w:szCs w:val="24"/>
                <w:highlight w:val="none"/>
                <w:lang w:val="en-US" w:eastAsia="zh-CN"/>
              </w:rPr>
            </w:pPr>
            <w:r>
              <w:rPr>
                <w:rFonts w:hint="eastAsia" w:ascii="Times New Roman" w:hAnsi="Times New Roman" w:cs="Times New Roman" w:eastAsiaTheme="minorEastAsia"/>
                <w:b w:val="0"/>
                <w:bCs w:val="0"/>
                <w:color w:val="auto"/>
                <w:sz w:val="24"/>
                <w:szCs w:val="24"/>
                <w:highlight w:val="none"/>
                <w:lang w:val="en-US" w:eastAsia="zh-CN"/>
              </w:rPr>
              <w:t>医院口腔科进行牙科治疗、整形和种植，使用的义齿为外购，不在项目医院内制作，不使用含汞等重金属材料，产生的废水是一种低浓度污水，仅含少量药物、消毒剂等污染物，还含有少量的病菌，属于普通医疗废水。</w:t>
            </w:r>
          </w:p>
          <w:p w14:paraId="01C3378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Times New Roman" w:hAnsi="Times New Roman" w:cs="Times New Roman" w:eastAsiaTheme="minorEastAsia"/>
                <w:b w:val="0"/>
                <w:bCs w:val="0"/>
                <w:color w:val="auto"/>
                <w:sz w:val="24"/>
                <w:szCs w:val="24"/>
                <w:highlight w:val="none"/>
                <w:lang w:val="en-US" w:eastAsia="zh-CN"/>
              </w:rPr>
            </w:pPr>
            <w:r>
              <w:rPr>
                <w:rFonts w:hint="eastAsia" w:ascii="Times New Roman" w:hAnsi="Times New Roman" w:cs="Times New Roman" w:eastAsiaTheme="minorEastAsia"/>
                <w:b w:val="0"/>
                <w:bCs w:val="0"/>
                <w:color w:val="auto"/>
                <w:sz w:val="24"/>
                <w:szCs w:val="24"/>
                <w:highlight w:val="none"/>
                <w:lang w:val="en-US" w:eastAsia="zh-CN"/>
              </w:rPr>
              <w:t>医院检验科使用的试剂盒、检测试剂全部为成套材料，上机直接检验，不产生试剂挥发废气，不产生废水。检验过程中使用的试管、离心管等实验器具均为一次性用品，与废试剂、实验室废液全部作为危险废物进行暂存，无废水排放。</w:t>
            </w:r>
          </w:p>
          <w:p w14:paraId="429461F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Times New Roman" w:hAnsi="Times New Roman" w:cs="Times New Roman" w:eastAsiaTheme="minorEastAsia"/>
                <w:b w:val="0"/>
                <w:bCs w:val="0"/>
                <w:color w:val="auto"/>
                <w:sz w:val="24"/>
                <w:szCs w:val="24"/>
                <w:highlight w:val="none"/>
                <w:lang w:val="en-US" w:eastAsia="zh-CN"/>
              </w:rPr>
            </w:pPr>
            <w:r>
              <w:rPr>
                <w:rFonts w:hint="eastAsia" w:ascii="Times New Roman" w:hAnsi="Times New Roman" w:cs="Times New Roman" w:eastAsiaTheme="minorEastAsia"/>
                <w:b w:val="0"/>
                <w:bCs w:val="0"/>
                <w:color w:val="auto"/>
                <w:sz w:val="24"/>
                <w:szCs w:val="24"/>
                <w:highlight w:val="none"/>
                <w:lang w:val="en-US" w:eastAsia="zh-CN"/>
              </w:rPr>
              <w:t>乙醇作为日常病人患处等消毒使用，医院分散使用的酒精不作为污染源进行控制。</w:t>
            </w:r>
          </w:p>
          <w:p w14:paraId="6CED65B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cs="Times New Roman" w:eastAsiaTheme="minorEastAsia"/>
                <w:b w:val="0"/>
                <w:bCs w:val="0"/>
                <w:color w:val="auto"/>
                <w:sz w:val="24"/>
                <w:szCs w:val="24"/>
                <w:highlight w:val="none"/>
                <w:lang w:val="en-US" w:eastAsia="zh-CN"/>
              </w:rPr>
            </w:pPr>
            <w:r>
              <w:rPr>
                <w:rFonts w:hint="eastAsia" w:ascii="Times New Roman" w:hAnsi="Times New Roman" w:cs="Times New Roman" w:eastAsiaTheme="minorEastAsia"/>
                <w:b w:val="0"/>
                <w:bCs w:val="0"/>
                <w:color w:val="auto"/>
                <w:sz w:val="24"/>
                <w:szCs w:val="24"/>
                <w:highlight w:val="none"/>
                <w:lang w:val="en-US" w:eastAsia="zh-CN"/>
              </w:rPr>
              <w:t>本项目产生的废水均视为医疗污水，废水经新建“独立化粪池+格栅过滤+调节池+絮凝沉淀+次氯酸钠消毒”处理后由污水管道排放至市政管网，最终排至清河再生水厂。医院运行过程中产生的危险废物包括医疗废物和其他危险废物（消毒剂沾染物、污水处理过程产生的栅渣和污泥）。</w:t>
            </w:r>
          </w:p>
          <w:p w14:paraId="6DF8CB4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cs="Times New Roman" w:eastAsiaTheme="minorEastAsia"/>
                <w:b w:val="0"/>
                <w:bCs w:val="0"/>
                <w:color w:val="auto"/>
                <w:sz w:val="24"/>
                <w:szCs w:val="24"/>
                <w:highlight w:val="none"/>
                <w:lang w:val="en-US" w:eastAsia="zh-CN"/>
              </w:rPr>
            </w:pPr>
            <w:r>
              <w:rPr>
                <w:rFonts w:hint="eastAsia" w:ascii="Times New Roman" w:hAnsi="Times New Roman" w:cs="Times New Roman" w:eastAsiaTheme="minorEastAsia"/>
                <w:b w:val="0"/>
                <w:bCs w:val="0"/>
                <w:color w:val="auto"/>
                <w:sz w:val="24"/>
                <w:szCs w:val="24"/>
                <w:highlight w:val="none"/>
                <w:lang w:val="en-US" w:eastAsia="zh-CN"/>
              </w:rPr>
              <w:t>项目主要产污环节见下表。</w:t>
            </w:r>
          </w:p>
          <w:p w14:paraId="6234EFA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0" w:firstLineChars="0"/>
              <w:jc w:val="center"/>
              <w:textAlignment w:val="auto"/>
              <w:rPr>
                <w:rFonts w:hint="default" w:ascii="Times New Roman" w:hAnsi="Times New Roman" w:cs="Times New Roman" w:eastAsiaTheme="minorEastAsia"/>
                <w:b w:val="0"/>
                <w:bCs w:val="0"/>
                <w:color w:val="auto"/>
                <w:sz w:val="24"/>
                <w:szCs w:val="24"/>
                <w:highlight w:val="none"/>
                <w:lang w:val="en-US" w:eastAsia="zh-CN"/>
              </w:rPr>
            </w:pPr>
            <w:r>
              <w:rPr>
                <w:rFonts w:hint="eastAsia" w:ascii="Times New Roman" w:hAnsi="Times New Roman" w:cs="Times New Roman" w:eastAsiaTheme="minorEastAsia"/>
                <w:b/>
                <w:bCs/>
                <w:color w:val="auto"/>
                <w:sz w:val="21"/>
                <w:szCs w:val="21"/>
                <w:highlight w:val="none"/>
                <w:lang w:val="en-US" w:eastAsia="zh-CN"/>
              </w:rPr>
              <w:t>表2-8 项目污染源与污染因子识别</w:t>
            </w:r>
          </w:p>
          <w:tbl>
            <w:tblPr>
              <w:tblStyle w:val="13"/>
              <w:tblW w:w="8258"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87"/>
              <w:gridCol w:w="510"/>
              <w:gridCol w:w="1905"/>
              <w:gridCol w:w="2115"/>
              <w:gridCol w:w="660"/>
              <w:gridCol w:w="2581"/>
            </w:tblGrid>
            <w:tr w14:paraId="5A0269D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7" w:type="dxa"/>
                  <w:tcBorders>
                    <w:tl2br w:val="nil"/>
                    <w:tr2bl w:val="nil"/>
                  </w:tcBorders>
                  <w:vAlign w:val="center"/>
                </w:tcPr>
                <w:p w14:paraId="38D1C77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bCs/>
                      <w:color w:val="auto"/>
                      <w:sz w:val="21"/>
                      <w:szCs w:val="21"/>
                      <w:highlight w:val="none"/>
                      <w:vertAlign w:val="baseline"/>
                      <w:lang w:val="en-US" w:eastAsia="zh-CN"/>
                    </w:rPr>
                  </w:pPr>
                  <w:r>
                    <w:rPr>
                      <w:rFonts w:hint="eastAsia" w:ascii="Times New Roman" w:hAnsi="Times New Roman" w:cs="Times New Roman" w:eastAsiaTheme="minorEastAsia"/>
                      <w:b/>
                      <w:bCs/>
                      <w:color w:val="auto"/>
                      <w:sz w:val="21"/>
                      <w:szCs w:val="21"/>
                      <w:highlight w:val="none"/>
                      <w:vertAlign w:val="baseline"/>
                      <w:lang w:val="en-US" w:eastAsia="zh-CN"/>
                    </w:rPr>
                    <w:t>类别</w:t>
                  </w:r>
                </w:p>
              </w:tc>
              <w:tc>
                <w:tcPr>
                  <w:tcW w:w="2415" w:type="dxa"/>
                  <w:gridSpan w:val="2"/>
                  <w:tcBorders>
                    <w:tl2br w:val="nil"/>
                    <w:tr2bl w:val="nil"/>
                  </w:tcBorders>
                  <w:vAlign w:val="center"/>
                </w:tcPr>
                <w:p w14:paraId="024FB46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bCs/>
                      <w:color w:val="auto"/>
                      <w:sz w:val="21"/>
                      <w:szCs w:val="21"/>
                      <w:highlight w:val="none"/>
                      <w:vertAlign w:val="baseline"/>
                      <w:lang w:val="en-US" w:eastAsia="zh-CN"/>
                    </w:rPr>
                  </w:pPr>
                  <w:r>
                    <w:rPr>
                      <w:rFonts w:hint="eastAsia" w:ascii="Times New Roman" w:hAnsi="Times New Roman" w:cs="Times New Roman" w:eastAsiaTheme="minorEastAsia"/>
                      <w:b/>
                      <w:bCs/>
                      <w:color w:val="auto"/>
                      <w:sz w:val="21"/>
                      <w:szCs w:val="21"/>
                      <w:highlight w:val="none"/>
                      <w:vertAlign w:val="baseline"/>
                      <w:lang w:val="en-US" w:eastAsia="zh-CN"/>
                    </w:rPr>
                    <w:t>污染源</w:t>
                  </w:r>
                </w:p>
              </w:tc>
              <w:tc>
                <w:tcPr>
                  <w:tcW w:w="2115" w:type="dxa"/>
                  <w:tcBorders>
                    <w:tl2br w:val="nil"/>
                    <w:tr2bl w:val="nil"/>
                  </w:tcBorders>
                  <w:vAlign w:val="center"/>
                </w:tcPr>
                <w:p w14:paraId="2A97156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bCs/>
                      <w:color w:val="auto"/>
                      <w:sz w:val="21"/>
                      <w:szCs w:val="21"/>
                      <w:highlight w:val="none"/>
                      <w:vertAlign w:val="baseline"/>
                      <w:lang w:val="en-US" w:eastAsia="zh-CN"/>
                    </w:rPr>
                  </w:pPr>
                  <w:r>
                    <w:rPr>
                      <w:rFonts w:hint="eastAsia" w:ascii="Times New Roman" w:hAnsi="Times New Roman" w:cs="Times New Roman" w:eastAsiaTheme="minorEastAsia"/>
                      <w:b/>
                      <w:bCs/>
                      <w:color w:val="auto"/>
                      <w:sz w:val="21"/>
                      <w:szCs w:val="21"/>
                      <w:highlight w:val="none"/>
                      <w:vertAlign w:val="baseline"/>
                      <w:lang w:val="en-US" w:eastAsia="zh-CN"/>
                    </w:rPr>
                    <w:t>污染因子</w:t>
                  </w:r>
                </w:p>
              </w:tc>
              <w:tc>
                <w:tcPr>
                  <w:tcW w:w="660" w:type="dxa"/>
                  <w:tcBorders>
                    <w:tl2br w:val="nil"/>
                    <w:tr2bl w:val="nil"/>
                  </w:tcBorders>
                  <w:vAlign w:val="center"/>
                </w:tcPr>
                <w:p w14:paraId="5911061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bCs/>
                      <w:color w:val="auto"/>
                      <w:sz w:val="21"/>
                      <w:szCs w:val="21"/>
                      <w:highlight w:val="none"/>
                      <w:vertAlign w:val="baseline"/>
                      <w:lang w:val="en-US" w:eastAsia="zh-CN"/>
                    </w:rPr>
                  </w:pPr>
                  <w:r>
                    <w:rPr>
                      <w:rFonts w:hint="eastAsia" w:ascii="Times New Roman" w:hAnsi="Times New Roman" w:cs="Times New Roman" w:eastAsiaTheme="minorEastAsia"/>
                      <w:b/>
                      <w:bCs/>
                      <w:color w:val="auto"/>
                      <w:sz w:val="21"/>
                      <w:szCs w:val="21"/>
                      <w:highlight w:val="none"/>
                      <w:vertAlign w:val="baseline"/>
                      <w:lang w:val="en-US" w:eastAsia="zh-CN"/>
                    </w:rPr>
                    <w:t>产生特征</w:t>
                  </w:r>
                </w:p>
              </w:tc>
              <w:tc>
                <w:tcPr>
                  <w:tcW w:w="2581" w:type="dxa"/>
                  <w:tcBorders>
                    <w:tl2br w:val="nil"/>
                    <w:tr2bl w:val="nil"/>
                  </w:tcBorders>
                  <w:vAlign w:val="center"/>
                </w:tcPr>
                <w:p w14:paraId="239D704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bCs/>
                      <w:color w:val="auto"/>
                      <w:sz w:val="21"/>
                      <w:szCs w:val="21"/>
                      <w:highlight w:val="none"/>
                      <w:vertAlign w:val="baseline"/>
                      <w:lang w:val="en-US" w:eastAsia="zh-CN"/>
                    </w:rPr>
                  </w:pPr>
                  <w:r>
                    <w:rPr>
                      <w:rFonts w:hint="eastAsia" w:ascii="Times New Roman" w:hAnsi="Times New Roman" w:cs="Times New Roman" w:eastAsiaTheme="minorEastAsia"/>
                      <w:b/>
                      <w:bCs/>
                      <w:color w:val="auto"/>
                      <w:sz w:val="21"/>
                      <w:szCs w:val="21"/>
                      <w:highlight w:val="none"/>
                      <w:vertAlign w:val="baseline"/>
                      <w:lang w:val="en-US" w:eastAsia="zh-CN"/>
                    </w:rPr>
                    <w:t>治理设施</w:t>
                  </w:r>
                </w:p>
              </w:tc>
            </w:tr>
            <w:tr w14:paraId="1E39BB6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7" w:type="dxa"/>
                  <w:tcBorders>
                    <w:tl2br w:val="nil"/>
                    <w:tr2bl w:val="nil"/>
                  </w:tcBorders>
                  <w:vAlign w:val="center"/>
                </w:tcPr>
                <w:p w14:paraId="2CC366D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废气</w:t>
                  </w:r>
                </w:p>
              </w:tc>
              <w:tc>
                <w:tcPr>
                  <w:tcW w:w="2415" w:type="dxa"/>
                  <w:gridSpan w:val="2"/>
                  <w:tcBorders>
                    <w:tl2br w:val="nil"/>
                    <w:tr2bl w:val="nil"/>
                  </w:tcBorders>
                  <w:vAlign w:val="center"/>
                </w:tcPr>
                <w:p w14:paraId="72CFA56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污水处理设施</w:t>
                  </w:r>
                </w:p>
              </w:tc>
              <w:tc>
                <w:tcPr>
                  <w:tcW w:w="2115" w:type="dxa"/>
                  <w:tcBorders>
                    <w:tl2br w:val="nil"/>
                    <w:tr2bl w:val="nil"/>
                  </w:tcBorders>
                  <w:vAlign w:val="center"/>
                </w:tcPr>
                <w:p w14:paraId="4938F93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default" w:ascii="Times New Roman" w:hAnsi="Times New Roman" w:cs="Times New Roman" w:eastAsiaTheme="minorEastAsia"/>
                      <w:b w:val="0"/>
                      <w:bCs w:val="0"/>
                      <w:color w:val="auto"/>
                      <w:sz w:val="21"/>
                      <w:szCs w:val="21"/>
                      <w:highlight w:val="none"/>
                      <w:vertAlign w:val="baseline"/>
                      <w:lang w:val="en-US" w:eastAsia="zh-CN"/>
                    </w:rPr>
                    <w:t>H</w:t>
                  </w:r>
                  <w:r>
                    <w:rPr>
                      <w:rFonts w:hint="default" w:ascii="Times New Roman" w:hAnsi="Times New Roman" w:cs="Times New Roman" w:eastAsiaTheme="minorEastAsia"/>
                      <w:b w:val="0"/>
                      <w:bCs w:val="0"/>
                      <w:color w:val="auto"/>
                      <w:sz w:val="21"/>
                      <w:szCs w:val="21"/>
                      <w:highlight w:val="none"/>
                      <w:vertAlign w:val="subscript"/>
                      <w:lang w:val="en-US" w:eastAsia="zh-CN"/>
                    </w:rPr>
                    <w:t>2</w:t>
                  </w:r>
                  <w:r>
                    <w:rPr>
                      <w:rFonts w:hint="default" w:ascii="Times New Roman" w:hAnsi="Times New Roman" w:cs="Times New Roman" w:eastAsiaTheme="minorEastAsia"/>
                      <w:b w:val="0"/>
                      <w:bCs w:val="0"/>
                      <w:color w:val="auto"/>
                      <w:sz w:val="21"/>
                      <w:szCs w:val="21"/>
                      <w:highlight w:val="none"/>
                      <w:vertAlign w:val="baseline"/>
                      <w:lang w:val="en-US" w:eastAsia="zh-CN"/>
                    </w:rPr>
                    <w:t>S、NH</w:t>
                  </w:r>
                  <w:r>
                    <w:rPr>
                      <w:rFonts w:hint="default" w:ascii="Times New Roman" w:hAnsi="Times New Roman" w:cs="Times New Roman" w:eastAsiaTheme="minorEastAsia"/>
                      <w:b w:val="0"/>
                      <w:bCs w:val="0"/>
                      <w:color w:val="auto"/>
                      <w:sz w:val="21"/>
                      <w:szCs w:val="21"/>
                      <w:highlight w:val="none"/>
                      <w:vertAlign w:val="subscript"/>
                      <w:lang w:val="en-US" w:eastAsia="zh-CN"/>
                    </w:rPr>
                    <w:t>3</w:t>
                  </w:r>
                  <w:r>
                    <w:rPr>
                      <w:rFonts w:hint="default" w:ascii="Times New Roman" w:hAnsi="Times New Roman" w:cs="Times New Roman" w:eastAsiaTheme="minorEastAsia"/>
                      <w:b w:val="0"/>
                      <w:bCs w:val="0"/>
                      <w:color w:val="auto"/>
                      <w:sz w:val="21"/>
                      <w:szCs w:val="21"/>
                      <w:highlight w:val="none"/>
                      <w:vertAlign w:val="baseline"/>
                      <w:lang w:val="en-US" w:eastAsia="zh-CN"/>
                    </w:rPr>
                    <w:t>、臭气浓度</w:t>
                  </w:r>
                </w:p>
              </w:tc>
              <w:tc>
                <w:tcPr>
                  <w:tcW w:w="660" w:type="dxa"/>
                  <w:tcBorders>
                    <w:tl2br w:val="nil"/>
                    <w:tr2bl w:val="nil"/>
                  </w:tcBorders>
                  <w:vAlign w:val="center"/>
                </w:tcPr>
                <w:p w14:paraId="3F2B84E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间断</w:t>
                  </w:r>
                </w:p>
              </w:tc>
              <w:tc>
                <w:tcPr>
                  <w:tcW w:w="2581" w:type="dxa"/>
                  <w:tcBorders>
                    <w:tl2br w:val="nil"/>
                    <w:tr2bl w:val="nil"/>
                  </w:tcBorders>
                  <w:vAlign w:val="center"/>
                </w:tcPr>
                <w:p w14:paraId="46FF798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cs="Times New Roman" w:eastAsiaTheme="minorEastAsia"/>
                      <w:b w:val="0"/>
                      <w:bCs w:val="0"/>
                      <w:color w:val="auto"/>
                      <w:sz w:val="21"/>
                      <w:szCs w:val="21"/>
                      <w:highlight w:val="none"/>
                      <w:vertAlign w:val="baseline"/>
                      <w:lang w:val="en-US" w:eastAsia="zh-CN"/>
                    </w:rPr>
                    <w:t>处理构筑物加盖、密闭、定期喷洒除臭剂</w:t>
                  </w:r>
                </w:p>
              </w:tc>
            </w:tr>
            <w:tr w14:paraId="5FED3FE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7" w:type="dxa"/>
                  <w:vMerge w:val="restart"/>
                  <w:tcBorders>
                    <w:tl2br w:val="nil"/>
                    <w:tr2bl w:val="nil"/>
                  </w:tcBorders>
                  <w:vAlign w:val="center"/>
                </w:tcPr>
                <w:p w14:paraId="582A312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废水</w:t>
                  </w:r>
                </w:p>
              </w:tc>
              <w:tc>
                <w:tcPr>
                  <w:tcW w:w="510" w:type="dxa"/>
                  <w:vMerge w:val="restart"/>
                  <w:tcBorders>
                    <w:tl2br w:val="nil"/>
                    <w:tr2bl w:val="nil"/>
                  </w:tcBorders>
                  <w:vAlign w:val="center"/>
                </w:tcPr>
                <w:p w14:paraId="42EA379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医疗废水</w:t>
                  </w:r>
                </w:p>
              </w:tc>
              <w:tc>
                <w:tcPr>
                  <w:tcW w:w="1905" w:type="dxa"/>
                  <w:tcBorders>
                    <w:tl2br w:val="nil"/>
                    <w:tr2bl w:val="nil"/>
                  </w:tcBorders>
                  <w:vAlign w:val="center"/>
                </w:tcPr>
                <w:p w14:paraId="2C1F35A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门诊废水</w:t>
                  </w:r>
                </w:p>
              </w:tc>
              <w:tc>
                <w:tcPr>
                  <w:tcW w:w="2115" w:type="dxa"/>
                  <w:vMerge w:val="restart"/>
                  <w:tcBorders>
                    <w:tl2br w:val="nil"/>
                    <w:tr2bl w:val="nil"/>
                  </w:tcBorders>
                  <w:vAlign w:val="center"/>
                </w:tcPr>
                <w:p w14:paraId="3B7E474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default" w:ascii="Times New Roman" w:hAnsi="Times New Roman" w:cs="Times New Roman" w:eastAsiaTheme="minorEastAsia"/>
                      <w:b w:val="0"/>
                      <w:bCs w:val="0"/>
                      <w:color w:val="auto"/>
                      <w:sz w:val="21"/>
                      <w:szCs w:val="21"/>
                      <w:highlight w:val="none"/>
                      <w:vertAlign w:val="baseline"/>
                      <w:lang w:val="en-US" w:eastAsia="zh-CN"/>
                    </w:rPr>
                    <w:t>pH值、COD、BOD</w:t>
                  </w:r>
                  <w:r>
                    <w:rPr>
                      <w:rFonts w:hint="default" w:ascii="Times New Roman" w:hAnsi="Times New Roman" w:cs="Times New Roman" w:eastAsiaTheme="minorEastAsia"/>
                      <w:b w:val="0"/>
                      <w:bCs w:val="0"/>
                      <w:color w:val="auto"/>
                      <w:sz w:val="21"/>
                      <w:szCs w:val="21"/>
                      <w:highlight w:val="none"/>
                      <w:vertAlign w:val="subscript"/>
                      <w:lang w:val="en-US" w:eastAsia="zh-CN"/>
                    </w:rPr>
                    <w:t>5</w:t>
                  </w:r>
                  <w:r>
                    <w:rPr>
                      <w:rFonts w:hint="default" w:ascii="Times New Roman" w:hAnsi="Times New Roman" w:cs="Times New Roman" w:eastAsiaTheme="minorEastAsia"/>
                      <w:b w:val="0"/>
                      <w:bCs w:val="0"/>
                      <w:color w:val="auto"/>
                      <w:sz w:val="21"/>
                      <w:szCs w:val="21"/>
                      <w:highlight w:val="none"/>
                      <w:vertAlign w:val="baseline"/>
                      <w:lang w:val="en-US" w:eastAsia="zh-CN"/>
                    </w:rPr>
                    <w:t>、SS、</w:t>
                  </w:r>
                  <w:r>
                    <w:rPr>
                      <w:rFonts w:hint="eastAsia" w:ascii="Times New Roman" w:hAnsi="Times New Roman" w:cs="Times New Roman" w:eastAsiaTheme="minorEastAsia"/>
                      <w:b w:val="0"/>
                      <w:bCs w:val="0"/>
                      <w:color w:val="auto"/>
                      <w:sz w:val="21"/>
                      <w:szCs w:val="21"/>
                      <w:highlight w:val="none"/>
                      <w:vertAlign w:val="baseline"/>
                      <w:lang w:val="en-US" w:eastAsia="zh-CN"/>
                    </w:rPr>
                    <w:t>粪大肠菌群数、氨氮</w:t>
                  </w:r>
                  <w:r>
                    <w:rPr>
                      <w:rFonts w:hint="eastAsia" w:cs="Times New Roman" w:eastAsiaTheme="minorEastAsia"/>
                      <w:b w:val="0"/>
                      <w:bCs w:val="0"/>
                      <w:color w:val="auto"/>
                      <w:sz w:val="21"/>
                      <w:szCs w:val="21"/>
                      <w:highlight w:val="none"/>
                      <w:vertAlign w:val="baseline"/>
                      <w:lang w:val="en-US" w:eastAsia="zh-CN"/>
                    </w:rPr>
                    <w:t>、总余氯</w:t>
                  </w:r>
                </w:p>
              </w:tc>
              <w:tc>
                <w:tcPr>
                  <w:tcW w:w="660" w:type="dxa"/>
                  <w:tcBorders>
                    <w:tl2br w:val="nil"/>
                    <w:tr2bl w:val="nil"/>
                  </w:tcBorders>
                  <w:vAlign w:val="center"/>
                </w:tcPr>
                <w:p w14:paraId="12AA61A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间断</w:t>
                  </w:r>
                </w:p>
              </w:tc>
              <w:tc>
                <w:tcPr>
                  <w:tcW w:w="2581" w:type="dxa"/>
                  <w:vMerge w:val="restart"/>
                  <w:tcBorders>
                    <w:tl2br w:val="nil"/>
                    <w:tr2bl w:val="nil"/>
                  </w:tcBorders>
                  <w:vAlign w:val="center"/>
                </w:tcPr>
                <w:p w14:paraId="660ED7E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废水排入“独立化粪池+格栅过滤+调节池+絮凝沉淀+次氯酸钠消毒”</w:t>
                  </w:r>
                  <w:r>
                    <w:rPr>
                      <w:rFonts w:hint="eastAsia" w:cs="Times New Roman" w:eastAsiaTheme="minorEastAsia"/>
                      <w:b w:val="0"/>
                      <w:bCs w:val="0"/>
                      <w:color w:val="auto"/>
                      <w:sz w:val="21"/>
                      <w:szCs w:val="21"/>
                      <w:highlight w:val="none"/>
                      <w:vertAlign w:val="baseline"/>
                      <w:lang w:val="en-US" w:eastAsia="zh-CN"/>
                    </w:rPr>
                    <w:t>处理</w:t>
                  </w:r>
                  <w:r>
                    <w:rPr>
                      <w:rFonts w:hint="eastAsia" w:ascii="Times New Roman" w:hAnsi="Times New Roman" w:cs="Times New Roman" w:eastAsiaTheme="minorEastAsia"/>
                      <w:b w:val="0"/>
                      <w:bCs w:val="0"/>
                      <w:color w:val="auto"/>
                      <w:sz w:val="21"/>
                      <w:szCs w:val="21"/>
                      <w:highlight w:val="none"/>
                      <w:vertAlign w:val="baseline"/>
                      <w:lang w:val="en-US" w:eastAsia="zh-CN"/>
                    </w:rPr>
                    <w:t>后经由市政污水管网汇入</w:t>
                  </w:r>
                  <w:r>
                    <w:rPr>
                      <w:rFonts w:hint="eastAsia" w:cs="Times New Roman" w:eastAsiaTheme="minorEastAsia"/>
                      <w:b w:val="0"/>
                      <w:bCs w:val="0"/>
                      <w:color w:val="auto"/>
                      <w:sz w:val="21"/>
                      <w:szCs w:val="21"/>
                      <w:highlight w:val="none"/>
                      <w:vertAlign w:val="baseline"/>
                      <w:lang w:val="en-US" w:eastAsia="zh-CN"/>
                    </w:rPr>
                    <w:t>清河再生水厂</w:t>
                  </w:r>
                </w:p>
              </w:tc>
            </w:tr>
            <w:tr w14:paraId="73DC3AE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7" w:type="dxa"/>
                  <w:vMerge w:val="continue"/>
                  <w:tcBorders>
                    <w:tl2br w:val="nil"/>
                    <w:tr2bl w:val="nil"/>
                  </w:tcBorders>
                  <w:vAlign w:val="center"/>
                </w:tcPr>
                <w:p w14:paraId="0E228A5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cs="Times New Roman" w:eastAsiaTheme="minorEastAsia"/>
                      <w:b w:val="0"/>
                      <w:bCs w:val="0"/>
                      <w:color w:val="auto"/>
                      <w:sz w:val="21"/>
                      <w:szCs w:val="21"/>
                      <w:highlight w:val="none"/>
                      <w:vertAlign w:val="baseline"/>
                      <w:lang w:val="en-US" w:eastAsia="zh-CN"/>
                    </w:rPr>
                  </w:pPr>
                </w:p>
              </w:tc>
              <w:tc>
                <w:tcPr>
                  <w:tcW w:w="510" w:type="dxa"/>
                  <w:vMerge w:val="continue"/>
                  <w:tcBorders>
                    <w:tl2br w:val="nil"/>
                    <w:tr2bl w:val="nil"/>
                  </w:tcBorders>
                  <w:vAlign w:val="center"/>
                </w:tcPr>
                <w:p w14:paraId="4C812C1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p>
              </w:tc>
              <w:tc>
                <w:tcPr>
                  <w:tcW w:w="1905" w:type="dxa"/>
                  <w:tcBorders>
                    <w:tl2br w:val="nil"/>
                    <w:tr2bl w:val="nil"/>
                  </w:tcBorders>
                  <w:vAlign w:val="center"/>
                </w:tcPr>
                <w:p w14:paraId="633F7F5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病房废水</w:t>
                  </w:r>
                </w:p>
              </w:tc>
              <w:tc>
                <w:tcPr>
                  <w:tcW w:w="2115" w:type="dxa"/>
                  <w:vMerge w:val="continue"/>
                  <w:tcBorders>
                    <w:tl2br w:val="nil"/>
                    <w:tr2bl w:val="nil"/>
                  </w:tcBorders>
                  <w:vAlign w:val="center"/>
                </w:tcPr>
                <w:p w14:paraId="4BBC43C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p>
              </w:tc>
              <w:tc>
                <w:tcPr>
                  <w:tcW w:w="660" w:type="dxa"/>
                  <w:tcBorders>
                    <w:tl2br w:val="nil"/>
                    <w:tr2bl w:val="nil"/>
                  </w:tcBorders>
                  <w:vAlign w:val="center"/>
                </w:tcPr>
                <w:p w14:paraId="0B88BAA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间断</w:t>
                  </w:r>
                </w:p>
              </w:tc>
              <w:tc>
                <w:tcPr>
                  <w:tcW w:w="2581" w:type="dxa"/>
                  <w:vMerge w:val="continue"/>
                  <w:tcBorders>
                    <w:tl2br w:val="nil"/>
                    <w:tr2bl w:val="nil"/>
                  </w:tcBorders>
                  <w:vAlign w:val="center"/>
                </w:tcPr>
                <w:p w14:paraId="6F32473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p>
              </w:tc>
            </w:tr>
            <w:tr w14:paraId="46A8A17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7" w:type="dxa"/>
                  <w:vMerge w:val="continue"/>
                  <w:tcBorders>
                    <w:tl2br w:val="nil"/>
                    <w:tr2bl w:val="nil"/>
                  </w:tcBorders>
                  <w:vAlign w:val="center"/>
                </w:tcPr>
                <w:p w14:paraId="36EA50D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cs="Times New Roman" w:eastAsiaTheme="minorEastAsia"/>
                      <w:b w:val="0"/>
                      <w:bCs w:val="0"/>
                      <w:color w:val="auto"/>
                      <w:sz w:val="21"/>
                      <w:szCs w:val="21"/>
                      <w:highlight w:val="none"/>
                      <w:vertAlign w:val="baseline"/>
                      <w:lang w:val="en-US" w:eastAsia="zh-CN"/>
                    </w:rPr>
                  </w:pPr>
                </w:p>
              </w:tc>
              <w:tc>
                <w:tcPr>
                  <w:tcW w:w="510" w:type="dxa"/>
                  <w:vMerge w:val="continue"/>
                  <w:tcBorders>
                    <w:tl2br w:val="nil"/>
                    <w:tr2bl w:val="nil"/>
                  </w:tcBorders>
                  <w:vAlign w:val="center"/>
                </w:tcPr>
                <w:p w14:paraId="4418939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p>
              </w:tc>
              <w:tc>
                <w:tcPr>
                  <w:tcW w:w="1905" w:type="dxa"/>
                  <w:tcBorders>
                    <w:tl2br w:val="nil"/>
                    <w:tr2bl w:val="nil"/>
                  </w:tcBorders>
                  <w:vAlign w:val="center"/>
                </w:tcPr>
                <w:p w14:paraId="6AE4B9D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行政人员生活废水</w:t>
                  </w:r>
                </w:p>
              </w:tc>
              <w:tc>
                <w:tcPr>
                  <w:tcW w:w="2115" w:type="dxa"/>
                  <w:vMerge w:val="continue"/>
                  <w:tcBorders>
                    <w:tl2br w:val="nil"/>
                    <w:tr2bl w:val="nil"/>
                  </w:tcBorders>
                  <w:vAlign w:val="center"/>
                </w:tcPr>
                <w:p w14:paraId="70D0AE5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p>
              </w:tc>
              <w:tc>
                <w:tcPr>
                  <w:tcW w:w="660" w:type="dxa"/>
                  <w:tcBorders>
                    <w:tl2br w:val="nil"/>
                    <w:tr2bl w:val="nil"/>
                  </w:tcBorders>
                  <w:vAlign w:val="center"/>
                </w:tcPr>
                <w:p w14:paraId="0B9D486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间断</w:t>
                  </w:r>
                </w:p>
              </w:tc>
              <w:tc>
                <w:tcPr>
                  <w:tcW w:w="2581" w:type="dxa"/>
                  <w:vMerge w:val="continue"/>
                  <w:tcBorders>
                    <w:tl2br w:val="nil"/>
                    <w:tr2bl w:val="nil"/>
                  </w:tcBorders>
                  <w:vAlign w:val="center"/>
                </w:tcPr>
                <w:p w14:paraId="48F5BC5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p>
              </w:tc>
            </w:tr>
            <w:tr w14:paraId="2BB4540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7" w:type="dxa"/>
                  <w:vMerge w:val="continue"/>
                  <w:tcBorders>
                    <w:tl2br w:val="nil"/>
                    <w:tr2bl w:val="nil"/>
                  </w:tcBorders>
                  <w:vAlign w:val="center"/>
                </w:tcPr>
                <w:p w14:paraId="59932C9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p>
              </w:tc>
              <w:tc>
                <w:tcPr>
                  <w:tcW w:w="510" w:type="dxa"/>
                  <w:vMerge w:val="continue"/>
                  <w:tcBorders>
                    <w:tl2br w:val="nil"/>
                    <w:tr2bl w:val="nil"/>
                  </w:tcBorders>
                  <w:vAlign w:val="center"/>
                </w:tcPr>
                <w:p w14:paraId="56A2D4C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p>
              </w:tc>
              <w:tc>
                <w:tcPr>
                  <w:tcW w:w="1905" w:type="dxa"/>
                  <w:tcBorders>
                    <w:tl2br w:val="nil"/>
                    <w:tr2bl w:val="nil"/>
                  </w:tcBorders>
                  <w:vAlign w:val="center"/>
                </w:tcPr>
                <w:p w14:paraId="418B338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卫生清洁废水</w:t>
                  </w:r>
                </w:p>
              </w:tc>
              <w:tc>
                <w:tcPr>
                  <w:tcW w:w="2115" w:type="dxa"/>
                  <w:vMerge w:val="continue"/>
                  <w:tcBorders>
                    <w:tl2br w:val="nil"/>
                    <w:tr2bl w:val="nil"/>
                  </w:tcBorders>
                  <w:vAlign w:val="center"/>
                </w:tcPr>
                <w:p w14:paraId="2A3BE67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p>
              </w:tc>
              <w:tc>
                <w:tcPr>
                  <w:tcW w:w="660" w:type="dxa"/>
                  <w:tcBorders>
                    <w:tl2br w:val="nil"/>
                    <w:tr2bl w:val="nil"/>
                  </w:tcBorders>
                  <w:vAlign w:val="center"/>
                </w:tcPr>
                <w:p w14:paraId="3DC92AC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间断</w:t>
                  </w:r>
                </w:p>
              </w:tc>
              <w:tc>
                <w:tcPr>
                  <w:tcW w:w="2581" w:type="dxa"/>
                  <w:vMerge w:val="continue"/>
                  <w:tcBorders>
                    <w:tl2br w:val="nil"/>
                    <w:tr2bl w:val="nil"/>
                  </w:tcBorders>
                  <w:vAlign w:val="center"/>
                </w:tcPr>
                <w:p w14:paraId="1C89587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p>
              </w:tc>
            </w:tr>
            <w:tr w14:paraId="41B265B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7" w:type="dxa"/>
                  <w:vMerge w:val="restart"/>
                  <w:tcBorders>
                    <w:tl2br w:val="nil"/>
                    <w:tr2bl w:val="nil"/>
                  </w:tcBorders>
                  <w:vAlign w:val="center"/>
                </w:tcPr>
                <w:p w14:paraId="45EB642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噪声</w:t>
                  </w:r>
                </w:p>
              </w:tc>
              <w:tc>
                <w:tcPr>
                  <w:tcW w:w="2415" w:type="dxa"/>
                  <w:gridSpan w:val="2"/>
                  <w:tcBorders>
                    <w:tl2br w:val="nil"/>
                    <w:tr2bl w:val="nil"/>
                  </w:tcBorders>
                  <w:shd w:val="clear" w:color="auto" w:fill="auto"/>
                  <w:vAlign w:val="center"/>
                </w:tcPr>
                <w:p w14:paraId="2D1FA13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ascii="Times New Roman" w:hAnsi="Times New Roman" w:cs="Times New Roman" w:eastAsiaTheme="minorEastAsia"/>
                      <w:b w:val="0"/>
                      <w:bCs w:val="0"/>
                      <w:color w:val="auto"/>
                      <w:sz w:val="21"/>
                      <w:szCs w:val="21"/>
                      <w:highlight w:val="none"/>
                      <w:vertAlign w:val="baseline"/>
                      <w:lang w:val="en-US" w:eastAsia="zh-CN"/>
                    </w:rPr>
                    <w:t>污水处理传输泵</w:t>
                  </w:r>
                </w:p>
              </w:tc>
              <w:tc>
                <w:tcPr>
                  <w:tcW w:w="2115" w:type="dxa"/>
                  <w:tcBorders>
                    <w:tl2br w:val="nil"/>
                    <w:tr2bl w:val="nil"/>
                  </w:tcBorders>
                  <w:shd w:val="clear" w:color="auto" w:fill="auto"/>
                  <w:vAlign w:val="center"/>
                </w:tcPr>
                <w:p w14:paraId="212669D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ascii="Times New Roman" w:hAnsi="Times New Roman" w:cs="Times New Roman" w:eastAsiaTheme="minorEastAsia"/>
                      <w:b w:val="0"/>
                      <w:bCs w:val="0"/>
                      <w:color w:val="auto"/>
                      <w:sz w:val="21"/>
                      <w:szCs w:val="21"/>
                      <w:highlight w:val="none"/>
                      <w:vertAlign w:val="baseline"/>
                      <w:lang w:val="en-US" w:eastAsia="zh-CN"/>
                    </w:rPr>
                    <w:t>噪声</w:t>
                  </w:r>
                </w:p>
              </w:tc>
              <w:tc>
                <w:tcPr>
                  <w:tcW w:w="660" w:type="dxa"/>
                  <w:tcBorders>
                    <w:tl2br w:val="nil"/>
                    <w:tr2bl w:val="nil"/>
                  </w:tcBorders>
                  <w:shd w:val="clear" w:color="auto" w:fill="auto"/>
                  <w:vAlign w:val="center"/>
                </w:tcPr>
                <w:p w14:paraId="3C32C35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ascii="Times New Roman" w:hAnsi="Times New Roman" w:cs="Times New Roman" w:eastAsiaTheme="minorEastAsia"/>
                      <w:b w:val="0"/>
                      <w:bCs w:val="0"/>
                      <w:color w:val="auto"/>
                      <w:sz w:val="21"/>
                      <w:szCs w:val="21"/>
                      <w:highlight w:val="none"/>
                      <w:vertAlign w:val="baseline"/>
                      <w:lang w:val="en-US" w:eastAsia="zh-CN"/>
                    </w:rPr>
                    <w:t>间断</w:t>
                  </w:r>
                </w:p>
              </w:tc>
              <w:tc>
                <w:tcPr>
                  <w:tcW w:w="2581" w:type="dxa"/>
                  <w:vMerge w:val="restart"/>
                  <w:tcBorders>
                    <w:tl2br w:val="nil"/>
                    <w:tr2bl w:val="nil"/>
                  </w:tcBorders>
                  <w:vAlign w:val="center"/>
                </w:tcPr>
                <w:p w14:paraId="58B7654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选用低噪声设备，基础减振</w:t>
                  </w:r>
                  <w:r>
                    <w:rPr>
                      <w:rFonts w:hint="eastAsia" w:cs="Times New Roman" w:eastAsiaTheme="minorEastAsia"/>
                      <w:b w:val="0"/>
                      <w:bCs w:val="0"/>
                      <w:color w:val="auto"/>
                      <w:sz w:val="21"/>
                      <w:szCs w:val="21"/>
                      <w:highlight w:val="none"/>
                      <w:vertAlign w:val="baseline"/>
                      <w:lang w:val="en-US" w:eastAsia="zh-CN"/>
                    </w:rPr>
                    <w:t>、隔声</w:t>
                  </w:r>
                  <w:r>
                    <w:rPr>
                      <w:rFonts w:hint="eastAsia" w:ascii="Times New Roman" w:hAnsi="Times New Roman" w:cs="Times New Roman" w:eastAsiaTheme="minorEastAsia"/>
                      <w:b w:val="0"/>
                      <w:bCs w:val="0"/>
                      <w:color w:val="auto"/>
                      <w:sz w:val="21"/>
                      <w:szCs w:val="21"/>
                      <w:highlight w:val="none"/>
                      <w:vertAlign w:val="baseline"/>
                      <w:lang w:val="en-US" w:eastAsia="zh-CN"/>
                    </w:rPr>
                    <w:t>等</w:t>
                  </w:r>
                  <w:r>
                    <w:rPr>
                      <w:rFonts w:hint="eastAsia" w:cs="Times New Roman" w:eastAsiaTheme="minorEastAsia"/>
                      <w:b w:val="0"/>
                      <w:bCs w:val="0"/>
                      <w:color w:val="auto"/>
                      <w:sz w:val="21"/>
                      <w:szCs w:val="21"/>
                      <w:highlight w:val="none"/>
                      <w:vertAlign w:val="baseline"/>
                      <w:lang w:val="en-US" w:eastAsia="zh-CN"/>
                    </w:rPr>
                    <w:t>降噪措施</w:t>
                  </w:r>
                </w:p>
              </w:tc>
            </w:tr>
            <w:tr w14:paraId="704F770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7" w:type="dxa"/>
                  <w:vMerge w:val="continue"/>
                  <w:tcBorders>
                    <w:tl2br w:val="nil"/>
                    <w:tr2bl w:val="nil"/>
                  </w:tcBorders>
                  <w:vAlign w:val="center"/>
                </w:tcPr>
                <w:p w14:paraId="04434E4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cs="Times New Roman" w:eastAsiaTheme="minorEastAsia"/>
                      <w:b w:val="0"/>
                      <w:bCs w:val="0"/>
                      <w:color w:val="auto"/>
                      <w:sz w:val="21"/>
                      <w:szCs w:val="21"/>
                      <w:highlight w:val="none"/>
                      <w:vertAlign w:val="baseline"/>
                      <w:lang w:val="en-US" w:eastAsia="zh-CN"/>
                    </w:rPr>
                  </w:pPr>
                </w:p>
              </w:tc>
              <w:tc>
                <w:tcPr>
                  <w:tcW w:w="2415" w:type="dxa"/>
                  <w:gridSpan w:val="2"/>
                  <w:tcBorders>
                    <w:tl2br w:val="nil"/>
                    <w:tr2bl w:val="nil"/>
                  </w:tcBorders>
                  <w:shd w:val="clear" w:color="auto" w:fill="auto"/>
                  <w:vAlign w:val="center"/>
                </w:tcPr>
                <w:p w14:paraId="4B3600B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ascii="Times New Roman" w:hAnsi="Times New Roman" w:cs="Times New Roman" w:eastAsiaTheme="minorEastAsia"/>
                      <w:b w:val="0"/>
                      <w:bCs w:val="0"/>
                      <w:color w:val="auto"/>
                      <w:sz w:val="21"/>
                      <w:szCs w:val="21"/>
                      <w:highlight w:val="none"/>
                      <w:vertAlign w:val="baseline"/>
                      <w:lang w:val="en-US" w:eastAsia="zh-CN"/>
                    </w:rPr>
                    <w:t>空调</w:t>
                  </w:r>
                  <w:r>
                    <w:rPr>
                      <w:rFonts w:hint="eastAsia" w:cs="Times New Roman" w:eastAsiaTheme="minorEastAsia"/>
                      <w:b w:val="0"/>
                      <w:bCs w:val="0"/>
                      <w:color w:val="auto"/>
                      <w:sz w:val="21"/>
                      <w:szCs w:val="21"/>
                      <w:highlight w:val="none"/>
                      <w:vertAlign w:val="baseline"/>
                      <w:lang w:val="en-US" w:eastAsia="zh-CN"/>
                    </w:rPr>
                    <w:t>外机</w:t>
                  </w:r>
                </w:p>
              </w:tc>
              <w:tc>
                <w:tcPr>
                  <w:tcW w:w="2115" w:type="dxa"/>
                  <w:tcBorders>
                    <w:tl2br w:val="nil"/>
                    <w:tr2bl w:val="nil"/>
                  </w:tcBorders>
                  <w:shd w:val="clear" w:color="auto" w:fill="auto"/>
                  <w:vAlign w:val="center"/>
                </w:tcPr>
                <w:p w14:paraId="56CB2EC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ascii="Times New Roman" w:hAnsi="Times New Roman" w:cs="Times New Roman" w:eastAsiaTheme="minorEastAsia"/>
                      <w:b w:val="0"/>
                      <w:bCs w:val="0"/>
                      <w:color w:val="auto"/>
                      <w:sz w:val="21"/>
                      <w:szCs w:val="21"/>
                      <w:highlight w:val="none"/>
                      <w:vertAlign w:val="baseline"/>
                      <w:lang w:val="en-US" w:eastAsia="zh-CN"/>
                    </w:rPr>
                    <w:t>噪声</w:t>
                  </w:r>
                </w:p>
              </w:tc>
              <w:tc>
                <w:tcPr>
                  <w:tcW w:w="660" w:type="dxa"/>
                  <w:tcBorders>
                    <w:tl2br w:val="nil"/>
                    <w:tr2bl w:val="nil"/>
                  </w:tcBorders>
                  <w:shd w:val="clear" w:color="auto" w:fill="auto"/>
                  <w:vAlign w:val="center"/>
                </w:tcPr>
                <w:p w14:paraId="28B808A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ascii="Times New Roman" w:hAnsi="Times New Roman" w:cs="Times New Roman" w:eastAsiaTheme="minorEastAsia"/>
                      <w:b w:val="0"/>
                      <w:bCs w:val="0"/>
                      <w:color w:val="auto"/>
                      <w:sz w:val="21"/>
                      <w:szCs w:val="21"/>
                      <w:highlight w:val="none"/>
                      <w:vertAlign w:val="baseline"/>
                      <w:lang w:val="en-US" w:eastAsia="zh-CN"/>
                    </w:rPr>
                    <w:t>间断</w:t>
                  </w:r>
                </w:p>
              </w:tc>
              <w:tc>
                <w:tcPr>
                  <w:tcW w:w="2581" w:type="dxa"/>
                  <w:vMerge w:val="continue"/>
                  <w:tcBorders>
                    <w:tl2br w:val="nil"/>
                    <w:tr2bl w:val="nil"/>
                  </w:tcBorders>
                  <w:vAlign w:val="center"/>
                </w:tcPr>
                <w:p w14:paraId="5648ED4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p>
              </w:tc>
            </w:tr>
            <w:tr w14:paraId="0D9C1C4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7" w:type="dxa"/>
                  <w:vMerge w:val="restart"/>
                  <w:tcBorders>
                    <w:tl2br w:val="nil"/>
                    <w:tr2bl w:val="nil"/>
                  </w:tcBorders>
                  <w:vAlign w:val="center"/>
                </w:tcPr>
                <w:p w14:paraId="15C5E27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固体</w:t>
                  </w:r>
                </w:p>
                <w:p w14:paraId="666D03C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废物</w:t>
                  </w:r>
                </w:p>
              </w:tc>
              <w:tc>
                <w:tcPr>
                  <w:tcW w:w="2415" w:type="dxa"/>
                  <w:gridSpan w:val="2"/>
                  <w:tcBorders>
                    <w:tl2br w:val="nil"/>
                    <w:tr2bl w:val="nil"/>
                  </w:tcBorders>
                  <w:vAlign w:val="center"/>
                </w:tcPr>
                <w:p w14:paraId="426570E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生活办公</w:t>
                  </w:r>
                </w:p>
              </w:tc>
              <w:tc>
                <w:tcPr>
                  <w:tcW w:w="2115" w:type="dxa"/>
                  <w:tcBorders>
                    <w:tl2br w:val="nil"/>
                    <w:tr2bl w:val="nil"/>
                  </w:tcBorders>
                  <w:vAlign w:val="center"/>
                </w:tcPr>
                <w:p w14:paraId="47ECD3C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生活垃圾</w:t>
                  </w:r>
                </w:p>
              </w:tc>
              <w:tc>
                <w:tcPr>
                  <w:tcW w:w="660" w:type="dxa"/>
                  <w:tcBorders>
                    <w:tl2br w:val="nil"/>
                    <w:tr2bl w:val="nil"/>
                  </w:tcBorders>
                  <w:vAlign w:val="center"/>
                </w:tcPr>
                <w:p w14:paraId="3B76335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间断</w:t>
                  </w:r>
                </w:p>
              </w:tc>
              <w:tc>
                <w:tcPr>
                  <w:tcW w:w="2581" w:type="dxa"/>
                  <w:tcBorders>
                    <w:tl2br w:val="nil"/>
                    <w:tr2bl w:val="nil"/>
                  </w:tcBorders>
                  <w:vAlign w:val="center"/>
                </w:tcPr>
                <w:p w14:paraId="6138239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由环卫部门定期清运处置</w:t>
                  </w:r>
                </w:p>
              </w:tc>
            </w:tr>
            <w:tr w14:paraId="1F4B2CC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7" w:type="dxa"/>
                  <w:vMerge w:val="continue"/>
                  <w:tcBorders>
                    <w:tl2br w:val="nil"/>
                    <w:tr2bl w:val="nil"/>
                  </w:tcBorders>
                  <w:vAlign w:val="center"/>
                </w:tcPr>
                <w:p w14:paraId="7A14ED8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cs="Times New Roman" w:eastAsiaTheme="minorEastAsia"/>
                      <w:b w:val="0"/>
                      <w:bCs w:val="0"/>
                      <w:color w:val="auto"/>
                      <w:sz w:val="21"/>
                      <w:szCs w:val="21"/>
                      <w:highlight w:val="none"/>
                      <w:vertAlign w:val="baseline"/>
                      <w:lang w:val="en-US" w:eastAsia="zh-CN"/>
                    </w:rPr>
                  </w:pPr>
                </w:p>
              </w:tc>
              <w:tc>
                <w:tcPr>
                  <w:tcW w:w="2415" w:type="dxa"/>
                  <w:gridSpan w:val="2"/>
                  <w:tcBorders>
                    <w:tl2br w:val="nil"/>
                    <w:tr2bl w:val="nil"/>
                  </w:tcBorders>
                  <w:vAlign w:val="center"/>
                </w:tcPr>
                <w:p w14:paraId="0E8E52D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诊室、病房等</w:t>
                  </w:r>
                </w:p>
              </w:tc>
              <w:tc>
                <w:tcPr>
                  <w:tcW w:w="2115" w:type="dxa"/>
                  <w:tcBorders>
                    <w:tl2br w:val="nil"/>
                    <w:tr2bl w:val="nil"/>
                  </w:tcBorders>
                  <w:vAlign w:val="center"/>
                </w:tcPr>
                <w:p w14:paraId="069503F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医疗废物</w:t>
                  </w:r>
                </w:p>
              </w:tc>
              <w:tc>
                <w:tcPr>
                  <w:tcW w:w="660" w:type="dxa"/>
                  <w:tcBorders>
                    <w:tl2br w:val="nil"/>
                    <w:tr2bl w:val="nil"/>
                  </w:tcBorders>
                  <w:vAlign w:val="center"/>
                </w:tcPr>
                <w:p w14:paraId="55A73BA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间断</w:t>
                  </w:r>
                </w:p>
              </w:tc>
              <w:tc>
                <w:tcPr>
                  <w:tcW w:w="2581" w:type="dxa"/>
                  <w:vMerge w:val="restart"/>
                  <w:tcBorders>
                    <w:tl2br w:val="nil"/>
                    <w:tr2bl w:val="nil"/>
                  </w:tcBorders>
                  <w:vAlign w:val="center"/>
                </w:tcPr>
                <w:p w14:paraId="52FF1DE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分类收集后暂存于</w:t>
                  </w:r>
                  <w:r>
                    <w:rPr>
                      <w:rFonts w:hint="eastAsia" w:cs="Times New Roman" w:eastAsiaTheme="minorEastAsia"/>
                      <w:b w:val="0"/>
                      <w:bCs w:val="0"/>
                      <w:color w:val="auto"/>
                      <w:sz w:val="21"/>
                      <w:szCs w:val="21"/>
                      <w:highlight w:val="none"/>
                      <w:vertAlign w:val="baseline"/>
                      <w:lang w:val="en-US" w:eastAsia="zh-CN"/>
                    </w:rPr>
                    <w:t>医疗</w:t>
                  </w:r>
                  <w:r>
                    <w:rPr>
                      <w:rFonts w:hint="eastAsia" w:ascii="Times New Roman" w:hAnsi="Times New Roman" w:cs="Times New Roman" w:eastAsiaTheme="minorEastAsia"/>
                      <w:b w:val="0"/>
                      <w:bCs w:val="0"/>
                      <w:color w:val="auto"/>
                      <w:sz w:val="21"/>
                      <w:szCs w:val="21"/>
                      <w:highlight w:val="none"/>
                      <w:vertAlign w:val="baseline"/>
                      <w:lang w:val="en-US" w:eastAsia="zh-CN"/>
                    </w:rPr>
                    <w:t>废物暂存间，定期委托资质单位转运处置</w:t>
                  </w:r>
                </w:p>
              </w:tc>
            </w:tr>
            <w:tr w14:paraId="22B9028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7" w:type="dxa"/>
                  <w:vMerge w:val="continue"/>
                  <w:tcBorders>
                    <w:tl2br w:val="nil"/>
                    <w:tr2bl w:val="nil"/>
                  </w:tcBorders>
                  <w:vAlign w:val="center"/>
                </w:tcPr>
                <w:p w14:paraId="556AEF2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cs="Times New Roman" w:eastAsiaTheme="minorEastAsia"/>
                      <w:b w:val="0"/>
                      <w:bCs w:val="0"/>
                      <w:color w:val="auto"/>
                      <w:sz w:val="21"/>
                      <w:szCs w:val="21"/>
                      <w:highlight w:val="none"/>
                      <w:vertAlign w:val="baseline"/>
                      <w:lang w:val="en-US" w:eastAsia="zh-CN"/>
                    </w:rPr>
                  </w:pPr>
                </w:p>
              </w:tc>
              <w:tc>
                <w:tcPr>
                  <w:tcW w:w="2415" w:type="dxa"/>
                  <w:gridSpan w:val="2"/>
                  <w:tcBorders>
                    <w:tl2br w:val="nil"/>
                    <w:tr2bl w:val="nil"/>
                  </w:tcBorders>
                  <w:shd w:val="clear" w:color="auto" w:fill="auto"/>
                  <w:vAlign w:val="center"/>
                </w:tcPr>
                <w:p w14:paraId="183A159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ascii="Times New Roman" w:hAnsi="Times New Roman" w:cs="Times New Roman" w:eastAsiaTheme="minorEastAsia"/>
                      <w:b w:val="0"/>
                      <w:bCs w:val="0"/>
                      <w:color w:val="auto"/>
                      <w:sz w:val="21"/>
                      <w:szCs w:val="21"/>
                      <w:highlight w:val="none"/>
                      <w:vertAlign w:val="baseline"/>
                      <w:lang w:val="en-US" w:eastAsia="zh-CN"/>
                    </w:rPr>
                    <w:t>诊室、病房等</w:t>
                  </w:r>
                </w:p>
              </w:tc>
              <w:tc>
                <w:tcPr>
                  <w:tcW w:w="2115" w:type="dxa"/>
                  <w:tcBorders>
                    <w:tl2br w:val="nil"/>
                    <w:tr2bl w:val="nil"/>
                  </w:tcBorders>
                  <w:shd w:val="clear" w:color="auto" w:fill="auto"/>
                  <w:vAlign w:val="center"/>
                </w:tcPr>
                <w:p w14:paraId="1321C13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cs="Times New Roman" w:eastAsiaTheme="minorEastAsia"/>
                      <w:b w:val="0"/>
                      <w:bCs w:val="0"/>
                      <w:color w:val="auto"/>
                      <w:kern w:val="2"/>
                      <w:sz w:val="21"/>
                      <w:szCs w:val="21"/>
                      <w:highlight w:val="none"/>
                      <w:vertAlign w:val="baseline"/>
                      <w:lang w:val="en-US" w:eastAsia="zh-CN" w:bidi="ar-SA"/>
                    </w:rPr>
                    <w:t>消毒剂沾染物</w:t>
                  </w:r>
                </w:p>
              </w:tc>
              <w:tc>
                <w:tcPr>
                  <w:tcW w:w="660" w:type="dxa"/>
                  <w:tcBorders>
                    <w:tl2br w:val="nil"/>
                    <w:tr2bl w:val="nil"/>
                  </w:tcBorders>
                  <w:vAlign w:val="center"/>
                </w:tcPr>
                <w:p w14:paraId="6831ABF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间断</w:t>
                  </w:r>
                </w:p>
              </w:tc>
              <w:tc>
                <w:tcPr>
                  <w:tcW w:w="2581" w:type="dxa"/>
                  <w:vMerge w:val="continue"/>
                  <w:tcBorders>
                    <w:tl2br w:val="nil"/>
                    <w:tr2bl w:val="nil"/>
                  </w:tcBorders>
                  <w:vAlign w:val="center"/>
                </w:tcPr>
                <w:p w14:paraId="6E8A6B4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p>
              </w:tc>
            </w:tr>
            <w:tr w14:paraId="7742410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7" w:type="dxa"/>
                  <w:vMerge w:val="continue"/>
                  <w:tcBorders>
                    <w:tl2br w:val="nil"/>
                    <w:tr2bl w:val="nil"/>
                  </w:tcBorders>
                  <w:vAlign w:val="center"/>
                </w:tcPr>
                <w:p w14:paraId="4F2F7B5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cs="Times New Roman" w:eastAsiaTheme="minorEastAsia"/>
                      <w:b w:val="0"/>
                      <w:bCs w:val="0"/>
                      <w:color w:val="auto"/>
                      <w:sz w:val="21"/>
                      <w:szCs w:val="21"/>
                      <w:highlight w:val="none"/>
                      <w:vertAlign w:val="baseline"/>
                      <w:lang w:val="en-US" w:eastAsia="zh-CN"/>
                    </w:rPr>
                  </w:pPr>
                </w:p>
              </w:tc>
              <w:tc>
                <w:tcPr>
                  <w:tcW w:w="2415" w:type="dxa"/>
                  <w:gridSpan w:val="2"/>
                  <w:tcBorders>
                    <w:tl2br w:val="nil"/>
                    <w:tr2bl w:val="nil"/>
                  </w:tcBorders>
                  <w:shd w:val="clear" w:color="auto" w:fill="auto"/>
                  <w:vAlign w:val="center"/>
                </w:tcPr>
                <w:p w14:paraId="5A7CB8E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ascii="Times New Roman" w:hAnsi="Times New Roman" w:cs="Times New Roman" w:eastAsiaTheme="minorEastAsia"/>
                      <w:b w:val="0"/>
                      <w:bCs w:val="0"/>
                      <w:color w:val="auto"/>
                      <w:sz w:val="21"/>
                      <w:szCs w:val="21"/>
                      <w:highlight w:val="none"/>
                      <w:vertAlign w:val="baseline"/>
                      <w:lang w:val="en-US" w:eastAsia="zh-CN"/>
                    </w:rPr>
                    <w:t>化粪池、污水处理设施</w:t>
                  </w:r>
                </w:p>
              </w:tc>
              <w:tc>
                <w:tcPr>
                  <w:tcW w:w="2115" w:type="dxa"/>
                  <w:tcBorders>
                    <w:tl2br w:val="nil"/>
                    <w:tr2bl w:val="nil"/>
                  </w:tcBorders>
                  <w:shd w:val="clear" w:color="auto" w:fill="auto"/>
                  <w:vAlign w:val="center"/>
                </w:tcPr>
                <w:p w14:paraId="14F1701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highlight w:val="none"/>
                      <w:vertAlign w:val="baseline"/>
                      <w:lang w:val="en-US" w:eastAsia="zh-CN" w:bidi="ar-SA"/>
                    </w:rPr>
                  </w:pPr>
                  <w:r>
                    <w:rPr>
                      <w:rFonts w:hint="eastAsia" w:ascii="Times New Roman" w:hAnsi="Times New Roman" w:cs="Times New Roman" w:eastAsiaTheme="minorEastAsia"/>
                      <w:b w:val="0"/>
                      <w:bCs w:val="0"/>
                      <w:color w:val="auto"/>
                      <w:sz w:val="21"/>
                      <w:szCs w:val="21"/>
                      <w:highlight w:val="none"/>
                      <w:vertAlign w:val="baseline"/>
                      <w:lang w:val="en-US" w:eastAsia="zh-CN"/>
                    </w:rPr>
                    <w:t>化粪池污泥、栅渣、污水处理设施污泥</w:t>
                  </w:r>
                </w:p>
              </w:tc>
              <w:tc>
                <w:tcPr>
                  <w:tcW w:w="660" w:type="dxa"/>
                  <w:tcBorders>
                    <w:tl2br w:val="nil"/>
                    <w:tr2bl w:val="nil"/>
                  </w:tcBorders>
                  <w:vAlign w:val="center"/>
                </w:tcPr>
                <w:p w14:paraId="0C95EB8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间断</w:t>
                  </w:r>
                </w:p>
              </w:tc>
              <w:tc>
                <w:tcPr>
                  <w:tcW w:w="2581" w:type="dxa"/>
                  <w:tcBorders>
                    <w:tl2br w:val="nil"/>
                    <w:tr2bl w:val="nil"/>
                  </w:tcBorders>
                  <w:vAlign w:val="center"/>
                </w:tcPr>
                <w:p w14:paraId="48C07D9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default" w:ascii="Times New Roman" w:hAnsi="Times New Roman" w:cs="Times New Roman" w:eastAsiaTheme="minorEastAsia"/>
                      <w:b w:val="0"/>
                      <w:bCs w:val="0"/>
                      <w:color w:val="auto"/>
                      <w:sz w:val="21"/>
                      <w:szCs w:val="21"/>
                      <w:highlight w:val="none"/>
                      <w:vertAlign w:val="baseline"/>
                      <w:lang w:val="en-US" w:eastAsia="zh-CN"/>
                    </w:rPr>
                    <w:t>定期委托</w:t>
                  </w:r>
                  <w:r>
                    <w:rPr>
                      <w:rFonts w:hint="eastAsia" w:ascii="Times New Roman" w:hAnsi="Times New Roman" w:cs="Times New Roman" w:eastAsiaTheme="minorEastAsia"/>
                      <w:b w:val="0"/>
                      <w:bCs w:val="0"/>
                      <w:color w:val="auto"/>
                      <w:sz w:val="21"/>
                      <w:szCs w:val="21"/>
                      <w:highlight w:val="none"/>
                      <w:vertAlign w:val="baseline"/>
                      <w:lang w:val="en-US" w:eastAsia="zh-CN"/>
                    </w:rPr>
                    <w:t>资质单位清掏</w:t>
                  </w:r>
                  <w:r>
                    <w:rPr>
                      <w:rFonts w:hint="default" w:ascii="Times New Roman" w:hAnsi="Times New Roman" w:cs="Times New Roman" w:eastAsiaTheme="minorEastAsia"/>
                      <w:b w:val="0"/>
                      <w:bCs w:val="0"/>
                      <w:color w:val="auto"/>
                      <w:sz w:val="21"/>
                      <w:szCs w:val="21"/>
                      <w:highlight w:val="none"/>
                      <w:vertAlign w:val="baseline"/>
                      <w:lang w:val="en-US" w:eastAsia="zh-CN"/>
                    </w:rPr>
                    <w:t>清运</w:t>
                  </w:r>
                </w:p>
              </w:tc>
            </w:tr>
          </w:tbl>
          <w:p w14:paraId="54E6086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jc w:val="both"/>
              <w:textAlignment w:val="auto"/>
              <w:rPr>
                <w:rFonts w:hint="default" w:ascii="Times New Roman" w:hAnsi="Times New Roman" w:cs="Times New Roman" w:eastAsiaTheme="minorEastAsia"/>
                <w:b w:val="0"/>
                <w:bCs w:val="0"/>
                <w:color w:val="auto"/>
                <w:sz w:val="24"/>
                <w:szCs w:val="24"/>
                <w:highlight w:val="none"/>
                <w:lang w:val="en-US" w:eastAsia="zh-CN"/>
              </w:rPr>
            </w:pPr>
          </w:p>
        </w:tc>
      </w:tr>
      <w:tr w14:paraId="761CB3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81" w:type="pct"/>
            <w:vAlign w:val="center"/>
          </w:tcPr>
          <w:p w14:paraId="3CEEC778">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rPr>
            </w:pPr>
            <w:r>
              <w:rPr>
                <w:rFonts w:hint="default" w:ascii="Times New Roman" w:hAnsi="Times New Roman" w:cs="Times New Roman" w:eastAsiaTheme="minorEastAsia"/>
                <w:b w:val="0"/>
                <w:bCs w:val="0"/>
                <w:color w:val="auto"/>
                <w:kern w:val="2"/>
                <w:highlight w:val="none"/>
              </w:rPr>
              <w:t>与项目有关的原有环境污染问题</w:t>
            </w:r>
          </w:p>
        </w:tc>
        <w:tc>
          <w:tcPr>
            <w:tcW w:w="4618" w:type="pct"/>
            <w:vAlign w:val="center"/>
          </w:tcPr>
          <w:p w14:paraId="039BE987">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rightChars="0" w:firstLine="480" w:firstLineChars="200"/>
              <w:jc w:val="both"/>
              <w:textAlignment w:val="auto"/>
              <w:rPr>
                <w:rFonts w:hint="eastAsia" w:cs="Times New Roman" w:eastAsiaTheme="minorEastAsia"/>
                <w:b w:val="0"/>
                <w:bCs w:val="0"/>
                <w:color w:val="auto"/>
                <w:szCs w:val="21"/>
                <w:highlight w:val="none"/>
                <w:lang w:val="en-US" w:eastAsia="zh-CN"/>
              </w:rPr>
            </w:pPr>
          </w:p>
          <w:p w14:paraId="6053039F">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rightChars="0" w:firstLine="480" w:firstLineChars="200"/>
              <w:jc w:val="both"/>
              <w:textAlignment w:val="auto"/>
              <w:rPr>
                <w:rFonts w:hint="default" w:cs="Times New Roman" w:eastAsiaTheme="minorEastAsia"/>
                <w:b w:val="0"/>
                <w:bCs w:val="0"/>
                <w:color w:val="auto"/>
                <w:szCs w:val="21"/>
                <w:highlight w:val="none"/>
                <w:lang w:val="en-US" w:eastAsia="zh-CN"/>
              </w:rPr>
            </w:pPr>
            <w:r>
              <w:rPr>
                <w:rFonts w:hint="eastAsia" w:cs="Times New Roman" w:eastAsiaTheme="minorEastAsia"/>
                <w:b w:val="0"/>
                <w:bCs w:val="0"/>
                <w:color w:val="auto"/>
                <w:szCs w:val="21"/>
                <w:highlight w:val="none"/>
                <w:lang w:val="en-US" w:eastAsia="zh-CN"/>
              </w:rPr>
              <w:t>本项目为新建项目，租赁房屋目前为闲置状态，不存在与项目有关的原有污染及环境问题。</w:t>
            </w:r>
          </w:p>
          <w:p w14:paraId="1D96C83F">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rightChars="0" w:firstLine="480" w:firstLineChars="200"/>
              <w:jc w:val="both"/>
              <w:textAlignment w:val="auto"/>
              <w:rPr>
                <w:rFonts w:hint="default" w:cs="Times New Roman" w:eastAsiaTheme="minorEastAsia"/>
                <w:b w:val="0"/>
                <w:bCs w:val="0"/>
                <w:color w:val="auto"/>
                <w:szCs w:val="21"/>
                <w:highlight w:val="none"/>
                <w:lang w:val="en-US" w:eastAsia="zh-CN"/>
              </w:rPr>
            </w:pPr>
          </w:p>
          <w:p w14:paraId="0C368751">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rightChars="0" w:firstLine="480" w:firstLineChars="200"/>
              <w:jc w:val="both"/>
              <w:textAlignment w:val="auto"/>
              <w:rPr>
                <w:rFonts w:hint="default" w:cs="Times New Roman" w:eastAsiaTheme="minorEastAsia"/>
                <w:b w:val="0"/>
                <w:bCs w:val="0"/>
                <w:color w:val="auto"/>
                <w:szCs w:val="21"/>
                <w:highlight w:val="none"/>
                <w:lang w:val="en-US" w:eastAsia="zh-CN"/>
              </w:rPr>
            </w:pPr>
          </w:p>
          <w:p w14:paraId="1698DD98">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rightChars="0" w:firstLine="480" w:firstLineChars="200"/>
              <w:jc w:val="both"/>
              <w:textAlignment w:val="auto"/>
              <w:rPr>
                <w:rFonts w:hint="default" w:cs="Times New Roman" w:eastAsiaTheme="minorEastAsia"/>
                <w:b w:val="0"/>
                <w:bCs w:val="0"/>
                <w:color w:val="auto"/>
                <w:szCs w:val="21"/>
                <w:highlight w:val="none"/>
                <w:lang w:val="en-US" w:eastAsia="zh-CN"/>
              </w:rPr>
            </w:pPr>
          </w:p>
          <w:p w14:paraId="6242DF97">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rightChars="0" w:firstLine="480" w:firstLineChars="200"/>
              <w:jc w:val="both"/>
              <w:textAlignment w:val="auto"/>
              <w:rPr>
                <w:rFonts w:hint="default" w:eastAsia="宋体" w:cs="Times New Roman"/>
                <w:b w:val="0"/>
                <w:bCs w:val="0"/>
                <w:color w:val="auto"/>
                <w:szCs w:val="21"/>
                <w:highlight w:val="none"/>
                <w:lang w:val="en-US" w:eastAsia="zh-CN"/>
              </w:rPr>
            </w:pPr>
          </w:p>
          <w:p w14:paraId="32D22965">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rightChars="0" w:firstLine="480" w:firstLineChars="200"/>
              <w:jc w:val="both"/>
              <w:textAlignment w:val="auto"/>
              <w:rPr>
                <w:rFonts w:hint="default" w:eastAsia="宋体" w:cs="Times New Roman"/>
                <w:b w:val="0"/>
                <w:bCs w:val="0"/>
                <w:color w:val="auto"/>
                <w:szCs w:val="21"/>
                <w:highlight w:val="none"/>
                <w:lang w:val="en-US" w:eastAsia="zh-CN"/>
              </w:rPr>
            </w:pPr>
          </w:p>
          <w:p w14:paraId="76473E72">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rightChars="0" w:firstLine="480" w:firstLineChars="200"/>
              <w:jc w:val="both"/>
              <w:textAlignment w:val="auto"/>
              <w:rPr>
                <w:rFonts w:hint="default" w:eastAsia="宋体" w:cs="Times New Roman"/>
                <w:b w:val="0"/>
                <w:bCs w:val="0"/>
                <w:color w:val="auto"/>
                <w:szCs w:val="21"/>
                <w:highlight w:val="none"/>
                <w:lang w:val="en-US" w:eastAsia="zh-CN"/>
              </w:rPr>
            </w:pPr>
          </w:p>
          <w:p w14:paraId="6F7D12B2">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rightChars="0" w:firstLine="480" w:firstLineChars="200"/>
              <w:jc w:val="both"/>
              <w:textAlignment w:val="auto"/>
              <w:rPr>
                <w:rFonts w:hint="default" w:eastAsia="宋体" w:cs="Times New Roman"/>
                <w:b w:val="0"/>
                <w:bCs w:val="0"/>
                <w:color w:val="auto"/>
                <w:szCs w:val="21"/>
                <w:highlight w:val="none"/>
                <w:lang w:val="en-US" w:eastAsia="zh-CN"/>
              </w:rPr>
            </w:pPr>
          </w:p>
          <w:p w14:paraId="194A11BD">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rightChars="0" w:firstLine="480" w:firstLineChars="200"/>
              <w:jc w:val="both"/>
              <w:textAlignment w:val="auto"/>
              <w:rPr>
                <w:rFonts w:hint="default" w:eastAsia="宋体" w:cs="Times New Roman"/>
                <w:b w:val="0"/>
                <w:bCs w:val="0"/>
                <w:color w:val="auto"/>
                <w:szCs w:val="21"/>
                <w:highlight w:val="none"/>
                <w:lang w:val="en-US" w:eastAsia="zh-CN"/>
              </w:rPr>
            </w:pPr>
          </w:p>
          <w:p w14:paraId="01890D7F">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rightChars="0" w:firstLine="480" w:firstLineChars="200"/>
              <w:jc w:val="both"/>
              <w:textAlignment w:val="auto"/>
              <w:rPr>
                <w:rFonts w:hint="default" w:eastAsia="宋体" w:cs="Times New Roman"/>
                <w:b w:val="0"/>
                <w:bCs w:val="0"/>
                <w:color w:val="auto"/>
                <w:szCs w:val="21"/>
                <w:highlight w:val="none"/>
                <w:lang w:val="en-US" w:eastAsia="zh-CN"/>
              </w:rPr>
            </w:pPr>
          </w:p>
          <w:p w14:paraId="6F6D263C">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rightChars="0" w:firstLine="480" w:firstLineChars="200"/>
              <w:jc w:val="both"/>
              <w:textAlignment w:val="auto"/>
              <w:rPr>
                <w:rFonts w:hint="default" w:eastAsia="宋体" w:cs="Times New Roman"/>
                <w:b w:val="0"/>
                <w:bCs w:val="0"/>
                <w:color w:val="auto"/>
                <w:szCs w:val="21"/>
                <w:highlight w:val="none"/>
                <w:lang w:val="en-US" w:eastAsia="zh-CN"/>
              </w:rPr>
            </w:pPr>
          </w:p>
          <w:p w14:paraId="4878315A">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rightChars="0" w:firstLine="480" w:firstLineChars="200"/>
              <w:jc w:val="both"/>
              <w:textAlignment w:val="auto"/>
              <w:rPr>
                <w:rFonts w:hint="default" w:eastAsia="宋体" w:cs="Times New Roman"/>
                <w:b w:val="0"/>
                <w:bCs w:val="0"/>
                <w:color w:val="auto"/>
                <w:szCs w:val="21"/>
                <w:highlight w:val="none"/>
                <w:lang w:val="en-US" w:eastAsia="zh-CN"/>
              </w:rPr>
            </w:pPr>
          </w:p>
          <w:p w14:paraId="2D267DC6">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rightChars="0" w:firstLine="480" w:firstLineChars="200"/>
              <w:jc w:val="both"/>
              <w:textAlignment w:val="auto"/>
              <w:rPr>
                <w:rFonts w:hint="default" w:eastAsia="宋体" w:cs="Times New Roman"/>
                <w:b w:val="0"/>
                <w:bCs w:val="0"/>
                <w:color w:val="auto"/>
                <w:szCs w:val="21"/>
                <w:highlight w:val="none"/>
                <w:lang w:val="en-US" w:eastAsia="zh-CN"/>
              </w:rPr>
            </w:pPr>
          </w:p>
          <w:p w14:paraId="1F0059FE">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rightChars="0" w:firstLine="480" w:firstLineChars="200"/>
              <w:jc w:val="both"/>
              <w:textAlignment w:val="auto"/>
              <w:rPr>
                <w:rFonts w:hint="default" w:eastAsia="宋体" w:cs="Times New Roman"/>
                <w:b w:val="0"/>
                <w:bCs w:val="0"/>
                <w:color w:val="auto"/>
                <w:szCs w:val="21"/>
                <w:highlight w:val="none"/>
                <w:lang w:val="en-US" w:eastAsia="zh-CN"/>
              </w:rPr>
            </w:pPr>
          </w:p>
          <w:p w14:paraId="221891E2">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rightChars="0" w:firstLine="480" w:firstLineChars="200"/>
              <w:jc w:val="both"/>
              <w:textAlignment w:val="auto"/>
              <w:rPr>
                <w:rFonts w:hint="default" w:eastAsia="宋体" w:cs="Times New Roman"/>
                <w:b w:val="0"/>
                <w:bCs w:val="0"/>
                <w:color w:val="auto"/>
                <w:szCs w:val="21"/>
                <w:highlight w:val="none"/>
                <w:lang w:val="en-US" w:eastAsia="zh-CN"/>
              </w:rPr>
            </w:pPr>
          </w:p>
          <w:p w14:paraId="53AECDB5">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rightChars="0" w:firstLine="480" w:firstLineChars="200"/>
              <w:jc w:val="both"/>
              <w:textAlignment w:val="auto"/>
              <w:rPr>
                <w:rFonts w:hint="default" w:eastAsia="宋体" w:cs="Times New Roman"/>
                <w:b w:val="0"/>
                <w:bCs w:val="0"/>
                <w:color w:val="auto"/>
                <w:szCs w:val="21"/>
                <w:highlight w:val="none"/>
                <w:lang w:val="en-US" w:eastAsia="zh-CN"/>
              </w:rPr>
            </w:pPr>
          </w:p>
          <w:p w14:paraId="406EBAA0">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rightChars="0" w:firstLine="480" w:firstLineChars="200"/>
              <w:jc w:val="both"/>
              <w:textAlignment w:val="auto"/>
              <w:rPr>
                <w:rFonts w:hint="default" w:eastAsia="宋体" w:cs="Times New Roman"/>
                <w:b w:val="0"/>
                <w:bCs w:val="0"/>
                <w:color w:val="auto"/>
                <w:szCs w:val="21"/>
                <w:highlight w:val="none"/>
                <w:lang w:val="en-US" w:eastAsia="zh-CN"/>
              </w:rPr>
            </w:pPr>
          </w:p>
          <w:p w14:paraId="04768BA3">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rightChars="0" w:firstLine="480" w:firstLineChars="200"/>
              <w:jc w:val="both"/>
              <w:textAlignment w:val="auto"/>
              <w:rPr>
                <w:rFonts w:hint="default" w:eastAsia="宋体" w:cs="Times New Roman"/>
                <w:b w:val="0"/>
                <w:bCs w:val="0"/>
                <w:color w:val="auto"/>
                <w:szCs w:val="21"/>
                <w:highlight w:val="none"/>
                <w:lang w:val="en-US" w:eastAsia="zh-CN"/>
              </w:rPr>
            </w:pPr>
          </w:p>
          <w:p w14:paraId="1747211F">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rightChars="0" w:firstLine="480" w:firstLineChars="200"/>
              <w:jc w:val="both"/>
              <w:textAlignment w:val="auto"/>
              <w:rPr>
                <w:rFonts w:hint="default" w:eastAsia="宋体" w:cs="Times New Roman"/>
                <w:b w:val="0"/>
                <w:bCs w:val="0"/>
                <w:color w:val="auto"/>
                <w:szCs w:val="21"/>
                <w:highlight w:val="none"/>
                <w:lang w:val="en-US" w:eastAsia="zh-CN"/>
              </w:rPr>
            </w:pPr>
          </w:p>
          <w:p w14:paraId="2E657E87">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rightChars="0" w:firstLine="480" w:firstLineChars="200"/>
              <w:jc w:val="both"/>
              <w:textAlignment w:val="auto"/>
              <w:rPr>
                <w:rFonts w:hint="default" w:eastAsia="宋体" w:cs="Times New Roman"/>
                <w:b w:val="0"/>
                <w:bCs w:val="0"/>
                <w:color w:val="auto"/>
                <w:szCs w:val="21"/>
                <w:highlight w:val="none"/>
                <w:lang w:val="en-US" w:eastAsia="zh-CN"/>
              </w:rPr>
            </w:pPr>
          </w:p>
          <w:p w14:paraId="0C3A5C5A">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rightChars="0" w:firstLine="480" w:firstLineChars="200"/>
              <w:jc w:val="both"/>
              <w:textAlignment w:val="auto"/>
              <w:rPr>
                <w:rFonts w:hint="default" w:eastAsia="宋体" w:cs="Times New Roman"/>
                <w:b w:val="0"/>
                <w:bCs w:val="0"/>
                <w:color w:val="auto"/>
                <w:szCs w:val="21"/>
                <w:highlight w:val="none"/>
                <w:lang w:val="en-US" w:eastAsia="zh-CN"/>
              </w:rPr>
            </w:pPr>
          </w:p>
          <w:p w14:paraId="6283F439">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rightChars="0" w:firstLine="480" w:firstLineChars="200"/>
              <w:jc w:val="both"/>
              <w:textAlignment w:val="auto"/>
              <w:rPr>
                <w:rFonts w:hint="default" w:eastAsia="宋体" w:cs="Times New Roman"/>
                <w:b w:val="0"/>
                <w:bCs w:val="0"/>
                <w:color w:val="auto"/>
                <w:szCs w:val="21"/>
                <w:highlight w:val="none"/>
                <w:lang w:val="en-US" w:eastAsia="zh-CN"/>
              </w:rPr>
            </w:pPr>
          </w:p>
          <w:p w14:paraId="27BE5115">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rightChars="0" w:firstLine="480" w:firstLineChars="200"/>
              <w:jc w:val="both"/>
              <w:textAlignment w:val="auto"/>
              <w:rPr>
                <w:rFonts w:hint="default" w:eastAsia="宋体" w:cs="Times New Roman"/>
                <w:b w:val="0"/>
                <w:bCs w:val="0"/>
                <w:color w:val="auto"/>
                <w:szCs w:val="21"/>
                <w:highlight w:val="none"/>
                <w:lang w:val="en-US" w:eastAsia="zh-CN"/>
              </w:rPr>
            </w:pPr>
          </w:p>
          <w:p w14:paraId="5211FD86">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rightChars="0" w:firstLine="480" w:firstLineChars="200"/>
              <w:jc w:val="both"/>
              <w:textAlignment w:val="auto"/>
              <w:rPr>
                <w:rFonts w:hint="default" w:eastAsia="宋体" w:cs="Times New Roman"/>
                <w:b w:val="0"/>
                <w:bCs w:val="0"/>
                <w:color w:val="auto"/>
                <w:szCs w:val="21"/>
                <w:highlight w:val="none"/>
                <w:lang w:val="en-US" w:eastAsia="zh-CN"/>
              </w:rPr>
            </w:pPr>
          </w:p>
          <w:p w14:paraId="48D26695">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rightChars="0" w:firstLine="480" w:firstLineChars="200"/>
              <w:jc w:val="both"/>
              <w:textAlignment w:val="auto"/>
              <w:rPr>
                <w:rFonts w:hint="default" w:eastAsia="宋体" w:cs="Times New Roman"/>
                <w:b w:val="0"/>
                <w:bCs w:val="0"/>
                <w:color w:val="auto"/>
                <w:szCs w:val="21"/>
                <w:highlight w:val="none"/>
                <w:lang w:val="en-US" w:eastAsia="zh-CN"/>
              </w:rPr>
            </w:pPr>
          </w:p>
          <w:p w14:paraId="7AB7C9DE">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rightChars="0" w:firstLine="480" w:firstLineChars="200"/>
              <w:jc w:val="both"/>
              <w:textAlignment w:val="auto"/>
              <w:rPr>
                <w:rFonts w:hint="default" w:eastAsia="宋体" w:cs="Times New Roman"/>
                <w:b w:val="0"/>
                <w:bCs w:val="0"/>
                <w:color w:val="auto"/>
                <w:szCs w:val="21"/>
                <w:highlight w:val="none"/>
                <w:lang w:val="en-US" w:eastAsia="zh-CN"/>
              </w:rPr>
            </w:pPr>
          </w:p>
          <w:p w14:paraId="73F07C6F">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rightChars="0" w:firstLine="480" w:firstLineChars="200"/>
              <w:jc w:val="both"/>
              <w:textAlignment w:val="auto"/>
              <w:rPr>
                <w:rFonts w:hint="default" w:eastAsia="宋体" w:cs="Times New Roman"/>
                <w:b w:val="0"/>
                <w:bCs w:val="0"/>
                <w:color w:val="auto"/>
                <w:szCs w:val="21"/>
                <w:highlight w:val="none"/>
                <w:lang w:val="en-US" w:eastAsia="zh-CN"/>
              </w:rPr>
            </w:pPr>
          </w:p>
          <w:p w14:paraId="5DFB2D37">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rightChars="0" w:firstLine="480" w:firstLineChars="200"/>
              <w:jc w:val="both"/>
              <w:textAlignment w:val="auto"/>
              <w:rPr>
                <w:rFonts w:hint="default" w:eastAsia="宋体" w:cs="Times New Roman"/>
                <w:b w:val="0"/>
                <w:bCs w:val="0"/>
                <w:color w:val="auto"/>
                <w:szCs w:val="21"/>
                <w:highlight w:val="none"/>
                <w:lang w:val="en-US" w:eastAsia="zh-CN"/>
              </w:rPr>
            </w:pPr>
          </w:p>
          <w:p w14:paraId="72EBFD07">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rightChars="0" w:firstLine="480" w:firstLineChars="200"/>
              <w:jc w:val="both"/>
              <w:textAlignment w:val="auto"/>
              <w:rPr>
                <w:rFonts w:hint="default" w:cs="Times New Roman" w:eastAsiaTheme="minorEastAsia"/>
                <w:b w:val="0"/>
                <w:bCs w:val="0"/>
                <w:color w:val="auto"/>
                <w:szCs w:val="21"/>
                <w:highlight w:val="none"/>
                <w:lang w:val="en-US" w:eastAsia="zh-CN"/>
              </w:rPr>
            </w:pPr>
          </w:p>
          <w:p w14:paraId="01A02363">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rightChars="0" w:firstLine="480" w:firstLineChars="200"/>
              <w:jc w:val="both"/>
              <w:textAlignment w:val="auto"/>
              <w:rPr>
                <w:rFonts w:hint="default" w:cs="Times New Roman" w:eastAsiaTheme="minorEastAsia"/>
                <w:b w:val="0"/>
                <w:bCs w:val="0"/>
                <w:color w:val="auto"/>
                <w:szCs w:val="21"/>
                <w:highlight w:val="none"/>
                <w:lang w:val="en-US" w:eastAsia="zh-CN"/>
              </w:rPr>
            </w:pPr>
          </w:p>
          <w:p w14:paraId="36F64874">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rightChars="0" w:firstLine="480" w:firstLineChars="200"/>
              <w:jc w:val="both"/>
              <w:textAlignment w:val="auto"/>
              <w:rPr>
                <w:rFonts w:hint="default" w:cs="Times New Roman" w:eastAsiaTheme="minorEastAsia"/>
                <w:b w:val="0"/>
                <w:bCs w:val="0"/>
                <w:color w:val="auto"/>
                <w:szCs w:val="21"/>
                <w:highlight w:val="none"/>
                <w:lang w:val="en-US" w:eastAsia="zh-CN"/>
              </w:rPr>
            </w:pPr>
          </w:p>
        </w:tc>
      </w:tr>
    </w:tbl>
    <w:p w14:paraId="56F7D2F1">
      <w:pPr>
        <w:spacing w:before="0" w:beforeAutospacing="0" w:after="0" w:afterAutospacing="0"/>
        <w:jc w:val="center"/>
        <w:outlineLvl w:val="0"/>
        <w:rPr>
          <w:rFonts w:ascii="黑体" w:hAnsi="黑体" w:eastAsia="黑体"/>
          <w:snapToGrid w:val="0"/>
          <w:color w:val="auto"/>
          <w:sz w:val="30"/>
          <w:szCs w:val="30"/>
          <w:highlight w:val="none"/>
        </w:rPr>
      </w:pPr>
      <w:r>
        <w:rPr>
          <w:rFonts w:hint="eastAsia" w:ascii="黑体" w:hAnsi="黑体" w:eastAsia="黑体"/>
          <w:snapToGrid w:val="0"/>
          <w:color w:val="auto"/>
          <w:sz w:val="30"/>
          <w:szCs w:val="30"/>
          <w:highlight w:val="none"/>
        </w:rPr>
        <w:br w:type="page"/>
      </w:r>
      <w:r>
        <w:rPr>
          <w:rFonts w:hint="eastAsia" w:ascii="黑体" w:hAnsi="黑体" w:eastAsia="黑体"/>
          <w:snapToGrid w:val="0"/>
          <w:color w:val="auto"/>
          <w:sz w:val="30"/>
          <w:szCs w:val="30"/>
          <w:highlight w:val="none"/>
        </w:rPr>
        <w:t>三、区域环境质量现状、环境保护目标及评价标准</w:t>
      </w:r>
    </w:p>
    <w:tbl>
      <w:tblPr>
        <w:tblStyle w:val="12"/>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47"/>
        <w:gridCol w:w="8426"/>
      </w:tblGrid>
      <w:tr w14:paraId="4878AB1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1" w:type="dxa"/>
            <w:vAlign w:val="center"/>
          </w:tcPr>
          <w:p w14:paraId="01EF7DEC">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0"/>
                <w:sz w:val="24"/>
                <w:highlight w:val="none"/>
              </w:rPr>
            </w:pPr>
            <w:r>
              <w:rPr>
                <w:rFonts w:hint="default" w:ascii="Times New Roman" w:hAnsi="Times New Roman" w:eastAsia="宋体" w:cs="Times New Roman"/>
                <w:b w:val="0"/>
                <w:bCs w:val="0"/>
                <w:color w:val="auto"/>
                <w:kern w:val="0"/>
                <w:sz w:val="24"/>
                <w:highlight w:val="none"/>
              </w:rPr>
              <w:t>区域环境质量现状</w:t>
            </w:r>
          </w:p>
        </w:tc>
        <w:tc>
          <w:tcPr>
            <w:tcW w:w="8649" w:type="dxa"/>
            <w:vAlign w:val="center"/>
          </w:tcPr>
          <w:p w14:paraId="41B84A6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b w:val="0"/>
                <w:bCs w:val="0"/>
                <w:color w:val="auto"/>
                <w:kern w:val="0"/>
                <w:sz w:val="24"/>
                <w:highlight w:val="none"/>
                <w:lang w:val="en-US" w:eastAsia="zh-CN" w:bidi="ar"/>
              </w:rPr>
            </w:pPr>
            <w:r>
              <w:rPr>
                <w:rFonts w:hint="default" w:ascii="Times New Roman" w:hAnsi="Times New Roman" w:eastAsia="宋体" w:cs="Times New Roman"/>
                <w:b w:val="0"/>
                <w:bCs w:val="0"/>
                <w:color w:val="auto"/>
                <w:kern w:val="0"/>
                <w:sz w:val="24"/>
                <w:highlight w:val="none"/>
                <w:lang w:val="en-US" w:eastAsia="zh-CN" w:bidi="ar"/>
              </w:rPr>
              <w:t>1、大气环境质量现状</w:t>
            </w:r>
          </w:p>
          <w:p w14:paraId="60ABB84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b w:val="0"/>
                <w:bCs w:val="0"/>
                <w:color w:val="auto"/>
                <w:kern w:val="0"/>
                <w:sz w:val="24"/>
                <w:highlight w:val="none"/>
                <w:lang w:val="en-US" w:eastAsia="zh-CN" w:bidi="ar"/>
              </w:rPr>
            </w:pPr>
            <w:r>
              <w:rPr>
                <w:rFonts w:hint="default" w:ascii="Times New Roman" w:hAnsi="Times New Roman" w:eastAsia="宋体" w:cs="Times New Roman"/>
                <w:b w:val="0"/>
                <w:bCs w:val="0"/>
                <w:color w:val="auto"/>
                <w:kern w:val="0"/>
                <w:sz w:val="24"/>
                <w:highlight w:val="none"/>
                <w:lang w:val="en-US" w:eastAsia="zh-CN" w:bidi="ar"/>
              </w:rPr>
              <w:t>本项目所在区域为二类环境空气功能区，环境空气质量执行《环境空气质量标准》（GB3095-2012）及其修改单中二级标准。本次环评引用《202</w:t>
            </w:r>
            <w:r>
              <w:rPr>
                <w:rFonts w:hint="eastAsia" w:cs="Times New Roman"/>
                <w:b w:val="0"/>
                <w:bCs w:val="0"/>
                <w:color w:val="auto"/>
                <w:kern w:val="0"/>
                <w:sz w:val="24"/>
                <w:highlight w:val="none"/>
                <w:lang w:val="en-US" w:eastAsia="zh-CN" w:bidi="ar"/>
              </w:rPr>
              <w:t>4</w:t>
            </w:r>
            <w:r>
              <w:rPr>
                <w:rFonts w:hint="default" w:ascii="Times New Roman" w:hAnsi="Times New Roman" w:eastAsia="宋体" w:cs="Times New Roman"/>
                <w:b w:val="0"/>
                <w:bCs w:val="0"/>
                <w:color w:val="auto"/>
                <w:kern w:val="0"/>
                <w:sz w:val="24"/>
                <w:highlight w:val="none"/>
                <w:lang w:val="en-US" w:eastAsia="zh-CN" w:bidi="ar"/>
              </w:rPr>
              <w:t>年北京市生态环境状况公报》（202</w:t>
            </w:r>
            <w:r>
              <w:rPr>
                <w:rFonts w:hint="eastAsia" w:cs="Times New Roman"/>
                <w:b w:val="0"/>
                <w:bCs w:val="0"/>
                <w:color w:val="auto"/>
                <w:kern w:val="0"/>
                <w:sz w:val="24"/>
                <w:highlight w:val="none"/>
                <w:lang w:val="en-US" w:eastAsia="zh-CN" w:bidi="ar"/>
              </w:rPr>
              <w:t>5</w:t>
            </w:r>
            <w:r>
              <w:rPr>
                <w:rFonts w:hint="default" w:ascii="Times New Roman" w:hAnsi="Times New Roman" w:eastAsia="宋体" w:cs="Times New Roman"/>
                <w:b w:val="0"/>
                <w:bCs w:val="0"/>
                <w:color w:val="auto"/>
                <w:kern w:val="0"/>
                <w:sz w:val="24"/>
                <w:highlight w:val="none"/>
                <w:lang w:val="en-US" w:eastAsia="zh-CN" w:bidi="ar"/>
              </w:rPr>
              <w:t>年5月）数据对北京市、</w:t>
            </w:r>
            <w:r>
              <w:rPr>
                <w:rFonts w:hint="eastAsia" w:cs="Times New Roman"/>
                <w:b w:val="0"/>
                <w:bCs w:val="0"/>
                <w:color w:val="auto"/>
                <w:kern w:val="0"/>
                <w:sz w:val="24"/>
                <w:highlight w:val="none"/>
                <w:lang w:val="en-US" w:eastAsia="zh-CN" w:bidi="ar"/>
              </w:rPr>
              <w:t>海淀区</w:t>
            </w:r>
            <w:r>
              <w:rPr>
                <w:rFonts w:hint="default" w:ascii="Times New Roman" w:hAnsi="Times New Roman" w:eastAsia="宋体" w:cs="Times New Roman"/>
                <w:b w:val="0"/>
                <w:bCs w:val="0"/>
                <w:color w:val="auto"/>
                <w:kern w:val="0"/>
                <w:sz w:val="24"/>
                <w:highlight w:val="none"/>
                <w:lang w:val="en-US" w:eastAsia="zh-CN" w:bidi="ar"/>
              </w:rPr>
              <w:t>空气质量状况进行评价，具体见下表。</w:t>
            </w:r>
          </w:p>
          <w:p w14:paraId="0D95F49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0" w:firstLineChars="0"/>
              <w:jc w:val="center"/>
              <w:textAlignment w:val="auto"/>
              <w:rPr>
                <w:rFonts w:hint="default" w:ascii="Times New Roman" w:hAnsi="Times New Roman" w:eastAsia="宋体" w:cs="Times New Roman"/>
                <w:b w:val="0"/>
                <w:bCs w:val="0"/>
                <w:color w:val="auto"/>
                <w:kern w:val="0"/>
                <w:sz w:val="24"/>
                <w:highlight w:val="none"/>
                <w:lang w:val="en-US" w:eastAsia="zh-CN" w:bidi="ar"/>
              </w:rPr>
            </w:pPr>
            <w:r>
              <w:rPr>
                <w:rFonts w:hint="eastAsia" w:cs="Times New Roman"/>
                <w:b/>
                <w:bCs/>
                <w:color w:val="auto"/>
                <w:kern w:val="0"/>
                <w:sz w:val="21"/>
                <w:szCs w:val="21"/>
                <w:highlight w:val="none"/>
                <w:lang w:val="en-US" w:eastAsia="zh-CN" w:bidi="ar"/>
              </w:rPr>
              <w:t xml:space="preserve">表3-1 </w:t>
            </w:r>
            <w:r>
              <w:rPr>
                <w:rFonts w:hint="default" w:ascii="Times New Roman" w:hAnsi="Times New Roman" w:eastAsia="宋体" w:cs="Times New Roman"/>
                <w:b/>
                <w:bCs/>
                <w:color w:val="auto"/>
                <w:kern w:val="0"/>
                <w:sz w:val="21"/>
                <w:szCs w:val="21"/>
                <w:highlight w:val="none"/>
                <w:lang w:val="en-US" w:eastAsia="zh-CN" w:bidi="ar"/>
              </w:rPr>
              <w:t>202</w:t>
            </w:r>
            <w:r>
              <w:rPr>
                <w:rFonts w:hint="eastAsia" w:cs="Times New Roman"/>
                <w:b/>
                <w:bCs/>
                <w:color w:val="auto"/>
                <w:kern w:val="0"/>
                <w:sz w:val="21"/>
                <w:szCs w:val="21"/>
                <w:highlight w:val="none"/>
                <w:lang w:val="en-US" w:eastAsia="zh-CN" w:bidi="ar"/>
              </w:rPr>
              <w:t>4</w:t>
            </w:r>
            <w:r>
              <w:rPr>
                <w:rFonts w:hint="default" w:ascii="Times New Roman" w:hAnsi="Times New Roman" w:eastAsia="宋体" w:cs="Times New Roman"/>
                <w:b/>
                <w:bCs/>
                <w:color w:val="auto"/>
                <w:kern w:val="0"/>
                <w:sz w:val="21"/>
                <w:szCs w:val="21"/>
                <w:highlight w:val="none"/>
                <w:lang w:val="en-US" w:eastAsia="zh-CN" w:bidi="ar"/>
              </w:rPr>
              <w:t>年北京市及</w:t>
            </w:r>
            <w:r>
              <w:rPr>
                <w:rFonts w:hint="eastAsia" w:cs="Times New Roman"/>
                <w:b/>
                <w:bCs/>
                <w:color w:val="auto"/>
                <w:kern w:val="0"/>
                <w:sz w:val="21"/>
                <w:szCs w:val="21"/>
                <w:highlight w:val="none"/>
                <w:lang w:val="en-US" w:eastAsia="zh-CN" w:bidi="ar"/>
              </w:rPr>
              <w:t>海淀区</w:t>
            </w:r>
            <w:r>
              <w:rPr>
                <w:rFonts w:hint="default" w:ascii="Times New Roman" w:hAnsi="Times New Roman" w:eastAsia="宋体" w:cs="Times New Roman"/>
                <w:b/>
                <w:bCs/>
                <w:color w:val="auto"/>
                <w:kern w:val="0"/>
                <w:sz w:val="21"/>
                <w:szCs w:val="21"/>
                <w:highlight w:val="none"/>
                <w:lang w:val="en-US" w:eastAsia="zh-CN" w:bidi="ar"/>
              </w:rPr>
              <w:t>环境空气监测结果一览表</w:t>
            </w:r>
          </w:p>
          <w:tbl>
            <w:tblPr>
              <w:tblStyle w:val="13"/>
              <w:tblW w:w="8207"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58"/>
              <w:gridCol w:w="945"/>
              <w:gridCol w:w="1770"/>
              <w:gridCol w:w="1215"/>
              <w:gridCol w:w="1140"/>
              <w:gridCol w:w="1170"/>
              <w:gridCol w:w="1109"/>
            </w:tblGrid>
            <w:tr w14:paraId="76B9187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8" w:type="dxa"/>
                  <w:tcBorders>
                    <w:tl2br w:val="nil"/>
                    <w:tr2bl w:val="nil"/>
                  </w:tcBorders>
                  <w:vAlign w:val="center"/>
                </w:tcPr>
                <w:p w14:paraId="3826431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kern w:val="0"/>
                      <w:sz w:val="21"/>
                      <w:szCs w:val="21"/>
                      <w:highlight w:val="none"/>
                      <w:vertAlign w:val="baseline"/>
                      <w:lang w:val="en-US" w:eastAsia="zh-CN" w:bidi="ar"/>
                    </w:rPr>
                  </w:pPr>
                  <w:r>
                    <w:rPr>
                      <w:rFonts w:hint="default" w:ascii="Times New Roman" w:hAnsi="Times New Roman" w:eastAsia="宋体" w:cs="Times New Roman"/>
                      <w:b/>
                      <w:bCs/>
                      <w:color w:val="auto"/>
                      <w:kern w:val="0"/>
                      <w:sz w:val="21"/>
                      <w:szCs w:val="21"/>
                      <w:highlight w:val="none"/>
                      <w:vertAlign w:val="baseline"/>
                      <w:lang w:val="en-US" w:eastAsia="zh-CN" w:bidi="ar"/>
                    </w:rPr>
                    <w:t>区域</w:t>
                  </w:r>
                </w:p>
              </w:tc>
              <w:tc>
                <w:tcPr>
                  <w:tcW w:w="945" w:type="dxa"/>
                  <w:tcBorders>
                    <w:tl2br w:val="nil"/>
                    <w:tr2bl w:val="nil"/>
                  </w:tcBorders>
                  <w:vAlign w:val="center"/>
                </w:tcPr>
                <w:p w14:paraId="319BDC3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kern w:val="0"/>
                      <w:sz w:val="21"/>
                      <w:szCs w:val="21"/>
                      <w:highlight w:val="none"/>
                      <w:vertAlign w:val="baseline"/>
                      <w:lang w:val="en-US" w:eastAsia="zh-CN" w:bidi="ar"/>
                    </w:rPr>
                  </w:pPr>
                  <w:r>
                    <w:rPr>
                      <w:rFonts w:hint="default" w:ascii="Times New Roman" w:hAnsi="Times New Roman" w:eastAsia="宋体" w:cs="Times New Roman"/>
                      <w:b/>
                      <w:bCs/>
                      <w:color w:val="auto"/>
                      <w:kern w:val="0"/>
                      <w:sz w:val="21"/>
                      <w:szCs w:val="21"/>
                      <w:highlight w:val="none"/>
                      <w:vertAlign w:val="baseline"/>
                      <w:lang w:val="en-US" w:eastAsia="zh-CN" w:bidi="ar"/>
                    </w:rPr>
                    <w:t>污染物</w:t>
                  </w:r>
                </w:p>
              </w:tc>
              <w:tc>
                <w:tcPr>
                  <w:tcW w:w="1770" w:type="dxa"/>
                  <w:tcBorders>
                    <w:tl2br w:val="nil"/>
                    <w:tr2bl w:val="nil"/>
                  </w:tcBorders>
                  <w:vAlign w:val="center"/>
                </w:tcPr>
                <w:p w14:paraId="6544B1A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kern w:val="0"/>
                      <w:sz w:val="21"/>
                      <w:szCs w:val="21"/>
                      <w:highlight w:val="none"/>
                      <w:vertAlign w:val="baseline"/>
                      <w:lang w:val="en-US" w:eastAsia="zh-CN" w:bidi="ar"/>
                    </w:rPr>
                  </w:pPr>
                  <w:r>
                    <w:rPr>
                      <w:rFonts w:hint="default" w:ascii="Times New Roman" w:hAnsi="Times New Roman" w:eastAsia="宋体" w:cs="Times New Roman"/>
                      <w:b/>
                      <w:bCs/>
                      <w:color w:val="auto"/>
                      <w:kern w:val="0"/>
                      <w:sz w:val="21"/>
                      <w:szCs w:val="21"/>
                      <w:highlight w:val="none"/>
                      <w:vertAlign w:val="baseline"/>
                      <w:lang w:val="en-US" w:eastAsia="zh-CN" w:bidi="ar"/>
                    </w:rPr>
                    <w:t>评价指标</w:t>
                  </w:r>
                </w:p>
              </w:tc>
              <w:tc>
                <w:tcPr>
                  <w:tcW w:w="1215" w:type="dxa"/>
                  <w:tcBorders>
                    <w:tl2br w:val="nil"/>
                    <w:tr2bl w:val="nil"/>
                  </w:tcBorders>
                  <w:vAlign w:val="center"/>
                </w:tcPr>
                <w:p w14:paraId="3991524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kern w:val="0"/>
                      <w:sz w:val="21"/>
                      <w:szCs w:val="21"/>
                      <w:highlight w:val="none"/>
                      <w:vertAlign w:val="baseline"/>
                      <w:lang w:val="en-US" w:eastAsia="zh-CN" w:bidi="ar"/>
                    </w:rPr>
                  </w:pPr>
                  <w:r>
                    <w:rPr>
                      <w:rFonts w:hint="default" w:ascii="Times New Roman" w:hAnsi="Times New Roman" w:eastAsia="宋体" w:cs="Times New Roman"/>
                      <w:b/>
                      <w:bCs/>
                      <w:color w:val="auto"/>
                      <w:kern w:val="0"/>
                      <w:sz w:val="21"/>
                      <w:szCs w:val="21"/>
                      <w:highlight w:val="none"/>
                      <w:vertAlign w:val="baseline"/>
                      <w:lang w:val="en-US" w:eastAsia="zh-CN" w:bidi="ar"/>
                    </w:rPr>
                    <w:t>现状浓度μg/m</w:t>
                  </w:r>
                  <w:r>
                    <w:rPr>
                      <w:rFonts w:hint="default" w:ascii="Times New Roman" w:hAnsi="Times New Roman" w:eastAsia="宋体" w:cs="Times New Roman"/>
                      <w:b/>
                      <w:bCs/>
                      <w:color w:val="auto"/>
                      <w:kern w:val="0"/>
                      <w:sz w:val="21"/>
                      <w:szCs w:val="21"/>
                      <w:highlight w:val="none"/>
                      <w:vertAlign w:val="superscript"/>
                      <w:lang w:val="en-US" w:eastAsia="zh-CN" w:bidi="ar"/>
                    </w:rPr>
                    <w:t>3</w:t>
                  </w:r>
                </w:p>
              </w:tc>
              <w:tc>
                <w:tcPr>
                  <w:tcW w:w="1140" w:type="dxa"/>
                  <w:tcBorders>
                    <w:tl2br w:val="nil"/>
                    <w:tr2bl w:val="nil"/>
                  </w:tcBorders>
                  <w:vAlign w:val="center"/>
                </w:tcPr>
                <w:p w14:paraId="7E15753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kern w:val="0"/>
                      <w:sz w:val="21"/>
                      <w:szCs w:val="21"/>
                      <w:highlight w:val="none"/>
                      <w:vertAlign w:val="baseline"/>
                      <w:lang w:val="en-US" w:eastAsia="zh-CN" w:bidi="ar"/>
                    </w:rPr>
                  </w:pPr>
                  <w:r>
                    <w:rPr>
                      <w:rFonts w:hint="eastAsia" w:ascii="Times New Roman" w:hAnsi="Times New Roman" w:eastAsia="宋体" w:cs="Times New Roman"/>
                      <w:b/>
                      <w:bCs/>
                      <w:color w:val="auto"/>
                      <w:kern w:val="0"/>
                      <w:sz w:val="21"/>
                      <w:szCs w:val="21"/>
                      <w:highlight w:val="none"/>
                      <w:vertAlign w:val="baseline"/>
                      <w:lang w:val="en-US" w:eastAsia="zh-CN" w:bidi="ar"/>
                    </w:rPr>
                    <w:t>标准值</w:t>
                  </w:r>
                  <w:r>
                    <w:rPr>
                      <w:rFonts w:hint="default" w:ascii="Times New Roman" w:hAnsi="Times New Roman" w:eastAsia="宋体" w:cs="Times New Roman"/>
                      <w:b/>
                      <w:bCs/>
                      <w:color w:val="auto"/>
                      <w:kern w:val="0"/>
                      <w:sz w:val="21"/>
                      <w:szCs w:val="21"/>
                      <w:highlight w:val="none"/>
                      <w:vertAlign w:val="baseline"/>
                      <w:lang w:val="en-US" w:eastAsia="zh-CN" w:bidi="ar"/>
                    </w:rPr>
                    <w:t>μg/m</w:t>
                  </w:r>
                  <w:r>
                    <w:rPr>
                      <w:rFonts w:hint="default" w:ascii="Times New Roman" w:hAnsi="Times New Roman" w:eastAsia="宋体" w:cs="Times New Roman"/>
                      <w:b/>
                      <w:bCs/>
                      <w:color w:val="auto"/>
                      <w:kern w:val="0"/>
                      <w:sz w:val="21"/>
                      <w:szCs w:val="21"/>
                      <w:highlight w:val="none"/>
                      <w:vertAlign w:val="superscript"/>
                      <w:lang w:val="en-US" w:eastAsia="zh-CN" w:bidi="ar"/>
                    </w:rPr>
                    <w:t>3</w:t>
                  </w:r>
                </w:p>
              </w:tc>
              <w:tc>
                <w:tcPr>
                  <w:tcW w:w="1170" w:type="dxa"/>
                  <w:tcBorders>
                    <w:tl2br w:val="nil"/>
                    <w:tr2bl w:val="nil"/>
                  </w:tcBorders>
                  <w:vAlign w:val="center"/>
                </w:tcPr>
                <w:p w14:paraId="577E0DA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kern w:val="0"/>
                      <w:sz w:val="21"/>
                      <w:szCs w:val="21"/>
                      <w:highlight w:val="none"/>
                      <w:vertAlign w:val="baseline"/>
                      <w:lang w:val="en-US" w:eastAsia="zh-CN" w:bidi="ar"/>
                    </w:rPr>
                  </w:pPr>
                  <w:r>
                    <w:rPr>
                      <w:rFonts w:hint="eastAsia" w:ascii="Times New Roman" w:hAnsi="Times New Roman" w:eastAsia="宋体" w:cs="Times New Roman"/>
                      <w:b/>
                      <w:bCs/>
                      <w:color w:val="auto"/>
                      <w:kern w:val="0"/>
                      <w:sz w:val="21"/>
                      <w:szCs w:val="21"/>
                      <w:highlight w:val="none"/>
                      <w:vertAlign w:val="baseline"/>
                      <w:lang w:val="en-US" w:eastAsia="zh-CN" w:bidi="ar"/>
                    </w:rPr>
                    <w:t>占标率%</w:t>
                  </w:r>
                </w:p>
              </w:tc>
              <w:tc>
                <w:tcPr>
                  <w:tcW w:w="1109" w:type="dxa"/>
                  <w:tcBorders>
                    <w:tl2br w:val="nil"/>
                    <w:tr2bl w:val="nil"/>
                  </w:tcBorders>
                  <w:vAlign w:val="center"/>
                </w:tcPr>
                <w:p w14:paraId="784CEE5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kern w:val="0"/>
                      <w:sz w:val="21"/>
                      <w:szCs w:val="21"/>
                      <w:highlight w:val="none"/>
                      <w:vertAlign w:val="baseline"/>
                      <w:lang w:val="en-US" w:eastAsia="zh-CN" w:bidi="ar"/>
                    </w:rPr>
                  </w:pPr>
                  <w:r>
                    <w:rPr>
                      <w:rFonts w:hint="eastAsia" w:ascii="Times New Roman" w:hAnsi="Times New Roman" w:eastAsia="宋体" w:cs="Times New Roman"/>
                      <w:b/>
                      <w:bCs/>
                      <w:color w:val="auto"/>
                      <w:kern w:val="0"/>
                      <w:sz w:val="21"/>
                      <w:szCs w:val="21"/>
                      <w:highlight w:val="none"/>
                      <w:vertAlign w:val="baseline"/>
                      <w:lang w:val="en-US" w:eastAsia="zh-CN" w:bidi="ar"/>
                    </w:rPr>
                    <w:t>达标情况</w:t>
                  </w:r>
                </w:p>
              </w:tc>
            </w:tr>
            <w:tr w14:paraId="32F867F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8" w:type="dxa"/>
                  <w:vMerge w:val="restart"/>
                  <w:tcBorders>
                    <w:tl2br w:val="nil"/>
                    <w:tr2bl w:val="nil"/>
                  </w:tcBorders>
                  <w:vAlign w:val="center"/>
                </w:tcPr>
                <w:p w14:paraId="6EDE566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北京市</w:t>
                  </w:r>
                </w:p>
              </w:tc>
              <w:tc>
                <w:tcPr>
                  <w:tcW w:w="945" w:type="dxa"/>
                  <w:tcBorders>
                    <w:tl2br w:val="nil"/>
                    <w:tr2bl w:val="nil"/>
                  </w:tcBorders>
                  <w:vAlign w:val="center"/>
                </w:tcPr>
                <w:p w14:paraId="03D2101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PM</w:t>
                  </w:r>
                  <w:r>
                    <w:rPr>
                      <w:rFonts w:hint="eastAsia" w:ascii="Times New Roman" w:hAnsi="Times New Roman" w:eastAsia="宋体" w:cs="Times New Roman"/>
                      <w:b w:val="0"/>
                      <w:bCs w:val="0"/>
                      <w:color w:val="000000"/>
                      <w:kern w:val="0"/>
                      <w:sz w:val="21"/>
                      <w:szCs w:val="21"/>
                      <w:highlight w:val="none"/>
                      <w:vertAlign w:val="subscript"/>
                      <w:lang w:val="en-US" w:eastAsia="zh-CN" w:bidi="ar"/>
                    </w:rPr>
                    <w:t>2.5</w:t>
                  </w:r>
                </w:p>
              </w:tc>
              <w:tc>
                <w:tcPr>
                  <w:tcW w:w="1770" w:type="dxa"/>
                  <w:tcBorders>
                    <w:tl2br w:val="nil"/>
                    <w:tr2bl w:val="nil"/>
                  </w:tcBorders>
                  <w:vAlign w:val="center"/>
                </w:tcPr>
                <w:p w14:paraId="613AC0B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年平均浓度</w:t>
                  </w:r>
                </w:p>
              </w:tc>
              <w:tc>
                <w:tcPr>
                  <w:tcW w:w="1215" w:type="dxa"/>
                  <w:tcBorders>
                    <w:tl2br w:val="nil"/>
                    <w:tr2bl w:val="nil"/>
                  </w:tcBorders>
                  <w:vAlign w:val="center"/>
                </w:tcPr>
                <w:p w14:paraId="67F7E44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30.5</w:t>
                  </w:r>
                </w:p>
              </w:tc>
              <w:tc>
                <w:tcPr>
                  <w:tcW w:w="1140" w:type="dxa"/>
                  <w:tcBorders>
                    <w:tl2br w:val="nil"/>
                    <w:tr2bl w:val="nil"/>
                  </w:tcBorders>
                  <w:vAlign w:val="center"/>
                </w:tcPr>
                <w:p w14:paraId="7C305A2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35</w:t>
                  </w:r>
                </w:p>
              </w:tc>
              <w:tc>
                <w:tcPr>
                  <w:tcW w:w="1170" w:type="dxa"/>
                  <w:tcBorders>
                    <w:tl2br w:val="nil"/>
                    <w:tr2bl w:val="nil"/>
                  </w:tcBorders>
                  <w:vAlign w:val="center"/>
                </w:tcPr>
                <w:p w14:paraId="611A47F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
                    </w:rPr>
                  </w:pPr>
                  <w:r>
                    <w:rPr>
                      <w:rFonts w:hint="eastAsia" w:cs="Times New Roman"/>
                      <w:b w:val="0"/>
                      <w:bCs w:val="0"/>
                      <w:color w:val="000000"/>
                      <w:kern w:val="0"/>
                      <w:sz w:val="21"/>
                      <w:szCs w:val="21"/>
                      <w:highlight w:val="none"/>
                      <w:vertAlign w:val="baseline"/>
                      <w:lang w:val="en-US" w:eastAsia="zh-CN" w:bidi="ar"/>
                    </w:rPr>
                    <w:t>87.14</w:t>
                  </w:r>
                </w:p>
              </w:tc>
              <w:tc>
                <w:tcPr>
                  <w:tcW w:w="1109" w:type="dxa"/>
                  <w:tcBorders>
                    <w:tl2br w:val="nil"/>
                    <w:tr2bl w:val="nil"/>
                  </w:tcBorders>
                  <w:vAlign w:val="center"/>
                </w:tcPr>
                <w:p w14:paraId="304E6A9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达标</w:t>
                  </w:r>
                </w:p>
              </w:tc>
            </w:tr>
            <w:tr w14:paraId="4B9EEB4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8" w:type="dxa"/>
                  <w:vMerge w:val="continue"/>
                  <w:tcBorders>
                    <w:tl2br w:val="nil"/>
                    <w:tr2bl w:val="nil"/>
                  </w:tcBorders>
                  <w:vAlign w:val="center"/>
                </w:tcPr>
                <w:p w14:paraId="6F67C94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
                    </w:rPr>
                  </w:pPr>
                </w:p>
              </w:tc>
              <w:tc>
                <w:tcPr>
                  <w:tcW w:w="945" w:type="dxa"/>
                  <w:tcBorders>
                    <w:tl2br w:val="nil"/>
                    <w:tr2bl w:val="nil"/>
                  </w:tcBorders>
                  <w:vAlign w:val="center"/>
                </w:tcPr>
                <w:p w14:paraId="2BE0B05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PM</w:t>
                  </w:r>
                  <w:r>
                    <w:rPr>
                      <w:rFonts w:hint="eastAsia" w:ascii="Times New Roman" w:hAnsi="Times New Roman" w:eastAsia="宋体" w:cs="Times New Roman"/>
                      <w:b w:val="0"/>
                      <w:bCs w:val="0"/>
                      <w:color w:val="000000"/>
                      <w:kern w:val="0"/>
                      <w:sz w:val="21"/>
                      <w:szCs w:val="21"/>
                      <w:highlight w:val="none"/>
                      <w:vertAlign w:val="subscript"/>
                      <w:lang w:val="en-US" w:eastAsia="zh-CN" w:bidi="ar"/>
                    </w:rPr>
                    <w:t>10</w:t>
                  </w:r>
                </w:p>
              </w:tc>
              <w:tc>
                <w:tcPr>
                  <w:tcW w:w="1770" w:type="dxa"/>
                  <w:tcBorders>
                    <w:tl2br w:val="nil"/>
                    <w:tr2bl w:val="nil"/>
                  </w:tcBorders>
                  <w:vAlign w:val="center"/>
                </w:tcPr>
                <w:p w14:paraId="50A2639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年平均浓度</w:t>
                  </w:r>
                </w:p>
              </w:tc>
              <w:tc>
                <w:tcPr>
                  <w:tcW w:w="1215" w:type="dxa"/>
                  <w:tcBorders>
                    <w:tl2br w:val="nil"/>
                    <w:tr2bl w:val="nil"/>
                  </w:tcBorders>
                  <w:vAlign w:val="center"/>
                </w:tcPr>
                <w:p w14:paraId="32D48E5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54</w:t>
                  </w:r>
                </w:p>
              </w:tc>
              <w:tc>
                <w:tcPr>
                  <w:tcW w:w="1140" w:type="dxa"/>
                  <w:tcBorders>
                    <w:tl2br w:val="nil"/>
                    <w:tr2bl w:val="nil"/>
                  </w:tcBorders>
                  <w:vAlign w:val="center"/>
                </w:tcPr>
                <w:p w14:paraId="0379277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70</w:t>
                  </w:r>
                </w:p>
              </w:tc>
              <w:tc>
                <w:tcPr>
                  <w:tcW w:w="1170" w:type="dxa"/>
                  <w:tcBorders>
                    <w:tl2br w:val="nil"/>
                    <w:tr2bl w:val="nil"/>
                  </w:tcBorders>
                  <w:vAlign w:val="center"/>
                </w:tcPr>
                <w:p w14:paraId="4048E00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
                    </w:rPr>
                  </w:pPr>
                  <w:r>
                    <w:rPr>
                      <w:rFonts w:hint="eastAsia" w:cs="Times New Roman"/>
                      <w:b w:val="0"/>
                      <w:bCs w:val="0"/>
                      <w:color w:val="000000"/>
                      <w:kern w:val="0"/>
                      <w:sz w:val="21"/>
                      <w:szCs w:val="21"/>
                      <w:highlight w:val="none"/>
                      <w:vertAlign w:val="baseline"/>
                      <w:lang w:val="en-US" w:eastAsia="zh-CN" w:bidi="ar"/>
                    </w:rPr>
                    <w:t>77.14</w:t>
                  </w:r>
                </w:p>
              </w:tc>
              <w:tc>
                <w:tcPr>
                  <w:tcW w:w="1109" w:type="dxa"/>
                  <w:tcBorders>
                    <w:tl2br w:val="nil"/>
                    <w:tr2bl w:val="nil"/>
                  </w:tcBorders>
                  <w:vAlign w:val="center"/>
                </w:tcPr>
                <w:p w14:paraId="538A0AF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达标</w:t>
                  </w:r>
                </w:p>
              </w:tc>
            </w:tr>
            <w:tr w14:paraId="76DECD0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8" w:type="dxa"/>
                  <w:vMerge w:val="continue"/>
                  <w:tcBorders>
                    <w:tl2br w:val="nil"/>
                    <w:tr2bl w:val="nil"/>
                  </w:tcBorders>
                  <w:vAlign w:val="center"/>
                </w:tcPr>
                <w:p w14:paraId="7311280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
                    </w:rPr>
                  </w:pPr>
                </w:p>
              </w:tc>
              <w:tc>
                <w:tcPr>
                  <w:tcW w:w="945" w:type="dxa"/>
                  <w:tcBorders>
                    <w:tl2br w:val="nil"/>
                    <w:tr2bl w:val="nil"/>
                  </w:tcBorders>
                  <w:vAlign w:val="center"/>
                </w:tcPr>
                <w:p w14:paraId="059715C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SO</w:t>
                  </w:r>
                  <w:r>
                    <w:rPr>
                      <w:rFonts w:hint="eastAsia" w:ascii="Times New Roman" w:hAnsi="Times New Roman" w:eastAsia="宋体" w:cs="Times New Roman"/>
                      <w:b w:val="0"/>
                      <w:bCs w:val="0"/>
                      <w:color w:val="000000"/>
                      <w:kern w:val="0"/>
                      <w:sz w:val="21"/>
                      <w:szCs w:val="21"/>
                      <w:highlight w:val="none"/>
                      <w:vertAlign w:val="subscript"/>
                      <w:lang w:val="en-US" w:eastAsia="zh-CN" w:bidi="ar"/>
                    </w:rPr>
                    <w:t>2</w:t>
                  </w:r>
                </w:p>
              </w:tc>
              <w:tc>
                <w:tcPr>
                  <w:tcW w:w="1770" w:type="dxa"/>
                  <w:tcBorders>
                    <w:tl2br w:val="nil"/>
                    <w:tr2bl w:val="nil"/>
                  </w:tcBorders>
                  <w:vAlign w:val="center"/>
                </w:tcPr>
                <w:p w14:paraId="29E3FA6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年平均浓度</w:t>
                  </w:r>
                </w:p>
              </w:tc>
              <w:tc>
                <w:tcPr>
                  <w:tcW w:w="1215" w:type="dxa"/>
                  <w:tcBorders>
                    <w:tl2br w:val="nil"/>
                    <w:tr2bl w:val="nil"/>
                  </w:tcBorders>
                  <w:vAlign w:val="center"/>
                </w:tcPr>
                <w:p w14:paraId="4468EF1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3</w:t>
                  </w:r>
                </w:p>
              </w:tc>
              <w:tc>
                <w:tcPr>
                  <w:tcW w:w="1140" w:type="dxa"/>
                  <w:tcBorders>
                    <w:tl2br w:val="nil"/>
                    <w:tr2bl w:val="nil"/>
                  </w:tcBorders>
                  <w:vAlign w:val="center"/>
                </w:tcPr>
                <w:p w14:paraId="2ABCFB7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60</w:t>
                  </w:r>
                </w:p>
              </w:tc>
              <w:tc>
                <w:tcPr>
                  <w:tcW w:w="1170" w:type="dxa"/>
                  <w:tcBorders>
                    <w:tl2br w:val="nil"/>
                    <w:tr2bl w:val="nil"/>
                  </w:tcBorders>
                  <w:vAlign w:val="center"/>
                </w:tcPr>
                <w:p w14:paraId="559134C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
                    </w:rPr>
                  </w:pPr>
                  <w:r>
                    <w:rPr>
                      <w:rFonts w:hint="eastAsia" w:cs="Times New Roman"/>
                      <w:b w:val="0"/>
                      <w:bCs w:val="0"/>
                      <w:color w:val="000000"/>
                      <w:kern w:val="0"/>
                      <w:sz w:val="21"/>
                      <w:szCs w:val="21"/>
                      <w:highlight w:val="none"/>
                      <w:vertAlign w:val="baseline"/>
                      <w:lang w:val="en-US" w:eastAsia="zh-CN" w:bidi="ar"/>
                    </w:rPr>
                    <w:t>5.00</w:t>
                  </w:r>
                </w:p>
              </w:tc>
              <w:tc>
                <w:tcPr>
                  <w:tcW w:w="1109" w:type="dxa"/>
                  <w:tcBorders>
                    <w:tl2br w:val="nil"/>
                    <w:tr2bl w:val="nil"/>
                  </w:tcBorders>
                  <w:vAlign w:val="center"/>
                </w:tcPr>
                <w:p w14:paraId="5F761DF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达标</w:t>
                  </w:r>
                </w:p>
              </w:tc>
            </w:tr>
            <w:tr w14:paraId="5726B49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8" w:type="dxa"/>
                  <w:vMerge w:val="continue"/>
                  <w:tcBorders>
                    <w:tl2br w:val="nil"/>
                    <w:tr2bl w:val="nil"/>
                  </w:tcBorders>
                  <w:vAlign w:val="center"/>
                </w:tcPr>
                <w:p w14:paraId="1CC5382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
                    </w:rPr>
                  </w:pPr>
                </w:p>
              </w:tc>
              <w:tc>
                <w:tcPr>
                  <w:tcW w:w="945" w:type="dxa"/>
                  <w:tcBorders>
                    <w:tl2br w:val="nil"/>
                    <w:tr2bl w:val="nil"/>
                  </w:tcBorders>
                  <w:vAlign w:val="center"/>
                </w:tcPr>
                <w:p w14:paraId="3802BFF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NO</w:t>
                  </w:r>
                  <w:r>
                    <w:rPr>
                      <w:rFonts w:hint="eastAsia" w:ascii="Times New Roman" w:hAnsi="Times New Roman" w:eastAsia="宋体" w:cs="Times New Roman"/>
                      <w:b w:val="0"/>
                      <w:bCs w:val="0"/>
                      <w:color w:val="000000"/>
                      <w:kern w:val="0"/>
                      <w:sz w:val="21"/>
                      <w:szCs w:val="21"/>
                      <w:highlight w:val="none"/>
                      <w:vertAlign w:val="subscript"/>
                      <w:lang w:val="en-US" w:eastAsia="zh-CN" w:bidi="ar"/>
                    </w:rPr>
                    <w:t>2</w:t>
                  </w:r>
                </w:p>
              </w:tc>
              <w:tc>
                <w:tcPr>
                  <w:tcW w:w="1770" w:type="dxa"/>
                  <w:tcBorders>
                    <w:tl2br w:val="nil"/>
                    <w:tr2bl w:val="nil"/>
                  </w:tcBorders>
                  <w:vAlign w:val="center"/>
                </w:tcPr>
                <w:p w14:paraId="0C59645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年平均浓度</w:t>
                  </w:r>
                </w:p>
              </w:tc>
              <w:tc>
                <w:tcPr>
                  <w:tcW w:w="1215" w:type="dxa"/>
                  <w:tcBorders>
                    <w:tl2br w:val="nil"/>
                    <w:tr2bl w:val="nil"/>
                  </w:tcBorders>
                  <w:vAlign w:val="center"/>
                </w:tcPr>
                <w:p w14:paraId="5AA426D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24</w:t>
                  </w:r>
                </w:p>
              </w:tc>
              <w:tc>
                <w:tcPr>
                  <w:tcW w:w="1140" w:type="dxa"/>
                  <w:tcBorders>
                    <w:tl2br w:val="nil"/>
                    <w:tr2bl w:val="nil"/>
                  </w:tcBorders>
                  <w:vAlign w:val="center"/>
                </w:tcPr>
                <w:p w14:paraId="2E71D4F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40</w:t>
                  </w:r>
                </w:p>
              </w:tc>
              <w:tc>
                <w:tcPr>
                  <w:tcW w:w="1170" w:type="dxa"/>
                  <w:tcBorders>
                    <w:tl2br w:val="nil"/>
                    <w:tr2bl w:val="nil"/>
                  </w:tcBorders>
                  <w:vAlign w:val="center"/>
                </w:tcPr>
                <w:p w14:paraId="4514F92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
                    </w:rPr>
                  </w:pPr>
                  <w:r>
                    <w:rPr>
                      <w:rFonts w:hint="eastAsia" w:cs="Times New Roman"/>
                      <w:b w:val="0"/>
                      <w:bCs w:val="0"/>
                      <w:color w:val="000000"/>
                      <w:kern w:val="0"/>
                      <w:sz w:val="21"/>
                      <w:szCs w:val="21"/>
                      <w:highlight w:val="none"/>
                      <w:vertAlign w:val="baseline"/>
                      <w:lang w:val="en-US" w:eastAsia="zh-CN" w:bidi="ar"/>
                    </w:rPr>
                    <w:t>60.00</w:t>
                  </w:r>
                </w:p>
              </w:tc>
              <w:tc>
                <w:tcPr>
                  <w:tcW w:w="1109" w:type="dxa"/>
                  <w:tcBorders>
                    <w:tl2br w:val="nil"/>
                    <w:tr2bl w:val="nil"/>
                  </w:tcBorders>
                  <w:vAlign w:val="center"/>
                </w:tcPr>
                <w:p w14:paraId="2F0CF60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达标</w:t>
                  </w:r>
                </w:p>
              </w:tc>
            </w:tr>
            <w:tr w14:paraId="7078470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8" w:type="dxa"/>
                  <w:vMerge w:val="continue"/>
                  <w:tcBorders>
                    <w:tl2br w:val="nil"/>
                    <w:tr2bl w:val="nil"/>
                  </w:tcBorders>
                  <w:vAlign w:val="center"/>
                </w:tcPr>
                <w:p w14:paraId="5D1D66D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
                    </w:rPr>
                  </w:pPr>
                </w:p>
              </w:tc>
              <w:tc>
                <w:tcPr>
                  <w:tcW w:w="945" w:type="dxa"/>
                  <w:tcBorders>
                    <w:tl2br w:val="nil"/>
                    <w:tr2bl w:val="nil"/>
                  </w:tcBorders>
                  <w:vAlign w:val="center"/>
                </w:tcPr>
                <w:p w14:paraId="0496E81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O</w:t>
                  </w:r>
                  <w:r>
                    <w:rPr>
                      <w:rFonts w:hint="eastAsia" w:ascii="Times New Roman" w:hAnsi="Times New Roman" w:eastAsia="宋体" w:cs="Times New Roman"/>
                      <w:b w:val="0"/>
                      <w:bCs w:val="0"/>
                      <w:color w:val="000000"/>
                      <w:kern w:val="0"/>
                      <w:sz w:val="21"/>
                      <w:szCs w:val="21"/>
                      <w:highlight w:val="none"/>
                      <w:vertAlign w:val="subscript"/>
                      <w:lang w:val="en-US" w:eastAsia="zh-CN" w:bidi="ar"/>
                    </w:rPr>
                    <w:t>3</w:t>
                  </w:r>
                </w:p>
              </w:tc>
              <w:tc>
                <w:tcPr>
                  <w:tcW w:w="1770" w:type="dxa"/>
                  <w:tcBorders>
                    <w:tl2br w:val="nil"/>
                    <w:tr2bl w:val="nil"/>
                  </w:tcBorders>
                  <w:vAlign w:val="center"/>
                </w:tcPr>
                <w:p w14:paraId="2C482FE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s="Times New Roman"/>
                      <w:b w:val="0"/>
                      <w:bCs w:val="0"/>
                      <w:color w:val="000000"/>
                      <w:kern w:val="0"/>
                      <w:sz w:val="21"/>
                      <w:szCs w:val="21"/>
                      <w:highlight w:val="none"/>
                      <w:vertAlign w:val="baseline"/>
                      <w:lang w:val="en-US" w:eastAsia="zh-CN" w:bidi="ar"/>
                    </w:rPr>
                  </w:pPr>
                  <w:r>
                    <w:rPr>
                      <w:rFonts w:hint="eastAsia" w:cs="Times New Roman"/>
                      <w:b w:val="0"/>
                      <w:bCs w:val="0"/>
                      <w:color w:val="000000"/>
                      <w:kern w:val="0"/>
                      <w:sz w:val="21"/>
                      <w:szCs w:val="21"/>
                      <w:highlight w:val="none"/>
                      <w:vertAlign w:val="baseline"/>
                      <w:lang w:val="en-US" w:eastAsia="zh-CN" w:bidi="ar"/>
                    </w:rPr>
                    <w:t>日最大8小时</w:t>
                  </w:r>
                </w:p>
                <w:p w14:paraId="7A238F4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
                    </w:rPr>
                  </w:pPr>
                  <w:r>
                    <w:rPr>
                      <w:rFonts w:hint="eastAsia" w:cs="Times New Roman"/>
                      <w:b w:val="0"/>
                      <w:bCs w:val="0"/>
                      <w:color w:val="000000"/>
                      <w:kern w:val="0"/>
                      <w:sz w:val="21"/>
                      <w:szCs w:val="21"/>
                      <w:highlight w:val="none"/>
                      <w:vertAlign w:val="baseline"/>
                      <w:lang w:val="en-US" w:eastAsia="zh-CN" w:bidi="ar"/>
                    </w:rPr>
                    <w:t>平均浓度</w:t>
                  </w:r>
                </w:p>
              </w:tc>
              <w:tc>
                <w:tcPr>
                  <w:tcW w:w="1215" w:type="dxa"/>
                  <w:tcBorders>
                    <w:tl2br w:val="nil"/>
                    <w:tr2bl w:val="nil"/>
                  </w:tcBorders>
                  <w:vAlign w:val="center"/>
                </w:tcPr>
                <w:p w14:paraId="298E982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171</w:t>
                  </w:r>
                </w:p>
              </w:tc>
              <w:tc>
                <w:tcPr>
                  <w:tcW w:w="1140" w:type="dxa"/>
                  <w:tcBorders>
                    <w:tl2br w:val="nil"/>
                    <w:tr2bl w:val="nil"/>
                  </w:tcBorders>
                  <w:vAlign w:val="center"/>
                </w:tcPr>
                <w:p w14:paraId="0DBF03C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160</w:t>
                  </w:r>
                </w:p>
              </w:tc>
              <w:tc>
                <w:tcPr>
                  <w:tcW w:w="1170" w:type="dxa"/>
                  <w:tcBorders>
                    <w:tl2br w:val="nil"/>
                    <w:tr2bl w:val="nil"/>
                  </w:tcBorders>
                  <w:vAlign w:val="center"/>
                </w:tcPr>
                <w:p w14:paraId="205C4AE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
                    </w:rPr>
                  </w:pPr>
                  <w:r>
                    <w:rPr>
                      <w:rFonts w:hint="eastAsia" w:cs="Times New Roman"/>
                      <w:b w:val="0"/>
                      <w:bCs w:val="0"/>
                      <w:color w:val="000000"/>
                      <w:kern w:val="0"/>
                      <w:sz w:val="21"/>
                      <w:szCs w:val="21"/>
                      <w:highlight w:val="none"/>
                      <w:vertAlign w:val="baseline"/>
                      <w:lang w:val="en-US" w:eastAsia="zh-CN" w:bidi="ar"/>
                    </w:rPr>
                    <w:t>106.88</w:t>
                  </w:r>
                </w:p>
              </w:tc>
              <w:tc>
                <w:tcPr>
                  <w:tcW w:w="1109" w:type="dxa"/>
                  <w:tcBorders>
                    <w:tl2br w:val="nil"/>
                    <w:tr2bl w:val="nil"/>
                  </w:tcBorders>
                  <w:vAlign w:val="center"/>
                </w:tcPr>
                <w:p w14:paraId="382F3EA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不达标</w:t>
                  </w:r>
                </w:p>
              </w:tc>
            </w:tr>
            <w:tr w14:paraId="00EC4E6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8" w:type="dxa"/>
                  <w:vMerge w:val="continue"/>
                  <w:tcBorders>
                    <w:tl2br w:val="nil"/>
                    <w:tr2bl w:val="nil"/>
                  </w:tcBorders>
                  <w:vAlign w:val="center"/>
                </w:tcPr>
                <w:p w14:paraId="09DAFA5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
                    </w:rPr>
                  </w:pPr>
                </w:p>
              </w:tc>
              <w:tc>
                <w:tcPr>
                  <w:tcW w:w="945" w:type="dxa"/>
                  <w:tcBorders>
                    <w:tl2br w:val="nil"/>
                    <w:tr2bl w:val="nil"/>
                  </w:tcBorders>
                  <w:vAlign w:val="center"/>
                </w:tcPr>
                <w:p w14:paraId="316D843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CO</w:t>
                  </w:r>
                </w:p>
              </w:tc>
              <w:tc>
                <w:tcPr>
                  <w:tcW w:w="1770" w:type="dxa"/>
                  <w:tcBorders>
                    <w:tl2br w:val="nil"/>
                    <w:tr2bl w:val="nil"/>
                  </w:tcBorders>
                  <w:vAlign w:val="center"/>
                </w:tcPr>
                <w:p w14:paraId="681BF5F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
                    </w:rPr>
                  </w:pPr>
                  <w:r>
                    <w:rPr>
                      <w:rFonts w:hint="eastAsia" w:cs="Times New Roman"/>
                      <w:b w:val="0"/>
                      <w:bCs w:val="0"/>
                      <w:color w:val="000000"/>
                      <w:kern w:val="0"/>
                      <w:sz w:val="21"/>
                      <w:szCs w:val="21"/>
                      <w:highlight w:val="none"/>
                      <w:vertAlign w:val="baseline"/>
                      <w:lang w:val="en-US" w:eastAsia="zh-CN" w:bidi="ar"/>
                    </w:rPr>
                    <w:t>24小时平均浓度</w:t>
                  </w:r>
                </w:p>
              </w:tc>
              <w:tc>
                <w:tcPr>
                  <w:tcW w:w="1215" w:type="dxa"/>
                  <w:tcBorders>
                    <w:tl2br w:val="nil"/>
                    <w:tr2bl w:val="nil"/>
                  </w:tcBorders>
                  <w:vAlign w:val="center"/>
                </w:tcPr>
                <w:p w14:paraId="67EE143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900</w:t>
                  </w:r>
                </w:p>
              </w:tc>
              <w:tc>
                <w:tcPr>
                  <w:tcW w:w="1140" w:type="dxa"/>
                  <w:tcBorders>
                    <w:tl2br w:val="nil"/>
                    <w:tr2bl w:val="nil"/>
                  </w:tcBorders>
                  <w:vAlign w:val="center"/>
                </w:tcPr>
                <w:p w14:paraId="175A1D1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4000</w:t>
                  </w:r>
                </w:p>
              </w:tc>
              <w:tc>
                <w:tcPr>
                  <w:tcW w:w="1170" w:type="dxa"/>
                  <w:tcBorders>
                    <w:tl2br w:val="nil"/>
                    <w:tr2bl w:val="nil"/>
                  </w:tcBorders>
                  <w:vAlign w:val="center"/>
                </w:tcPr>
                <w:p w14:paraId="090595C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
                    </w:rPr>
                  </w:pPr>
                  <w:r>
                    <w:rPr>
                      <w:rFonts w:hint="eastAsia" w:cs="Times New Roman"/>
                      <w:b w:val="0"/>
                      <w:bCs w:val="0"/>
                      <w:color w:val="000000"/>
                      <w:kern w:val="0"/>
                      <w:sz w:val="21"/>
                      <w:szCs w:val="21"/>
                      <w:highlight w:val="none"/>
                      <w:vertAlign w:val="baseline"/>
                      <w:lang w:val="en-US" w:eastAsia="zh-CN" w:bidi="ar"/>
                    </w:rPr>
                    <w:t>22.50</w:t>
                  </w:r>
                </w:p>
              </w:tc>
              <w:tc>
                <w:tcPr>
                  <w:tcW w:w="1109" w:type="dxa"/>
                  <w:tcBorders>
                    <w:tl2br w:val="nil"/>
                    <w:tr2bl w:val="nil"/>
                  </w:tcBorders>
                  <w:vAlign w:val="center"/>
                </w:tcPr>
                <w:p w14:paraId="7DDD5D2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达标</w:t>
                  </w:r>
                </w:p>
              </w:tc>
            </w:tr>
            <w:tr w14:paraId="5E29D45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8" w:type="dxa"/>
                  <w:vMerge w:val="restart"/>
                  <w:tcBorders>
                    <w:tl2br w:val="nil"/>
                    <w:tr2bl w:val="nil"/>
                  </w:tcBorders>
                  <w:vAlign w:val="center"/>
                </w:tcPr>
                <w:p w14:paraId="6941F95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海淀区</w:t>
                  </w:r>
                </w:p>
              </w:tc>
              <w:tc>
                <w:tcPr>
                  <w:tcW w:w="945" w:type="dxa"/>
                  <w:tcBorders>
                    <w:tl2br w:val="nil"/>
                    <w:tr2bl w:val="nil"/>
                  </w:tcBorders>
                  <w:vAlign w:val="center"/>
                </w:tcPr>
                <w:p w14:paraId="2F3C3EE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PM</w:t>
                  </w:r>
                  <w:r>
                    <w:rPr>
                      <w:rFonts w:hint="eastAsia" w:ascii="Times New Roman" w:hAnsi="Times New Roman" w:eastAsia="宋体" w:cs="Times New Roman"/>
                      <w:b w:val="0"/>
                      <w:bCs w:val="0"/>
                      <w:color w:val="auto"/>
                      <w:kern w:val="0"/>
                      <w:sz w:val="21"/>
                      <w:szCs w:val="21"/>
                      <w:highlight w:val="none"/>
                      <w:vertAlign w:val="subscript"/>
                      <w:lang w:val="en-US" w:eastAsia="zh-CN" w:bidi="ar"/>
                    </w:rPr>
                    <w:t>2.5</w:t>
                  </w:r>
                </w:p>
              </w:tc>
              <w:tc>
                <w:tcPr>
                  <w:tcW w:w="1770" w:type="dxa"/>
                  <w:tcBorders>
                    <w:tl2br w:val="nil"/>
                    <w:tr2bl w:val="nil"/>
                  </w:tcBorders>
                  <w:vAlign w:val="center"/>
                </w:tcPr>
                <w:p w14:paraId="6332891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0" w:firstLineChars="0"/>
                    <w:jc w:val="center"/>
                    <w:textAlignment w:val="auto"/>
                    <w:rPr>
                      <w:rFonts w:hint="eastAsia" w:ascii="Times New Roman" w:hAnsi="Times New Roman" w:eastAsia="宋体" w:cs="Times New Roman"/>
                      <w:b w:val="0"/>
                      <w:bCs w:val="0"/>
                      <w:color w:val="auto"/>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年平均浓度</w:t>
                  </w:r>
                </w:p>
              </w:tc>
              <w:tc>
                <w:tcPr>
                  <w:tcW w:w="1215" w:type="dxa"/>
                  <w:tcBorders>
                    <w:tl2br w:val="nil"/>
                    <w:tr2bl w:val="nil"/>
                  </w:tcBorders>
                  <w:vAlign w:val="center"/>
                </w:tcPr>
                <w:p w14:paraId="0E1D778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32</w:t>
                  </w:r>
                </w:p>
              </w:tc>
              <w:tc>
                <w:tcPr>
                  <w:tcW w:w="1140" w:type="dxa"/>
                  <w:tcBorders>
                    <w:tl2br w:val="nil"/>
                    <w:tr2bl w:val="nil"/>
                  </w:tcBorders>
                  <w:vAlign w:val="center"/>
                </w:tcPr>
                <w:p w14:paraId="66401D3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35</w:t>
                  </w:r>
                </w:p>
              </w:tc>
              <w:tc>
                <w:tcPr>
                  <w:tcW w:w="1170" w:type="dxa"/>
                  <w:tcBorders>
                    <w:tl2br w:val="nil"/>
                    <w:tr2bl w:val="nil"/>
                  </w:tcBorders>
                  <w:vAlign w:val="center"/>
                </w:tcPr>
                <w:p w14:paraId="78118BB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91.43</w:t>
                  </w:r>
                </w:p>
              </w:tc>
              <w:tc>
                <w:tcPr>
                  <w:tcW w:w="1109" w:type="dxa"/>
                  <w:tcBorders>
                    <w:tl2br w:val="nil"/>
                    <w:tr2bl w:val="nil"/>
                  </w:tcBorders>
                  <w:vAlign w:val="center"/>
                </w:tcPr>
                <w:p w14:paraId="79CB78F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达标</w:t>
                  </w:r>
                </w:p>
              </w:tc>
            </w:tr>
            <w:tr w14:paraId="72FDABB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8" w:type="dxa"/>
                  <w:vMerge w:val="continue"/>
                  <w:tcBorders>
                    <w:tl2br w:val="nil"/>
                    <w:tr2bl w:val="nil"/>
                  </w:tcBorders>
                  <w:vAlign w:val="center"/>
                </w:tcPr>
                <w:p w14:paraId="1DA1967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
                    </w:rPr>
                  </w:pPr>
                </w:p>
              </w:tc>
              <w:tc>
                <w:tcPr>
                  <w:tcW w:w="945" w:type="dxa"/>
                  <w:tcBorders>
                    <w:tl2br w:val="nil"/>
                    <w:tr2bl w:val="nil"/>
                  </w:tcBorders>
                  <w:vAlign w:val="center"/>
                </w:tcPr>
                <w:p w14:paraId="45E928B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PM</w:t>
                  </w:r>
                  <w:r>
                    <w:rPr>
                      <w:rFonts w:hint="eastAsia" w:ascii="Times New Roman" w:hAnsi="Times New Roman" w:eastAsia="宋体" w:cs="Times New Roman"/>
                      <w:b w:val="0"/>
                      <w:bCs w:val="0"/>
                      <w:color w:val="auto"/>
                      <w:kern w:val="0"/>
                      <w:sz w:val="21"/>
                      <w:szCs w:val="21"/>
                      <w:highlight w:val="none"/>
                      <w:vertAlign w:val="subscript"/>
                      <w:lang w:val="en-US" w:eastAsia="zh-CN" w:bidi="ar"/>
                    </w:rPr>
                    <w:t>10</w:t>
                  </w:r>
                </w:p>
              </w:tc>
              <w:tc>
                <w:tcPr>
                  <w:tcW w:w="1770" w:type="dxa"/>
                  <w:tcBorders>
                    <w:tl2br w:val="nil"/>
                    <w:tr2bl w:val="nil"/>
                  </w:tcBorders>
                  <w:vAlign w:val="center"/>
                </w:tcPr>
                <w:p w14:paraId="3B02122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0" w:firstLineChars="0"/>
                    <w:jc w:val="center"/>
                    <w:textAlignment w:val="auto"/>
                    <w:rPr>
                      <w:rFonts w:hint="eastAsia" w:ascii="Times New Roman" w:hAnsi="Times New Roman" w:eastAsia="宋体" w:cs="Times New Roman"/>
                      <w:b w:val="0"/>
                      <w:bCs w:val="0"/>
                      <w:color w:val="auto"/>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年平均浓度</w:t>
                  </w:r>
                </w:p>
              </w:tc>
              <w:tc>
                <w:tcPr>
                  <w:tcW w:w="1215" w:type="dxa"/>
                  <w:tcBorders>
                    <w:tl2br w:val="nil"/>
                    <w:tr2bl w:val="nil"/>
                  </w:tcBorders>
                  <w:vAlign w:val="center"/>
                </w:tcPr>
                <w:p w14:paraId="4DFC339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59</w:t>
                  </w:r>
                </w:p>
              </w:tc>
              <w:tc>
                <w:tcPr>
                  <w:tcW w:w="1140" w:type="dxa"/>
                  <w:tcBorders>
                    <w:tl2br w:val="nil"/>
                    <w:tr2bl w:val="nil"/>
                  </w:tcBorders>
                  <w:vAlign w:val="center"/>
                </w:tcPr>
                <w:p w14:paraId="2651639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70</w:t>
                  </w:r>
                </w:p>
              </w:tc>
              <w:tc>
                <w:tcPr>
                  <w:tcW w:w="1170" w:type="dxa"/>
                  <w:tcBorders>
                    <w:tl2br w:val="nil"/>
                    <w:tr2bl w:val="nil"/>
                  </w:tcBorders>
                  <w:vAlign w:val="center"/>
                </w:tcPr>
                <w:p w14:paraId="2B0F08E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84.29</w:t>
                  </w:r>
                </w:p>
              </w:tc>
              <w:tc>
                <w:tcPr>
                  <w:tcW w:w="1109" w:type="dxa"/>
                  <w:tcBorders>
                    <w:tl2br w:val="nil"/>
                    <w:tr2bl w:val="nil"/>
                  </w:tcBorders>
                  <w:vAlign w:val="center"/>
                </w:tcPr>
                <w:p w14:paraId="1F21278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达标</w:t>
                  </w:r>
                </w:p>
              </w:tc>
            </w:tr>
            <w:tr w14:paraId="691F2B6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8" w:type="dxa"/>
                  <w:vMerge w:val="continue"/>
                  <w:vAlign w:val="center"/>
                </w:tcPr>
                <w:p w14:paraId="437A03A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
                    </w:rPr>
                  </w:pPr>
                </w:p>
              </w:tc>
              <w:tc>
                <w:tcPr>
                  <w:tcW w:w="945" w:type="dxa"/>
                  <w:vAlign w:val="center"/>
                </w:tcPr>
                <w:p w14:paraId="49FCB7D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SO</w:t>
                  </w:r>
                  <w:r>
                    <w:rPr>
                      <w:rFonts w:hint="eastAsia" w:ascii="Times New Roman" w:hAnsi="Times New Roman" w:eastAsia="宋体" w:cs="Times New Roman"/>
                      <w:b w:val="0"/>
                      <w:bCs w:val="0"/>
                      <w:color w:val="auto"/>
                      <w:kern w:val="0"/>
                      <w:sz w:val="21"/>
                      <w:szCs w:val="21"/>
                      <w:highlight w:val="none"/>
                      <w:vertAlign w:val="subscript"/>
                      <w:lang w:val="en-US" w:eastAsia="zh-CN" w:bidi="ar"/>
                    </w:rPr>
                    <w:t>2</w:t>
                  </w:r>
                </w:p>
              </w:tc>
              <w:tc>
                <w:tcPr>
                  <w:tcW w:w="1770" w:type="dxa"/>
                  <w:vAlign w:val="center"/>
                </w:tcPr>
                <w:p w14:paraId="3417C14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0" w:firstLineChars="0"/>
                    <w:jc w:val="center"/>
                    <w:textAlignment w:val="auto"/>
                    <w:rPr>
                      <w:rFonts w:hint="eastAsia" w:ascii="Times New Roman" w:hAnsi="Times New Roman" w:eastAsia="宋体" w:cs="Times New Roman"/>
                      <w:b w:val="0"/>
                      <w:bCs w:val="0"/>
                      <w:color w:val="auto"/>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年平均浓度</w:t>
                  </w:r>
                </w:p>
              </w:tc>
              <w:tc>
                <w:tcPr>
                  <w:tcW w:w="1215" w:type="dxa"/>
                  <w:vAlign w:val="center"/>
                </w:tcPr>
                <w:p w14:paraId="12B2316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3</w:t>
                  </w:r>
                </w:p>
              </w:tc>
              <w:tc>
                <w:tcPr>
                  <w:tcW w:w="1140" w:type="dxa"/>
                  <w:vAlign w:val="center"/>
                </w:tcPr>
                <w:p w14:paraId="6F31AEA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60</w:t>
                  </w:r>
                </w:p>
              </w:tc>
              <w:tc>
                <w:tcPr>
                  <w:tcW w:w="1170" w:type="dxa"/>
                  <w:vAlign w:val="center"/>
                </w:tcPr>
                <w:p w14:paraId="1C6C916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5.00</w:t>
                  </w:r>
                </w:p>
              </w:tc>
              <w:tc>
                <w:tcPr>
                  <w:tcW w:w="1109" w:type="dxa"/>
                  <w:vAlign w:val="center"/>
                </w:tcPr>
                <w:p w14:paraId="7711BCF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达标</w:t>
                  </w:r>
                </w:p>
              </w:tc>
            </w:tr>
            <w:tr w14:paraId="20DA89C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8" w:type="dxa"/>
                  <w:vMerge w:val="continue"/>
                  <w:vAlign w:val="center"/>
                </w:tcPr>
                <w:p w14:paraId="0D953F6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
                    </w:rPr>
                  </w:pPr>
                </w:p>
              </w:tc>
              <w:tc>
                <w:tcPr>
                  <w:tcW w:w="945" w:type="dxa"/>
                  <w:vAlign w:val="center"/>
                </w:tcPr>
                <w:p w14:paraId="2AC91B0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NO</w:t>
                  </w:r>
                  <w:r>
                    <w:rPr>
                      <w:rFonts w:hint="eastAsia" w:ascii="Times New Roman" w:hAnsi="Times New Roman" w:eastAsia="宋体" w:cs="Times New Roman"/>
                      <w:b w:val="0"/>
                      <w:bCs w:val="0"/>
                      <w:color w:val="auto"/>
                      <w:kern w:val="0"/>
                      <w:sz w:val="21"/>
                      <w:szCs w:val="21"/>
                      <w:highlight w:val="none"/>
                      <w:vertAlign w:val="subscript"/>
                      <w:lang w:val="en-US" w:eastAsia="zh-CN" w:bidi="ar"/>
                    </w:rPr>
                    <w:t>2</w:t>
                  </w:r>
                </w:p>
              </w:tc>
              <w:tc>
                <w:tcPr>
                  <w:tcW w:w="1770" w:type="dxa"/>
                  <w:vAlign w:val="center"/>
                </w:tcPr>
                <w:p w14:paraId="58013C3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0" w:firstLineChars="0"/>
                    <w:jc w:val="center"/>
                    <w:textAlignment w:val="auto"/>
                    <w:rPr>
                      <w:rFonts w:hint="eastAsia" w:ascii="Times New Roman" w:hAnsi="Times New Roman" w:eastAsia="宋体" w:cs="Times New Roman"/>
                      <w:b w:val="0"/>
                      <w:bCs w:val="0"/>
                      <w:color w:val="auto"/>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年平均浓度</w:t>
                  </w:r>
                </w:p>
              </w:tc>
              <w:tc>
                <w:tcPr>
                  <w:tcW w:w="1215" w:type="dxa"/>
                  <w:vAlign w:val="center"/>
                </w:tcPr>
                <w:p w14:paraId="247649D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31</w:t>
                  </w:r>
                </w:p>
              </w:tc>
              <w:tc>
                <w:tcPr>
                  <w:tcW w:w="1140" w:type="dxa"/>
                  <w:vAlign w:val="center"/>
                </w:tcPr>
                <w:p w14:paraId="3DBB07C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40</w:t>
                  </w:r>
                </w:p>
              </w:tc>
              <w:tc>
                <w:tcPr>
                  <w:tcW w:w="1170" w:type="dxa"/>
                  <w:vAlign w:val="center"/>
                </w:tcPr>
                <w:p w14:paraId="2EE0DFC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77.50</w:t>
                  </w:r>
                </w:p>
              </w:tc>
              <w:tc>
                <w:tcPr>
                  <w:tcW w:w="1109" w:type="dxa"/>
                  <w:vAlign w:val="center"/>
                </w:tcPr>
                <w:p w14:paraId="5E856F9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达标</w:t>
                  </w:r>
                </w:p>
              </w:tc>
            </w:tr>
          </w:tbl>
          <w:p w14:paraId="4EE15F7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361" w:firstLineChars="200"/>
              <w:jc w:val="both"/>
              <w:textAlignment w:val="auto"/>
              <w:rPr>
                <w:rFonts w:hint="default" w:ascii="Times New Roman" w:hAnsi="Times New Roman" w:eastAsia="宋体" w:cs="Times New Roman"/>
                <w:b w:val="0"/>
                <w:bCs w:val="0"/>
                <w:color w:val="auto"/>
                <w:kern w:val="0"/>
                <w:sz w:val="24"/>
                <w:highlight w:val="none"/>
                <w:lang w:val="en-US" w:eastAsia="zh-CN" w:bidi="ar"/>
              </w:rPr>
            </w:pPr>
            <w:r>
              <w:rPr>
                <w:rFonts w:hint="eastAsia" w:ascii="Times New Roman" w:hAnsi="Times New Roman" w:eastAsia="宋体" w:cs="Times New Roman"/>
                <w:b/>
                <w:bCs/>
                <w:color w:val="auto"/>
                <w:kern w:val="0"/>
                <w:sz w:val="18"/>
                <w:szCs w:val="18"/>
                <w:highlight w:val="none"/>
                <w:lang w:val="en-US" w:eastAsia="zh-CN" w:bidi="ar"/>
              </w:rPr>
              <w:t>注：*CO为24小时平均浓度第95百分位数，O</w:t>
            </w:r>
            <w:r>
              <w:rPr>
                <w:rFonts w:hint="eastAsia" w:ascii="Times New Roman" w:hAnsi="Times New Roman" w:eastAsia="宋体" w:cs="Times New Roman"/>
                <w:b/>
                <w:bCs/>
                <w:color w:val="auto"/>
                <w:kern w:val="0"/>
                <w:sz w:val="18"/>
                <w:szCs w:val="18"/>
                <w:highlight w:val="none"/>
                <w:vertAlign w:val="subscript"/>
                <w:lang w:val="en-US" w:eastAsia="zh-CN" w:bidi="ar"/>
              </w:rPr>
              <w:t>3</w:t>
            </w:r>
            <w:r>
              <w:rPr>
                <w:rFonts w:hint="eastAsia" w:ascii="Times New Roman" w:hAnsi="Times New Roman" w:eastAsia="宋体" w:cs="Times New Roman"/>
                <w:b/>
                <w:bCs/>
                <w:color w:val="auto"/>
                <w:kern w:val="0"/>
                <w:sz w:val="18"/>
                <w:szCs w:val="18"/>
                <w:highlight w:val="none"/>
                <w:lang w:val="en-US" w:eastAsia="zh-CN" w:bidi="ar"/>
              </w:rPr>
              <w:t>为日最大8小时平均浓度第90位百分位数。</w:t>
            </w:r>
          </w:p>
          <w:p w14:paraId="4A450AC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b w:val="0"/>
                <w:bCs w:val="0"/>
                <w:color w:val="auto"/>
                <w:kern w:val="0"/>
                <w:sz w:val="24"/>
                <w:highlight w:val="none"/>
                <w:lang w:val="en-US" w:eastAsia="zh-CN" w:bidi="ar"/>
              </w:rPr>
            </w:pPr>
            <w:r>
              <w:rPr>
                <w:rFonts w:hint="eastAsia" w:ascii="Times New Roman" w:hAnsi="Times New Roman" w:eastAsia="宋体" w:cs="Times New Roman"/>
                <w:b w:val="0"/>
                <w:bCs w:val="0"/>
                <w:color w:val="auto"/>
                <w:kern w:val="0"/>
                <w:sz w:val="24"/>
                <w:highlight w:val="none"/>
                <w:lang w:val="en-US" w:eastAsia="zh-CN" w:bidi="ar"/>
              </w:rPr>
              <w:t>根据以上监测结果可知，</w:t>
            </w:r>
            <w:r>
              <w:rPr>
                <w:rFonts w:hint="eastAsia" w:cs="Times New Roman"/>
                <w:b w:val="0"/>
                <w:bCs w:val="0"/>
                <w:color w:val="auto"/>
                <w:kern w:val="0"/>
                <w:sz w:val="24"/>
                <w:highlight w:val="none"/>
                <w:lang w:val="en-US" w:eastAsia="zh-CN" w:bidi="ar"/>
              </w:rPr>
              <w:t>2024年本项目所在区域</w:t>
            </w:r>
            <w:r>
              <w:rPr>
                <w:rFonts w:hint="eastAsia" w:ascii="Times New Roman" w:hAnsi="Times New Roman" w:eastAsia="宋体" w:cs="Times New Roman"/>
                <w:b w:val="0"/>
                <w:bCs w:val="0"/>
                <w:color w:val="auto"/>
                <w:kern w:val="0"/>
                <w:sz w:val="24"/>
                <w:highlight w:val="none"/>
                <w:lang w:val="en-US" w:eastAsia="zh-CN" w:bidi="ar"/>
              </w:rPr>
              <w:t>PM</w:t>
            </w:r>
            <w:r>
              <w:rPr>
                <w:rFonts w:hint="eastAsia" w:ascii="Times New Roman" w:hAnsi="Times New Roman" w:eastAsia="宋体" w:cs="Times New Roman"/>
                <w:b w:val="0"/>
                <w:bCs w:val="0"/>
                <w:color w:val="auto"/>
                <w:kern w:val="0"/>
                <w:sz w:val="24"/>
                <w:highlight w:val="none"/>
                <w:vertAlign w:val="subscript"/>
                <w:lang w:val="en-US" w:eastAsia="zh-CN" w:bidi="ar"/>
              </w:rPr>
              <w:t>2.5</w:t>
            </w:r>
            <w:r>
              <w:rPr>
                <w:rFonts w:hint="eastAsia" w:ascii="Times New Roman" w:hAnsi="Times New Roman" w:eastAsia="宋体" w:cs="Times New Roman"/>
                <w:b w:val="0"/>
                <w:bCs w:val="0"/>
                <w:color w:val="auto"/>
                <w:kern w:val="0"/>
                <w:sz w:val="24"/>
                <w:highlight w:val="none"/>
                <w:lang w:val="en-US" w:eastAsia="zh-CN" w:bidi="ar"/>
              </w:rPr>
              <w:t>年平均浓度、PM</w:t>
            </w:r>
            <w:r>
              <w:rPr>
                <w:rFonts w:hint="eastAsia" w:ascii="Times New Roman" w:hAnsi="Times New Roman" w:eastAsia="宋体" w:cs="Times New Roman"/>
                <w:b w:val="0"/>
                <w:bCs w:val="0"/>
                <w:color w:val="auto"/>
                <w:kern w:val="0"/>
                <w:sz w:val="24"/>
                <w:highlight w:val="none"/>
                <w:vertAlign w:val="subscript"/>
                <w:lang w:val="en-US" w:eastAsia="zh-CN" w:bidi="ar"/>
              </w:rPr>
              <w:t>10</w:t>
            </w:r>
            <w:r>
              <w:rPr>
                <w:rFonts w:hint="eastAsia" w:ascii="Times New Roman" w:hAnsi="Times New Roman" w:eastAsia="宋体" w:cs="Times New Roman"/>
                <w:b w:val="0"/>
                <w:bCs w:val="0"/>
                <w:color w:val="auto"/>
                <w:kern w:val="0"/>
                <w:sz w:val="24"/>
                <w:highlight w:val="none"/>
                <w:lang w:val="en-US" w:eastAsia="zh-CN" w:bidi="ar"/>
              </w:rPr>
              <w:t>年平均浓度、</w:t>
            </w:r>
            <w:r>
              <w:rPr>
                <w:rFonts w:hint="eastAsia" w:cs="Times New Roman"/>
                <w:b w:val="0"/>
                <w:bCs w:val="0"/>
                <w:color w:val="auto"/>
                <w:kern w:val="0"/>
                <w:sz w:val="24"/>
                <w:highlight w:val="none"/>
                <w:lang w:val="en-US" w:eastAsia="zh-CN" w:bidi="ar"/>
              </w:rPr>
              <w:t>NO</w:t>
            </w:r>
            <w:r>
              <w:rPr>
                <w:rFonts w:hint="eastAsia" w:cs="Times New Roman"/>
                <w:b w:val="0"/>
                <w:bCs w:val="0"/>
                <w:color w:val="auto"/>
                <w:kern w:val="0"/>
                <w:sz w:val="24"/>
                <w:highlight w:val="none"/>
                <w:vertAlign w:val="subscript"/>
                <w:lang w:val="en-US" w:eastAsia="zh-CN" w:bidi="ar"/>
              </w:rPr>
              <w:t>2</w:t>
            </w:r>
            <w:r>
              <w:rPr>
                <w:rFonts w:hint="eastAsia" w:ascii="Times New Roman" w:hAnsi="Times New Roman" w:eastAsia="宋体" w:cs="Times New Roman"/>
                <w:b w:val="0"/>
                <w:bCs w:val="0"/>
                <w:color w:val="auto"/>
                <w:kern w:val="0"/>
                <w:sz w:val="24"/>
                <w:highlight w:val="none"/>
                <w:lang w:val="en-US" w:eastAsia="zh-CN" w:bidi="ar"/>
              </w:rPr>
              <w:t>年平均浓度、</w:t>
            </w:r>
            <w:r>
              <w:rPr>
                <w:rFonts w:hint="eastAsia" w:cs="Times New Roman"/>
                <w:b w:val="0"/>
                <w:bCs w:val="0"/>
                <w:color w:val="auto"/>
                <w:kern w:val="0"/>
                <w:sz w:val="24"/>
                <w:highlight w:val="none"/>
                <w:lang w:val="en-US" w:eastAsia="zh-CN" w:bidi="ar"/>
              </w:rPr>
              <w:t>SO</w:t>
            </w:r>
            <w:r>
              <w:rPr>
                <w:rFonts w:hint="eastAsia" w:cs="Times New Roman"/>
                <w:b w:val="0"/>
                <w:bCs w:val="0"/>
                <w:color w:val="auto"/>
                <w:kern w:val="0"/>
                <w:sz w:val="24"/>
                <w:highlight w:val="none"/>
                <w:vertAlign w:val="subscript"/>
                <w:lang w:val="en-US" w:eastAsia="zh-CN" w:bidi="ar"/>
              </w:rPr>
              <w:t>2</w:t>
            </w:r>
            <w:r>
              <w:rPr>
                <w:rFonts w:hint="eastAsia" w:cs="Times New Roman"/>
                <w:b w:val="0"/>
                <w:bCs w:val="0"/>
                <w:color w:val="auto"/>
                <w:kern w:val="0"/>
                <w:sz w:val="24"/>
                <w:highlight w:val="none"/>
                <w:lang w:val="en-US" w:eastAsia="zh-CN" w:bidi="ar"/>
              </w:rPr>
              <w:t>年平均浓度均满足《环境空气质量标准》（GB3095-2012）及其修改单（公告</w:t>
            </w:r>
            <w:r>
              <w:rPr>
                <w:rFonts w:hint="default" w:ascii="Times New Roman" w:hAnsi="Times New Roman" w:eastAsia="宋体" w:cs="Times New Roman"/>
                <w:b w:val="0"/>
                <w:bCs w:val="0"/>
                <w:color w:val="auto"/>
                <w:kern w:val="0"/>
                <w:sz w:val="24"/>
                <w:highlight w:val="none"/>
                <w:lang w:val="en-US" w:eastAsia="zh-CN" w:bidi="ar"/>
              </w:rPr>
              <w:t>[2018]第29号</w:t>
            </w:r>
            <w:r>
              <w:rPr>
                <w:rFonts w:hint="eastAsia" w:cs="Times New Roman"/>
                <w:b w:val="0"/>
                <w:bCs w:val="0"/>
                <w:color w:val="auto"/>
                <w:kern w:val="0"/>
                <w:sz w:val="24"/>
                <w:highlight w:val="none"/>
                <w:lang w:val="en-US" w:eastAsia="zh-CN" w:bidi="ar"/>
              </w:rPr>
              <w:t>）（二级）标准要求；海淀区无CO、臭氧监测数据，引用北京市现状监测值，北京市CO24小时平均浓度满足《环境空气质量标准》（GB3095-2012）及其修改单（公告</w:t>
            </w:r>
            <w:r>
              <w:rPr>
                <w:rFonts w:hint="default" w:ascii="Times New Roman" w:hAnsi="Times New Roman" w:eastAsia="宋体" w:cs="Times New Roman"/>
                <w:b w:val="0"/>
                <w:bCs w:val="0"/>
                <w:color w:val="auto"/>
                <w:kern w:val="0"/>
                <w:sz w:val="24"/>
                <w:highlight w:val="none"/>
                <w:lang w:val="en-US" w:eastAsia="zh-CN" w:bidi="ar"/>
              </w:rPr>
              <w:t>[2018]第29号</w:t>
            </w:r>
            <w:r>
              <w:rPr>
                <w:rFonts w:hint="eastAsia" w:cs="Times New Roman"/>
                <w:b w:val="0"/>
                <w:bCs w:val="0"/>
                <w:color w:val="auto"/>
                <w:kern w:val="0"/>
                <w:sz w:val="24"/>
                <w:highlight w:val="none"/>
                <w:lang w:val="en-US" w:eastAsia="zh-CN" w:bidi="ar"/>
              </w:rPr>
              <w:t>）（二级）标准要求，O</w:t>
            </w:r>
            <w:r>
              <w:rPr>
                <w:rFonts w:hint="eastAsia" w:cs="Times New Roman"/>
                <w:b w:val="0"/>
                <w:bCs w:val="0"/>
                <w:color w:val="auto"/>
                <w:kern w:val="0"/>
                <w:sz w:val="24"/>
                <w:highlight w:val="none"/>
                <w:vertAlign w:val="subscript"/>
                <w:lang w:val="en-US" w:eastAsia="zh-CN" w:bidi="ar"/>
              </w:rPr>
              <w:t>3</w:t>
            </w:r>
            <w:r>
              <w:rPr>
                <w:rFonts w:hint="eastAsia" w:cs="Times New Roman"/>
                <w:b w:val="0"/>
                <w:bCs w:val="0"/>
                <w:color w:val="auto"/>
                <w:kern w:val="0"/>
                <w:sz w:val="24"/>
                <w:highlight w:val="none"/>
                <w:lang w:val="en-US" w:eastAsia="zh-CN" w:bidi="ar"/>
              </w:rPr>
              <w:t>日最大8小时平均浓度超过《环境空气质量标准》（GB3095-2012）及其修改单（公告</w:t>
            </w:r>
            <w:r>
              <w:rPr>
                <w:rFonts w:hint="default" w:ascii="Times New Roman" w:hAnsi="Times New Roman" w:eastAsia="宋体" w:cs="Times New Roman"/>
                <w:b w:val="0"/>
                <w:bCs w:val="0"/>
                <w:color w:val="auto"/>
                <w:kern w:val="0"/>
                <w:sz w:val="24"/>
                <w:highlight w:val="none"/>
                <w:lang w:val="en-US" w:eastAsia="zh-CN" w:bidi="ar"/>
              </w:rPr>
              <w:t>[2018]第29号</w:t>
            </w:r>
            <w:r>
              <w:rPr>
                <w:rFonts w:hint="eastAsia" w:cs="Times New Roman"/>
                <w:b w:val="0"/>
                <w:bCs w:val="0"/>
                <w:color w:val="auto"/>
                <w:kern w:val="0"/>
                <w:sz w:val="24"/>
                <w:highlight w:val="none"/>
                <w:lang w:val="en-US" w:eastAsia="zh-CN" w:bidi="ar"/>
              </w:rPr>
              <w:t>）（二级）标准限值。因此，本项目所在评价区域为不达标区。</w:t>
            </w:r>
          </w:p>
          <w:p w14:paraId="3DE4761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b w:val="0"/>
                <w:bCs w:val="0"/>
                <w:color w:val="auto"/>
                <w:kern w:val="0"/>
                <w:sz w:val="24"/>
                <w:highlight w:val="none"/>
                <w:lang w:val="en-US" w:eastAsia="zh-CN" w:bidi="ar"/>
              </w:rPr>
            </w:pPr>
            <w:r>
              <w:rPr>
                <w:rFonts w:hint="eastAsia" w:ascii="Times New Roman" w:hAnsi="Times New Roman" w:eastAsia="宋体" w:cs="Times New Roman"/>
                <w:b w:val="0"/>
                <w:bCs w:val="0"/>
                <w:color w:val="auto"/>
                <w:kern w:val="0"/>
                <w:sz w:val="24"/>
                <w:highlight w:val="none"/>
                <w:lang w:val="en-US" w:eastAsia="zh-CN" w:bidi="ar"/>
              </w:rPr>
              <w:t>2、地表水环境质量现状</w:t>
            </w:r>
          </w:p>
          <w:p w14:paraId="7E2DA8B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Times New Roman" w:hAnsi="Times New Roman" w:eastAsia="宋体" w:cs="Times New Roman"/>
                <w:b w:val="0"/>
                <w:bCs w:val="0"/>
                <w:color w:val="auto"/>
                <w:kern w:val="0"/>
                <w:sz w:val="24"/>
                <w:highlight w:val="none"/>
                <w:lang w:val="en-US" w:eastAsia="zh-CN" w:bidi="ar"/>
              </w:rPr>
            </w:pPr>
            <w:r>
              <w:rPr>
                <w:rFonts w:hint="eastAsia" w:ascii="Times New Roman" w:hAnsi="Times New Roman" w:eastAsia="宋体" w:cs="Times New Roman"/>
                <w:b w:val="0"/>
                <w:bCs w:val="0"/>
                <w:color w:val="auto"/>
                <w:kern w:val="0"/>
                <w:sz w:val="24"/>
                <w:highlight w:val="none"/>
                <w:lang w:val="en-US" w:eastAsia="zh-CN" w:bidi="ar"/>
              </w:rPr>
              <w:t>现状距离本项目最近的地表水体为项目南侧约</w:t>
            </w:r>
            <w:r>
              <w:rPr>
                <w:rFonts w:hint="eastAsia" w:cs="Times New Roman"/>
                <w:b w:val="0"/>
                <w:bCs w:val="0"/>
                <w:color w:val="auto"/>
                <w:kern w:val="0"/>
                <w:sz w:val="24"/>
                <w:highlight w:val="none"/>
                <w:lang w:val="en-US" w:eastAsia="zh-CN" w:bidi="ar"/>
              </w:rPr>
              <w:t>532</w:t>
            </w:r>
            <w:r>
              <w:rPr>
                <w:rFonts w:hint="eastAsia" w:ascii="Times New Roman" w:hAnsi="Times New Roman" w:eastAsia="宋体" w:cs="Times New Roman"/>
                <w:b w:val="0"/>
                <w:bCs w:val="0"/>
                <w:color w:val="auto"/>
                <w:kern w:val="0"/>
                <w:sz w:val="24"/>
                <w:highlight w:val="none"/>
                <w:lang w:val="en-US" w:eastAsia="zh-CN" w:bidi="ar"/>
              </w:rPr>
              <w:t>m处的</w:t>
            </w:r>
            <w:r>
              <w:rPr>
                <w:rFonts w:hint="eastAsia" w:cs="Times New Roman"/>
                <w:b w:val="0"/>
                <w:bCs w:val="0"/>
                <w:color w:val="auto"/>
                <w:kern w:val="0"/>
                <w:sz w:val="24"/>
                <w:highlight w:val="none"/>
                <w:lang w:val="en-US" w:eastAsia="zh-CN" w:bidi="ar"/>
              </w:rPr>
              <w:t>清河上段</w:t>
            </w:r>
            <w:r>
              <w:rPr>
                <w:rFonts w:hint="eastAsia" w:ascii="Times New Roman" w:hAnsi="Times New Roman" w:eastAsia="宋体" w:cs="Times New Roman"/>
                <w:b w:val="0"/>
                <w:bCs w:val="0"/>
                <w:color w:val="auto"/>
                <w:kern w:val="0"/>
                <w:sz w:val="24"/>
                <w:highlight w:val="none"/>
                <w:lang w:val="en-US" w:eastAsia="zh-CN" w:bidi="ar"/>
              </w:rPr>
              <w:t>，</w:t>
            </w:r>
            <w:r>
              <w:rPr>
                <w:rFonts w:hint="eastAsia" w:cs="Times New Roman"/>
                <w:b w:val="0"/>
                <w:bCs w:val="0"/>
                <w:color w:val="auto"/>
                <w:kern w:val="0"/>
                <w:sz w:val="24"/>
                <w:highlight w:val="none"/>
                <w:lang w:val="en-US" w:eastAsia="zh-CN" w:bidi="ar"/>
              </w:rPr>
              <w:t>属于北运河水系，</w:t>
            </w:r>
            <w:r>
              <w:rPr>
                <w:rFonts w:hint="eastAsia" w:ascii="Times New Roman" w:hAnsi="Times New Roman" w:eastAsia="宋体" w:cs="Times New Roman"/>
                <w:b w:val="0"/>
                <w:bCs w:val="0"/>
                <w:color w:val="auto"/>
                <w:kern w:val="0"/>
                <w:sz w:val="24"/>
                <w:highlight w:val="none"/>
                <w:lang w:val="en-US" w:eastAsia="zh-CN" w:bidi="ar"/>
              </w:rPr>
              <w:t>规划水质为</w:t>
            </w:r>
            <w:r>
              <w:rPr>
                <w:rFonts w:hint="default" w:ascii="Times New Roman" w:hAnsi="Times New Roman" w:eastAsia="宋体" w:cs="Times New Roman"/>
                <w:b w:val="0"/>
                <w:bCs w:val="0"/>
                <w:color w:val="auto"/>
                <w:kern w:val="0"/>
                <w:sz w:val="24"/>
                <w:highlight w:val="none"/>
                <w:lang w:val="en-US" w:eastAsia="zh-CN" w:bidi="ar"/>
              </w:rPr>
              <w:t>Ⅳ类</w:t>
            </w:r>
            <w:r>
              <w:rPr>
                <w:rFonts w:hint="eastAsia" w:ascii="Times New Roman" w:hAnsi="Times New Roman" w:eastAsia="宋体" w:cs="Times New Roman"/>
                <w:b w:val="0"/>
                <w:bCs w:val="0"/>
                <w:color w:val="auto"/>
                <w:kern w:val="0"/>
                <w:sz w:val="24"/>
                <w:highlight w:val="none"/>
                <w:lang w:val="en-US" w:eastAsia="zh-CN" w:bidi="ar"/>
              </w:rPr>
              <w:t>，水体功能区为</w:t>
            </w:r>
            <w:r>
              <w:rPr>
                <w:rFonts w:hint="eastAsia" w:cs="Times New Roman"/>
                <w:b w:val="0"/>
                <w:bCs w:val="0"/>
                <w:color w:val="auto"/>
                <w:kern w:val="0"/>
                <w:sz w:val="24"/>
                <w:highlight w:val="none"/>
                <w:lang w:val="en-US" w:eastAsia="zh-CN" w:bidi="ar"/>
              </w:rPr>
              <w:t>人体非直接接触的娱乐用水区</w:t>
            </w:r>
            <w:r>
              <w:rPr>
                <w:rFonts w:hint="eastAsia" w:ascii="Times New Roman" w:hAnsi="Times New Roman" w:eastAsia="宋体" w:cs="Times New Roman"/>
                <w:b w:val="0"/>
                <w:bCs w:val="0"/>
                <w:color w:val="auto"/>
                <w:kern w:val="0"/>
                <w:sz w:val="24"/>
                <w:highlight w:val="none"/>
                <w:lang w:val="en-US" w:eastAsia="zh-CN" w:bidi="ar"/>
              </w:rPr>
              <w:t>，执行《地表水环境质量标准》（GB3838-2002）中的</w:t>
            </w:r>
            <w:r>
              <w:rPr>
                <w:rFonts w:hint="default" w:ascii="Times New Roman" w:hAnsi="Times New Roman" w:eastAsia="宋体" w:cs="Times New Roman"/>
                <w:b w:val="0"/>
                <w:bCs w:val="0"/>
                <w:color w:val="auto"/>
                <w:kern w:val="0"/>
                <w:sz w:val="24"/>
                <w:highlight w:val="none"/>
                <w:lang w:val="en-US" w:eastAsia="zh-CN" w:bidi="ar"/>
              </w:rPr>
              <w:t>Ⅳ</w:t>
            </w:r>
            <w:r>
              <w:rPr>
                <w:rFonts w:hint="eastAsia" w:ascii="Times New Roman" w:hAnsi="Times New Roman" w:eastAsia="宋体" w:cs="Times New Roman"/>
                <w:b w:val="0"/>
                <w:bCs w:val="0"/>
                <w:color w:val="auto"/>
                <w:kern w:val="0"/>
                <w:sz w:val="24"/>
                <w:highlight w:val="none"/>
                <w:lang w:val="en-US" w:eastAsia="zh-CN" w:bidi="ar"/>
              </w:rPr>
              <w:t>类标准。</w:t>
            </w:r>
          </w:p>
          <w:p w14:paraId="5FE35B1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Times New Roman" w:hAnsi="Times New Roman" w:eastAsia="宋体" w:cs="Times New Roman"/>
                <w:b w:val="0"/>
                <w:bCs w:val="0"/>
                <w:color w:val="auto"/>
                <w:kern w:val="0"/>
                <w:sz w:val="24"/>
                <w:highlight w:val="none"/>
                <w:lang w:val="en-US" w:eastAsia="zh-CN" w:bidi="ar"/>
              </w:rPr>
            </w:pPr>
            <w:r>
              <w:rPr>
                <w:rFonts w:hint="eastAsia" w:ascii="Times New Roman" w:hAnsi="Times New Roman" w:eastAsia="宋体" w:cs="Times New Roman"/>
                <w:b w:val="0"/>
                <w:bCs w:val="0"/>
                <w:color w:val="auto"/>
                <w:kern w:val="0"/>
                <w:sz w:val="24"/>
                <w:highlight w:val="none"/>
                <w:lang w:val="en-US" w:eastAsia="zh-CN" w:bidi="ar"/>
              </w:rPr>
              <w:t>为了解评价区的水环境质量现状，本次评价采用收集资料的方式进行。本次环评收集了北京市生态环境局网站发布的</w:t>
            </w:r>
            <w:r>
              <w:rPr>
                <w:rFonts w:hint="eastAsia" w:cs="Times New Roman"/>
                <w:b w:val="0"/>
                <w:bCs w:val="0"/>
                <w:color w:val="auto"/>
                <w:kern w:val="0"/>
                <w:sz w:val="24"/>
                <w:highlight w:val="none"/>
                <w:lang w:val="en-US" w:eastAsia="zh-CN" w:bidi="ar"/>
              </w:rPr>
              <w:t>清河上段2024年</w:t>
            </w:r>
            <w:r>
              <w:rPr>
                <w:rFonts w:hint="eastAsia" w:ascii="Times New Roman" w:hAnsi="Times New Roman" w:eastAsia="宋体" w:cs="Times New Roman"/>
                <w:b w:val="0"/>
                <w:bCs w:val="0"/>
                <w:color w:val="auto"/>
                <w:kern w:val="0"/>
                <w:sz w:val="24"/>
                <w:highlight w:val="none"/>
                <w:lang w:val="en-US" w:eastAsia="zh-CN" w:bidi="ar"/>
              </w:rPr>
              <w:t>水质状况，具体结果统计见下表。</w:t>
            </w:r>
          </w:p>
          <w:p w14:paraId="3EDB62E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0" w:firstLineChars="0"/>
              <w:jc w:val="center"/>
              <w:textAlignment w:val="auto"/>
              <w:rPr>
                <w:rFonts w:hint="default" w:ascii="Times New Roman" w:hAnsi="Times New Roman" w:eastAsia="宋体" w:cs="Times New Roman"/>
                <w:b w:val="0"/>
                <w:bCs w:val="0"/>
                <w:color w:val="auto"/>
                <w:kern w:val="0"/>
                <w:sz w:val="24"/>
                <w:highlight w:val="none"/>
                <w:lang w:val="en-US" w:eastAsia="zh-CN" w:bidi="ar"/>
              </w:rPr>
            </w:pPr>
            <w:r>
              <w:rPr>
                <w:rFonts w:hint="eastAsia" w:cs="Times New Roman"/>
                <w:b/>
                <w:bCs/>
                <w:color w:val="auto"/>
                <w:kern w:val="0"/>
                <w:sz w:val="21"/>
                <w:szCs w:val="21"/>
                <w:highlight w:val="none"/>
                <w:lang w:val="en-US" w:eastAsia="zh-CN" w:bidi="ar"/>
              </w:rPr>
              <w:t>表3-2 清河上段</w:t>
            </w:r>
            <w:r>
              <w:rPr>
                <w:rFonts w:hint="eastAsia" w:ascii="Times New Roman" w:hAnsi="Times New Roman" w:eastAsia="宋体" w:cs="Times New Roman"/>
                <w:b/>
                <w:bCs/>
                <w:color w:val="auto"/>
                <w:kern w:val="0"/>
                <w:sz w:val="21"/>
                <w:szCs w:val="21"/>
                <w:highlight w:val="none"/>
                <w:lang w:val="en-US" w:eastAsia="zh-CN" w:bidi="ar"/>
              </w:rPr>
              <w:t>水质类别状况统计</w:t>
            </w:r>
            <w:r>
              <w:rPr>
                <w:rFonts w:hint="eastAsia" w:cs="Times New Roman"/>
                <w:b/>
                <w:bCs/>
                <w:color w:val="auto"/>
                <w:kern w:val="0"/>
                <w:sz w:val="21"/>
                <w:szCs w:val="21"/>
                <w:highlight w:val="none"/>
                <w:lang w:val="en-US" w:eastAsia="zh-CN" w:bidi="ar"/>
              </w:rPr>
              <w:t>表</w:t>
            </w:r>
          </w:p>
          <w:tbl>
            <w:tblPr>
              <w:tblStyle w:val="13"/>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752"/>
              <w:gridCol w:w="2352"/>
              <w:gridCol w:w="1713"/>
              <w:gridCol w:w="2393"/>
            </w:tblGrid>
            <w:tr w14:paraId="64F43C5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52" w:type="dxa"/>
                  <w:tcBorders>
                    <w:tl2br w:val="nil"/>
                    <w:tr2bl w:val="nil"/>
                  </w:tcBorders>
                  <w:vAlign w:val="center"/>
                </w:tcPr>
                <w:p w14:paraId="6A891D2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bCs/>
                      <w:sz w:val="21"/>
                      <w:szCs w:val="21"/>
                      <w:highlight w:val="none"/>
                      <w:vertAlign w:val="baseline"/>
                      <w:lang w:val="en-US" w:eastAsia="zh-CN"/>
                    </w:rPr>
                  </w:pPr>
                  <w:r>
                    <w:rPr>
                      <w:rFonts w:hint="eastAsia" w:cs="Times New Roman"/>
                      <w:b/>
                      <w:bCs/>
                      <w:sz w:val="21"/>
                      <w:szCs w:val="21"/>
                      <w:highlight w:val="none"/>
                      <w:vertAlign w:val="baseline"/>
                      <w:lang w:val="en-US" w:eastAsia="zh-CN"/>
                    </w:rPr>
                    <w:t>监测时间</w:t>
                  </w:r>
                </w:p>
              </w:tc>
              <w:tc>
                <w:tcPr>
                  <w:tcW w:w="2352" w:type="dxa"/>
                  <w:tcBorders>
                    <w:tl2br w:val="nil"/>
                    <w:tr2bl w:val="nil"/>
                  </w:tcBorders>
                  <w:vAlign w:val="center"/>
                </w:tcPr>
                <w:p w14:paraId="60EB615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bCs/>
                      <w:sz w:val="21"/>
                      <w:szCs w:val="21"/>
                      <w:highlight w:val="none"/>
                      <w:vertAlign w:val="baseline"/>
                      <w:lang w:val="en-US" w:eastAsia="zh-CN"/>
                    </w:rPr>
                  </w:pPr>
                  <w:r>
                    <w:rPr>
                      <w:rFonts w:hint="eastAsia" w:cs="Times New Roman"/>
                      <w:b/>
                      <w:bCs/>
                      <w:sz w:val="21"/>
                      <w:szCs w:val="21"/>
                      <w:highlight w:val="none"/>
                      <w:vertAlign w:val="baseline"/>
                      <w:lang w:val="en-US" w:eastAsia="zh-CN"/>
                    </w:rPr>
                    <w:t>清河上段现状水质类别</w:t>
                  </w:r>
                </w:p>
              </w:tc>
              <w:tc>
                <w:tcPr>
                  <w:tcW w:w="1713" w:type="dxa"/>
                  <w:tcBorders>
                    <w:tl2br w:val="nil"/>
                    <w:tr2bl w:val="nil"/>
                  </w:tcBorders>
                  <w:vAlign w:val="center"/>
                </w:tcPr>
                <w:p w14:paraId="1A46052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s="Times New Roman"/>
                      <w:b/>
                      <w:bCs/>
                      <w:sz w:val="21"/>
                      <w:szCs w:val="21"/>
                      <w:highlight w:val="none"/>
                      <w:vertAlign w:val="baseline"/>
                      <w:lang w:val="en-US" w:eastAsia="zh-CN"/>
                    </w:rPr>
                  </w:pPr>
                  <w:r>
                    <w:rPr>
                      <w:rFonts w:hint="eastAsia" w:cs="Times New Roman"/>
                      <w:b/>
                      <w:bCs/>
                      <w:sz w:val="21"/>
                      <w:szCs w:val="21"/>
                      <w:highlight w:val="none"/>
                      <w:vertAlign w:val="baseline"/>
                      <w:lang w:val="en-US" w:eastAsia="zh-CN"/>
                    </w:rPr>
                    <w:t>监测时间</w:t>
                  </w:r>
                </w:p>
              </w:tc>
              <w:tc>
                <w:tcPr>
                  <w:tcW w:w="2393" w:type="dxa"/>
                  <w:tcBorders>
                    <w:tl2br w:val="nil"/>
                    <w:tr2bl w:val="nil"/>
                  </w:tcBorders>
                  <w:vAlign w:val="center"/>
                </w:tcPr>
                <w:p w14:paraId="17ACBBA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s="Times New Roman"/>
                      <w:b/>
                      <w:bCs/>
                      <w:sz w:val="21"/>
                      <w:szCs w:val="21"/>
                      <w:highlight w:val="none"/>
                      <w:vertAlign w:val="baseline"/>
                      <w:lang w:val="en-US" w:eastAsia="zh-CN"/>
                    </w:rPr>
                  </w:pPr>
                  <w:r>
                    <w:rPr>
                      <w:rFonts w:hint="eastAsia" w:cs="Times New Roman"/>
                      <w:b/>
                      <w:bCs/>
                      <w:sz w:val="21"/>
                      <w:szCs w:val="21"/>
                      <w:highlight w:val="none"/>
                      <w:vertAlign w:val="baseline"/>
                      <w:lang w:val="en-US" w:eastAsia="zh-CN"/>
                    </w:rPr>
                    <w:t>清河上段现状水质类别</w:t>
                  </w:r>
                </w:p>
              </w:tc>
            </w:tr>
            <w:tr w14:paraId="04F5C87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52" w:type="dxa"/>
                  <w:tcBorders>
                    <w:tl2br w:val="nil"/>
                    <w:tr2bl w:val="nil"/>
                  </w:tcBorders>
                  <w:vAlign w:val="center"/>
                </w:tcPr>
                <w:p w14:paraId="6D3A7BE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2024年1月</w:t>
                  </w:r>
                </w:p>
              </w:tc>
              <w:tc>
                <w:tcPr>
                  <w:tcW w:w="2352" w:type="dxa"/>
                  <w:tcBorders>
                    <w:tl2br w:val="nil"/>
                    <w:tr2bl w:val="nil"/>
                  </w:tcBorders>
                  <w:vAlign w:val="center"/>
                </w:tcPr>
                <w:p w14:paraId="6EA1170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sz w:val="21"/>
                      <w:szCs w:val="21"/>
                      <w:highlight w:val="none"/>
                      <w:vertAlign w:val="baseline"/>
                      <w:lang w:val="en-US" w:eastAsia="zh-CN"/>
                    </w:rPr>
                  </w:pPr>
                  <w:r>
                    <w:rPr>
                      <w:rFonts w:hint="default" w:cs="Times New Roman"/>
                      <w:sz w:val="21"/>
                      <w:szCs w:val="21"/>
                      <w:highlight w:val="none"/>
                      <w:vertAlign w:val="baseline"/>
                      <w:lang w:val="en-US" w:eastAsia="zh-CN"/>
                    </w:rPr>
                    <w:t>Ⅱ</w:t>
                  </w:r>
                </w:p>
              </w:tc>
              <w:tc>
                <w:tcPr>
                  <w:tcW w:w="1713" w:type="dxa"/>
                  <w:tcBorders>
                    <w:tl2br w:val="nil"/>
                    <w:tr2bl w:val="nil"/>
                  </w:tcBorders>
                  <w:vAlign w:val="center"/>
                </w:tcPr>
                <w:p w14:paraId="3E9AE92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2024年7月</w:t>
                  </w:r>
                </w:p>
              </w:tc>
              <w:tc>
                <w:tcPr>
                  <w:tcW w:w="2393" w:type="dxa"/>
                  <w:tcBorders>
                    <w:tl2br w:val="nil"/>
                    <w:tr2bl w:val="nil"/>
                  </w:tcBorders>
                  <w:vAlign w:val="center"/>
                </w:tcPr>
                <w:p w14:paraId="4B0CF37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sz w:val="21"/>
                      <w:szCs w:val="21"/>
                      <w:highlight w:val="none"/>
                      <w:vertAlign w:val="baseline"/>
                      <w:lang w:val="en-US" w:eastAsia="zh-CN"/>
                    </w:rPr>
                  </w:pPr>
                  <w:r>
                    <w:rPr>
                      <w:rFonts w:hint="default" w:cs="Times New Roman"/>
                      <w:sz w:val="21"/>
                      <w:szCs w:val="21"/>
                      <w:highlight w:val="none"/>
                      <w:vertAlign w:val="baseline"/>
                      <w:lang w:val="en-US" w:eastAsia="zh-CN"/>
                    </w:rPr>
                    <w:t>Ⅲ</w:t>
                  </w:r>
                </w:p>
              </w:tc>
            </w:tr>
            <w:tr w14:paraId="34279CE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52" w:type="dxa"/>
                  <w:tcBorders>
                    <w:tl2br w:val="nil"/>
                    <w:tr2bl w:val="nil"/>
                  </w:tcBorders>
                  <w:vAlign w:val="center"/>
                </w:tcPr>
                <w:p w14:paraId="0B280E7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2024年2月</w:t>
                  </w:r>
                </w:p>
              </w:tc>
              <w:tc>
                <w:tcPr>
                  <w:tcW w:w="2352" w:type="dxa"/>
                  <w:tcBorders>
                    <w:tl2br w:val="nil"/>
                    <w:tr2bl w:val="nil"/>
                  </w:tcBorders>
                  <w:vAlign w:val="center"/>
                </w:tcPr>
                <w:p w14:paraId="1F9440A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sz w:val="21"/>
                      <w:szCs w:val="21"/>
                      <w:highlight w:val="none"/>
                      <w:vertAlign w:val="baseline"/>
                      <w:lang w:val="en-US" w:eastAsia="zh-CN"/>
                    </w:rPr>
                  </w:pPr>
                  <w:r>
                    <w:rPr>
                      <w:rFonts w:hint="default" w:cs="Times New Roman"/>
                      <w:sz w:val="21"/>
                      <w:szCs w:val="21"/>
                      <w:highlight w:val="none"/>
                      <w:vertAlign w:val="baseline"/>
                      <w:lang w:val="en-US" w:eastAsia="zh-CN"/>
                    </w:rPr>
                    <w:t>Ⅱ</w:t>
                  </w:r>
                </w:p>
              </w:tc>
              <w:tc>
                <w:tcPr>
                  <w:tcW w:w="1713" w:type="dxa"/>
                  <w:tcBorders>
                    <w:tl2br w:val="nil"/>
                    <w:tr2bl w:val="nil"/>
                  </w:tcBorders>
                  <w:vAlign w:val="center"/>
                </w:tcPr>
                <w:p w14:paraId="5DA931A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2024年8月</w:t>
                  </w:r>
                </w:p>
              </w:tc>
              <w:tc>
                <w:tcPr>
                  <w:tcW w:w="2393" w:type="dxa"/>
                  <w:tcBorders>
                    <w:tl2br w:val="nil"/>
                    <w:tr2bl w:val="nil"/>
                  </w:tcBorders>
                  <w:vAlign w:val="center"/>
                </w:tcPr>
                <w:p w14:paraId="22C3025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sz w:val="21"/>
                      <w:szCs w:val="21"/>
                      <w:highlight w:val="none"/>
                      <w:vertAlign w:val="baseline"/>
                      <w:lang w:val="en-US" w:eastAsia="zh-CN"/>
                    </w:rPr>
                  </w:pPr>
                  <w:r>
                    <w:rPr>
                      <w:rFonts w:hint="default" w:cs="Times New Roman"/>
                      <w:sz w:val="21"/>
                      <w:szCs w:val="21"/>
                      <w:highlight w:val="none"/>
                      <w:vertAlign w:val="baseline"/>
                      <w:lang w:val="en-US" w:eastAsia="zh-CN"/>
                    </w:rPr>
                    <w:t>Ⅱ</w:t>
                  </w:r>
                </w:p>
              </w:tc>
            </w:tr>
            <w:tr w14:paraId="43D6AEE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52" w:type="dxa"/>
                  <w:tcBorders>
                    <w:tl2br w:val="nil"/>
                    <w:tr2bl w:val="nil"/>
                  </w:tcBorders>
                  <w:vAlign w:val="center"/>
                </w:tcPr>
                <w:p w14:paraId="1F2318A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2024年3月</w:t>
                  </w:r>
                </w:p>
              </w:tc>
              <w:tc>
                <w:tcPr>
                  <w:tcW w:w="2352" w:type="dxa"/>
                  <w:tcBorders>
                    <w:tl2br w:val="nil"/>
                    <w:tr2bl w:val="nil"/>
                  </w:tcBorders>
                  <w:vAlign w:val="center"/>
                </w:tcPr>
                <w:p w14:paraId="20ABA1E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sz w:val="21"/>
                      <w:szCs w:val="21"/>
                      <w:highlight w:val="none"/>
                      <w:vertAlign w:val="baseline"/>
                      <w:lang w:val="en-US" w:eastAsia="zh-CN"/>
                    </w:rPr>
                  </w:pPr>
                  <w:r>
                    <w:rPr>
                      <w:rFonts w:hint="default" w:cs="Times New Roman"/>
                      <w:sz w:val="21"/>
                      <w:szCs w:val="21"/>
                      <w:highlight w:val="none"/>
                      <w:vertAlign w:val="baseline"/>
                      <w:lang w:val="en-US" w:eastAsia="zh-CN"/>
                    </w:rPr>
                    <w:t>Ⅱ</w:t>
                  </w:r>
                </w:p>
              </w:tc>
              <w:tc>
                <w:tcPr>
                  <w:tcW w:w="1713" w:type="dxa"/>
                  <w:tcBorders>
                    <w:tl2br w:val="nil"/>
                    <w:tr2bl w:val="nil"/>
                  </w:tcBorders>
                  <w:vAlign w:val="center"/>
                </w:tcPr>
                <w:p w14:paraId="3407D18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2024年9月</w:t>
                  </w:r>
                </w:p>
              </w:tc>
              <w:tc>
                <w:tcPr>
                  <w:tcW w:w="2393" w:type="dxa"/>
                  <w:tcBorders>
                    <w:tl2br w:val="nil"/>
                    <w:tr2bl w:val="nil"/>
                  </w:tcBorders>
                  <w:vAlign w:val="center"/>
                </w:tcPr>
                <w:p w14:paraId="00E790D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sz w:val="21"/>
                      <w:szCs w:val="21"/>
                      <w:highlight w:val="none"/>
                      <w:vertAlign w:val="baseline"/>
                      <w:lang w:val="en-US" w:eastAsia="zh-CN"/>
                    </w:rPr>
                  </w:pPr>
                  <w:r>
                    <w:rPr>
                      <w:rFonts w:hint="default" w:cs="Times New Roman"/>
                      <w:sz w:val="21"/>
                      <w:szCs w:val="21"/>
                      <w:highlight w:val="none"/>
                      <w:vertAlign w:val="baseline"/>
                      <w:lang w:val="en-US" w:eastAsia="zh-CN"/>
                    </w:rPr>
                    <w:t>Ⅱ</w:t>
                  </w:r>
                </w:p>
              </w:tc>
            </w:tr>
            <w:tr w14:paraId="67B9550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52" w:type="dxa"/>
                  <w:tcBorders>
                    <w:tl2br w:val="nil"/>
                    <w:tr2bl w:val="nil"/>
                  </w:tcBorders>
                  <w:vAlign w:val="center"/>
                </w:tcPr>
                <w:p w14:paraId="1956583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2024年4月</w:t>
                  </w:r>
                </w:p>
              </w:tc>
              <w:tc>
                <w:tcPr>
                  <w:tcW w:w="2352" w:type="dxa"/>
                  <w:tcBorders>
                    <w:tl2br w:val="nil"/>
                    <w:tr2bl w:val="nil"/>
                  </w:tcBorders>
                  <w:vAlign w:val="center"/>
                </w:tcPr>
                <w:p w14:paraId="2DA78BB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sz w:val="21"/>
                      <w:szCs w:val="21"/>
                      <w:highlight w:val="none"/>
                      <w:vertAlign w:val="baseline"/>
                      <w:lang w:val="en-US" w:eastAsia="zh-CN"/>
                    </w:rPr>
                  </w:pPr>
                  <w:r>
                    <w:rPr>
                      <w:rFonts w:hint="default" w:cs="Times New Roman"/>
                      <w:sz w:val="21"/>
                      <w:szCs w:val="21"/>
                      <w:highlight w:val="none"/>
                      <w:vertAlign w:val="baseline"/>
                      <w:lang w:val="en-US" w:eastAsia="zh-CN"/>
                    </w:rPr>
                    <w:t>Ⅱ</w:t>
                  </w:r>
                </w:p>
              </w:tc>
              <w:tc>
                <w:tcPr>
                  <w:tcW w:w="1713" w:type="dxa"/>
                  <w:tcBorders>
                    <w:tl2br w:val="nil"/>
                    <w:tr2bl w:val="nil"/>
                  </w:tcBorders>
                  <w:vAlign w:val="center"/>
                </w:tcPr>
                <w:p w14:paraId="0968A33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2024年10月</w:t>
                  </w:r>
                </w:p>
              </w:tc>
              <w:tc>
                <w:tcPr>
                  <w:tcW w:w="2393" w:type="dxa"/>
                  <w:tcBorders>
                    <w:tl2br w:val="nil"/>
                    <w:tr2bl w:val="nil"/>
                  </w:tcBorders>
                  <w:vAlign w:val="center"/>
                </w:tcPr>
                <w:p w14:paraId="30F7474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sz w:val="21"/>
                      <w:szCs w:val="21"/>
                      <w:highlight w:val="none"/>
                      <w:vertAlign w:val="baseline"/>
                      <w:lang w:val="en-US" w:eastAsia="zh-CN"/>
                    </w:rPr>
                  </w:pPr>
                  <w:r>
                    <w:rPr>
                      <w:rFonts w:hint="default" w:cs="Times New Roman"/>
                      <w:sz w:val="21"/>
                      <w:szCs w:val="21"/>
                      <w:highlight w:val="none"/>
                      <w:vertAlign w:val="baseline"/>
                      <w:lang w:val="en-US" w:eastAsia="zh-CN"/>
                    </w:rPr>
                    <w:t>Ⅱ</w:t>
                  </w:r>
                </w:p>
              </w:tc>
            </w:tr>
            <w:tr w14:paraId="50DC142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52" w:type="dxa"/>
                  <w:tcBorders>
                    <w:tl2br w:val="nil"/>
                    <w:tr2bl w:val="nil"/>
                  </w:tcBorders>
                  <w:vAlign w:val="center"/>
                </w:tcPr>
                <w:p w14:paraId="6CCDD74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2024年5月</w:t>
                  </w:r>
                </w:p>
              </w:tc>
              <w:tc>
                <w:tcPr>
                  <w:tcW w:w="2352" w:type="dxa"/>
                  <w:tcBorders>
                    <w:tl2br w:val="nil"/>
                    <w:tr2bl w:val="nil"/>
                  </w:tcBorders>
                  <w:vAlign w:val="center"/>
                </w:tcPr>
                <w:p w14:paraId="17106D6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sz w:val="21"/>
                      <w:szCs w:val="21"/>
                      <w:highlight w:val="none"/>
                      <w:vertAlign w:val="baseline"/>
                      <w:lang w:val="en-US" w:eastAsia="zh-CN"/>
                    </w:rPr>
                  </w:pPr>
                  <w:r>
                    <w:rPr>
                      <w:rFonts w:hint="default" w:cs="Times New Roman"/>
                      <w:sz w:val="21"/>
                      <w:szCs w:val="21"/>
                      <w:highlight w:val="none"/>
                      <w:vertAlign w:val="baseline"/>
                      <w:lang w:val="en-US" w:eastAsia="zh-CN"/>
                    </w:rPr>
                    <w:t>Ⅱ</w:t>
                  </w:r>
                </w:p>
              </w:tc>
              <w:tc>
                <w:tcPr>
                  <w:tcW w:w="1713" w:type="dxa"/>
                  <w:tcBorders>
                    <w:tl2br w:val="nil"/>
                    <w:tr2bl w:val="nil"/>
                  </w:tcBorders>
                  <w:vAlign w:val="center"/>
                </w:tcPr>
                <w:p w14:paraId="09D1E87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2024年11月</w:t>
                  </w:r>
                </w:p>
              </w:tc>
              <w:tc>
                <w:tcPr>
                  <w:tcW w:w="2393" w:type="dxa"/>
                  <w:tcBorders>
                    <w:tl2br w:val="nil"/>
                    <w:tr2bl w:val="nil"/>
                  </w:tcBorders>
                  <w:vAlign w:val="center"/>
                </w:tcPr>
                <w:p w14:paraId="1503066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sz w:val="21"/>
                      <w:szCs w:val="21"/>
                      <w:highlight w:val="none"/>
                      <w:vertAlign w:val="baseline"/>
                      <w:lang w:val="en-US" w:eastAsia="zh-CN"/>
                    </w:rPr>
                  </w:pPr>
                  <w:r>
                    <w:rPr>
                      <w:rFonts w:hint="default" w:cs="Times New Roman"/>
                      <w:sz w:val="21"/>
                      <w:szCs w:val="21"/>
                      <w:highlight w:val="none"/>
                      <w:vertAlign w:val="baseline"/>
                      <w:lang w:val="en-US" w:eastAsia="zh-CN"/>
                    </w:rPr>
                    <w:t>Ⅱ</w:t>
                  </w:r>
                </w:p>
              </w:tc>
            </w:tr>
            <w:tr w14:paraId="14FFBC1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52" w:type="dxa"/>
                  <w:tcBorders>
                    <w:tl2br w:val="nil"/>
                    <w:tr2bl w:val="nil"/>
                  </w:tcBorders>
                  <w:vAlign w:val="center"/>
                </w:tcPr>
                <w:p w14:paraId="13C5EEC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2024年6月</w:t>
                  </w:r>
                </w:p>
              </w:tc>
              <w:tc>
                <w:tcPr>
                  <w:tcW w:w="2352" w:type="dxa"/>
                  <w:tcBorders>
                    <w:tl2br w:val="nil"/>
                    <w:tr2bl w:val="nil"/>
                  </w:tcBorders>
                  <w:vAlign w:val="center"/>
                </w:tcPr>
                <w:p w14:paraId="27455F4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sz w:val="21"/>
                      <w:szCs w:val="21"/>
                      <w:highlight w:val="none"/>
                      <w:vertAlign w:val="baseline"/>
                      <w:lang w:val="en-US" w:eastAsia="zh-CN"/>
                    </w:rPr>
                  </w:pPr>
                  <w:r>
                    <w:rPr>
                      <w:rFonts w:hint="default" w:cs="Times New Roman"/>
                      <w:sz w:val="21"/>
                      <w:szCs w:val="21"/>
                      <w:highlight w:val="none"/>
                      <w:vertAlign w:val="baseline"/>
                      <w:lang w:val="en-US" w:eastAsia="zh-CN"/>
                    </w:rPr>
                    <w:t>Ⅱ</w:t>
                  </w:r>
                </w:p>
              </w:tc>
              <w:tc>
                <w:tcPr>
                  <w:tcW w:w="1713" w:type="dxa"/>
                  <w:tcBorders>
                    <w:tl2br w:val="nil"/>
                    <w:tr2bl w:val="nil"/>
                  </w:tcBorders>
                  <w:vAlign w:val="center"/>
                </w:tcPr>
                <w:p w14:paraId="5442E7B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2024年12月</w:t>
                  </w:r>
                </w:p>
              </w:tc>
              <w:tc>
                <w:tcPr>
                  <w:tcW w:w="2393" w:type="dxa"/>
                  <w:tcBorders>
                    <w:tl2br w:val="nil"/>
                    <w:tr2bl w:val="nil"/>
                  </w:tcBorders>
                  <w:vAlign w:val="center"/>
                </w:tcPr>
                <w:p w14:paraId="7713323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sz w:val="21"/>
                      <w:szCs w:val="21"/>
                      <w:highlight w:val="none"/>
                      <w:vertAlign w:val="baseline"/>
                      <w:lang w:val="en-US" w:eastAsia="zh-CN"/>
                    </w:rPr>
                  </w:pPr>
                  <w:r>
                    <w:rPr>
                      <w:rFonts w:hint="default" w:cs="Times New Roman"/>
                      <w:sz w:val="21"/>
                      <w:szCs w:val="21"/>
                      <w:highlight w:val="none"/>
                      <w:vertAlign w:val="baseline"/>
                      <w:lang w:val="en-US" w:eastAsia="zh-CN"/>
                    </w:rPr>
                    <w:t>Ⅱ</w:t>
                  </w:r>
                </w:p>
              </w:tc>
            </w:tr>
          </w:tbl>
          <w:p w14:paraId="4665AAF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b w:val="0"/>
                <w:bCs w:val="0"/>
                <w:color w:val="auto"/>
                <w:kern w:val="0"/>
                <w:sz w:val="24"/>
                <w:highlight w:val="none"/>
                <w:lang w:val="en-US" w:eastAsia="zh-CN" w:bidi="ar"/>
              </w:rPr>
            </w:pPr>
            <w:r>
              <w:rPr>
                <w:rFonts w:hint="default" w:ascii="Times New Roman" w:hAnsi="Times New Roman" w:eastAsia="宋体" w:cs="Times New Roman"/>
                <w:b w:val="0"/>
                <w:bCs w:val="0"/>
                <w:color w:val="auto"/>
                <w:kern w:val="0"/>
                <w:sz w:val="24"/>
                <w:highlight w:val="none"/>
                <w:lang w:val="en-US" w:eastAsia="zh-CN" w:bidi="ar"/>
              </w:rPr>
              <w:t>由上述资料可知，</w:t>
            </w:r>
            <w:r>
              <w:rPr>
                <w:rFonts w:hint="eastAsia" w:cs="Times New Roman"/>
                <w:b w:val="0"/>
                <w:bCs w:val="0"/>
                <w:color w:val="auto"/>
                <w:kern w:val="0"/>
                <w:sz w:val="24"/>
                <w:highlight w:val="none"/>
                <w:lang w:val="en-US" w:eastAsia="zh-CN" w:bidi="ar"/>
              </w:rPr>
              <w:t>近一年</w:t>
            </w:r>
            <w:r>
              <w:rPr>
                <w:rFonts w:hint="default" w:ascii="Times New Roman" w:hAnsi="Times New Roman" w:eastAsia="宋体" w:cs="Times New Roman"/>
                <w:b w:val="0"/>
                <w:bCs w:val="0"/>
                <w:color w:val="auto"/>
                <w:kern w:val="0"/>
                <w:sz w:val="24"/>
                <w:highlight w:val="none"/>
                <w:lang w:val="en-US" w:eastAsia="zh-CN" w:bidi="ar"/>
              </w:rPr>
              <w:t>统计期间，</w:t>
            </w:r>
            <w:r>
              <w:rPr>
                <w:rFonts w:hint="eastAsia" w:cs="Times New Roman"/>
                <w:b w:val="0"/>
                <w:bCs w:val="0"/>
                <w:color w:val="auto"/>
                <w:kern w:val="0"/>
                <w:sz w:val="24"/>
                <w:highlight w:val="none"/>
                <w:lang w:val="en-US" w:eastAsia="zh-CN" w:bidi="ar"/>
              </w:rPr>
              <w:t>清河上段</w:t>
            </w:r>
            <w:r>
              <w:rPr>
                <w:rFonts w:hint="default" w:ascii="Times New Roman" w:hAnsi="Times New Roman" w:eastAsia="宋体" w:cs="Times New Roman"/>
                <w:b w:val="0"/>
                <w:bCs w:val="0"/>
                <w:color w:val="auto"/>
                <w:kern w:val="0"/>
                <w:sz w:val="24"/>
                <w:highlight w:val="none"/>
                <w:lang w:val="en-US" w:eastAsia="zh-CN" w:bidi="ar"/>
              </w:rPr>
              <w:t>水质均能满足《地表水环境质量标准》（GB3838-2002）中的</w:t>
            </w:r>
            <w:r>
              <w:rPr>
                <w:rFonts w:hint="default" w:ascii="Times New Roman" w:hAnsi="Times New Roman" w:eastAsia="微软雅黑" w:cs="Times New Roman"/>
                <w:i w:val="0"/>
                <w:iCs w:val="0"/>
                <w:caps w:val="0"/>
                <w:color w:val="auto"/>
                <w:spacing w:val="0"/>
                <w:sz w:val="21"/>
                <w:szCs w:val="21"/>
                <w:shd w:val="clear" w:fill="FFFFFF"/>
              </w:rPr>
              <w:t>Ⅳ</w:t>
            </w:r>
            <w:r>
              <w:rPr>
                <w:rFonts w:hint="default" w:ascii="Times New Roman" w:hAnsi="Times New Roman" w:eastAsia="宋体" w:cs="Times New Roman"/>
                <w:b w:val="0"/>
                <w:bCs w:val="0"/>
                <w:color w:val="auto"/>
                <w:kern w:val="0"/>
                <w:sz w:val="24"/>
                <w:highlight w:val="none"/>
                <w:lang w:val="en-US" w:eastAsia="zh-CN" w:bidi="ar"/>
              </w:rPr>
              <w:t>类标准要求。</w:t>
            </w:r>
          </w:p>
          <w:p w14:paraId="7C3E823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b w:val="0"/>
                <w:bCs w:val="0"/>
                <w:color w:val="auto"/>
                <w:kern w:val="0"/>
                <w:sz w:val="24"/>
                <w:highlight w:val="none"/>
                <w:lang w:val="en-US" w:eastAsia="zh-CN" w:bidi="ar"/>
              </w:rPr>
            </w:pPr>
            <w:r>
              <w:rPr>
                <w:rFonts w:hint="eastAsia" w:ascii="Times New Roman" w:hAnsi="Times New Roman" w:eastAsia="宋体" w:cs="Times New Roman"/>
                <w:b w:val="0"/>
                <w:bCs w:val="0"/>
                <w:color w:val="auto"/>
                <w:kern w:val="0"/>
                <w:sz w:val="24"/>
                <w:highlight w:val="none"/>
                <w:lang w:val="en-US" w:eastAsia="zh-CN" w:bidi="ar"/>
              </w:rPr>
              <w:t>3、声环境质量现状</w:t>
            </w:r>
          </w:p>
          <w:p w14:paraId="4D30DE0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b w:val="0"/>
                <w:bCs w:val="0"/>
                <w:color w:val="auto"/>
                <w:kern w:val="0"/>
                <w:sz w:val="24"/>
                <w:highlight w:val="none"/>
                <w:lang w:val="en-US" w:eastAsia="zh-CN" w:bidi="ar"/>
              </w:rPr>
            </w:pPr>
            <w:r>
              <w:rPr>
                <w:rFonts w:hint="default" w:ascii="Times New Roman" w:hAnsi="Times New Roman" w:eastAsia="宋体" w:cs="Times New Roman"/>
                <w:b w:val="0"/>
                <w:bCs w:val="0"/>
                <w:color w:val="auto"/>
                <w:kern w:val="0"/>
                <w:sz w:val="24"/>
                <w:highlight w:val="none"/>
                <w:lang w:val="en-US" w:eastAsia="zh-CN" w:bidi="ar"/>
              </w:rPr>
              <w:t>根据《北京市海淀区声环境功能区划实施细则（2022年修订）的通知》（海行规发[2023]1号），本项目位于1类声功能区，本项目所在地现状声环境质量执行《声环境质量标准》（GB3096-2008）中1类标准。</w:t>
            </w:r>
          </w:p>
          <w:p w14:paraId="14DDC04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cs="Times New Roman"/>
                <w:b w:val="0"/>
                <w:bCs w:val="0"/>
                <w:color w:val="auto"/>
                <w:kern w:val="0"/>
                <w:sz w:val="24"/>
                <w:highlight w:val="none"/>
                <w:lang w:val="en-US" w:eastAsia="zh-CN" w:bidi="ar"/>
              </w:rPr>
            </w:pPr>
            <w:r>
              <w:rPr>
                <w:rFonts w:hint="default" w:ascii="Times New Roman" w:hAnsi="Times New Roman" w:eastAsia="宋体" w:cs="Times New Roman"/>
                <w:b w:val="0"/>
                <w:bCs w:val="0"/>
                <w:color w:val="auto"/>
                <w:kern w:val="0"/>
                <w:sz w:val="24"/>
                <w:highlight w:val="none"/>
                <w:lang w:val="en-US" w:eastAsia="zh-CN" w:bidi="ar"/>
              </w:rPr>
              <w:t>根据《建设项目环境影响报告表编制技术指南（污染影响类）（试行）》文件中要求，厂界外50米范围内存在声环境保护目标的建设项目，应监测保护目标声环境质量现状并评价达标情况。本项目周边50m范围内存在声环境保护目标，分别为</w:t>
            </w:r>
            <w:r>
              <w:rPr>
                <w:rFonts w:hint="eastAsia" w:cs="Times New Roman"/>
                <w:b w:val="0"/>
                <w:bCs w:val="0"/>
                <w:color w:val="auto"/>
                <w:kern w:val="0"/>
                <w:sz w:val="24"/>
                <w:highlight w:val="none"/>
                <w:lang w:val="en-US" w:eastAsia="zh-CN" w:bidi="ar"/>
              </w:rPr>
              <w:t>项目所在建筑楼2-8层公寓住宅</w:t>
            </w:r>
            <w:r>
              <w:rPr>
                <w:rFonts w:hint="default" w:ascii="Times New Roman" w:hAnsi="Times New Roman" w:eastAsia="宋体" w:cs="Times New Roman"/>
                <w:b w:val="0"/>
                <w:bCs w:val="0"/>
                <w:color w:val="auto"/>
                <w:kern w:val="0"/>
                <w:sz w:val="24"/>
                <w:highlight w:val="none"/>
                <w:lang w:val="en-US" w:eastAsia="zh-CN" w:bidi="ar"/>
              </w:rPr>
              <w:t>，本次评价需监测保护目标声环境质量。为了解本项目厂界声环境质量现状情况，在本项目租用的</w:t>
            </w:r>
            <w:r>
              <w:rPr>
                <w:rFonts w:hint="eastAsia" w:cs="Times New Roman"/>
                <w:b w:val="0"/>
                <w:bCs w:val="0"/>
                <w:color w:val="auto"/>
                <w:kern w:val="0"/>
                <w:sz w:val="24"/>
                <w:highlight w:val="none"/>
                <w:lang w:val="en-US" w:eastAsia="zh-CN" w:bidi="ar"/>
              </w:rPr>
              <w:t>所在</w:t>
            </w:r>
            <w:r>
              <w:rPr>
                <w:rFonts w:hint="default" w:ascii="Times New Roman" w:hAnsi="Times New Roman" w:eastAsia="宋体" w:cs="Times New Roman"/>
                <w:b w:val="0"/>
                <w:bCs w:val="0"/>
                <w:color w:val="auto"/>
                <w:kern w:val="0"/>
                <w:sz w:val="24"/>
                <w:highlight w:val="none"/>
                <w:lang w:val="en-US" w:eastAsia="zh-CN" w:bidi="ar"/>
              </w:rPr>
              <w:t>建筑</w:t>
            </w:r>
            <w:r>
              <w:rPr>
                <w:rFonts w:hint="eastAsia" w:cs="Times New Roman"/>
                <w:b w:val="0"/>
                <w:bCs w:val="0"/>
                <w:color w:val="auto"/>
                <w:kern w:val="0"/>
                <w:sz w:val="24"/>
                <w:highlight w:val="none"/>
                <w:lang w:val="en-US" w:eastAsia="zh-CN" w:bidi="ar"/>
              </w:rPr>
              <w:t>楼2层公寓住宅窗户外</w:t>
            </w:r>
            <w:r>
              <w:rPr>
                <w:rFonts w:hint="default" w:ascii="Times New Roman" w:hAnsi="Times New Roman" w:eastAsia="宋体" w:cs="Times New Roman"/>
                <w:b w:val="0"/>
                <w:bCs w:val="0"/>
                <w:color w:val="auto"/>
                <w:kern w:val="0"/>
                <w:sz w:val="24"/>
                <w:highlight w:val="none"/>
                <w:lang w:val="en-US" w:eastAsia="zh-CN" w:bidi="ar"/>
              </w:rPr>
              <w:t>设置</w:t>
            </w:r>
            <w:r>
              <w:rPr>
                <w:rFonts w:hint="eastAsia" w:cs="Times New Roman"/>
                <w:b w:val="0"/>
                <w:bCs w:val="0"/>
                <w:color w:val="auto"/>
                <w:kern w:val="0"/>
                <w:sz w:val="24"/>
                <w:highlight w:val="none"/>
                <w:lang w:val="en-US" w:eastAsia="zh-CN" w:bidi="ar"/>
              </w:rPr>
              <w:t>2</w:t>
            </w:r>
            <w:r>
              <w:rPr>
                <w:rFonts w:hint="default" w:ascii="Times New Roman" w:hAnsi="Times New Roman" w:eastAsia="宋体" w:cs="Times New Roman"/>
                <w:b w:val="0"/>
                <w:bCs w:val="0"/>
                <w:color w:val="auto"/>
                <w:kern w:val="0"/>
                <w:sz w:val="24"/>
                <w:highlight w:val="none"/>
                <w:lang w:val="en-US" w:eastAsia="zh-CN" w:bidi="ar"/>
              </w:rPr>
              <w:t>个监测点</w:t>
            </w:r>
            <w:r>
              <w:rPr>
                <w:rFonts w:hint="eastAsia" w:cs="Times New Roman"/>
                <w:b w:val="0"/>
                <w:bCs w:val="0"/>
                <w:color w:val="auto"/>
                <w:kern w:val="0"/>
                <w:sz w:val="24"/>
                <w:highlight w:val="none"/>
                <w:lang w:val="en-US" w:eastAsia="zh-CN" w:bidi="ar"/>
              </w:rPr>
              <w:t>。监测结果及监测点位图如下。</w:t>
            </w:r>
          </w:p>
          <w:p w14:paraId="71D673A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0" w:firstLineChars="0"/>
              <w:jc w:val="center"/>
              <w:textAlignment w:val="auto"/>
              <w:rPr>
                <w:rFonts w:hint="default" w:cs="Times New Roman"/>
                <w:b w:val="0"/>
                <w:bCs w:val="0"/>
                <w:color w:val="auto"/>
                <w:kern w:val="0"/>
                <w:sz w:val="24"/>
                <w:highlight w:val="none"/>
                <w:lang w:val="en-US" w:eastAsia="zh-CN" w:bidi="ar"/>
              </w:rPr>
            </w:pPr>
            <w:r>
              <w:rPr>
                <w:rFonts w:hint="eastAsia" w:cs="Times New Roman"/>
                <w:b/>
                <w:bCs/>
                <w:color w:val="auto"/>
                <w:kern w:val="0"/>
                <w:sz w:val="21"/>
                <w:szCs w:val="21"/>
                <w:highlight w:val="none"/>
                <w:lang w:val="en-US" w:eastAsia="zh-CN" w:bidi="ar"/>
              </w:rPr>
              <w:t>表3-3 项目周边声环境现状监测结果</w:t>
            </w:r>
          </w:p>
          <w:tbl>
            <w:tblPr>
              <w:tblStyle w:val="13"/>
              <w:tblW w:w="8212"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43"/>
              <w:gridCol w:w="1395"/>
              <w:gridCol w:w="1395"/>
              <w:gridCol w:w="1395"/>
              <w:gridCol w:w="1395"/>
              <w:gridCol w:w="1089"/>
            </w:tblGrid>
            <w:tr w14:paraId="011C48A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43" w:type="dxa"/>
                  <w:tcBorders>
                    <w:tl2br w:val="nil"/>
                    <w:tr2bl w:val="nil"/>
                  </w:tcBorders>
                  <w:vAlign w:val="center"/>
                </w:tcPr>
                <w:p w14:paraId="54C1540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bCs/>
                      <w:color w:val="auto"/>
                      <w:kern w:val="0"/>
                      <w:sz w:val="21"/>
                      <w:szCs w:val="21"/>
                      <w:highlight w:val="none"/>
                      <w:vertAlign w:val="baseline"/>
                      <w:lang w:val="en-US" w:eastAsia="zh-CN" w:bidi="ar"/>
                    </w:rPr>
                  </w:pPr>
                  <w:r>
                    <w:rPr>
                      <w:rFonts w:hint="eastAsia" w:cs="Times New Roman"/>
                      <w:b/>
                      <w:bCs/>
                      <w:color w:val="auto"/>
                      <w:kern w:val="0"/>
                      <w:sz w:val="21"/>
                      <w:szCs w:val="21"/>
                      <w:highlight w:val="none"/>
                      <w:vertAlign w:val="baseline"/>
                      <w:lang w:val="en-US" w:eastAsia="zh-CN" w:bidi="ar"/>
                    </w:rPr>
                    <w:t>监测点位</w:t>
                  </w:r>
                </w:p>
              </w:tc>
              <w:tc>
                <w:tcPr>
                  <w:tcW w:w="1395" w:type="dxa"/>
                  <w:tcBorders>
                    <w:tl2br w:val="nil"/>
                    <w:tr2bl w:val="nil"/>
                  </w:tcBorders>
                  <w:vAlign w:val="center"/>
                </w:tcPr>
                <w:p w14:paraId="235DDA3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bCs/>
                      <w:color w:val="auto"/>
                      <w:kern w:val="0"/>
                      <w:sz w:val="21"/>
                      <w:szCs w:val="21"/>
                      <w:highlight w:val="none"/>
                      <w:vertAlign w:val="baseline"/>
                      <w:lang w:val="en-US" w:eastAsia="zh-CN" w:bidi="ar"/>
                    </w:rPr>
                  </w:pPr>
                  <w:r>
                    <w:rPr>
                      <w:rFonts w:hint="eastAsia" w:cs="Times New Roman"/>
                      <w:b/>
                      <w:bCs/>
                      <w:color w:val="auto"/>
                      <w:kern w:val="0"/>
                      <w:sz w:val="21"/>
                      <w:szCs w:val="21"/>
                      <w:highlight w:val="none"/>
                      <w:vertAlign w:val="baseline"/>
                      <w:lang w:val="en-US" w:eastAsia="zh-CN" w:bidi="ar"/>
                    </w:rPr>
                    <w:t>昼间监测值</w:t>
                  </w:r>
                </w:p>
              </w:tc>
              <w:tc>
                <w:tcPr>
                  <w:tcW w:w="1395" w:type="dxa"/>
                  <w:tcBorders>
                    <w:tl2br w:val="nil"/>
                    <w:tr2bl w:val="nil"/>
                  </w:tcBorders>
                  <w:vAlign w:val="center"/>
                </w:tcPr>
                <w:p w14:paraId="09C5BD8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bCs/>
                      <w:color w:val="auto"/>
                      <w:kern w:val="0"/>
                      <w:sz w:val="21"/>
                      <w:szCs w:val="21"/>
                      <w:highlight w:val="none"/>
                      <w:vertAlign w:val="baseline"/>
                      <w:lang w:val="en-US" w:eastAsia="zh-CN" w:bidi="ar"/>
                    </w:rPr>
                  </w:pPr>
                  <w:r>
                    <w:rPr>
                      <w:rFonts w:hint="eastAsia" w:cs="Times New Roman"/>
                      <w:b/>
                      <w:bCs/>
                      <w:color w:val="auto"/>
                      <w:kern w:val="0"/>
                      <w:sz w:val="21"/>
                      <w:szCs w:val="21"/>
                      <w:highlight w:val="none"/>
                      <w:vertAlign w:val="baseline"/>
                      <w:lang w:val="en-US" w:eastAsia="zh-CN" w:bidi="ar"/>
                    </w:rPr>
                    <w:t>夜间监测值</w:t>
                  </w:r>
                </w:p>
              </w:tc>
              <w:tc>
                <w:tcPr>
                  <w:tcW w:w="1395" w:type="dxa"/>
                  <w:tcBorders>
                    <w:tl2br w:val="nil"/>
                    <w:tr2bl w:val="nil"/>
                  </w:tcBorders>
                  <w:vAlign w:val="center"/>
                </w:tcPr>
                <w:p w14:paraId="312F9D6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bCs/>
                      <w:color w:val="auto"/>
                      <w:kern w:val="0"/>
                      <w:sz w:val="21"/>
                      <w:szCs w:val="21"/>
                      <w:highlight w:val="none"/>
                      <w:vertAlign w:val="baseline"/>
                      <w:lang w:val="en-US" w:eastAsia="zh-CN" w:bidi="ar"/>
                    </w:rPr>
                  </w:pPr>
                  <w:r>
                    <w:rPr>
                      <w:rFonts w:hint="eastAsia" w:cs="Times New Roman"/>
                      <w:b/>
                      <w:bCs/>
                      <w:color w:val="auto"/>
                      <w:kern w:val="0"/>
                      <w:sz w:val="21"/>
                      <w:szCs w:val="21"/>
                      <w:highlight w:val="none"/>
                      <w:vertAlign w:val="baseline"/>
                      <w:lang w:val="en-US" w:eastAsia="zh-CN" w:bidi="ar"/>
                    </w:rPr>
                    <w:t>昼间标准值</w:t>
                  </w:r>
                </w:p>
              </w:tc>
              <w:tc>
                <w:tcPr>
                  <w:tcW w:w="1395" w:type="dxa"/>
                  <w:tcBorders>
                    <w:tl2br w:val="nil"/>
                    <w:tr2bl w:val="nil"/>
                  </w:tcBorders>
                  <w:vAlign w:val="center"/>
                </w:tcPr>
                <w:p w14:paraId="4FD1AD5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bCs/>
                      <w:color w:val="auto"/>
                      <w:kern w:val="0"/>
                      <w:sz w:val="21"/>
                      <w:szCs w:val="21"/>
                      <w:highlight w:val="none"/>
                      <w:vertAlign w:val="baseline"/>
                      <w:lang w:val="en-US" w:eastAsia="zh-CN" w:bidi="ar"/>
                    </w:rPr>
                  </w:pPr>
                  <w:r>
                    <w:rPr>
                      <w:rFonts w:hint="eastAsia" w:cs="Times New Roman"/>
                      <w:b/>
                      <w:bCs/>
                      <w:color w:val="auto"/>
                      <w:kern w:val="0"/>
                      <w:sz w:val="21"/>
                      <w:szCs w:val="21"/>
                      <w:highlight w:val="none"/>
                      <w:vertAlign w:val="baseline"/>
                      <w:lang w:val="en-US" w:eastAsia="zh-CN" w:bidi="ar"/>
                    </w:rPr>
                    <w:t>夜间标准值</w:t>
                  </w:r>
                </w:p>
              </w:tc>
              <w:tc>
                <w:tcPr>
                  <w:tcW w:w="1089" w:type="dxa"/>
                  <w:tcBorders>
                    <w:tl2br w:val="nil"/>
                    <w:tr2bl w:val="nil"/>
                  </w:tcBorders>
                  <w:vAlign w:val="center"/>
                </w:tcPr>
                <w:p w14:paraId="5E01D71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bCs/>
                      <w:color w:val="auto"/>
                      <w:kern w:val="0"/>
                      <w:sz w:val="21"/>
                      <w:szCs w:val="21"/>
                      <w:highlight w:val="none"/>
                      <w:vertAlign w:val="baseline"/>
                      <w:lang w:val="en-US" w:eastAsia="zh-CN" w:bidi="ar"/>
                    </w:rPr>
                  </w:pPr>
                  <w:r>
                    <w:rPr>
                      <w:rFonts w:hint="eastAsia" w:cs="Times New Roman"/>
                      <w:b/>
                      <w:bCs/>
                      <w:color w:val="auto"/>
                      <w:kern w:val="0"/>
                      <w:sz w:val="21"/>
                      <w:szCs w:val="21"/>
                      <w:highlight w:val="none"/>
                      <w:vertAlign w:val="baseline"/>
                      <w:lang w:val="en-US" w:eastAsia="zh-CN" w:bidi="ar"/>
                    </w:rPr>
                    <w:t>达标情况</w:t>
                  </w:r>
                </w:p>
              </w:tc>
            </w:tr>
            <w:tr w14:paraId="7B4B2A4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43" w:type="dxa"/>
                  <w:tcBorders>
                    <w:tl2br w:val="nil"/>
                    <w:tr2bl w:val="nil"/>
                  </w:tcBorders>
                  <w:vAlign w:val="center"/>
                </w:tcPr>
                <w:p w14:paraId="45A1013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公寓北侧2层窗户外1m</w:t>
                  </w:r>
                  <w:r>
                    <w:rPr>
                      <w:rFonts w:hint="eastAsia" w:ascii="宋体" w:hAnsi="宋体" w:eastAsia="宋体" w:cs="宋体"/>
                      <w:b w:val="0"/>
                      <w:bCs w:val="0"/>
                      <w:color w:val="auto"/>
                      <w:kern w:val="0"/>
                      <w:sz w:val="21"/>
                      <w:szCs w:val="21"/>
                      <w:highlight w:val="none"/>
                      <w:vertAlign w:val="baseline"/>
                      <w:lang w:val="en-US" w:eastAsia="zh-CN" w:bidi="ar"/>
                    </w:rPr>
                    <w:t>▲</w:t>
                  </w:r>
                  <w:r>
                    <w:rPr>
                      <w:rFonts w:hint="eastAsia" w:cs="Times New Roman"/>
                      <w:b w:val="0"/>
                      <w:bCs w:val="0"/>
                      <w:color w:val="auto"/>
                      <w:kern w:val="0"/>
                      <w:sz w:val="21"/>
                      <w:szCs w:val="21"/>
                      <w:highlight w:val="none"/>
                      <w:vertAlign w:val="baseline"/>
                      <w:lang w:val="en-US" w:eastAsia="zh-CN" w:bidi="ar"/>
                    </w:rPr>
                    <w:t>1</w:t>
                  </w:r>
                </w:p>
              </w:tc>
              <w:tc>
                <w:tcPr>
                  <w:tcW w:w="1395" w:type="dxa"/>
                  <w:tcBorders>
                    <w:tl2br w:val="nil"/>
                    <w:tr2bl w:val="nil"/>
                  </w:tcBorders>
                  <w:vAlign w:val="center"/>
                </w:tcPr>
                <w:p w14:paraId="724BB34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51dB(A)</w:t>
                  </w:r>
                </w:p>
              </w:tc>
              <w:tc>
                <w:tcPr>
                  <w:tcW w:w="1395" w:type="dxa"/>
                  <w:tcBorders>
                    <w:tl2br w:val="nil"/>
                    <w:tr2bl w:val="nil"/>
                  </w:tcBorders>
                  <w:vAlign w:val="center"/>
                </w:tcPr>
                <w:p w14:paraId="7622752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43dB(A)</w:t>
                  </w:r>
                </w:p>
              </w:tc>
              <w:tc>
                <w:tcPr>
                  <w:tcW w:w="1395" w:type="dxa"/>
                  <w:tcBorders>
                    <w:tl2br w:val="nil"/>
                    <w:tr2bl w:val="nil"/>
                  </w:tcBorders>
                  <w:vAlign w:val="center"/>
                </w:tcPr>
                <w:p w14:paraId="7607A9A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55dB(A)</w:t>
                  </w:r>
                </w:p>
              </w:tc>
              <w:tc>
                <w:tcPr>
                  <w:tcW w:w="1395" w:type="dxa"/>
                  <w:tcBorders>
                    <w:tl2br w:val="nil"/>
                    <w:tr2bl w:val="nil"/>
                  </w:tcBorders>
                  <w:vAlign w:val="center"/>
                </w:tcPr>
                <w:p w14:paraId="2CD09F4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45dB(A)</w:t>
                  </w:r>
                </w:p>
              </w:tc>
              <w:tc>
                <w:tcPr>
                  <w:tcW w:w="1089" w:type="dxa"/>
                  <w:tcBorders>
                    <w:tl2br w:val="nil"/>
                    <w:tr2bl w:val="nil"/>
                  </w:tcBorders>
                  <w:vAlign w:val="center"/>
                </w:tcPr>
                <w:p w14:paraId="641AE72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达标</w:t>
                  </w:r>
                </w:p>
              </w:tc>
            </w:tr>
            <w:tr w14:paraId="50C2B4E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43" w:type="dxa"/>
                  <w:tcBorders>
                    <w:tl2br w:val="nil"/>
                    <w:tr2bl w:val="nil"/>
                  </w:tcBorders>
                  <w:vAlign w:val="center"/>
                </w:tcPr>
                <w:p w14:paraId="761D33F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公寓南侧2层窗户外1m</w:t>
                  </w:r>
                  <w:r>
                    <w:rPr>
                      <w:rFonts w:hint="eastAsia" w:ascii="宋体" w:hAnsi="宋体" w:eastAsia="宋体" w:cs="宋体"/>
                      <w:b w:val="0"/>
                      <w:bCs w:val="0"/>
                      <w:color w:val="auto"/>
                      <w:kern w:val="0"/>
                      <w:sz w:val="21"/>
                      <w:szCs w:val="21"/>
                      <w:highlight w:val="none"/>
                      <w:vertAlign w:val="baseline"/>
                      <w:lang w:val="en-US" w:eastAsia="zh-CN" w:bidi="ar"/>
                    </w:rPr>
                    <w:t>▲</w:t>
                  </w:r>
                  <w:r>
                    <w:rPr>
                      <w:rFonts w:hint="eastAsia" w:cs="Times New Roman"/>
                      <w:b w:val="0"/>
                      <w:bCs w:val="0"/>
                      <w:color w:val="auto"/>
                      <w:kern w:val="0"/>
                      <w:sz w:val="21"/>
                      <w:szCs w:val="21"/>
                      <w:highlight w:val="none"/>
                      <w:vertAlign w:val="baseline"/>
                      <w:lang w:val="en-US" w:eastAsia="zh-CN" w:bidi="ar"/>
                    </w:rPr>
                    <w:t>2</w:t>
                  </w:r>
                </w:p>
              </w:tc>
              <w:tc>
                <w:tcPr>
                  <w:tcW w:w="1395" w:type="dxa"/>
                  <w:tcBorders>
                    <w:tl2br w:val="nil"/>
                    <w:tr2bl w:val="nil"/>
                  </w:tcBorders>
                  <w:vAlign w:val="center"/>
                </w:tcPr>
                <w:p w14:paraId="798D504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54dB(A)</w:t>
                  </w:r>
                </w:p>
              </w:tc>
              <w:tc>
                <w:tcPr>
                  <w:tcW w:w="1395" w:type="dxa"/>
                  <w:tcBorders>
                    <w:tl2br w:val="nil"/>
                    <w:tr2bl w:val="nil"/>
                  </w:tcBorders>
                  <w:vAlign w:val="center"/>
                </w:tcPr>
                <w:p w14:paraId="74FE619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39dB(A)</w:t>
                  </w:r>
                </w:p>
              </w:tc>
              <w:tc>
                <w:tcPr>
                  <w:tcW w:w="1395" w:type="dxa"/>
                  <w:tcBorders>
                    <w:tl2br w:val="nil"/>
                    <w:tr2bl w:val="nil"/>
                  </w:tcBorders>
                  <w:vAlign w:val="center"/>
                </w:tcPr>
                <w:p w14:paraId="462B17C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55dB(A)</w:t>
                  </w:r>
                </w:p>
              </w:tc>
              <w:tc>
                <w:tcPr>
                  <w:tcW w:w="1395" w:type="dxa"/>
                  <w:tcBorders>
                    <w:tl2br w:val="nil"/>
                    <w:tr2bl w:val="nil"/>
                  </w:tcBorders>
                  <w:vAlign w:val="center"/>
                </w:tcPr>
                <w:p w14:paraId="38FD561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45dB(A)</w:t>
                  </w:r>
                </w:p>
              </w:tc>
              <w:tc>
                <w:tcPr>
                  <w:tcW w:w="1089" w:type="dxa"/>
                  <w:tcBorders>
                    <w:tl2br w:val="nil"/>
                    <w:tr2bl w:val="nil"/>
                  </w:tcBorders>
                  <w:vAlign w:val="center"/>
                </w:tcPr>
                <w:p w14:paraId="09F3FCA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达标</w:t>
                  </w:r>
                </w:p>
              </w:tc>
            </w:tr>
          </w:tbl>
          <w:p w14:paraId="40FA9C9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0" w:firstLineChars="0"/>
              <w:jc w:val="both"/>
              <w:textAlignment w:val="auto"/>
              <w:rPr>
                <w:rFonts w:hint="eastAsia" w:cs="Times New Roman"/>
                <w:b/>
                <w:bCs/>
                <w:color w:val="auto"/>
                <w:kern w:val="0"/>
                <w:sz w:val="18"/>
                <w:szCs w:val="18"/>
                <w:highlight w:val="none"/>
                <w:lang w:val="en-US" w:eastAsia="zh-CN" w:bidi="ar"/>
              </w:rPr>
            </w:pPr>
            <w:r>
              <w:rPr>
                <w:rFonts w:hint="eastAsia" w:cs="Times New Roman"/>
                <w:b/>
                <w:bCs/>
                <w:color w:val="auto"/>
                <w:kern w:val="0"/>
                <w:sz w:val="18"/>
                <w:szCs w:val="18"/>
                <w:highlight w:val="none"/>
                <w:lang w:val="en-US" w:eastAsia="zh-CN" w:bidi="ar"/>
              </w:rPr>
              <w:t>注：噪声监测数据来源2025年10月北京中天云测检测技术有限公司环境噪声检测报告，报告编号ZS2025092502。</w:t>
            </w:r>
          </w:p>
          <w:p w14:paraId="58A7D4A6">
            <w:pPr>
              <w:keepNext w:val="0"/>
              <w:keepLines w:val="0"/>
              <w:suppressLineNumbers w:val="0"/>
              <w:bidi w:val="0"/>
              <w:spacing w:before="0" w:beforeAutospacing="0" w:after="0" w:afterAutospacing="0"/>
              <w:ind w:left="0" w:right="0"/>
              <w:rPr>
                <w:rFonts w:hint="eastAsia"/>
                <w:lang w:val="en-US" w:eastAsia="zh-CN"/>
              </w:rPr>
            </w:pPr>
          </w:p>
          <w:p w14:paraId="4612DA6B">
            <w:pPr>
              <w:keepNext w:val="0"/>
              <w:keepLines w:val="0"/>
              <w:suppressLineNumbers w:val="0"/>
              <w:bidi w:val="0"/>
              <w:spacing w:before="0" w:beforeAutospacing="0" w:after="0" w:afterAutospacing="0"/>
              <w:ind w:left="0" w:right="0"/>
              <w:rPr>
                <w:rFonts w:hint="eastAsia"/>
                <w:lang w:val="en-US" w:eastAsia="zh-CN"/>
              </w:rPr>
            </w:pPr>
          </w:p>
          <w:p w14:paraId="6831066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0" w:firstLineChars="0"/>
              <w:jc w:val="center"/>
              <w:textAlignment w:val="auto"/>
              <w:rPr>
                <w:rFonts w:hint="eastAsia" w:cs="Times New Roman"/>
                <w:b/>
                <w:bCs/>
                <w:color w:val="auto"/>
                <w:kern w:val="0"/>
                <w:sz w:val="24"/>
                <w:szCs w:val="24"/>
                <w:highlight w:val="none"/>
                <w:lang w:val="en-US" w:eastAsia="zh-CN" w:bidi="ar"/>
              </w:rPr>
            </w:pPr>
            <w:r>
              <w:rPr>
                <w:rFonts w:hint="default"/>
                <w:sz w:val="24"/>
              </w:rPr>
              <mc:AlternateContent>
                <mc:Choice Requires="wps">
                  <w:drawing>
                    <wp:anchor distT="0" distB="0" distL="114300" distR="114300" simplePos="0" relativeHeight="251674624" behindDoc="0" locked="0" layoutInCell="1" allowOverlap="1">
                      <wp:simplePos x="0" y="0"/>
                      <wp:positionH relativeFrom="column">
                        <wp:posOffset>3964940</wp:posOffset>
                      </wp:positionH>
                      <wp:positionV relativeFrom="paragraph">
                        <wp:posOffset>5300345</wp:posOffset>
                      </wp:positionV>
                      <wp:extent cx="114300" cy="95250"/>
                      <wp:effectExtent l="12700" t="12700" r="25400" b="25400"/>
                      <wp:wrapNone/>
                      <wp:docPr id="9" name="矩形 9"/>
                      <wp:cNvGraphicFramePr/>
                      <a:graphic xmlns:a="http://schemas.openxmlformats.org/drawingml/2006/main">
                        <a:graphicData uri="http://schemas.microsoft.com/office/word/2010/wordprocessingShape">
                          <wps:wsp>
                            <wps:cNvSpPr/>
                            <wps:spPr>
                              <a:xfrm>
                                <a:off x="5432425" y="6511290"/>
                                <a:ext cx="114300" cy="95250"/>
                              </a:xfrm>
                              <a:prstGeom prst="rect">
                                <a:avLst/>
                              </a:prstGeom>
                              <a:no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12.2pt;margin-top:417.35pt;height:7.5pt;width:9pt;z-index:251674624;v-text-anchor:middle;mso-width-relative:page;mso-height-relative:page;" filled="f" stroked="t" coordsize="21600,21600" o:gfxdata="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nssge9kAAAALAQAADwAAAAAAAAABACAAAAAiAAAAZHJzL2Rvd25yZXYueG1s&#10;UEsBAhQAFAAAAAgAh07iQAXEVglpAgAAvgQAAA4AAAAAAAAAAQAgAAAAKAEAAGRycy9lMm9Eb2Mu&#10;eG1sUEsFBgAAAAAGAAYAWQEAAAMGAAAAAA==&#10;">
                      <v:fill on="f" focussize="0,0"/>
                      <v:stroke weight="2pt" color="#FF0000 [2404]" joinstyle="round"/>
                      <v:imagedata o:title=""/>
                      <o:lock v:ext="edit" aspectratio="f"/>
                    </v:rect>
                  </w:pict>
                </mc:Fallback>
              </mc:AlternateContent>
            </w:r>
            <w:r>
              <w:rPr>
                <w:rFonts w:hint="default"/>
                <w:sz w:val="24"/>
              </w:rPr>
              <mc:AlternateContent>
                <mc:Choice Requires="wps">
                  <w:drawing>
                    <wp:anchor distT="0" distB="0" distL="114300" distR="114300" simplePos="0" relativeHeight="251675648" behindDoc="0" locked="0" layoutInCell="1" allowOverlap="1">
                      <wp:simplePos x="0" y="0"/>
                      <wp:positionH relativeFrom="column">
                        <wp:posOffset>4079240</wp:posOffset>
                      </wp:positionH>
                      <wp:positionV relativeFrom="paragraph">
                        <wp:posOffset>5214620</wp:posOffset>
                      </wp:positionV>
                      <wp:extent cx="657225" cy="247650"/>
                      <wp:effectExtent l="0" t="0" r="0" b="0"/>
                      <wp:wrapNone/>
                      <wp:docPr id="12" name="文本框 12"/>
                      <wp:cNvGraphicFramePr/>
                      <a:graphic xmlns:a="http://schemas.openxmlformats.org/drawingml/2006/main">
                        <a:graphicData uri="http://schemas.microsoft.com/office/word/2010/wordprocessingShape">
                          <wps:wsp>
                            <wps:cNvSpPr txBox="1"/>
                            <wps:spPr>
                              <a:xfrm>
                                <a:off x="5661025" y="6473190"/>
                                <a:ext cx="657225" cy="2476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7A5BF7F">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eastAsia="宋体"/>
                                      <w:sz w:val="18"/>
                                      <w:szCs w:val="18"/>
                                      <w:lang w:val="en-US" w:eastAsia="zh-CN"/>
                                    </w:rPr>
                                  </w:pPr>
                                  <w:r>
                                    <w:rPr>
                                      <w:rFonts w:hint="eastAsia"/>
                                      <w:sz w:val="18"/>
                                      <w:szCs w:val="18"/>
                                      <w:lang w:val="en-US" w:eastAsia="zh-CN"/>
                                    </w:rPr>
                                    <w:t>医院位置</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21.2pt;margin-top:410.6pt;height:19.5pt;width:51.75pt;z-index:251675648;mso-width-relative:page;mso-height-relative:page;" filled="f" stroked="f" coordsize="21600,21600" o:gfxdata="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DbieNW3AAAAAsBAAAPAAAAAAAAAAEA&#10;IAAAACIAAABkcnMvZG93bnJldi54bWxQSwECFAAUAAAACACHTuJANQu2pUQCAABzBAAADgAAAAAA&#10;AAABACAAAAArAQAAZHJzL2Uyb0RvYy54bWxQSwUGAAAAAAYABgBZAQAA4QUAAAAA&#10;">
                      <v:fill on="f" focussize="0,0"/>
                      <v:stroke on="f" weight="0.5pt"/>
                      <v:imagedata o:title=""/>
                      <o:lock v:ext="edit" aspectratio="f"/>
                      <v:textbox>
                        <w:txbxContent>
                          <w:p w14:paraId="77A5BF7F">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eastAsia="宋体"/>
                                <w:sz w:val="18"/>
                                <w:szCs w:val="18"/>
                                <w:lang w:val="en-US" w:eastAsia="zh-CN"/>
                              </w:rPr>
                            </w:pPr>
                            <w:r>
                              <w:rPr>
                                <w:rFonts w:hint="eastAsia"/>
                                <w:sz w:val="18"/>
                                <w:szCs w:val="18"/>
                                <w:lang w:val="en-US" w:eastAsia="zh-CN"/>
                              </w:rPr>
                              <w:t>医院位置</w:t>
                            </w:r>
                          </w:p>
                        </w:txbxContent>
                      </v:textbox>
                    </v:shape>
                  </w:pict>
                </mc:Fallback>
              </mc:AlternateContent>
            </w:r>
            <w:r>
              <w:rPr>
                <w:rFonts w:hint="default"/>
                <w:sz w:val="24"/>
              </w:rPr>
              <mc:AlternateContent>
                <mc:Choice Requires="wps">
                  <w:drawing>
                    <wp:anchor distT="0" distB="0" distL="114300" distR="114300" simplePos="0" relativeHeight="251673600" behindDoc="0" locked="0" layoutInCell="1" allowOverlap="1">
                      <wp:simplePos x="0" y="0"/>
                      <wp:positionH relativeFrom="column">
                        <wp:posOffset>1526540</wp:posOffset>
                      </wp:positionH>
                      <wp:positionV relativeFrom="paragraph">
                        <wp:posOffset>1842770</wp:posOffset>
                      </wp:positionV>
                      <wp:extent cx="752475" cy="571500"/>
                      <wp:effectExtent l="12700" t="12700" r="15875" b="25400"/>
                      <wp:wrapNone/>
                      <wp:docPr id="8" name="矩形 8"/>
                      <wp:cNvGraphicFramePr/>
                      <a:graphic xmlns:a="http://schemas.openxmlformats.org/drawingml/2006/main">
                        <a:graphicData uri="http://schemas.microsoft.com/office/word/2010/wordprocessingShape">
                          <wps:wsp>
                            <wps:cNvSpPr/>
                            <wps:spPr>
                              <a:xfrm>
                                <a:off x="2936875" y="3053715"/>
                                <a:ext cx="752475" cy="571500"/>
                              </a:xfrm>
                              <a:prstGeom prst="rect">
                                <a:avLst/>
                              </a:prstGeom>
                              <a:no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20.2pt;margin-top:145.1pt;height:45pt;width:59.25pt;z-index:251673600;v-text-anchor:middle;mso-width-relative:page;mso-height-relative:page;" filled="f" stroked="t" coordsize="21600,21600" o:gfxdata="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O7uzDNkAAAALAQAADwAAAAAAAAABACAAAAAiAAAAZHJzL2Rvd25yZXYueG1s&#10;UEsBAhQAFAAAAAgAh07iQG7raoBpAgAAvwQAAA4AAAAAAAAAAQAgAAAAKAEAAGRycy9lMm9Eb2Mu&#10;eG1sUEsFBgAAAAAGAAYAWQEAAAMGAAAAAA==&#10;">
                      <v:fill on="f" focussize="0,0"/>
                      <v:stroke weight="2pt" color="#FF0000 [2404]" joinstyle="round"/>
                      <v:imagedata o:title=""/>
                      <o:lock v:ext="edit" aspectratio="f"/>
                    </v:rect>
                  </w:pict>
                </mc:Fallback>
              </mc:AlternateContent>
            </w:r>
            <w:r>
              <w:rPr>
                <w:rFonts w:hint="default"/>
              </w:rPr>
              <w:drawing>
                <wp:inline distT="0" distB="0" distL="114300" distR="114300">
                  <wp:extent cx="4679950" cy="5864225"/>
                  <wp:effectExtent l="0" t="0" r="6350" b="3175"/>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21"/>
                          <a:stretch>
                            <a:fillRect/>
                          </a:stretch>
                        </pic:blipFill>
                        <pic:spPr>
                          <a:xfrm>
                            <a:off x="0" y="0"/>
                            <a:ext cx="4679950" cy="5864225"/>
                          </a:xfrm>
                          <a:prstGeom prst="rect">
                            <a:avLst/>
                          </a:prstGeom>
                          <a:noFill/>
                          <a:ln>
                            <a:noFill/>
                          </a:ln>
                        </pic:spPr>
                      </pic:pic>
                    </a:graphicData>
                  </a:graphic>
                </wp:inline>
              </w:drawing>
            </w:r>
            <w:r>
              <w:rPr>
                <w:rFonts w:hint="default"/>
                <w:color w:val="auto"/>
                <w:sz w:val="28"/>
              </w:rPr>
              <mc:AlternateContent>
                <mc:Choice Requires="wps">
                  <w:drawing>
                    <wp:anchor distT="0" distB="0" distL="114300" distR="114300" simplePos="0" relativeHeight="251663360" behindDoc="0" locked="0" layoutInCell="1" allowOverlap="1">
                      <wp:simplePos x="0" y="0"/>
                      <wp:positionH relativeFrom="column">
                        <wp:posOffset>4198620</wp:posOffset>
                      </wp:positionH>
                      <wp:positionV relativeFrom="paragraph">
                        <wp:posOffset>3516630</wp:posOffset>
                      </wp:positionV>
                      <wp:extent cx="342900" cy="219075"/>
                      <wp:effectExtent l="0" t="0" r="0" b="0"/>
                      <wp:wrapNone/>
                      <wp:docPr id="40" name="文本框 40"/>
                      <wp:cNvGraphicFramePr/>
                      <a:graphic xmlns:a="http://schemas.openxmlformats.org/drawingml/2006/main">
                        <a:graphicData uri="http://schemas.microsoft.com/office/word/2010/wordprocessingShape">
                          <wps:wsp>
                            <wps:cNvSpPr txBox="1"/>
                            <wps:spPr>
                              <a:xfrm>
                                <a:off x="5561330" y="4398645"/>
                                <a:ext cx="342900" cy="2190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FDFB813">
                                  <w:pPr>
                                    <w:rPr>
                                      <w:rFonts w:hint="default" w:eastAsia="宋体"/>
                                      <w:b/>
                                      <w:bCs/>
                                      <w:color w:val="FFFFFF" w:themeColor="background1"/>
                                      <w:sz w:val="18"/>
                                      <w:szCs w:val="18"/>
                                      <w:lang w:val="en-US" w:eastAsia="zh-CN"/>
                                      <w14:textFill>
                                        <w14:solidFill>
                                          <w14:schemeClr w14:val="bg1"/>
                                        </w14:solidFill>
                                      </w14:textFill>
                                    </w:rPr>
                                  </w:pPr>
                                  <w:r>
                                    <w:rPr>
                                      <w:rFonts w:hint="eastAsia"/>
                                      <w:b/>
                                      <w:bCs/>
                                      <w:color w:val="FFFFFF" w:themeColor="background1"/>
                                      <w:sz w:val="18"/>
                                      <w:szCs w:val="18"/>
                                      <w:lang w:val="en-US" w:eastAsia="zh-CN"/>
                                      <w14:textFill>
                                        <w14:solidFill>
                                          <w14:schemeClr w14:val="bg1"/>
                                        </w14:solidFill>
                                      </w14:textFill>
                                    </w:rPr>
                                    <w:t>0m</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30.6pt;margin-top:276.9pt;height:17.25pt;width:27pt;z-index:251663360;mso-width-relative:page;mso-height-relative:page;" filled="f" stroked="f" coordsize="21600,21600" o:gfxdata="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ZwVOFdoAAAALAQAADwAAAAAAAAAB&#10;ACAAAAAiAAAAZHJzL2Rvd25yZXYueG1sUEsBAhQAFAAAAAgAh07iQMkY8XtHAgAAcwQAAA4AAAAA&#10;AAAAAQAgAAAAKQEAAGRycy9lMm9Eb2MueG1sUEsFBgAAAAAGAAYAWQEAAOIFAAAAAA==&#10;">
                      <v:fill on="f" focussize="0,0"/>
                      <v:stroke on="f" weight="0.5pt"/>
                      <v:imagedata o:title=""/>
                      <o:lock v:ext="edit" aspectratio="f"/>
                      <v:textbox>
                        <w:txbxContent>
                          <w:p w14:paraId="3FDFB813">
                            <w:pPr>
                              <w:rPr>
                                <w:rFonts w:hint="default" w:eastAsia="宋体"/>
                                <w:b/>
                                <w:bCs/>
                                <w:color w:val="FFFFFF" w:themeColor="background1"/>
                                <w:sz w:val="18"/>
                                <w:szCs w:val="18"/>
                                <w:lang w:val="en-US" w:eastAsia="zh-CN"/>
                                <w14:textFill>
                                  <w14:solidFill>
                                    <w14:schemeClr w14:val="bg1"/>
                                  </w14:solidFill>
                                </w14:textFill>
                              </w:rPr>
                            </w:pPr>
                            <w:r>
                              <w:rPr>
                                <w:rFonts w:hint="eastAsia"/>
                                <w:b/>
                                <w:bCs/>
                                <w:color w:val="FFFFFF" w:themeColor="background1"/>
                                <w:sz w:val="18"/>
                                <w:szCs w:val="18"/>
                                <w:lang w:val="en-US" w:eastAsia="zh-CN"/>
                                <w14:textFill>
                                  <w14:solidFill>
                                    <w14:schemeClr w14:val="bg1"/>
                                  </w14:solidFill>
                                </w14:textFill>
                              </w:rPr>
                              <w:t>0m</w:t>
                            </w:r>
                          </w:p>
                        </w:txbxContent>
                      </v:textbox>
                    </v:shape>
                  </w:pict>
                </mc:Fallback>
              </mc:AlternateContent>
            </w:r>
            <w:r>
              <w:rPr>
                <w:rFonts w:hint="default"/>
                <w:color w:val="auto"/>
                <w:sz w:val="28"/>
              </w:rPr>
              <mc:AlternateContent>
                <mc:Choice Requires="wps">
                  <w:drawing>
                    <wp:anchor distT="0" distB="0" distL="114300" distR="114300" simplePos="0" relativeHeight="251664384" behindDoc="0" locked="0" layoutInCell="1" allowOverlap="1">
                      <wp:simplePos x="0" y="0"/>
                      <wp:positionH relativeFrom="column">
                        <wp:posOffset>4884420</wp:posOffset>
                      </wp:positionH>
                      <wp:positionV relativeFrom="paragraph">
                        <wp:posOffset>3516630</wp:posOffset>
                      </wp:positionV>
                      <wp:extent cx="409575" cy="219075"/>
                      <wp:effectExtent l="0" t="0" r="0" b="0"/>
                      <wp:wrapNone/>
                      <wp:docPr id="45" name="文本框 45"/>
                      <wp:cNvGraphicFramePr/>
                      <a:graphic xmlns:a="http://schemas.openxmlformats.org/drawingml/2006/main">
                        <a:graphicData uri="http://schemas.microsoft.com/office/word/2010/wordprocessingShape">
                          <wps:wsp>
                            <wps:cNvSpPr txBox="1"/>
                            <wps:spPr>
                              <a:xfrm>
                                <a:off x="0" y="0"/>
                                <a:ext cx="409575" cy="2190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56E2427">
                                  <w:pPr>
                                    <w:rPr>
                                      <w:rFonts w:hint="default" w:eastAsia="宋体"/>
                                      <w:b/>
                                      <w:bCs/>
                                      <w:color w:val="FFFFFF" w:themeColor="background1"/>
                                      <w:sz w:val="18"/>
                                      <w:szCs w:val="18"/>
                                      <w:lang w:val="en-US" w:eastAsia="zh-CN"/>
                                      <w14:textFill>
                                        <w14:solidFill>
                                          <w14:schemeClr w14:val="bg1"/>
                                        </w14:solidFill>
                                      </w14:textFill>
                                    </w:rPr>
                                  </w:pPr>
                                  <w:r>
                                    <w:rPr>
                                      <w:rFonts w:hint="eastAsia"/>
                                      <w:b/>
                                      <w:bCs/>
                                      <w:color w:val="FFFFFF" w:themeColor="background1"/>
                                      <w:sz w:val="18"/>
                                      <w:szCs w:val="18"/>
                                      <w:lang w:val="en-US" w:eastAsia="zh-CN"/>
                                      <w14:textFill>
                                        <w14:solidFill>
                                          <w14:schemeClr w14:val="bg1"/>
                                        </w14:solidFill>
                                      </w14:textFill>
                                    </w:rPr>
                                    <w:t>40m</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84.6pt;margin-top:276.9pt;height:17.25pt;width:32.25pt;z-index:251664384;mso-width-relative:page;mso-height-relative:page;" filled="f" stroked="f" coordsize="21600,21600" o:gfxdata="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CBvnbW3AAAAAsBAAAPAAAAAAAAAAEAIAAAACIAAABk&#10;cnMvZG93bnJldi54bWxQSwECFAAUAAAACACHTuJAHSYmDzsCAABnBAAADgAAAAAAAAABACAAAAAr&#10;AQAAZHJzL2Uyb0RvYy54bWxQSwUGAAAAAAYABgBZAQAA2AUAAAAA&#10;">
                      <v:fill on="f" focussize="0,0"/>
                      <v:stroke on="f" weight="0.5pt"/>
                      <v:imagedata o:title=""/>
                      <o:lock v:ext="edit" aspectratio="f"/>
                      <v:textbox>
                        <w:txbxContent>
                          <w:p w14:paraId="356E2427">
                            <w:pPr>
                              <w:rPr>
                                <w:rFonts w:hint="default" w:eastAsia="宋体"/>
                                <w:b/>
                                <w:bCs/>
                                <w:color w:val="FFFFFF" w:themeColor="background1"/>
                                <w:sz w:val="18"/>
                                <w:szCs w:val="18"/>
                                <w:lang w:val="en-US" w:eastAsia="zh-CN"/>
                                <w14:textFill>
                                  <w14:solidFill>
                                    <w14:schemeClr w14:val="bg1"/>
                                  </w14:solidFill>
                                </w14:textFill>
                              </w:rPr>
                            </w:pPr>
                            <w:r>
                              <w:rPr>
                                <w:rFonts w:hint="eastAsia"/>
                                <w:b/>
                                <w:bCs/>
                                <w:color w:val="FFFFFF" w:themeColor="background1"/>
                                <w:sz w:val="18"/>
                                <w:szCs w:val="18"/>
                                <w:lang w:val="en-US" w:eastAsia="zh-CN"/>
                                <w14:textFill>
                                  <w14:solidFill>
                                    <w14:schemeClr w14:val="bg1"/>
                                  </w14:solidFill>
                                </w14:textFill>
                              </w:rPr>
                              <w:t>40m</w:t>
                            </w:r>
                          </w:p>
                        </w:txbxContent>
                      </v:textbox>
                    </v:shape>
                  </w:pict>
                </mc:Fallback>
              </mc:AlternateContent>
            </w:r>
            <w:r>
              <w:rPr>
                <w:rFonts w:hint="eastAsia" w:ascii="Times New Roman" w:hAnsi="Times New Roman" w:eastAsia="宋体"/>
                <w:b/>
                <w:color w:val="auto"/>
                <w:sz w:val="28"/>
                <w:szCs w:val="28"/>
                <w:highlight w:val="none"/>
              </w:rPr>
              <w:drawing>
                <wp:anchor distT="0" distB="0" distL="114300" distR="114300" simplePos="0" relativeHeight="251662336" behindDoc="0" locked="0" layoutInCell="1" allowOverlap="1">
                  <wp:simplePos x="0" y="0"/>
                  <wp:positionH relativeFrom="column">
                    <wp:posOffset>7348855</wp:posOffset>
                  </wp:positionH>
                  <wp:positionV relativeFrom="paragraph">
                    <wp:posOffset>211455</wp:posOffset>
                  </wp:positionV>
                  <wp:extent cx="666115" cy="735965"/>
                  <wp:effectExtent l="0" t="0" r="635" b="6985"/>
                  <wp:wrapNone/>
                  <wp:docPr id="41" name="图片 4" descr="微信截图_202107161636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 descr="微信截图_20210716163614"/>
                          <pic:cNvPicPr>
                            <a:picLocks noChangeAspect="1"/>
                          </pic:cNvPicPr>
                        </pic:nvPicPr>
                        <pic:blipFill>
                          <a:blip r:embed="rId22"/>
                          <a:stretch>
                            <a:fillRect/>
                          </a:stretch>
                        </pic:blipFill>
                        <pic:spPr>
                          <a:xfrm>
                            <a:off x="0" y="0"/>
                            <a:ext cx="666115" cy="735965"/>
                          </a:xfrm>
                          <a:prstGeom prst="rect">
                            <a:avLst/>
                          </a:prstGeom>
                          <a:noFill/>
                          <a:ln>
                            <a:noFill/>
                          </a:ln>
                        </pic:spPr>
                      </pic:pic>
                    </a:graphicData>
                  </a:graphic>
                </wp:anchor>
              </w:drawing>
            </w:r>
          </w:p>
          <w:p w14:paraId="64AA3D7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0" w:firstLineChars="0"/>
              <w:jc w:val="center"/>
              <w:textAlignment w:val="auto"/>
              <w:rPr>
                <w:rFonts w:hint="eastAsia" w:cs="Times New Roman"/>
                <w:b/>
                <w:bCs/>
                <w:color w:val="auto"/>
                <w:kern w:val="0"/>
                <w:sz w:val="21"/>
                <w:szCs w:val="21"/>
                <w:highlight w:val="none"/>
                <w:lang w:val="en-US" w:eastAsia="zh-CN" w:bidi="ar"/>
              </w:rPr>
            </w:pPr>
            <w:r>
              <w:rPr>
                <w:rFonts w:hint="eastAsia" w:cs="Times New Roman"/>
                <w:b/>
                <w:bCs/>
                <w:color w:val="auto"/>
                <w:kern w:val="0"/>
                <w:sz w:val="21"/>
                <w:szCs w:val="21"/>
                <w:highlight w:val="none"/>
                <w:lang w:val="en-US" w:eastAsia="zh-CN" w:bidi="ar"/>
              </w:rPr>
              <w:t>图3-1 声环境现状监测点位图</w:t>
            </w:r>
          </w:p>
          <w:p w14:paraId="1CEC4A5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cs="Times New Roman"/>
                <w:b w:val="0"/>
                <w:bCs w:val="0"/>
                <w:color w:val="auto"/>
                <w:kern w:val="0"/>
                <w:sz w:val="24"/>
                <w:highlight w:val="none"/>
                <w:lang w:val="en-US" w:eastAsia="zh-CN" w:bidi="ar"/>
              </w:rPr>
            </w:pPr>
            <w:r>
              <w:rPr>
                <w:rFonts w:hint="default" w:cs="Times New Roman"/>
                <w:b w:val="0"/>
                <w:bCs w:val="0"/>
                <w:color w:val="auto"/>
                <w:kern w:val="0"/>
                <w:sz w:val="24"/>
                <w:highlight w:val="none"/>
                <w:lang w:val="en-US" w:eastAsia="zh-CN" w:bidi="ar"/>
              </w:rPr>
              <w:t>从上述监测数据可知，各点监测值均满足《声环境质量标准》（GB3096-2008）中的1类标准</w:t>
            </w:r>
            <w:r>
              <w:rPr>
                <w:rFonts w:hint="eastAsia" w:cs="Times New Roman"/>
                <w:b w:val="0"/>
                <w:bCs w:val="0"/>
                <w:color w:val="auto"/>
                <w:kern w:val="0"/>
                <w:sz w:val="24"/>
                <w:highlight w:val="none"/>
                <w:lang w:val="en-US" w:eastAsia="zh-CN" w:bidi="ar"/>
              </w:rPr>
              <w:t>要求</w:t>
            </w:r>
            <w:r>
              <w:rPr>
                <w:rFonts w:hint="default" w:cs="Times New Roman"/>
                <w:b w:val="0"/>
                <w:bCs w:val="0"/>
                <w:color w:val="auto"/>
                <w:kern w:val="0"/>
                <w:sz w:val="24"/>
                <w:highlight w:val="none"/>
                <w:lang w:val="en-US" w:eastAsia="zh-CN" w:bidi="ar"/>
              </w:rPr>
              <w:t>。</w:t>
            </w:r>
          </w:p>
          <w:p w14:paraId="1128D45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cs="Times New Roman"/>
                <w:b w:val="0"/>
                <w:bCs w:val="0"/>
                <w:color w:val="auto"/>
                <w:kern w:val="0"/>
                <w:sz w:val="24"/>
                <w:highlight w:val="none"/>
                <w:lang w:val="en-US" w:eastAsia="zh-CN" w:bidi="ar"/>
              </w:rPr>
            </w:pPr>
            <w:r>
              <w:rPr>
                <w:rFonts w:hint="default" w:cs="Times New Roman"/>
                <w:b w:val="0"/>
                <w:bCs w:val="0"/>
                <w:color w:val="auto"/>
                <w:kern w:val="0"/>
                <w:sz w:val="24"/>
                <w:highlight w:val="none"/>
                <w:lang w:val="en-US" w:eastAsia="zh-CN" w:bidi="ar"/>
              </w:rPr>
              <w:t>4、地下水、土壤环境</w:t>
            </w:r>
          </w:p>
          <w:p w14:paraId="30ACD5C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cs="Times New Roman"/>
                <w:b w:val="0"/>
                <w:bCs w:val="0"/>
                <w:color w:val="auto"/>
                <w:kern w:val="0"/>
                <w:sz w:val="24"/>
                <w:highlight w:val="none"/>
                <w:lang w:val="en-US" w:eastAsia="zh-CN" w:bidi="ar"/>
              </w:rPr>
            </w:pPr>
            <w:r>
              <w:rPr>
                <w:rFonts w:hint="eastAsia" w:cs="Times New Roman"/>
                <w:b w:val="0"/>
                <w:bCs w:val="0"/>
                <w:color w:val="auto"/>
                <w:kern w:val="0"/>
                <w:sz w:val="24"/>
                <w:highlight w:val="none"/>
                <w:lang w:val="en-US" w:eastAsia="zh-CN" w:bidi="ar"/>
              </w:rPr>
              <w:t>根据《北京市人民政府关于调整部分市级饮用水水源保护区范围的批复》（京政[2021]4号），项目不在饮用水水源保护区范围内。</w:t>
            </w:r>
          </w:p>
          <w:p w14:paraId="38639DB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cs="Times New Roman"/>
                <w:b w:val="0"/>
                <w:bCs w:val="0"/>
                <w:color w:val="auto"/>
                <w:kern w:val="0"/>
                <w:sz w:val="24"/>
                <w:highlight w:val="none"/>
                <w:lang w:val="en-US" w:eastAsia="zh-CN" w:bidi="ar"/>
              </w:rPr>
            </w:pPr>
            <w:r>
              <w:rPr>
                <w:rFonts w:hint="eastAsia" w:cs="Times New Roman"/>
                <w:b w:val="0"/>
                <w:bCs w:val="0"/>
                <w:color w:val="auto"/>
                <w:kern w:val="0"/>
                <w:sz w:val="24"/>
                <w:highlight w:val="none"/>
                <w:lang w:val="en-US" w:eastAsia="zh-CN" w:bidi="ar"/>
              </w:rPr>
              <w:t>本项目产生的废水经项目新建独立化粪池+污水处理设施处理消毒后通过市政管网排入清河再生水厂。项目涉及的化粪池、污水处理设施、污水管网、医疗废物暂存间均采取了符合标准要求的防腐防渗措施，本项目不存在土壤、地下水环境污染途径，对地下水及土壤无不利影响，不需开展地下水、土壤环境质量现状调查。</w:t>
            </w:r>
          </w:p>
          <w:p w14:paraId="5CF9B13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cs="Times New Roman"/>
                <w:b w:val="0"/>
                <w:bCs w:val="0"/>
                <w:color w:val="auto"/>
                <w:kern w:val="0"/>
                <w:sz w:val="24"/>
                <w:highlight w:val="none"/>
                <w:lang w:val="en-US" w:eastAsia="zh-CN" w:bidi="ar"/>
              </w:rPr>
            </w:pPr>
            <w:r>
              <w:rPr>
                <w:rFonts w:hint="default" w:cs="Times New Roman"/>
                <w:b w:val="0"/>
                <w:bCs w:val="0"/>
                <w:color w:val="auto"/>
                <w:kern w:val="0"/>
                <w:sz w:val="24"/>
                <w:highlight w:val="none"/>
                <w:lang w:val="en-US" w:eastAsia="zh-CN" w:bidi="ar"/>
              </w:rPr>
              <w:t>5、生态环境</w:t>
            </w:r>
          </w:p>
          <w:p w14:paraId="41C9039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b w:val="0"/>
                <w:bCs w:val="0"/>
                <w:color w:val="auto"/>
                <w:kern w:val="0"/>
                <w:sz w:val="24"/>
                <w:highlight w:val="none"/>
                <w:lang w:val="en-US" w:eastAsia="zh-CN" w:bidi="ar"/>
              </w:rPr>
            </w:pPr>
            <w:r>
              <w:rPr>
                <w:rFonts w:hint="default" w:cs="Times New Roman"/>
                <w:b w:val="0"/>
                <w:bCs w:val="0"/>
                <w:color w:val="auto"/>
                <w:kern w:val="0"/>
                <w:sz w:val="24"/>
                <w:highlight w:val="none"/>
                <w:lang w:val="en-US" w:eastAsia="zh-CN" w:bidi="ar"/>
              </w:rPr>
              <w:t>本项目租用已有建筑，</w:t>
            </w:r>
            <w:r>
              <w:rPr>
                <w:rFonts w:hint="eastAsia" w:cs="Times New Roman"/>
                <w:b w:val="0"/>
                <w:bCs w:val="0"/>
                <w:color w:val="auto"/>
                <w:kern w:val="0"/>
                <w:sz w:val="24"/>
                <w:highlight w:val="none"/>
                <w:lang w:val="en-US" w:eastAsia="zh-CN" w:bidi="ar"/>
              </w:rPr>
              <w:t>不新增用地</w:t>
            </w:r>
            <w:r>
              <w:rPr>
                <w:rFonts w:hint="default" w:cs="Times New Roman"/>
                <w:b w:val="0"/>
                <w:bCs w:val="0"/>
                <w:color w:val="auto"/>
                <w:kern w:val="0"/>
                <w:sz w:val="24"/>
                <w:highlight w:val="none"/>
                <w:lang w:val="en-US" w:eastAsia="zh-CN" w:bidi="ar"/>
              </w:rPr>
              <w:t>，</w:t>
            </w:r>
            <w:r>
              <w:rPr>
                <w:rFonts w:hint="eastAsia" w:cs="Times New Roman"/>
                <w:b w:val="0"/>
                <w:bCs w:val="0"/>
                <w:color w:val="auto"/>
                <w:kern w:val="0"/>
                <w:sz w:val="24"/>
                <w:highlight w:val="none"/>
                <w:lang w:val="en-US" w:eastAsia="zh-CN" w:bidi="ar"/>
              </w:rPr>
              <w:t>不需进行生态环境质量状况调查</w:t>
            </w:r>
            <w:r>
              <w:rPr>
                <w:rFonts w:hint="default" w:cs="Times New Roman"/>
                <w:b w:val="0"/>
                <w:bCs w:val="0"/>
                <w:color w:val="auto"/>
                <w:kern w:val="0"/>
                <w:sz w:val="24"/>
                <w:highlight w:val="none"/>
                <w:lang w:val="en-US" w:eastAsia="zh-CN" w:bidi="ar"/>
              </w:rPr>
              <w:t>。</w:t>
            </w:r>
          </w:p>
        </w:tc>
      </w:tr>
      <w:tr w14:paraId="675E17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1" w:type="dxa"/>
            <w:vAlign w:val="center"/>
          </w:tcPr>
          <w:p w14:paraId="177469C3">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0"/>
                <w:szCs w:val="21"/>
                <w:highlight w:val="none"/>
              </w:rPr>
            </w:pPr>
            <w:r>
              <w:rPr>
                <w:rFonts w:hint="default" w:ascii="Times New Roman" w:hAnsi="Times New Roman" w:eastAsia="宋体" w:cs="Times New Roman"/>
                <w:b w:val="0"/>
                <w:bCs w:val="0"/>
                <w:color w:val="auto"/>
                <w:kern w:val="0"/>
                <w:sz w:val="24"/>
                <w:highlight w:val="none"/>
              </w:rPr>
              <w:t>环境保护目标</w:t>
            </w:r>
          </w:p>
        </w:tc>
        <w:tc>
          <w:tcPr>
            <w:tcW w:w="8649" w:type="dxa"/>
            <w:vAlign w:val="center"/>
          </w:tcPr>
          <w:p w14:paraId="7BFF455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cs="Times New Roman"/>
                <w:b w:val="0"/>
                <w:bCs w:val="0"/>
                <w:color w:val="auto"/>
                <w:kern w:val="0"/>
                <w:sz w:val="24"/>
                <w:highlight w:val="none"/>
                <w:lang w:val="en-US" w:eastAsia="zh-CN" w:bidi="ar"/>
              </w:rPr>
            </w:pPr>
            <w:r>
              <w:rPr>
                <w:rFonts w:hint="eastAsia" w:ascii="Times New Roman" w:hAnsi="Times New Roman" w:eastAsia="宋体" w:cs="Times New Roman"/>
                <w:b w:val="0"/>
                <w:bCs w:val="0"/>
                <w:color w:val="auto"/>
                <w:kern w:val="0"/>
                <w:sz w:val="24"/>
                <w:highlight w:val="none"/>
                <w:lang w:val="en-US" w:eastAsia="zh-CN" w:bidi="ar"/>
              </w:rPr>
              <w:t>本项目位于北京市海淀区黑泉路19号院1号楼1层101室1F104区，</w:t>
            </w:r>
            <w:r>
              <w:rPr>
                <w:rFonts w:hint="eastAsia" w:cs="Times New Roman"/>
                <w:b w:val="0"/>
                <w:bCs w:val="0"/>
                <w:color w:val="auto"/>
                <w:kern w:val="0"/>
                <w:sz w:val="24"/>
                <w:highlight w:val="none"/>
                <w:lang w:val="en-US" w:eastAsia="zh-CN" w:bidi="ar"/>
              </w:rPr>
              <w:t>项目周边无地下水源保护区、重点文物单位、珍贵动植物等敏感因素。项目不在生态红线用地保护范围内，本项目周围主要是居民楼、学校等。</w:t>
            </w:r>
          </w:p>
          <w:p w14:paraId="027666F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cs="Times New Roman"/>
                <w:b w:val="0"/>
                <w:bCs w:val="0"/>
                <w:color w:val="auto"/>
                <w:kern w:val="0"/>
                <w:sz w:val="24"/>
                <w:highlight w:val="none"/>
                <w:lang w:val="en-US" w:eastAsia="zh-CN" w:bidi="ar"/>
              </w:rPr>
            </w:pPr>
            <w:r>
              <w:rPr>
                <w:rFonts w:hint="eastAsia" w:cs="Times New Roman"/>
                <w:b w:val="0"/>
                <w:bCs w:val="0"/>
                <w:color w:val="auto"/>
                <w:kern w:val="0"/>
                <w:sz w:val="24"/>
                <w:highlight w:val="none"/>
                <w:lang w:val="en-US" w:eastAsia="zh-CN" w:bidi="ar"/>
              </w:rPr>
              <w:t>大气环境：本项目厂界外500m范围内主要为居民区和学校，无自然保护区、风景名胜区、文化区等需要特殊保护的对象，厂界外500m范围内有10处环境空气保护目标。</w:t>
            </w:r>
          </w:p>
          <w:p w14:paraId="25048EC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cs="Times New Roman"/>
                <w:b w:val="0"/>
                <w:bCs w:val="0"/>
                <w:color w:val="auto"/>
                <w:kern w:val="0"/>
                <w:sz w:val="24"/>
                <w:highlight w:val="none"/>
                <w:lang w:val="en-US" w:eastAsia="zh-CN" w:bidi="ar"/>
              </w:rPr>
            </w:pPr>
            <w:r>
              <w:rPr>
                <w:rFonts w:hint="eastAsia" w:cs="Times New Roman"/>
                <w:b w:val="0"/>
                <w:bCs w:val="0"/>
                <w:color w:val="auto"/>
                <w:kern w:val="0"/>
                <w:sz w:val="24"/>
                <w:highlight w:val="none"/>
                <w:lang w:val="en-US" w:eastAsia="zh-CN" w:bidi="ar"/>
              </w:rPr>
              <w:t>声环境：项目厂界周围50m范围内声环境保护目标为项目所在建筑楼2-8层公寓住在。</w:t>
            </w:r>
          </w:p>
          <w:p w14:paraId="2EBB31A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cs="Times New Roman"/>
                <w:b w:val="0"/>
                <w:bCs w:val="0"/>
                <w:color w:val="auto"/>
                <w:kern w:val="0"/>
                <w:sz w:val="24"/>
                <w:highlight w:val="none"/>
                <w:lang w:val="en-US" w:eastAsia="zh-CN" w:bidi="ar"/>
              </w:rPr>
            </w:pPr>
            <w:r>
              <w:rPr>
                <w:rFonts w:hint="eastAsia" w:cs="Times New Roman"/>
                <w:b w:val="0"/>
                <w:bCs w:val="0"/>
                <w:color w:val="auto"/>
                <w:kern w:val="0"/>
                <w:sz w:val="24"/>
                <w:highlight w:val="none"/>
                <w:lang w:val="en-US" w:eastAsia="zh-CN" w:bidi="ar"/>
              </w:rPr>
              <w:t>地下水环境：本项目厂界外500米范围内，无地下水集中饮用水水源和热水、矿泉水、温泉等特殊地下水资源。</w:t>
            </w:r>
          </w:p>
          <w:p w14:paraId="05BC663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cs="Times New Roman"/>
                <w:b w:val="0"/>
                <w:bCs w:val="0"/>
                <w:color w:val="auto"/>
                <w:kern w:val="0"/>
                <w:sz w:val="24"/>
                <w:highlight w:val="none"/>
                <w:lang w:val="en-US" w:eastAsia="zh-CN" w:bidi="ar"/>
              </w:rPr>
            </w:pPr>
            <w:r>
              <w:rPr>
                <w:rFonts w:hint="eastAsia" w:cs="Times New Roman"/>
                <w:b w:val="0"/>
                <w:bCs w:val="0"/>
                <w:color w:val="auto"/>
                <w:kern w:val="0"/>
                <w:sz w:val="24"/>
                <w:highlight w:val="none"/>
                <w:lang w:val="en-US" w:eastAsia="zh-CN" w:bidi="ar"/>
              </w:rPr>
              <w:t>生态环境：本项目无新增用地，不进行生态环境保护目标调查。</w:t>
            </w:r>
          </w:p>
          <w:p w14:paraId="6F0C64C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0" w:firstLineChars="0"/>
              <w:jc w:val="center"/>
              <w:textAlignment w:val="auto"/>
              <w:rPr>
                <w:rFonts w:hint="eastAsia" w:cs="Times New Roman"/>
                <w:b w:val="0"/>
                <w:bCs w:val="0"/>
                <w:color w:val="auto"/>
                <w:kern w:val="0"/>
                <w:sz w:val="24"/>
                <w:highlight w:val="none"/>
                <w:lang w:val="en-US" w:eastAsia="zh-CN" w:bidi="ar"/>
              </w:rPr>
            </w:pPr>
            <w:r>
              <w:rPr>
                <w:rFonts w:hint="eastAsia" w:cs="Times New Roman"/>
                <w:b/>
                <w:bCs/>
                <w:color w:val="auto"/>
                <w:kern w:val="0"/>
                <w:sz w:val="21"/>
                <w:szCs w:val="21"/>
                <w:highlight w:val="none"/>
                <w:lang w:val="en-US" w:eastAsia="zh-CN" w:bidi="ar"/>
              </w:rPr>
              <w:t>表3-4 环境保护敏感目标表</w:t>
            </w:r>
          </w:p>
          <w:tbl>
            <w:tblPr>
              <w:tblStyle w:val="13"/>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02"/>
              <w:gridCol w:w="1867"/>
              <w:gridCol w:w="1080"/>
              <w:gridCol w:w="960"/>
              <w:gridCol w:w="1106"/>
              <w:gridCol w:w="2495"/>
            </w:tblGrid>
            <w:tr w14:paraId="2DE743B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2" w:type="dxa"/>
                  <w:tcBorders>
                    <w:tl2br w:val="nil"/>
                    <w:tr2bl w:val="nil"/>
                  </w:tcBorders>
                  <w:vAlign w:val="center"/>
                </w:tcPr>
                <w:p w14:paraId="5705946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bCs/>
                      <w:color w:val="auto"/>
                      <w:kern w:val="0"/>
                      <w:sz w:val="21"/>
                      <w:szCs w:val="21"/>
                      <w:highlight w:val="none"/>
                      <w:vertAlign w:val="baseline"/>
                      <w:lang w:val="en-US" w:eastAsia="zh-CN" w:bidi="ar"/>
                    </w:rPr>
                  </w:pPr>
                  <w:r>
                    <w:rPr>
                      <w:rFonts w:hint="eastAsia" w:cs="Times New Roman"/>
                      <w:b/>
                      <w:bCs/>
                      <w:color w:val="auto"/>
                      <w:kern w:val="0"/>
                      <w:sz w:val="21"/>
                      <w:szCs w:val="21"/>
                      <w:highlight w:val="none"/>
                      <w:vertAlign w:val="baseline"/>
                      <w:lang w:val="en-US" w:eastAsia="zh-CN" w:bidi="ar"/>
                    </w:rPr>
                    <w:t>环境类别</w:t>
                  </w:r>
                </w:p>
              </w:tc>
              <w:tc>
                <w:tcPr>
                  <w:tcW w:w="1867" w:type="dxa"/>
                  <w:tcBorders>
                    <w:tl2br w:val="nil"/>
                    <w:tr2bl w:val="nil"/>
                  </w:tcBorders>
                  <w:vAlign w:val="center"/>
                </w:tcPr>
                <w:p w14:paraId="22E2B9F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bCs/>
                      <w:color w:val="auto"/>
                      <w:kern w:val="0"/>
                      <w:sz w:val="21"/>
                      <w:szCs w:val="21"/>
                      <w:highlight w:val="none"/>
                      <w:vertAlign w:val="baseline"/>
                      <w:lang w:val="en-US" w:eastAsia="zh-CN" w:bidi="ar"/>
                    </w:rPr>
                  </w:pPr>
                  <w:r>
                    <w:rPr>
                      <w:rFonts w:hint="eastAsia" w:cs="Times New Roman"/>
                      <w:b/>
                      <w:bCs/>
                      <w:color w:val="auto"/>
                      <w:kern w:val="0"/>
                      <w:sz w:val="21"/>
                      <w:szCs w:val="21"/>
                      <w:highlight w:val="none"/>
                      <w:vertAlign w:val="baseline"/>
                      <w:lang w:val="en-US" w:eastAsia="zh-CN" w:bidi="ar"/>
                    </w:rPr>
                    <w:t>环境保护目标</w:t>
                  </w:r>
                </w:p>
              </w:tc>
              <w:tc>
                <w:tcPr>
                  <w:tcW w:w="1080" w:type="dxa"/>
                  <w:tcBorders>
                    <w:tl2br w:val="nil"/>
                    <w:tr2bl w:val="nil"/>
                  </w:tcBorders>
                  <w:vAlign w:val="center"/>
                </w:tcPr>
                <w:p w14:paraId="5C9CB64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bCs/>
                      <w:color w:val="auto"/>
                      <w:kern w:val="0"/>
                      <w:sz w:val="21"/>
                      <w:szCs w:val="21"/>
                      <w:highlight w:val="none"/>
                      <w:vertAlign w:val="baseline"/>
                      <w:lang w:val="en-US" w:eastAsia="zh-CN" w:bidi="ar"/>
                    </w:rPr>
                  </w:pPr>
                  <w:r>
                    <w:rPr>
                      <w:rFonts w:hint="eastAsia" w:cs="Times New Roman"/>
                      <w:b/>
                      <w:bCs/>
                      <w:color w:val="auto"/>
                      <w:kern w:val="0"/>
                      <w:sz w:val="21"/>
                      <w:szCs w:val="21"/>
                      <w:highlight w:val="none"/>
                      <w:vertAlign w:val="baseline"/>
                      <w:lang w:val="en-US" w:eastAsia="zh-CN" w:bidi="ar"/>
                    </w:rPr>
                    <w:t>与项目位置关系</w:t>
                  </w:r>
                </w:p>
              </w:tc>
              <w:tc>
                <w:tcPr>
                  <w:tcW w:w="960" w:type="dxa"/>
                  <w:tcBorders>
                    <w:tl2br w:val="nil"/>
                    <w:tr2bl w:val="nil"/>
                  </w:tcBorders>
                  <w:vAlign w:val="center"/>
                </w:tcPr>
                <w:p w14:paraId="0A6B671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bCs/>
                      <w:color w:val="auto"/>
                      <w:kern w:val="0"/>
                      <w:sz w:val="21"/>
                      <w:szCs w:val="21"/>
                      <w:highlight w:val="none"/>
                      <w:vertAlign w:val="baseline"/>
                      <w:lang w:val="en-US" w:eastAsia="zh-CN" w:bidi="ar"/>
                    </w:rPr>
                  </w:pPr>
                  <w:r>
                    <w:rPr>
                      <w:rFonts w:hint="eastAsia" w:cs="Times New Roman"/>
                      <w:b/>
                      <w:bCs/>
                      <w:color w:val="auto"/>
                      <w:kern w:val="0"/>
                      <w:sz w:val="21"/>
                      <w:szCs w:val="21"/>
                      <w:highlight w:val="none"/>
                      <w:vertAlign w:val="baseline"/>
                      <w:lang w:val="en-US" w:eastAsia="zh-CN" w:bidi="ar"/>
                    </w:rPr>
                    <w:t>最近距离m</w:t>
                  </w:r>
                </w:p>
              </w:tc>
              <w:tc>
                <w:tcPr>
                  <w:tcW w:w="1106" w:type="dxa"/>
                  <w:tcBorders>
                    <w:tl2br w:val="nil"/>
                    <w:tr2bl w:val="nil"/>
                  </w:tcBorders>
                  <w:vAlign w:val="center"/>
                </w:tcPr>
                <w:p w14:paraId="5513E2F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bCs/>
                      <w:color w:val="auto"/>
                      <w:kern w:val="0"/>
                      <w:sz w:val="21"/>
                      <w:szCs w:val="21"/>
                      <w:highlight w:val="none"/>
                      <w:vertAlign w:val="baseline"/>
                      <w:lang w:val="en-US" w:eastAsia="zh-CN" w:bidi="ar"/>
                    </w:rPr>
                  </w:pPr>
                  <w:r>
                    <w:rPr>
                      <w:rFonts w:hint="eastAsia" w:cs="Times New Roman"/>
                      <w:b/>
                      <w:bCs/>
                      <w:color w:val="auto"/>
                      <w:kern w:val="0"/>
                      <w:sz w:val="21"/>
                      <w:szCs w:val="21"/>
                      <w:highlight w:val="none"/>
                      <w:vertAlign w:val="baseline"/>
                      <w:lang w:val="en-US" w:eastAsia="zh-CN" w:bidi="ar"/>
                    </w:rPr>
                    <w:t>环境功能</w:t>
                  </w:r>
                </w:p>
              </w:tc>
              <w:tc>
                <w:tcPr>
                  <w:tcW w:w="2495" w:type="dxa"/>
                  <w:tcBorders>
                    <w:tl2br w:val="nil"/>
                    <w:tr2bl w:val="nil"/>
                  </w:tcBorders>
                  <w:vAlign w:val="center"/>
                </w:tcPr>
                <w:p w14:paraId="471A045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bCs/>
                      <w:color w:val="auto"/>
                      <w:kern w:val="0"/>
                      <w:sz w:val="21"/>
                      <w:szCs w:val="21"/>
                      <w:highlight w:val="none"/>
                      <w:vertAlign w:val="baseline"/>
                      <w:lang w:val="en-US" w:eastAsia="zh-CN" w:bidi="ar"/>
                    </w:rPr>
                  </w:pPr>
                  <w:r>
                    <w:rPr>
                      <w:rFonts w:hint="eastAsia" w:cs="Times New Roman"/>
                      <w:b/>
                      <w:bCs/>
                      <w:color w:val="auto"/>
                      <w:kern w:val="0"/>
                      <w:sz w:val="21"/>
                      <w:szCs w:val="21"/>
                      <w:highlight w:val="none"/>
                      <w:vertAlign w:val="baseline"/>
                      <w:lang w:val="en-US" w:eastAsia="zh-CN" w:bidi="ar"/>
                    </w:rPr>
                    <w:t>环境功能要求</w:t>
                  </w:r>
                </w:p>
              </w:tc>
            </w:tr>
            <w:tr w14:paraId="727B863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2" w:type="dxa"/>
                  <w:vMerge w:val="restart"/>
                  <w:tcBorders>
                    <w:tl2br w:val="nil"/>
                    <w:tr2bl w:val="nil"/>
                  </w:tcBorders>
                  <w:vAlign w:val="center"/>
                </w:tcPr>
                <w:p w14:paraId="2F05FFB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大气环境</w:t>
                  </w:r>
                </w:p>
              </w:tc>
              <w:tc>
                <w:tcPr>
                  <w:tcW w:w="1867" w:type="dxa"/>
                  <w:tcBorders>
                    <w:tl2br w:val="nil"/>
                    <w:tr2bl w:val="nil"/>
                  </w:tcBorders>
                  <w:vAlign w:val="center"/>
                </w:tcPr>
                <w:p w14:paraId="148A89B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宝盛北里</w:t>
                  </w:r>
                </w:p>
              </w:tc>
              <w:tc>
                <w:tcPr>
                  <w:tcW w:w="1080" w:type="dxa"/>
                  <w:tcBorders>
                    <w:tl2br w:val="nil"/>
                    <w:tr2bl w:val="nil"/>
                  </w:tcBorders>
                  <w:vAlign w:val="center"/>
                </w:tcPr>
                <w:p w14:paraId="794FEE5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N</w:t>
                  </w:r>
                </w:p>
              </w:tc>
              <w:tc>
                <w:tcPr>
                  <w:tcW w:w="960" w:type="dxa"/>
                  <w:tcBorders>
                    <w:tl2br w:val="nil"/>
                    <w:tr2bl w:val="nil"/>
                  </w:tcBorders>
                  <w:vAlign w:val="center"/>
                </w:tcPr>
                <w:p w14:paraId="46EE4C2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225</w:t>
                  </w:r>
                </w:p>
              </w:tc>
              <w:tc>
                <w:tcPr>
                  <w:tcW w:w="1106" w:type="dxa"/>
                  <w:tcBorders>
                    <w:tl2br w:val="nil"/>
                    <w:tr2bl w:val="nil"/>
                  </w:tcBorders>
                  <w:vAlign w:val="center"/>
                </w:tcPr>
                <w:p w14:paraId="0D870E8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居住</w:t>
                  </w:r>
                </w:p>
              </w:tc>
              <w:tc>
                <w:tcPr>
                  <w:tcW w:w="2495" w:type="dxa"/>
                  <w:vMerge w:val="restart"/>
                  <w:tcBorders>
                    <w:tl2br w:val="nil"/>
                    <w:tr2bl w:val="nil"/>
                  </w:tcBorders>
                  <w:vAlign w:val="center"/>
                </w:tcPr>
                <w:p w14:paraId="6111325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《环境空气质量标准》（GB3095-2012）及其修改单中的二级标准</w:t>
                  </w:r>
                </w:p>
              </w:tc>
            </w:tr>
            <w:tr w14:paraId="3149A05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2" w:type="dxa"/>
                  <w:vMerge w:val="continue"/>
                  <w:tcBorders>
                    <w:tl2br w:val="nil"/>
                    <w:tr2bl w:val="nil"/>
                  </w:tcBorders>
                  <w:vAlign w:val="center"/>
                </w:tcPr>
                <w:p w14:paraId="2206527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p>
              </w:tc>
              <w:tc>
                <w:tcPr>
                  <w:tcW w:w="1867" w:type="dxa"/>
                  <w:tcBorders>
                    <w:tl2br w:val="nil"/>
                    <w:tr2bl w:val="nil"/>
                  </w:tcBorders>
                  <w:vAlign w:val="center"/>
                </w:tcPr>
                <w:p w14:paraId="10C600B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宝盛里观林园</w:t>
                  </w:r>
                </w:p>
              </w:tc>
              <w:tc>
                <w:tcPr>
                  <w:tcW w:w="1080" w:type="dxa"/>
                  <w:tcBorders>
                    <w:tl2br w:val="nil"/>
                    <w:tr2bl w:val="nil"/>
                  </w:tcBorders>
                  <w:vAlign w:val="center"/>
                </w:tcPr>
                <w:p w14:paraId="042C12C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NE</w:t>
                  </w:r>
                </w:p>
              </w:tc>
              <w:tc>
                <w:tcPr>
                  <w:tcW w:w="960" w:type="dxa"/>
                  <w:tcBorders>
                    <w:tl2br w:val="nil"/>
                    <w:tr2bl w:val="nil"/>
                  </w:tcBorders>
                  <w:vAlign w:val="center"/>
                </w:tcPr>
                <w:p w14:paraId="6390F82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304</w:t>
                  </w:r>
                </w:p>
              </w:tc>
              <w:tc>
                <w:tcPr>
                  <w:tcW w:w="1106" w:type="dxa"/>
                  <w:tcBorders>
                    <w:tl2br w:val="nil"/>
                    <w:tr2bl w:val="nil"/>
                  </w:tcBorders>
                  <w:vAlign w:val="center"/>
                </w:tcPr>
                <w:p w14:paraId="139B072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居住</w:t>
                  </w:r>
                </w:p>
              </w:tc>
              <w:tc>
                <w:tcPr>
                  <w:tcW w:w="2495" w:type="dxa"/>
                  <w:vMerge w:val="continue"/>
                  <w:tcBorders>
                    <w:tl2br w:val="nil"/>
                    <w:tr2bl w:val="nil"/>
                  </w:tcBorders>
                  <w:vAlign w:val="center"/>
                </w:tcPr>
                <w:p w14:paraId="1CF9359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p>
              </w:tc>
            </w:tr>
            <w:tr w14:paraId="3AAB2A0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2" w:type="dxa"/>
                  <w:vMerge w:val="continue"/>
                  <w:tcBorders>
                    <w:tl2br w:val="nil"/>
                    <w:tr2bl w:val="nil"/>
                  </w:tcBorders>
                  <w:vAlign w:val="center"/>
                </w:tcPr>
                <w:p w14:paraId="03A5342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p>
              </w:tc>
              <w:tc>
                <w:tcPr>
                  <w:tcW w:w="1867" w:type="dxa"/>
                  <w:tcBorders>
                    <w:tl2br w:val="nil"/>
                    <w:tr2bl w:val="nil"/>
                  </w:tcBorders>
                  <w:vAlign w:val="center"/>
                </w:tcPr>
                <w:p w14:paraId="2F16DE3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宝盛里东区</w:t>
                  </w:r>
                </w:p>
              </w:tc>
              <w:tc>
                <w:tcPr>
                  <w:tcW w:w="1080" w:type="dxa"/>
                  <w:tcBorders>
                    <w:tl2br w:val="nil"/>
                    <w:tr2bl w:val="nil"/>
                  </w:tcBorders>
                  <w:vAlign w:val="center"/>
                </w:tcPr>
                <w:p w14:paraId="6956297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W、N</w:t>
                  </w:r>
                </w:p>
              </w:tc>
              <w:tc>
                <w:tcPr>
                  <w:tcW w:w="960" w:type="dxa"/>
                  <w:tcBorders>
                    <w:tl2br w:val="nil"/>
                    <w:tr2bl w:val="nil"/>
                  </w:tcBorders>
                  <w:vAlign w:val="center"/>
                </w:tcPr>
                <w:p w14:paraId="3596A27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65</w:t>
                  </w:r>
                </w:p>
              </w:tc>
              <w:tc>
                <w:tcPr>
                  <w:tcW w:w="1106" w:type="dxa"/>
                  <w:tcBorders>
                    <w:tl2br w:val="nil"/>
                    <w:tr2bl w:val="nil"/>
                  </w:tcBorders>
                  <w:vAlign w:val="center"/>
                </w:tcPr>
                <w:p w14:paraId="051C25A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居住</w:t>
                  </w:r>
                </w:p>
              </w:tc>
              <w:tc>
                <w:tcPr>
                  <w:tcW w:w="2495" w:type="dxa"/>
                  <w:vMerge w:val="continue"/>
                  <w:tcBorders>
                    <w:tl2br w:val="nil"/>
                    <w:tr2bl w:val="nil"/>
                  </w:tcBorders>
                  <w:vAlign w:val="center"/>
                </w:tcPr>
                <w:p w14:paraId="15E4202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p>
              </w:tc>
            </w:tr>
            <w:tr w14:paraId="3A719A5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2" w:type="dxa"/>
                  <w:vMerge w:val="continue"/>
                  <w:tcBorders>
                    <w:tl2br w:val="nil"/>
                    <w:tr2bl w:val="nil"/>
                  </w:tcBorders>
                  <w:vAlign w:val="center"/>
                </w:tcPr>
                <w:p w14:paraId="4F2B5FE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p>
              </w:tc>
              <w:tc>
                <w:tcPr>
                  <w:tcW w:w="1867" w:type="dxa"/>
                  <w:tcBorders>
                    <w:tl2br w:val="nil"/>
                    <w:tr2bl w:val="nil"/>
                  </w:tcBorders>
                  <w:vAlign w:val="center"/>
                </w:tcPr>
                <w:p w14:paraId="1852CA9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宝盛里西区</w:t>
                  </w:r>
                </w:p>
              </w:tc>
              <w:tc>
                <w:tcPr>
                  <w:tcW w:w="1080" w:type="dxa"/>
                  <w:tcBorders>
                    <w:tl2br w:val="nil"/>
                    <w:tr2bl w:val="nil"/>
                  </w:tcBorders>
                  <w:vAlign w:val="center"/>
                </w:tcPr>
                <w:p w14:paraId="3D10E45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W</w:t>
                  </w:r>
                </w:p>
              </w:tc>
              <w:tc>
                <w:tcPr>
                  <w:tcW w:w="960" w:type="dxa"/>
                  <w:tcBorders>
                    <w:tl2br w:val="nil"/>
                    <w:tr2bl w:val="nil"/>
                  </w:tcBorders>
                  <w:vAlign w:val="center"/>
                </w:tcPr>
                <w:p w14:paraId="7CA261A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205</w:t>
                  </w:r>
                </w:p>
              </w:tc>
              <w:tc>
                <w:tcPr>
                  <w:tcW w:w="1106" w:type="dxa"/>
                  <w:tcBorders>
                    <w:tl2br w:val="nil"/>
                    <w:tr2bl w:val="nil"/>
                  </w:tcBorders>
                  <w:vAlign w:val="center"/>
                </w:tcPr>
                <w:p w14:paraId="773FC53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居住</w:t>
                  </w:r>
                </w:p>
              </w:tc>
              <w:tc>
                <w:tcPr>
                  <w:tcW w:w="2495" w:type="dxa"/>
                  <w:vMerge w:val="continue"/>
                  <w:tcBorders>
                    <w:tl2br w:val="nil"/>
                    <w:tr2bl w:val="nil"/>
                  </w:tcBorders>
                  <w:vAlign w:val="center"/>
                </w:tcPr>
                <w:p w14:paraId="7E8757C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p>
              </w:tc>
            </w:tr>
            <w:tr w14:paraId="6215CF2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2" w:type="dxa"/>
                  <w:vMerge w:val="continue"/>
                  <w:tcBorders>
                    <w:tl2br w:val="nil"/>
                    <w:tr2bl w:val="nil"/>
                  </w:tcBorders>
                  <w:vAlign w:val="center"/>
                </w:tcPr>
                <w:p w14:paraId="1BCA8D6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p>
              </w:tc>
              <w:tc>
                <w:tcPr>
                  <w:tcW w:w="1867" w:type="dxa"/>
                  <w:tcBorders>
                    <w:tl2br w:val="nil"/>
                    <w:tr2bl w:val="nil"/>
                  </w:tcBorders>
                  <w:vAlign w:val="center"/>
                </w:tcPr>
                <w:p w14:paraId="7C2C42E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宝盛里观景园</w:t>
                  </w:r>
                </w:p>
              </w:tc>
              <w:tc>
                <w:tcPr>
                  <w:tcW w:w="1080" w:type="dxa"/>
                  <w:tcBorders>
                    <w:tl2br w:val="nil"/>
                    <w:tr2bl w:val="nil"/>
                  </w:tcBorders>
                  <w:vAlign w:val="center"/>
                </w:tcPr>
                <w:p w14:paraId="7B17590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E</w:t>
                  </w:r>
                </w:p>
              </w:tc>
              <w:tc>
                <w:tcPr>
                  <w:tcW w:w="960" w:type="dxa"/>
                  <w:tcBorders>
                    <w:tl2br w:val="nil"/>
                    <w:tr2bl w:val="nil"/>
                  </w:tcBorders>
                  <w:vAlign w:val="center"/>
                </w:tcPr>
                <w:p w14:paraId="593C697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172</w:t>
                  </w:r>
                </w:p>
              </w:tc>
              <w:tc>
                <w:tcPr>
                  <w:tcW w:w="1106" w:type="dxa"/>
                  <w:tcBorders>
                    <w:tl2br w:val="nil"/>
                    <w:tr2bl w:val="nil"/>
                  </w:tcBorders>
                  <w:vAlign w:val="center"/>
                </w:tcPr>
                <w:p w14:paraId="6B53D63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居住</w:t>
                  </w:r>
                </w:p>
              </w:tc>
              <w:tc>
                <w:tcPr>
                  <w:tcW w:w="2495" w:type="dxa"/>
                  <w:vMerge w:val="continue"/>
                  <w:tcBorders>
                    <w:tl2br w:val="nil"/>
                    <w:tr2bl w:val="nil"/>
                  </w:tcBorders>
                  <w:vAlign w:val="center"/>
                </w:tcPr>
                <w:p w14:paraId="1A42FEB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p>
              </w:tc>
            </w:tr>
            <w:tr w14:paraId="09BC955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2" w:type="dxa"/>
                  <w:vMerge w:val="continue"/>
                  <w:tcBorders>
                    <w:tl2br w:val="nil"/>
                    <w:tr2bl w:val="nil"/>
                  </w:tcBorders>
                  <w:vAlign w:val="center"/>
                </w:tcPr>
                <w:p w14:paraId="1D98346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p>
              </w:tc>
              <w:tc>
                <w:tcPr>
                  <w:tcW w:w="1867" w:type="dxa"/>
                  <w:tcBorders>
                    <w:tl2br w:val="nil"/>
                    <w:tr2bl w:val="nil"/>
                  </w:tcBorders>
                  <w:vAlign w:val="center"/>
                </w:tcPr>
                <w:p w14:paraId="0FDD520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芳清园</w:t>
                  </w:r>
                </w:p>
              </w:tc>
              <w:tc>
                <w:tcPr>
                  <w:tcW w:w="1080" w:type="dxa"/>
                  <w:tcBorders>
                    <w:tl2br w:val="nil"/>
                    <w:tr2bl w:val="nil"/>
                  </w:tcBorders>
                  <w:vAlign w:val="center"/>
                </w:tcPr>
                <w:p w14:paraId="0053C0D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SE</w:t>
                  </w:r>
                </w:p>
              </w:tc>
              <w:tc>
                <w:tcPr>
                  <w:tcW w:w="960" w:type="dxa"/>
                  <w:tcBorders>
                    <w:tl2br w:val="nil"/>
                    <w:tr2bl w:val="nil"/>
                  </w:tcBorders>
                  <w:vAlign w:val="center"/>
                </w:tcPr>
                <w:p w14:paraId="4AAF141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276</w:t>
                  </w:r>
                </w:p>
              </w:tc>
              <w:tc>
                <w:tcPr>
                  <w:tcW w:w="1106" w:type="dxa"/>
                  <w:tcBorders>
                    <w:tl2br w:val="nil"/>
                    <w:tr2bl w:val="nil"/>
                  </w:tcBorders>
                  <w:vAlign w:val="center"/>
                </w:tcPr>
                <w:p w14:paraId="3A32A0F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居住</w:t>
                  </w:r>
                </w:p>
              </w:tc>
              <w:tc>
                <w:tcPr>
                  <w:tcW w:w="2495" w:type="dxa"/>
                  <w:vMerge w:val="continue"/>
                  <w:tcBorders>
                    <w:tl2br w:val="nil"/>
                    <w:tr2bl w:val="nil"/>
                  </w:tcBorders>
                  <w:vAlign w:val="center"/>
                </w:tcPr>
                <w:p w14:paraId="343037A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p>
              </w:tc>
            </w:tr>
            <w:tr w14:paraId="49FB442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2" w:type="dxa"/>
                  <w:vMerge w:val="continue"/>
                  <w:tcBorders>
                    <w:tl2br w:val="nil"/>
                    <w:tr2bl w:val="nil"/>
                  </w:tcBorders>
                  <w:vAlign w:val="center"/>
                </w:tcPr>
                <w:p w14:paraId="72BC20F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p>
              </w:tc>
              <w:tc>
                <w:tcPr>
                  <w:tcW w:w="1867" w:type="dxa"/>
                  <w:tcBorders>
                    <w:tl2br w:val="nil"/>
                    <w:tr2bl w:val="nil"/>
                  </w:tcBorders>
                  <w:vAlign w:val="center"/>
                </w:tcPr>
                <w:p w14:paraId="277590E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宝盛里观澳园</w:t>
                  </w:r>
                </w:p>
              </w:tc>
              <w:tc>
                <w:tcPr>
                  <w:tcW w:w="1080" w:type="dxa"/>
                  <w:tcBorders>
                    <w:tl2br w:val="nil"/>
                    <w:tr2bl w:val="nil"/>
                  </w:tcBorders>
                  <w:vAlign w:val="center"/>
                </w:tcPr>
                <w:p w14:paraId="094B075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S</w:t>
                  </w:r>
                </w:p>
              </w:tc>
              <w:tc>
                <w:tcPr>
                  <w:tcW w:w="960" w:type="dxa"/>
                  <w:tcBorders>
                    <w:tl2br w:val="nil"/>
                    <w:tr2bl w:val="nil"/>
                  </w:tcBorders>
                  <w:vAlign w:val="center"/>
                </w:tcPr>
                <w:p w14:paraId="5566CDE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127</w:t>
                  </w:r>
                </w:p>
              </w:tc>
              <w:tc>
                <w:tcPr>
                  <w:tcW w:w="1106" w:type="dxa"/>
                  <w:tcBorders>
                    <w:tl2br w:val="nil"/>
                    <w:tr2bl w:val="nil"/>
                  </w:tcBorders>
                  <w:vAlign w:val="center"/>
                </w:tcPr>
                <w:p w14:paraId="0B734B8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居住</w:t>
                  </w:r>
                </w:p>
              </w:tc>
              <w:tc>
                <w:tcPr>
                  <w:tcW w:w="2495" w:type="dxa"/>
                  <w:vMerge w:val="continue"/>
                  <w:tcBorders>
                    <w:tl2br w:val="nil"/>
                    <w:tr2bl w:val="nil"/>
                  </w:tcBorders>
                  <w:vAlign w:val="center"/>
                </w:tcPr>
                <w:p w14:paraId="7EB8DF7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p>
              </w:tc>
            </w:tr>
            <w:tr w14:paraId="68C1CE2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2" w:type="dxa"/>
                  <w:vMerge w:val="continue"/>
                  <w:tcBorders>
                    <w:tl2br w:val="nil"/>
                    <w:tr2bl w:val="nil"/>
                  </w:tcBorders>
                  <w:vAlign w:val="center"/>
                </w:tcPr>
                <w:p w14:paraId="3B045FF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p>
              </w:tc>
              <w:tc>
                <w:tcPr>
                  <w:tcW w:w="1867" w:type="dxa"/>
                  <w:tcBorders>
                    <w:tl2br w:val="nil"/>
                    <w:tr2bl w:val="nil"/>
                  </w:tcBorders>
                  <w:vAlign w:val="center"/>
                </w:tcPr>
                <w:p w14:paraId="2D0674B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泰欣苑</w:t>
                  </w:r>
                </w:p>
              </w:tc>
              <w:tc>
                <w:tcPr>
                  <w:tcW w:w="1080" w:type="dxa"/>
                  <w:tcBorders>
                    <w:tl2br w:val="nil"/>
                    <w:tr2bl w:val="nil"/>
                  </w:tcBorders>
                  <w:vAlign w:val="center"/>
                </w:tcPr>
                <w:p w14:paraId="569B471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SW</w:t>
                  </w:r>
                </w:p>
              </w:tc>
              <w:tc>
                <w:tcPr>
                  <w:tcW w:w="960" w:type="dxa"/>
                  <w:tcBorders>
                    <w:tl2br w:val="nil"/>
                    <w:tr2bl w:val="nil"/>
                  </w:tcBorders>
                  <w:vAlign w:val="center"/>
                </w:tcPr>
                <w:p w14:paraId="553999E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327</w:t>
                  </w:r>
                </w:p>
              </w:tc>
              <w:tc>
                <w:tcPr>
                  <w:tcW w:w="1106" w:type="dxa"/>
                  <w:tcBorders>
                    <w:tl2br w:val="nil"/>
                    <w:tr2bl w:val="nil"/>
                  </w:tcBorders>
                  <w:vAlign w:val="center"/>
                </w:tcPr>
                <w:p w14:paraId="79B5580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居住</w:t>
                  </w:r>
                </w:p>
              </w:tc>
              <w:tc>
                <w:tcPr>
                  <w:tcW w:w="2495" w:type="dxa"/>
                  <w:vMerge w:val="continue"/>
                  <w:tcBorders>
                    <w:tl2br w:val="nil"/>
                    <w:tr2bl w:val="nil"/>
                  </w:tcBorders>
                  <w:vAlign w:val="center"/>
                </w:tcPr>
                <w:p w14:paraId="4F30C7D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p>
              </w:tc>
            </w:tr>
            <w:tr w14:paraId="7134D03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2" w:type="dxa"/>
                  <w:vMerge w:val="continue"/>
                  <w:tcBorders>
                    <w:tl2br w:val="nil"/>
                    <w:tr2bl w:val="nil"/>
                  </w:tcBorders>
                  <w:vAlign w:val="center"/>
                </w:tcPr>
                <w:p w14:paraId="2CD4CEF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p>
              </w:tc>
              <w:tc>
                <w:tcPr>
                  <w:tcW w:w="1867" w:type="dxa"/>
                  <w:tcBorders>
                    <w:tl2br w:val="nil"/>
                    <w:tr2bl w:val="nil"/>
                  </w:tcBorders>
                  <w:vAlign w:val="center"/>
                </w:tcPr>
                <w:p w14:paraId="25D4171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永泰庄东路8号院</w:t>
                  </w:r>
                </w:p>
              </w:tc>
              <w:tc>
                <w:tcPr>
                  <w:tcW w:w="1080" w:type="dxa"/>
                  <w:tcBorders>
                    <w:tl2br w:val="nil"/>
                    <w:tr2bl w:val="nil"/>
                  </w:tcBorders>
                  <w:vAlign w:val="center"/>
                </w:tcPr>
                <w:p w14:paraId="79A3FF0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NW</w:t>
                  </w:r>
                </w:p>
              </w:tc>
              <w:tc>
                <w:tcPr>
                  <w:tcW w:w="960" w:type="dxa"/>
                  <w:tcBorders>
                    <w:tl2br w:val="nil"/>
                    <w:tr2bl w:val="nil"/>
                  </w:tcBorders>
                  <w:vAlign w:val="center"/>
                </w:tcPr>
                <w:p w14:paraId="103B396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332</w:t>
                  </w:r>
                </w:p>
              </w:tc>
              <w:tc>
                <w:tcPr>
                  <w:tcW w:w="1106" w:type="dxa"/>
                  <w:tcBorders>
                    <w:tl2br w:val="nil"/>
                    <w:tr2bl w:val="nil"/>
                  </w:tcBorders>
                  <w:vAlign w:val="center"/>
                </w:tcPr>
                <w:p w14:paraId="50091C5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居住</w:t>
                  </w:r>
                </w:p>
              </w:tc>
              <w:tc>
                <w:tcPr>
                  <w:tcW w:w="2495" w:type="dxa"/>
                  <w:vMerge w:val="continue"/>
                  <w:tcBorders>
                    <w:tl2br w:val="nil"/>
                    <w:tr2bl w:val="nil"/>
                  </w:tcBorders>
                  <w:vAlign w:val="center"/>
                </w:tcPr>
                <w:p w14:paraId="49FA882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p>
              </w:tc>
            </w:tr>
            <w:tr w14:paraId="7C77EAD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2" w:type="dxa"/>
                  <w:vMerge w:val="continue"/>
                  <w:tcBorders>
                    <w:tl2br w:val="nil"/>
                    <w:tr2bl w:val="nil"/>
                  </w:tcBorders>
                  <w:vAlign w:val="center"/>
                </w:tcPr>
                <w:p w14:paraId="4119369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p>
              </w:tc>
              <w:tc>
                <w:tcPr>
                  <w:tcW w:w="1867" w:type="dxa"/>
                  <w:tcBorders>
                    <w:tl2br w:val="nil"/>
                    <w:tr2bl w:val="nil"/>
                  </w:tcBorders>
                  <w:vAlign w:val="center"/>
                </w:tcPr>
                <w:p w14:paraId="312F875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北京石油学院附属实验小学</w:t>
                  </w:r>
                </w:p>
              </w:tc>
              <w:tc>
                <w:tcPr>
                  <w:tcW w:w="1080" w:type="dxa"/>
                  <w:tcBorders>
                    <w:tl2br w:val="nil"/>
                    <w:tr2bl w:val="nil"/>
                  </w:tcBorders>
                  <w:vAlign w:val="center"/>
                </w:tcPr>
                <w:p w14:paraId="1E7903D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SE</w:t>
                  </w:r>
                </w:p>
              </w:tc>
              <w:tc>
                <w:tcPr>
                  <w:tcW w:w="960" w:type="dxa"/>
                  <w:tcBorders>
                    <w:tl2br w:val="nil"/>
                    <w:tr2bl w:val="nil"/>
                  </w:tcBorders>
                  <w:vAlign w:val="center"/>
                </w:tcPr>
                <w:p w14:paraId="0188223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384</w:t>
                  </w:r>
                </w:p>
              </w:tc>
              <w:tc>
                <w:tcPr>
                  <w:tcW w:w="1106" w:type="dxa"/>
                  <w:tcBorders>
                    <w:tl2br w:val="nil"/>
                    <w:tr2bl w:val="nil"/>
                  </w:tcBorders>
                  <w:vAlign w:val="center"/>
                </w:tcPr>
                <w:p w14:paraId="293FB82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教育</w:t>
                  </w:r>
                </w:p>
              </w:tc>
              <w:tc>
                <w:tcPr>
                  <w:tcW w:w="2495" w:type="dxa"/>
                  <w:vMerge w:val="continue"/>
                  <w:tcBorders>
                    <w:tl2br w:val="nil"/>
                    <w:tr2bl w:val="nil"/>
                  </w:tcBorders>
                  <w:vAlign w:val="center"/>
                </w:tcPr>
                <w:p w14:paraId="326DAF8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p>
              </w:tc>
            </w:tr>
            <w:tr w14:paraId="1CB780C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2" w:type="dxa"/>
                  <w:vMerge w:val="continue"/>
                  <w:tcBorders>
                    <w:tl2br w:val="nil"/>
                    <w:tr2bl w:val="nil"/>
                  </w:tcBorders>
                  <w:vAlign w:val="center"/>
                </w:tcPr>
                <w:p w14:paraId="752828D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p>
              </w:tc>
              <w:tc>
                <w:tcPr>
                  <w:tcW w:w="1867" w:type="dxa"/>
                  <w:tcBorders>
                    <w:tl2br w:val="nil"/>
                    <w:tr2bl w:val="nil"/>
                  </w:tcBorders>
                  <w:vAlign w:val="center"/>
                </w:tcPr>
                <w:p w14:paraId="7FA4BD2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北京师大二附中国际部</w:t>
                  </w:r>
                </w:p>
              </w:tc>
              <w:tc>
                <w:tcPr>
                  <w:tcW w:w="1080" w:type="dxa"/>
                  <w:tcBorders>
                    <w:tl2br w:val="nil"/>
                    <w:tr2bl w:val="nil"/>
                  </w:tcBorders>
                  <w:vAlign w:val="center"/>
                </w:tcPr>
                <w:p w14:paraId="1B4F5CB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SW</w:t>
                  </w:r>
                </w:p>
              </w:tc>
              <w:tc>
                <w:tcPr>
                  <w:tcW w:w="960" w:type="dxa"/>
                  <w:tcBorders>
                    <w:tl2br w:val="nil"/>
                    <w:tr2bl w:val="nil"/>
                  </w:tcBorders>
                  <w:vAlign w:val="center"/>
                </w:tcPr>
                <w:p w14:paraId="52C3EB8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114</w:t>
                  </w:r>
                </w:p>
              </w:tc>
              <w:tc>
                <w:tcPr>
                  <w:tcW w:w="1106" w:type="dxa"/>
                  <w:tcBorders>
                    <w:tl2br w:val="nil"/>
                    <w:tr2bl w:val="nil"/>
                  </w:tcBorders>
                  <w:vAlign w:val="center"/>
                </w:tcPr>
                <w:p w14:paraId="1F8881B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教育</w:t>
                  </w:r>
                </w:p>
              </w:tc>
              <w:tc>
                <w:tcPr>
                  <w:tcW w:w="2495" w:type="dxa"/>
                  <w:vMerge w:val="continue"/>
                  <w:tcBorders>
                    <w:tl2br w:val="nil"/>
                    <w:tr2bl w:val="nil"/>
                  </w:tcBorders>
                  <w:vAlign w:val="center"/>
                </w:tcPr>
                <w:p w14:paraId="7F0EC47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p>
              </w:tc>
            </w:tr>
            <w:tr w14:paraId="65BA8F0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2" w:type="dxa"/>
                  <w:vMerge w:val="continue"/>
                  <w:tcBorders>
                    <w:tl2br w:val="nil"/>
                    <w:tr2bl w:val="nil"/>
                  </w:tcBorders>
                  <w:vAlign w:val="center"/>
                </w:tcPr>
                <w:p w14:paraId="6D98F96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p>
              </w:tc>
              <w:tc>
                <w:tcPr>
                  <w:tcW w:w="1867" w:type="dxa"/>
                  <w:tcBorders>
                    <w:tl2br w:val="nil"/>
                    <w:tr2bl w:val="nil"/>
                  </w:tcBorders>
                  <w:vAlign w:val="center"/>
                </w:tcPr>
                <w:p w14:paraId="27320AB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燕京神学院</w:t>
                  </w:r>
                </w:p>
              </w:tc>
              <w:tc>
                <w:tcPr>
                  <w:tcW w:w="1080" w:type="dxa"/>
                  <w:tcBorders>
                    <w:tl2br w:val="nil"/>
                    <w:tr2bl w:val="nil"/>
                  </w:tcBorders>
                  <w:vAlign w:val="center"/>
                </w:tcPr>
                <w:p w14:paraId="142580F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SW</w:t>
                  </w:r>
                </w:p>
              </w:tc>
              <w:tc>
                <w:tcPr>
                  <w:tcW w:w="960" w:type="dxa"/>
                  <w:tcBorders>
                    <w:tl2br w:val="nil"/>
                    <w:tr2bl w:val="nil"/>
                  </w:tcBorders>
                  <w:vAlign w:val="center"/>
                </w:tcPr>
                <w:p w14:paraId="288D7F1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345</w:t>
                  </w:r>
                </w:p>
              </w:tc>
              <w:tc>
                <w:tcPr>
                  <w:tcW w:w="1106" w:type="dxa"/>
                  <w:tcBorders>
                    <w:tl2br w:val="nil"/>
                    <w:tr2bl w:val="nil"/>
                  </w:tcBorders>
                  <w:vAlign w:val="center"/>
                </w:tcPr>
                <w:p w14:paraId="7B7A040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教育</w:t>
                  </w:r>
                </w:p>
              </w:tc>
              <w:tc>
                <w:tcPr>
                  <w:tcW w:w="2495" w:type="dxa"/>
                  <w:vMerge w:val="continue"/>
                  <w:tcBorders>
                    <w:tl2br w:val="nil"/>
                    <w:tr2bl w:val="nil"/>
                  </w:tcBorders>
                  <w:vAlign w:val="center"/>
                </w:tcPr>
                <w:p w14:paraId="0E0C93F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p>
              </w:tc>
            </w:tr>
            <w:tr w14:paraId="7234278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2" w:type="dxa"/>
                  <w:tcBorders>
                    <w:tl2br w:val="nil"/>
                    <w:tr2bl w:val="nil"/>
                  </w:tcBorders>
                  <w:vAlign w:val="center"/>
                </w:tcPr>
                <w:p w14:paraId="3C79B1C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声环境</w:t>
                  </w:r>
                </w:p>
              </w:tc>
              <w:tc>
                <w:tcPr>
                  <w:tcW w:w="1867" w:type="dxa"/>
                  <w:tcBorders>
                    <w:tl2br w:val="nil"/>
                    <w:tr2bl w:val="nil"/>
                  </w:tcBorders>
                  <w:vAlign w:val="center"/>
                </w:tcPr>
                <w:p w14:paraId="6C2F835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云尚社区</w:t>
                  </w:r>
                </w:p>
              </w:tc>
              <w:tc>
                <w:tcPr>
                  <w:tcW w:w="1080" w:type="dxa"/>
                  <w:tcBorders>
                    <w:tl2br w:val="nil"/>
                    <w:tr2bl w:val="nil"/>
                  </w:tcBorders>
                  <w:vAlign w:val="center"/>
                </w:tcPr>
                <w:p w14:paraId="3177073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w:t>
                  </w:r>
                </w:p>
              </w:tc>
              <w:tc>
                <w:tcPr>
                  <w:tcW w:w="960" w:type="dxa"/>
                  <w:tcBorders>
                    <w:tl2br w:val="nil"/>
                    <w:tr2bl w:val="nil"/>
                  </w:tcBorders>
                  <w:vAlign w:val="center"/>
                </w:tcPr>
                <w:p w14:paraId="41876F1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w:t>
                  </w:r>
                </w:p>
              </w:tc>
              <w:tc>
                <w:tcPr>
                  <w:tcW w:w="1106" w:type="dxa"/>
                  <w:tcBorders>
                    <w:tl2br w:val="nil"/>
                    <w:tr2bl w:val="nil"/>
                  </w:tcBorders>
                  <w:vAlign w:val="center"/>
                </w:tcPr>
                <w:p w14:paraId="2D9A198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居住</w:t>
                  </w:r>
                </w:p>
              </w:tc>
              <w:tc>
                <w:tcPr>
                  <w:tcW w:w="2495" w:type="dxa"/>
                  <w:tcBorders>
                    <w:tl2br w:val="nil"/>
                    <w:tr2bl w:val="nil"/>
                  </w:tcBorders>
                  <w:vAlign w:val="center"/>
                </w:tcPr>
                <w:p w14:paraId="015F342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default" w:cs="Times New Roman"/>
                      <w:b w:val="0"/>
                      <w:bCs w:val="0"/>
                      <w:color w:val="auto"/>
                      <w:kern w:val="0"/>
                      <w:sz w:val="21"/>
                      <w:szCs w:val="21"/>
                      <w:highlight w:val="none"/>
                      <w:vertAlign w:val="baseline"/>
                      <w:lang w:val="en-US" w:eastAsia="zh-CN" w:bidi="ar"/>
                    </w:rPr>
                    <w:t>《声环境质量标准》（GB3096-2008）中1类标准</w:t>
                  </w:r>
                </w:p>
              </w:tc>
            </w:tr>
          </w:tbl>
          <w:p w14:paraId="33A6810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jc w:val="both"/>
              <w:textAlignment w:val="auto"/>
              <w:rPr>
                <w:rFonts w:hint="default" w:cs="Times New Roman"/>
                <w:b w:val="0"/>
                <w:bCs w:val="0"/>
                <w:color w:val="auto"/>
                <w:kern w:val="0"/>
                <w:sz w:val="24"/>
                <w:highlight w:val="none"/>
                <w:lang w:val="en-US" w:eastAsia="zh-CN" w:bidi="ar"/>
              </w:rPr>
            </w:pPr>
          </w:p>
        </w:tc>
      </w:tr>
      <w:tr w14:paraId="0003888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1" w:type="dxa"/>
            <w:tcMar>
              <w:left w:w="28" w:type="dxa"/>
              <w:right w:w="28" w:type="dxa"/>
            </w:tcMar>
            <w:vAlign w:val="center"/>
          </w:tcPr>
          <w:p w14:paraId="3636D09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0"/>
                <w:szCs w:val="21"/>
                <w:highlight w:val="none"/>
              </w:rPr>
            </w:pPr>
            <w:r>
              <w:rPr>
                <w:rFonts w:hint="default" w:ascii="Times New Roman" w:hAnsi="Times New Roman" w:eastAsia="宋体" w:cs="Times New Roman"/>
                <w:b w:val="0"/>
                <w:bCs w:val="0"/>
                <w:color w:val="auto"/>
                <w:kern w:val="0"/>
                <w:sz w:val="24"/>
                <w:highlight w:val="none"/>
              </w:rPr>
              <w:t>污染物排放控制标准</w:t>
            </w:r>
          </w:p>
        </w:tc>
        <w:tc>
          <w:tcPr>
            <w:tcW w:w="8649" w:type="dxa"/>
            <w:vAlign w:val="center"/>
          </w:tcPr>
          <w:p w14:paraId="31677DB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b w:val="0"/>
                <w:bCs w:val="0"/>
                <w:color w:val="auto"/>
                <w:kern w:val="0"/>
                <w:sz w:val="24"/>
                <w:szCs w:val="24"/>
                <w:highlight w:val="none"/>
                <w:lang w:val="en-US" w:eastAsia="zh-CN"/>
              </w:rPr>
            </w:pPr>
            <w:r>
              <w:rPr>
                <w:rFonts w:hint="eastAsia" w:ascii="Times New Roman" w:hAnsi="Times New Roman" w:eastAsia="宋体" w:cs="Times New Roman"/>
                <w:b w:val="0"/>
                <w:bCs w:val="0"/>
                <w:color w:val="auto"/>
                <w:kern w:val="0"/>
                <w:sz w:val="24"/>
                <w:szCs w:val="24"/>
                <w:highlight w:val="none"/>
                <w:lang w:val="en-US" w:eastAsia="zh-CN"/>
              </w:rPr>
              <w:t>1、</w:t>
            </w:r>
            <w:r>
              <w:rPr>
                <w:rFonts w:hint="eastAsia" w:cs="Times New Roman"/>
                <w:b w:val="0"/>
                <w:bCs w:val="0"/>
                <w:color w:val="auto"/>
                <w:kern w:val="0"/>
                <w:sz w:val="24"/>
                <w:szCs w:val="24"/>
                <w:highlight w:val="none"/>
                <w:lang w:val="en-US" w:eastAsia="zh-CN"/>
              </w:rPr>
              <w:t>大气污染物排放执行标准</w:t>
            </w:r>
          </w:p>
          <w:p w14:paraId="45B46A8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cs="Times New Roman"/>
                <w:b w:val="0"/>
                <w:bCs w:val="0"/>
                <w:color w:val="auto"/>
                <w:kern w:val="0"/>
                <w:sz w:val="24"/>
                <w:szCs w:val="24"/>
                <w:highlight w:val="none"/>
                <w:lang w:val="en-US" w:eastAsia="zh-CN"/>
              </w:rPr>
            </w:pPr>
            <w:r>
              <w:rPr>
                <w:rFonts w:hint="eastAsia" w:cs="Times New Roman"/>
                <w:b w:val="0"/>
                <w:bCs w:val="0"/>
                <w:color w:val="auto"/>
                <w:kern w:val="0"/>
                <w:sz w:val="24"/>
                <w:szCs w:val="24"/>
                <w:highlight w:val="none"/>
                <w:lang w:val="en-US" w:eastAsia="zh-CN"/>
              </w:rPr>
              <w:t>项目无燃煤、燃油、燃气设施，不设食堂，主要大气污染源来源于污水处理设施运行时产生的废气。</w:t>
            </w:r>
          </w:p>
          <w:p w14:paraId="4236DA0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cs="Times New Roman"/>
                <w:b w:val="0"/>
                <w:bCs w:val="0"/>
                <w:color w:val="auto"/>
                <w:kern w:val="0"/>
                <w:sz w:val="24"/>
                <w:szCs w:val="24"/>
                <w:highlight w:val="none"/>
                <w:lang w:val="en-US" w:eastAsia="zh-CN"/>
              </w:rPr>
            </w:pPr>
            <w:r>
              <w:rPr>
                <w:rFonts w:hint="eastAsia" w:cs="Times New Roman"/>
                <w:b w:val="0"/>
                <w:bCs w:val="0"/>
                <w:color w:val="auto"/>
                <w:kern w:val="0"/>
                <w:sz w:val="24"/>
                <w:szCs w:val="24"/>
                <w:highlight w:val="none"/>
                <w:lang w:val="en-US" w:eastAsia="zh-CN"/>
              </w:rPr>
              <w:t>本项目污水处理采用“一级强化处理+消毒”处理方式，产生较少的恶臭废气。污水处理设施周边主要大气污染物NH</w:t>
            </w:r>
            <w:r>
              <w:rPr>
                <w:rFonts w:hint="eastAsia" w:cs="Times New Roman"/>
                <w:b w:val="0"/>
                <w:bCs w:val="0"/>
                <w:color w:val="auto"/>
                <w:kern w:val="0"/>
                <w:sz w:val="24"/>
                <w:szCs w:val="24"/>
                <w:highlight w:val="none"/>
                <w:vertAlign w:val="subscript"/>
                <w:lang w:val="en-US" w:eastAsia="zh-CN"/>
              </w:rPr>
              <w:t>3</w:t>
            </w:r>
            <w:r>
              <w:rPr>
                <w:rFonts w:hint="eastAsia" w:cs="Times New Roman"/>
                <w:b w:val="0"/>
                <w:bCs w:val="0"/>
                <w:color w:val="auto"/>
                <w:kern w:val="0"/>
                <w:sz w:val="24"/>
                <w:szCs w:val="24"/>
                <w:highlight w:val="none"/>
                <w:lang w:val="en-US" w:eastAsia="zh-CN"/>
              </w:rPr>
              <w:t>、H</w:t>
            </w:r>
            <w:r>
              <w:rPr>
                <w:rFonts w:hint="eastAsia" w:cs="Times New Roman"/>
                <w:b w:val="0"/>
                <w:bCs w:val="0"/>
                <w:color w:val="auto"/>
                <w:kern w:val="0"/>
                <w:sz w:val="24"/>
                <w:szCs w:val="24"/>
                <w:highlight w:val="none"/>
                <w:vertAlign w:val="subscript"/>
                <w:lang w:val="en-US" w:eastAsia="zh-CN"/>
              </w:rPr>
              <w:t>2</w:t>
            </w:r>
            <w:r>
              <w:rPr>
                <w:rFonts w:hint="eastAsia" w:cs="Times New Roman"/>
                <w:b w:val="0"/>
                <w:bCs w:val="0"/>
                <w:color w:val="auto"/>
                <w:kern w:val="0"/>
                <w:sz w:val="24"/>
                <w:szCs w:val="24"/>
                <w:highlight w:val="none"/>
                <w:lang w:val="en-US" w:eastAsia="zh-CN"/>
              </w:rPr>
              <w:t>S、臭气浓度满足《医疗机构水污染物排放标准》（GB18466-2005）中“污水处理站周边大气污染物最高允许浓度”要求；厂界就是污水处理设施周边，同时满足北京市《大气污染物综合排放标准》（DB11/501-2017）无组织的排放要求。</w:t>
            </w:r>
          </w:p>
          <w:p w14:paraId="3CBA805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0" w:firstLineChars="0"/>
              <w:jc w:val="center"/>
              <w:textAlignment w:val="auto"/>
              <w:rPr>
                <w:rFonts w:hint="default" w:cs="Times New Roman"/>
                <w:b w:val="0"/>
                <w:bCs w:val="0"/>
                <w:color w:val="auto"/>
                <w:kern w:val="0"/>
                <w:sz w:val="24"/>
                <w:szCs w:val="24"/>
                <w:highlight w:val="none"/>
                <w:lang w:val="en-US" w:eastAsia="zh-CN"/>
              </w:rPr>
            </w:pPr>
            <w:r>
              <w:rPr>
                <w:rFonts w:hint="eastAsia" w:cs="Times New Roman"/>
                <w:b/>
                <w:bCs/>
                <w:color w:val="auto"/>
                <w:kern w:val="0"/>
                <w:sz w:val="21"/>
                <w:szCs w:val="21"/>
                <w:highlight w:val="none"/>
                <w:lang w:val="en-US" w:eastAsia="zh-CN"/>
              </w:rPr>
              <w:t>表3-5 污水处理站大气污染物排放浓度限值</w:t>
            </w:r>
          </w:p>
          <w:tbl>
            <w:tblPr>
              <w:tblStyle w:val="13"/>
              <w:tblW w:w="4998"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96"/>
              <w:gridCol w:w="1740"/>
              <w:gridCol w:w="2797"/>
              <w:gridCol w:w="2774"/>
            </w:tblGrid>
            <w:tr w14:paraId="2C74EC3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6" w:type="dxa"/>
                  <w:tcBorders>
                    <w:tl2br w:val="nil"/>
                    <w:tr2bl w:val="nil"/>
                  </w:tcBorders>
                  <w:vAlign w:val="center"/>
                </w:tcPr>
                <w:p w14:paraId="324E35D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bCs/>
                      <w:color w:val="auto"/>
                      <w:kern w:val="0"/>
                      <w:sz w:val="21"/>
                      <w:szCs w:val="21"/>
                      <w:highlight w:val="none"/>
                      <w:vertAlign w:val="baseline"/>
                      <w:lang w:val="en-US" w:eastAsia="zh-CN"/>
                    </w:rPr>
                  </w:pPr>
                  <w:r>
                    <w:rPr>
                      <w:rFonts w:hint="eastAsia" w:cs="Times New Roman"/>
                      <w:b/>
                      <w:bCs/>
                      <w:color w:val="auto"/>
                      <w:kern w:val="0"/>
                      <w:sz w:val="21"/>
                      <w:szCs w:val="21"/>
                      <w:highlight w:val="none"/>
                      <w:vertAlign w:val="baseline"/>
                      <w:lang w:val="en-US" w:eastAsia="zh-CN"/>
                    </w:rPr>
                    <w:t>序号</w:t>
                  </w:r>
                </w:p>
              </w:tc>
              <w:tc>
                <w:tcPr>
                  <w:tcW w:w="1740" w:type="dxa"/>
                  <w:tcBorders>
                    <w:tl2br w:val="nil"/>
                    <w:tr2bl w:val="nil"/>
                  </w:tcBorders>
                  <w:vAlign w:val="center"/>
                </w:tcPr>
                <w:p w14:paraId="25D8610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bCs/>
                      <w:color w:val="auto"/>
                      <w:kern w:val="0"/>
                      <w:sz w:val="21"/>
                      <w:szCs w:val="21"/>
                      <w:highlight w:val="none"/>
                      <w:vertAlign w:val="baseline"/>
                      <w:lang w:val="en-US" w:eastAsia="zh-CN"/>
                    </w:rPr>
                  </w:pPr>
                  <w:r>
                    <w:rPr>
                      <w:rFonts w:hint="eastAsia" w:cs="Times New Roman"/>
                      <w:b/>
                      <w:bCs/>
                      <w:color w:val="auto"/>
                      <w:kern w:val="0"/>
                      <w:sz w:val="21"/>
                      <w:szCs w:val="21"/>
                      <w:highlight w:val="none"/>
                      <w:vertAlign w:val="baseline"/>
                      <w:lang w:val="en-US" w:eastAsia="zh-CN"/>
                    </w:rPr>
                    <w:t>污染物</w:t>
                  </w:r>
                </w:p>
              </w:tc>
              <w:tc>
                <w:tcPr>
                  <w:tcW w:w="2797" w:type="dxa"/>
                  <w:tcBorders>
                    <w:tl2br w:val="nil"/>
                    <w:tr2bl w:val="nil"/>
                  </w:tcBorders>
                  <w:vAlign w:val="center"/>
                </w:tcPr>
                <w:p w14:paraId="6F9543F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bCs/>
                      <w:color w:val="auto"/>
                      <w:kern w:val="0"/>
                      <w:sz w:val="21"/>
                      <w:szCs w:val="21"/>
                      <w:highlight w:val="none"/>
                      <w:vertAlign w:val="baseline"/>
                      <w:lang w:val="en-US" w:eastAsia="zh-CN"/>
                    </w:rPr>
                  </w:pPr>
                  <w:r>
                    <w:rPr>
                      <w:rFonts w:hint="eastAsia" w:cs="Times New Roman"/>
                      <w:b/>
                      <w:bCs/>
                      <w:color w:val="auto"/>
                      <w:kern w:val="0"/>
                      <w:sz w:val="21"/>
                      <w:szCs w:val="21"/>
                      <w:highlight w:val="none"/>
                      <w:vertAlign w:val="baseline"/>
                      <w:lang w:val="en-US" w:eastAsia="zh-CN"/>
                    </w:rPr>
                    <w:t>单位周界无组织排放监控点浓度限值（mg/m</w:t>
                  </w:r>
                  <w:r>
                    <w:rPr>
                      <w:rFonts w:hint="eastAsia" w:cs="Times New Roman"/>
                      <w:b/>
                      <w:bCs/>
                      <w:color w:val="auto"/>
                      <w:kern w:val="0"/>
                      <w:sz w:val="21"/>
                      <w:szCs w:val="21"/>
                      <w:highlight w:val="none"/>
                      <w:vertAlign w:val="superscript"/>
                      <w:lang w:val="en-US" w:eastAsia="zh-CN"/>
                    </w:rPr>
                    <w:t>3</w:t>
                  </w:r>
                  <w:r>
                    <w:rPr>
                      <w:rFonts w:hint="eastAsia" w:cs="Times New Roman"/>
                      <w:b/>
                      <w:bCs/>
                      <w:color w:val="auto"/>
                      <w:kern w:val="0"/>
                      <w:sz w:val="21"/>
                      <w:szCs w:val="21"/>
                      <w:highlight w:val="none"/>
                      <w:vertAlign w:val="baseline"/>
                      <w:lang w:val="en-US" w:eastAsia="zh-CN"/>
                    </w:rPr>
                    <w:t>）</w:t>
                  </w:r>
                </w:p>
              </w:tc>
              <w:tc>
                <w:tcPr>
                  <w:tcW w:w="2774" w:type="dxa"/>
                  <w:tcBorders>
                    <w:tl2br w:val="nil"/>
                    <w:tr2bl w:val="nil"/>
                  </w:tcBorders>
                  <w:vAlign w:val="center"/>
                </w:tcPr>
                <w:p w14:paraId="4FD09C3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bCs/>
                      <w:color w:val="auto"/>
                      <w:kern w:val="0"/>
                      <w:sz w:val="21"/>
                      <w:szCs w:val="21"/>
                      <w:highlight w:val="none"/>
                      <w:vertAlign w:val="baseline"/>
                      <w:lang w:val="en-US" w:eastAsia="zh-CN"/>
                    </w:rPr>
                  </w:pPr>
                  <w:r>
                    <w:rPr>
                      <w:rFonts w:hint="eastAsia" w:cs="Times New Roman"/>
                      <w:b/>
                      <w:bCs/>
                      <w:color w:val="auto"/>
                      <w:kern w:val="0"/>
                      <w:sz w:val="21"/>
                      <w:szCs w:val="21"/>
                      <w:highlight w:val="none"/>
                      <w:vertAlign w:val="baseline"/>
                      <w:lang w:val="en-US" w:eastAsia="zh-CN"/>
                    </w:rPr>
                    <w:t>适用标准</w:t>
                  </w:r>
                </w:p>
              </w:tc>
            </w:tr>
            <w:tr w14:paraId="60ECB31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6" w:type="dxa"/>
                  <w:tcBorders>
                    <w:tl2br w:val="nil"/>
                    <w:tr2bl w:val="nil"/>
                  </w:tcBorders>
                  <w:vAlign w:val="center"/>
                </w:tcPr>
                <w:p w14:paraId="1B9E0D8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1</w:t>
                  </w:r>
                </w:p>
              </w:tc>
              <w:tc>
                <w:tcPr>
                  <w:tcW w:w="1740" w:type="dxa"/>
                  <w:tcBorders>
                    <w:tl2br w:val="nil"/>
                    <w:tr2bl w:val="nil"/>
                  </w:tcBorders>
                  <w:vAlign w:val="center"/>
                </w:tcPr>
                <w:p w14:paraId="262FF57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氨NH</w:t>
                  </w:r>
                  <w:r>
                    <w:rPr>
                      <w:rFonts w:hint="eastAsia" w:cs="Times New Roman"/>
                      <w:b w:val="0"/>
                      <w:bCs w:val="0"/>
                      <w:color w:val="auto"/>
                      <w:kern w:val="0"/>
                      <w:sz w:val="21"/>
                      <w:szCs w:val="21"/>
                      <w:highlight w:val="none"/>
                      <w:vertAlign w:val="subscript"/>
                      <w:lang w:val="en-US" w:eastAsia="zh-CN"/>
                    </w:rPr>
                    <w:t>3</w:t>
                  </w:r>
                </w:p>
              </w:tc>
              <w:tc>
                <w:tcPr>
                  <w:tcW w:w="2797" w:type="dxa"/>
                  <w:tcBorders>
                    <w:tl2br w:val="nil"/>
                    <w:tr2bl w:val="nil"/>
                  </w:tcBorders>
                  <w:vAlign w:val="center"/>
                </w:tcPr>
                <w:p w14:paraId="7CC13A0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0.20</w:t>
                  </w:r>
                </w:p>
              </w:tc>
              <w:tc>
                <w:tcPr>
                  <w:tcW w:w="2774" w:type="dxa"/>
                  <w:vMerge w:val="restart"/>
                  <w:tcBorders>
                    <w:tl2br w:val="nil"/>
                    <w:tr2bl w:val="nil"/>
                  </w:tcBorders>
                  <w:vAlign w:val="center"/>
                </w:tcPr>
                <w:p w14:paraId="3921EF8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北京市《大气污染物综合排放标准》（DB11/501-2017）</w:t>
                  </w:r>
                </w:p>
              </w:tc>
            </w:tr>
            <w:tr w14:paraId="486E05C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6" w:type="dxa"/>
                  <w:tcBorders>
                    <w:tl2br w:val="nil"/>
                    <w:tr2bl w:val="nil"/>
                  </w:tcBorders>
                  <w:vAlign w:val="center"/>
                </w:tcPr>
                <w:p w14:paraId="1AB2519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2</w:t>
                  </w:r>
                </w:p>
              </w:tc>
              <w:tc>
                <w:tcPr>
                  <w:tcW w:w="1740" w:type="dxa"/>
                  <w:tcBorders>
                    <w:tl2br w:val="nil"/>
                    <w:tr2bl w:val="nil"/>
                  </w:tcBorders>
                  <w:vAlign w:val="center"/>
                </w:tcPr>
                <w:p w14:paraId="64906E2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硫化氢H</w:t>
                  </w:r>
                  <w:r>
                    <w:rPr>
                      <w:rFonts w:hint="eastAsia" w:cs="Times New Roman"/>
                      <w:b w:val="0"/>
                      <w:bCs w:val="0"/>
                      <w:color w:val="auto"/>
                      <w:kern w:val="0"/>
                      <w:sz w:val="21"/>
                      <w:szCs w:val="21"/>
                      <w:highlight w:val="none"/>
                      <w:vertAlign w:val="subscript"/>
                      <w:lang w:val="en-US" w:eastAsia="zh-CN"/>
                    </w:rPr>
                    <w:t>2</w:t>
                  </w:r>
                  <w:r>
                    <w:rPr>
                      <w:rFonts w:hint="eastAsia" w:cs="Times New Roman"/>
                      <w:b w:val="0"/>
                      <w:bCs w:val="0"/>
                      <w:color w:val="auto"/>
                      <w:kern w:val="0"/>
                      <w:sz w:val="21"/>
                      <w:szCs w:val="21"/>
                      <w:highlight w:val="none"/>
                      <w:vertAlign w:val="baseline"/>
                      <w:lang w:val="en-US" w:eastAsia="zh-CN"/>
                    </w:rPr>
                    <w:t>S</w:t>
                  </w:r>
                </w:p>
              </w:tc>
              <w:tc>
                <w:tcPr>
                  <w:tcW w:w="2797" w:type="dxa"/>
                  <w:tcBorders>
                    <w:tl2br w:val="nil"/>
                    <w:tr2bl w:val="nil"/>
                  </w:tcBorders>
                  <w:vAlign w:val="center"/>
                </w:tcPr>
                <w:p w14:paraId="790B519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0.01</w:t>
                  </w:r>
                </w:p>
              </w:tc>
              <w:tc>
                <w:tcPr>
                  <w:tcW w:w="2774" w:type="dxa"/>
                  <w:vMerge w:val="continue"/>
                  <w:tcBorders>
                    <w:tl2br w:val="nil"/>
                    <w:tr2bl w:val="nil"/>
                  </w:tcBorders>
                  <w:vAlign w:val="center"/>
                </w:tcPr>
                <w:p w14:paraId="7111B48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s="Times New Roman"/>
                      <w:b w:val="0"/>
                      <w:bCs w:val="0"/>
                      <w:color w:val="auto"/>
                      <w:kern w:val="0"/>
                      <w:sz w:val="21"/>
                      <w:szCs w:val="21"/>
                      <w:highlight w:val="none"/>
                      <w:vertAlign w:val="baseline"/>
                      <w:lang w:val="en-US" w:eastAsia="zh-CN"/>
                    </w:rPr>
                  </w:pPr>
                </w:p>
              </w:tc>
            </w:tr>
            <w:tr w14:paraId="446EA63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6" w:type="dxa"/>
                  <w:tcBorders>
                    <w:tl2br w:val="nil"/>
                    <w:tr2bl w:val="nil"/>
                  </w:tcBorders>
                  <w:vAlign w:val="center"/>
                </w:tcPr>
                <w:p w14:paraId="4A92AD4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bCs/>
                      <w:color w:val="auto"/>
                      <w:kern w:val="0"/>
                      <w:sz w:val="21"/>
                      <w:szCs w:val="21"/>
                      <w:highlight w:val="none"/>
                      <w:vertAlign w:val="baseline"/>
                      <w:lang w:val="en-US" w:eastAsia="zh-CN"/>
                    </w:rPr>
                  </w:pPr>
                  <w:r>
                    <w:rPr>
                      <w:rFonts w:hint="eastAsia" w:cs="Times New Roman"/>
                      <w:b/>
                      <w:bCs/>
                      <w:color w:val="auto"/>
                      <w:kern w:val="0"/>
                      <w:sz w:val="21"/>
                      <w:szCs w:val="21"/>
                      <w:highlight w:val="none"/>
                      <w:vertAlign w:val="baseline"/>
                      <w:lang w:val="en-US" w:eastAsia="zh-CN"/>
                    </w:rPr>
                    <w:t>序号</w:t>
                  </w:r>
                </w:p>
              </w:tc>
              <w:tc>
                <w:tcPr>
                  <w:tcW w:w="1740" w:type="dxa"/>
                  <w:tcBorders>
                    <w:tl2br w:val="nil"/>
                    <w:tr2bl w:val="nil"/>
                  </w:tcBorders>
                  <w:vAlign w:val="center"/>
                </w:tcPr>
                <w:p w14:paraId="73B0D95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bCs/>
                      <w:color w:val="auto"/>
                      <w:kern w:val="0"/>
                      <w:sz w:val="21"/>
                      <w:szCs w:val="21"/>
                      <w:highlight w:val="none"/>
                      <w:vertAlign w:val="baseline"/>
                      <w:lang w:val="en-US" w:eastAsia="zh-CN"/>
                    </w:rPr>
                  </w:pPr>
                  <w:r>
                    <w:rPr>
                      <w:rFonts w:hint="eastAsia" w:cs="Times New Roman"/>
                      <w:b/>
                      <w:bCs/>
                      <w:color w:val="auto"/>
                      <w:kern w:val="0"/>
                      <w:sz w:val="21"/>
                      <w:szCs w:val="21"/>
                      <w:highlight w:val="none"/>
                      <w:vertAlign w:val="baseline"/>
                      <w:lang w:val="en-US" w:eastAsia="zh-CN"/>
                    </w:rPr>
                    <w:t>污染物</w:t>
                  </w:r>
                </w:p>
              </w:tc>
              <w:tc>
                <w:tcPr>
                  <w:tcW w:w="2797" w:type="dxa"/>
                  <w:tcBorders>
                    <w:tl2br w:val="nil"/>
                    <w:tr2bl w:val="nil"/>
                  </w:tcBorders>
                  <w:vAlign w:val="center"/>
                </w:tcPr>
                <w:p w14:paraId="717D156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bCs/>
                      <w:color w:val="auto"/>
                      <w:kern w:val="0"/>
                      <w:sz w:val="21"/>
                      <w:szCs w:val="21"/>
                      <w:highlight w:val="none"/>
                      <w:vertAlign w:val="baseline"/>
                      <w:lang w:val="en-US" w:eastAsia="zh-CN"/>
                    </w:rPr>
                  </w:pPr>
                  <w:r>
                    <w:rPr>
                      <w:rFonts w:hint="eastAsia" w:cs="Times New Roman"/>
                      <w:b/>
                      <w:bCs/>
                      <w:color w:val="auto"/>
                      <w:kern w:val="0"/>
                      <w:sz w:val="21"/>
                      <w:szCs w:val="21"/>
                      <w:highlight w:val="none"/>
                      <w:vertAlign w:val="baseline"/>
                      <w:lang w:val="en-US" w:eastAsia="zh-CN"/>
                    </w:rPr>
                    <w:t>污水处理设施周边大气污染物最高允许浓度（mg/m</w:t>
                  </w:r>
                  <w:r>
                    <w:rPr>
                      <w:rFonts w:hint="eastAsia" w:cs="Times New Roman"/>
                      <w:b/>
                      <w:bCs/>
                      <w:color w:val="auto"/>
                      <w:kern w:val="0"/>
                      <w:sz w:val="21"/>
                      <w:szCs w:val="21"/>
                      <w:highlight w:val="none"/>
                      <w:vertAlign w:val="superscript"/>
                      <w:lang w:val="en-US" w:eastAsia="zh-CN"/>
                    </w:rPr>
                    <w:t>3</w:t>
                  </w:r>
                  <w:r>
                    <w:rPr>
                      <w:rFonts w:hint="eastAsia" w:cs="Times New Roman"/>
                      <w:b/>
                      <w:bCs/>
                      <w:color w:val="auto"/>
                      <w:kern w:val="0"/>
                      <w:sz w:val="21"/>
                      <w:szCs w:val="21"/>
                      <w:highlight w:val="none"/>
                      <w:vertAlign w:val="baseline"/>
                      <w:lang w:val="en-US" w:eastAsia="zh-CN"/>
                    </w:rPr>
                    <w:t>）</w:t>
                  </w:r>
                </w:p>
              </w:tc>
              <w:tc>
                <w:tcPr>
                  <w:tcW w:w="2774" w:type="dxa"/>
                  <w:tcBorders>
                    <w:tl2br w:val="nil"/>
                    <w:tr2bl w:val="nil"/>
                  </w:tcBorders>
                  <w:vAlign w:val="center"/>
                </w:tcPr>
                <w:p w14:paraId="6C57AA2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s="Times New Roman"/>
                      <w:b/>
                      <w:bCs/>
                      <w:color w:val="auto"/>
                      <w:kern w:val="0"/>
                      <w:sz w:val="21"/>
                      <w:szCs w:val="21"/>
                      <w:highlight w:val="none"/>
                      <w:vertAlign w:val="baseline"/>
                      <w:lang w:val="en-US" w:eastAsia="zh-CN"/>
                    </w:rPr>
                  </w:pPr>
                  <w:r>
                    <w:rPr>
                      <w:rFonts w:hint="eastAsia" w:cs="Times New Roman"/>
                      <w:b/>
                      <w:bCs/>
                      <w:color w:val="auto"/>
                      <w:kern w:val="0"/>
                      <w:sz w:val="21"/>
                      <w:szCs w:val="21"/>
                      <w:highlight w:val="none"/>
                      <w:vertAlign w:val="baseline"/>
                      <w:lang w:val="en-US" w:eastAsia="zh-CN"/>
                    </w:rPr>
                    <w:t>适用标准</w:t>
                  </w:r>
                </w:p>
              </w:tc>
            </w:tr>
            <w:tr w14:paraId="1D5625C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6" w:type="dxa"/>
                  <w:tcBorders>
                    <w:tl2br w:val="nil"/>
                    <w:tr2bl w:val="nil"/>
                  </w:tcBorders>
                  <w:vAlign w:val="center"/>
                </w:tcPr>
                <w:p w14:paraId="4499308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1</w:t>
                  </w:r>
                </w:p>
              </w:tc>
              <w:tc>
                <w:tcPr>
                  <w:tcW w:w="1740" w:type="dxa"/>
                  <w:tcBorders>
                    <w:tl2br w:val="nil"/>
                    <w:tr2bl w:val="nil"/>
                  </w:tcBorders>
                  <w:vAlign w:val="center"/>
                </w:tcPr>
                <w:p w14:paraId="45E11A3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臭气浓度</w:t>
                  </w:r>
                </w:p>
              </w:tc>
              <w:tc>
                <w:tcPr>
                  <w:tcW w:w="2797" w:type="dxa"/>
                  <w:tcBorders>
                    <w:tl2br w:val="nil"/>
                    <w:tr2bl w:val="nil"/>
                  </w:tcBorders>
                  <w:vAlign w:val="center"/>
                </w:tcPr>
                <w:p w14:paraId="2F7F69E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10</w:t>
                  </w:r>
                </w:p>
              </w:tc>
              <w:tc>
                <w:tcPr>
                  <w:tcW w:w="2774" w:type="dxa"/>
                  <w:tcBorders>
                    <w:tl2br w:val="nil"/>
                    <w:tr2bl w:val="nil"/>
                  </w:tcBorders>
                  <w:vAlign w:val="center"/>
                </w:tcPr>
                <w:p w14:paraId="1CE9068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《医疗机构水污染物排放标准》（GB18466-2005）</w:t>
                  </w:r>
                </w:p>
              </w:tc>
            </w:tr>
          </w:tbl>
          <w:p w14:paraId="47DA5F2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b w:val="0"/>
                <w:bCs w:val="0"/>
                <w:color w:val="auto"/>
                <w:kern w:val="0"/>
                <w:sz w:val="24"/>
                <w:szCs w:val="24"/>
                <w:highlight w:val="none"/>
                <w:lang w:val="en-US" w:eastAsia="zh-CN"/>
              </w:rPr>
            </w:pPr>
            <w:r>
              <w:rPr>
                <w:rFonts w:hint="eastAsia" w:cs="Times New Roman"/>
                <w:b w:val="0"/>
                <w:bCs w:val="0"/>
                <w:color w:val="auto"/>
                <w:kern w:val="0"/>
                <w:sz w:val="24"/>
                <w:szCs w:val="24"/>
                <w:highlight w:val="none"/>
                <w:lang w:val="en-US" w:eastAsia="zh-CN"/>
              </w:rPr>
              <w:t>2、水污染物排放标准</w:t>
            </w:r>
          </w:p>
          <w:p w14:paraId="60D61F3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cs="Times New Roman"/>
                <w:b w:val="0"/>
                <w:bCs w:val="0"/>
                <w:color w:val="auto"/>
                <w:kern w:val="0"/>
                <w:sz w:val="24"/>
                <w:szCs w:val="24"/>
                <w:highlight w:val="none"/>
                <w:lang w:val="en-US" w:eastAsia="zh-CN"/>
              </w:rPr>
            </w:pPr>
            <w:r>
              <w:rPr>
                <w:rFonts w:hint="eastAsia" w:cs="Times New Roman"/>
                <w:b w:val="0"/>
                <w:bCs w:val="0"/>
                <w:color w:val="auto"/>
                <w:kern w:val="0"/>
                <w:sz w:val="24"/>
                <w:szCs w:val="24"/>
                <w:highlight w:val="none"/>
                <w:lang w:val="en-US" w:eastAsia="zh-CN"/>
              </w:rPr>
              <w:t>本项目排水包括病房废水、门诊废水、行政人员生活废水、卫生清扫废水等。全部废水均作为医疗废水。本项目床位数量为20张，废水排放执行国家《医疗机构水污染物排放标准》（GB18466-2005）中4.1.2项规定：“县级及县级以上或20张床位及以上的综合医疗机构和其他医疗机构污水排放执行表2的规定。直接或间接排入地表水体和海域的污水执行排放标准，排入终端已建有正常运行城镇二级污水处理厂的下水道的污水，执行预处理标准”。</w:t>
            </w:r>
          </w:p>
          <w:p w14:paraId="024E1C5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cs="Times New Roman"/>
                <w:b w:val="0"/>
                <w:bCs w:val="0"/>
                <w:color w:val="auto"/>
                <w:kern w:val="0"/>
                <w:sz w:val="24"/>
                <w:szCs w:val="24"/>
                <w:highlight w:val="none"/>
                <w:lang w:val="en-US" w:eastAsia="zh-CN"/>
              </w:rPr>
            </w:pPr>
            <w:r>
              <w:rPr>
                <w:rFonts w:hint="eastAsia" w:cs="Times New Roman"/>
                <w:b w:val="0"/>
                <w:bCs w:val="0"/>
                <w:color w:val="auto"/>
                <w:kern w:val="0"/>
                <w:sz w:val="24"/>
                <w:szCs w:val="24"/>
                <w:highlight w:val="none"/>
                <w:lang w:val="en-US" w:eastAsia="zh-CN"/>
              </w:rPr>
              <w:t>本项目全部废水排入自建的污水处理设施处理后经市政污水管网汇入清河再生水厂，故执行预处理排放标准限值。</w:t>
            </w:r>
          </w:p>
          <w:p w14:paraId="0A791B6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cs="Times New Roman"/>
                <w:b w:val="0"/>
                <w:bCs w:val="0"/>
                <w:color w:val="auto"/>
                <w:kern w:val="0"/>
                <w:sz w:val="24"/>
                <w:szCs w:val="24"/>
                <w:highlight w:val="none"/>
                <w:lang w:val="en-US" w:eastAsia="zh-CN"/>
              </w:rPr>
            </w:pPr>
            <w:r>
              <w:rPr>
                <w:rFonts w:hint="eastAsia" w:cs="Times New Roman"/>
                <w:b w:val="0"/>
                <w:bCs w:val="0"/>
                <w:color w:val="auto"/>
                <w:kern w:val="0"/>
                <w:sz w:val="24"/>
                <w:szCs w:val="24"/>
                <w:highlight w:val="none"/>
                <w:lang w:val="en-US" w:eastAsia="zh-CN"/>
              </w:rPr>
              <w:t>项目废水中氨氮排放执行北京市《水污染物综合排放标准》（DB11/307-2013）中表3“排入公共污水处理系统的水污染物限值”要求。</w:t>
            </w:r>
          </w:p>
          <w:p w14:paraId="4933FFD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0" w:firstLineChars="0"/>
              <w:jc w:val="center"/>
              <w:textAlignment w:val="auto"/>
              <w:rPr>
                <w:rFonts w:hint="default" w:ascii="Times New Roman" w:hAnsi="Times New Roman" w:eastAsia="宋体" w:cs="Times New Roman"/>
                <w:b w:val="0"/>
                <w:bCs w:val="0"/>
                <w:color w:val="auto"/>
                <w:kern w:val="0"/>
                <w:sz w:val="24"/>
                <w:szCs w:val="24"/>
                <w:highlight w:val="none"/>
                <w:lang w:val="en-US" w:eastAsia="zh-CN"/>
              </w:rPr>
            </w:pPr>
            <w:r>
              <w:rPr>
                <w:rFonts w:hint="eastAsia" w:cs="Times New Roman"/>
                <w:b/>
                <w:bCs/>
                <w:color w:val="auto"/>
                <w:kern w:val="0"/>
                <w:sz w:val="21"/>
                <w:szCs w:val="21"/>
                <w:highlight w:val="none"/>
                <w:lang w:val="en-US" w:eastAsia="zh-CN"/>
              </w:rPr>
              <w:t>表3-6 水污染物排放标准限值</w:t>
            </w:r>
          </w:p>
          <w:tbl>
            <w:tblPr>
              <w:tblStyle w:val="13"/>
              <w:tblW w:w="8212"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88"/>
              <w:gridCol w:w="3030"/>
              <w:gridCol w:w="1065"/>
              <w:gridCol w:w="3429"/>
            </w:tblGrid>
            <w:tr w14:paraId="306E292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8" w:type="dxa"/>
                  <w:tcBorders>
                    <w:tl2br w:val="nil"/>
                    <w:tr2bl w:val="nil"/>
                  </w:tcBorders>
                  <w:vAlign w:val="center"/>
                </w:tcPr>
                <w:p w14:paraId="65D0489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b/>
                      <w:bCs/>
                      <w:color w:val="auto"/>
                      <w:kern w:val="0"/>
                      <w:sz w:val="21"/>
                      <w:szCs w:val="21"/>
                      <w:highlight w:val="none"/>
                      <w:vertAlign w:val="baseline"/>
                      <w:lang w:val="en-US" w:eastAsia="zh-CN"/>
                    </w:rPr>
                  </w:pPr>
                  <w:r>
                    <w:rPr>
                      <w:rFonts w:hint="eastAsia" w:cs="Times New Roman"/>
                      <w:b/>
                      <w:bCs/>
                      <w:color w:val="auto"/>
                      <w:kern w:val="0"/>
                      <w:sz w:val="21"/>
                      <w:szCs w:val="21"/>
                      <w:highlight w:val="none"/>
                      <w:vertAlign w:val="baseline"/>
                      <w:lang w:val="en-US" w:eastAsia="zh-CN"/>
                    </w:rPr>
                    <w:t>序号</w:t>
                  </w:r>
                </w:p>
              </w:tc>
              <w:tc>
                <w:tcPr>
                  <w:tcW w:w="3030" w:type="dxa"/>
                  <w:tcBorders>
                    <w:tl2br w:val="nil"/>
                    <w:tr2bl w:val="nil"/>
                  </w:tcBorders>
                  <w:vAlign w:val="center"/>
                </w:tcPr>
                <w:p w14:paraId="7B9C310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kern w:val="0"/>
                      <w:sz w:val="21"/>
                      <w:szCs w:val="21"/>
                      <w:highlight w:val="none"/>
                      <w:vertAlign w:val="baseline"/>
                      <w:lang w:val="en-US" w:eastAsia="zh-CN"/>
                    </w:rPr>
                  </w:pPr>
                  <w:r>
                    <w:rPr>
                      <w:rFonts w:hint="eastAsia" w:cs="Times New Roman"/>
                      <w:b/>
                      <w:bCs/>
                      <w:color w:val="auto"/>
                      <w:kern w:val="0"/>
                      <w:sz w:val="21"/>
                      <w:szCs w:val="21"/>
                      <w:highlight w:val="none"/>
                      <w:vertAlign w:val="baseline"/>
                      <w:lang w:val="en-US" w:eastAsia="zh-CN"/>
                    </w:rPr>
                    <w:t>污染物项目</w:t>
                  </w:r>
                </w:p>
              </w:tc>
              <w:tc>
                <w:tcPr>
                  <w:tcW w:w="1065" w:type="dxa"/>
                  <w:tcBorders>
                    <w:tl2br w:val="nil"/>
                    <w:tr2bl w:val="nil"/>
                  </w:tcBorders>
                  <w:vAlign w:val="center"/>
                </w:tcPr>
                <w:p w14:paraId="6F0D3A7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kern w:val="0"/>
                      <w:sz w:val="21"/>
                      <w:szCs w:val="21"/>
                      <w:highlight w:val="none"/>
                      <w:vertAlign w:val="baseline"/>
                      <w:lang w:val="en-US" w:eastAsia="zh-CN"/>
                    </w:rPr>
                  </w:pPr>
                  <w:r>
                    <w:rPr>
                      <w:rFonts w:hint="eastAsia" w:cs="Times New Roman"/>
                      <w:b/>
                      <w:bCs/>
                      <w:color w:val="auto"/>
                      <w:kern w:val="0"/>
                      <w:sz w:val="21"/>
                      <w:szCs w:val="21"/>
                      <w:highlight w:val="none"/>
                      <w:vertAlign w:val="baseline"/>
                      <w:lang w:val="en-US" w:eastAsia="zh-CN"/>
                    </w:rPr>
                    <w:t>标准限值</w:t>
                  </w:r>
                </w:p>
              </w:tc>
              <w:tc>
                <w:tcPr>
                  <w:tcW w:w="3429" w:type="dxa"/>
                  <w:tcBorders>
                    <w:tl2br w:val="nil"/>
                    <w:tr2bl w:val="nil"/>
                  </w:tcBorders>
                  <w:vAlign w:val="center"/>
                </w:tcPr>
                <w:p w14:paraId="4D160E3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b/>
                      <w:bCs/>
                      <w:color w:val="auto"/>
                      <w:kern w:val="0"/>
                      <w:sz w:val="21"/>
                      <w:szCs w:val="21"/>
                      <w:highlight w:val="none"/>
                      <w:vertAlign w:val="baseline"/>
                      <w:lang w:val="en-US" w:eastAsia="zh-CN"/>
                    </w:rPr>
                  </w:pPr>
                  <w:r>
                    <w:rPr>
                      <w:rFonts w:hint="eastAsia" w:cs="Times New Roman"/>
                      <w:b/>
                      <w:bCs/>
                      <w:color w:val="auto"/>
                      <w:kern w:val="0"/>
                      <w:sz w:val="21"/>
                      <w:szCs w:val="21"/>
                      <w:highlight w:val="none"/>
                      <w:vertAlign w:val="baseline"/>
                      <w:lang w:val="en-US" w:eastAsia="zh-CN"/>
                    </w:rPr>
                    <w:t>标准来源</w:t>
                  </w:r>
                </w:p>
              </w:tc>
            </w:tr>
            <w:tr w14:paraId="050395E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8" w:type="dxa"/>
                  <w:tcBorders>
                    <w:tl2br w:val="nil"/>
                    <w:tr2bl w:val="nil"/>
                  </w:tcBorders>
                  <w:vAlign w:val="center"/>
                </w:tcPr>
                <w:p w14:paraId="1D208D4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1</w:t>
                  </w:r>
                </w:p>
              </w:tc>
              <w:tc>
                <w:tcPr>
                  <w:tcW w:w="3030" w:type="dxa"/>
                  <w:tcBorders>
                    <w:tl2br w:val="nil"/>
                    <w:tr2bl w:val="nil"/>
                  </w:tcBorders>
                  <w:vAlign w:val="center"/>
                </w:tcPr>
                <w:p w14:paraId="100FD6B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pH值（无量纲）</w:t>
                  </w:r>
                </w:p>
              </w:tc>
              <w:tc>
                <w:tcPr>
                  <w:tcW w:w="1065" w:type="dxa"/>
                  <w:tcBorders>
                    <w:tl2br w:val="nil"/>
                    <w:tr2bl w:val="nil"/>
                  </w:tcBorders>
                  <w:vAlign w:val="center"/>
                </w:tcPr>
                <w:p w14:paraId="49B1001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6~9</w:t>
                  </w:r>
                </w:p>
              </w:tc>
              <w:tc>
                <w:tcPr>
                  <w:tcW w:w="3429" w:type="dxa"/>
                  <w:vMerge w:val="restart"/>
                  <w:tcBorders>
                    <w:tl2br w:val="nil"/>
                    <w:tr2bl w:val="nil"/>
                  </w:tcBorders>
                  <w:vAlign w:val="center"/>
                </w:tcPr>
                <w:p w14:paraId="0343A34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rPr>
                  </w:pPr>
                  <w:r>
                    <w:rPr>
                      <w:rFonts w:hint="default" w:ascii="Times New Roman" w:hAnsi="Times New Roman" w:eastAsia="宋体" w:cs="Times New Roman"/>
                      <w:b w:val="0"/>
                      <w:bCs w:val="0"/>
                      <w:color w:val="auto"/>
                      <w:kern w:val="0"/>
                      <w:sz w:val="21"/>
                      <w:szCs w:val="21"/>
                      <w:highlight w:val="none"/>
                      <w:vertAlign w:val="baseline"/>
                      <w:lang w:val="en-US" w:eastAsia="zh-CN"/>
                    </w:rPr>
                    <w:t>《医疗机构水污染物排放标准》（GB18466-2005）</w:t>
                  </w:r>
                </w:p>
                <w:p w14:paraId="2BA4B58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表2综合医疗机构和其他医疗机构水污染物排放限值（日均值）中预处理标准</w:t>
                  </w:r>
                </w:p>
              </w:tc>
            </w:tr>
            <w:tr w14:paraId="6594AFC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8" w:type="dxa"/>
                  <w:tcBorders>
                    <w:tl2br w:val="nil"/>
                    <w:tr2bl w:val="nil"/>
                  </w:tcBorders>
                  <w:vAlign w:val="center"/>
                </w:tcPr>
                <w:p w14:paraId="18EBE6E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2</w:t>
                  </w:r>
                </w:p>
              </w:tc>
              <w:tc>
                <w:tcPr>
                  <w:tcW w:w="3030" w:type="dxa"/>
                  <w:tcBorders>
                    <w:tl2br w:val="nil"/>
                    <w:tr2bl w:val="nil"/>
                  </w:tcBorders>
                  <w:vAlign w:val="center"/>
                </w:tcPr>
                <w:p w14:paraId="3CEECC6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BOD浓度/（mg/L）</w:t>
                  </w:r>
                </w:p>
                <w:p w14:paraId="02D06C7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最高允许排放负荷/[g/(床位</w:t>
                  </w:r>
                  <w:r>
                    <w:rPr>
                      <w:rFonts w:hint="default" w:ascii="Times New Roman" w:hAnsi="Times New Roman" w:cs="Times New Roman"/>
                      <w:b w:val="0"/>
                      <w:bCs w:val="0"/>
                      <w:color w:val="auto"/>
                      <w:kern w:val="0"/>
                      <w:sz w:val="21"/>
                      <w:szCs w:val="21"/>
                      <w:highlight w:val="none"/>
                      <w:vertAlign w:val="baseline"/>
                      <w:lang w:val="en-US" w:eastAsia="zh-CN"/>
                    </w:rPr>
                    <w:t>·</w:t>
                  </w:r>
                  <w:r>
                    <w:rPr>
                      <w:rFonts w:hint="eastAsia" w:cs="Times New Roman"/>
                      <w:b w:val="0"/>
                      <w:bCs w:val="0"/>
                      <w:color w:val="auto"/>
                      <w:kern w:val="0"/>
                      <w:sz w:val="21"/>
                      <w:szCs w:val="21"/>
                      <w:highlight w:val="none"/>
                      <w:vertAlign w:val="baseline"/>
                      <w:lang w:val="en-US" w:eastAsia="zh-CN"/>
                    </w:rPr>
                    <w:t>d)]</w:t>
                  </w:r>
                </w:p>
              </w:tc>
              <w:tc>
                <w:tcPr>
                  <w:tcW w:w="1065" w:type="dxa"/>
                  <w:tcBorders>
                    <w:tl2br w:val="nil"/>
                    <w:tr2bl w:val="nil"/>
                  </w:tcBorders>
                  <w:vAlign w:val="center"/>
                </w:tcPr>
                <w:p w14:paraId="16ADDF5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100</w:t>
                  </w:r>
                </w:p>
                <w:p w14:paraId="7927A57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100</w:t>
                  </w:r>
                </w:p>
              </w:tc>
              <w:tc>
                <w:tcPr>
                  <w:tcW w:w="3429" w:type="dxa"/>
                  <w:vMerge w:val="continue"/>
                  <w:tcBorders>
                    <w:tl2br w:val="nil"/>
                    <w:tr2bl w:val="nil"/>
                  </w:tcBorders>
                  <w:vAlign w:val="center"/>
                </w:tcPr>
                <w:p w14:paraId="6D631EC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rPr>
                  </w:pPr>
                </w:p>
              </w:tc>
            </w:tr>
            <w:tr w14:paraId="73D8226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8" w:type="dxa"/>
                  <w:tcBorders>
                    <w:tl2br w:val="nil"/>
                    <w:tr2bl w:val="nil"/>
                  </w:tcBorders>
                  <w:vAlign w:val="center"/>
                </w:tcPr>
                <w:p w14:paraId="39AD890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3</w:t>
                  </w:r>
                </w:p>
              </w:tc>
              <w:tc>
                <w:tcPr>
                  <w:tcW w:w="3030" w:type="dxa"/>
                  <w:tcBorders>
                    <w:tl2br w:val="nil"/>
                    <w:tr2bl w:val="nil"/>
                  </w:tcBorders>
                  <w:vAlign w:val="center"/>
                </w:tcPr>
                <w:p w14:paraId="2E566C9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s="Times New Roman"/>
                      <w:b w:val="0"/>
                      <w:bCs w:val="0"/>
                      <w:color w:val="auto"/>
                      <w:kern w:val="0"/>
                      <w:sz w:val="21"/>
                      <w:szCs w:val="21"/>
                      <w:highlight w:val="none"/>
                      <w:vertAlign w:val="baseline"/>
                      <w:lang w:val="en-US" w:eastAsia="zh-CN"/>
                    </w:rPr>
                  </w:pPr>
                  <w:r>
                    <w:rPr>
                      <w:rFonts w:hint="default" w:ascii="Times New Roman" w:hAnsi="Times New Roman" w:eastAsia="宋体" w:cs="Times New Roman"/>
                      <w:b w:val="0"/>
                      <w:bCs w:val="0"/>
                      <w:color w:val="auto"/>
                      <w:kern w:val="0"/>
                      <w:sz w:val="21"/>
                      <w:szCs w:val="21"/>
                      <w:highlight w:val="none"/>
                      <w:vertAlign w:val="baseline"/>
                      <w:lang w:val="en-US" w:eastAsia="zh-CN"/>
                    </w:rPr>
                    <w:t>COD</w:t>
                  </w:r>
                  <w:r>
                    <w:rPr>
                      <w:rFonts w:hint="eastAsia" w:cs="Times New Roman"/>
                      <w:b w:val="0"/>
                      <w:bCs w:val="0"/>
                      <w:color w:val="auto"/>
                      <w:kern w:val="0"/>
                      <w:sz w:val="21"/>
                      <w:szCs w:val="21"/>
                      <w:highlight w:val="none"/>
                      <w:vertAlign w:val="baseline"/>
                      <w:lang w:val="en-US" w:eastAsia="zh-CN"/>
                    </w:rPr>
                    <w:t>cr浓度/（mg/L）</w:t>
                  </w:r>
                </w:p>
                <w:p w14:paraId="20239A9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最高允许排放负荷/[g/(床位</w:t>
                  </w:r>
                  <w:r>
                    <w:rPr>
                      <w:rFonts w:hint="default" w:ascii="Times New Roman" w:hAnsi="Times New Roman" w:cs="Times New Roman"/>
                      <w:b w:val="0"/>
                      <w:bCs w:val="0"/>
                      <w:color w:val="auto"/>
                      <w:kern w:val="0"/>
                      <w:sz w:val="21"/>
                      <w:szCs w:val="21"/>
                      <w:highlight w:val="none"/>
                      <w:vertAlign w:val="baseline"/>
                      <w:lang w:val="en-US" w:eastAsia="zh-CN"/>
                    </w:rPr>
                    <w:t>·</w:t>
                  </w:r>
                  <w:r>
                    <w:rPr>
                      <w:rFonts w:hint="eastAsia" w:cs="Times New Roman"/>
                      <w:b w:val="0"/>
                      <w:bCs w:val="0"/>
                      <w:color w:val="auto"/>
                      <w:kern w:val="0"/>
                      <w:sz w:val="21"/>
                      <w:szCs w:val="21"/>
                      <w:highlight w:val="none"/>
                      <w:vertAlign w:val="baseline"/>
                      <w:lang w:val="en-US" w:eastAsia="zh-CN"/>
                    </w:rPr>
                    <w:t>d)]</w:t>
                  </w:r>
                </w:p>
              </w:tc>
              <w:tc>
                <w:tcPr>
                  <w:tcW w:w="1065" w:type="dxa"/>
                  <w:tcBorders>
                    <w:tl2br w:val="nil"/>
                    <w:tr2bl w:val="nil"/>
                  </w:tcBorders>
                  <w:vAlign w:val="center"/>
                </w:tcPr>
                <w:p w14:paraId="022071D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250</w:t>
                  </w:r>
                </w:p>
                <w:p w14:paraId="476A253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250</w:t>
                  </w:r>
                </w:p>
              </w:tc>
              <w:tc>
                <w:tcPr>
                  <w:tcW w:w="3429" w:type="dxa"/>
                  <w:vMerge w:val="continue"/>
                  <w:tcBorders>
                    <w:tl2br w:val="nil"/>
                    <w:tr2bl w:val="nil"/>
                  </w:tcBorders>
                  <w:vAlign w:val="center"/>
                </w:tcPr>
                <w:p w14:paraId="09409BC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rPr>
                  </w:pPr>
                </w:p>
              </w:tc>
            </w:tr>
            <w:tr w14:paraId="0BE648C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8" w:type="dxa"/>
                  <w:tcBorders>
                    <w:tl2br w:val="nil"/>
                    <w:tr2bl w:val="nil"/>
                  </w:tcBorders>
                  <w:vAlign w:val="center"/>
                </w:tcPr>
                <w:p w14:paraId="3624047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4</w:t>
                  </w:r>
                </w:p>
              </w:tc>
              <w:tc>
                <w:tcPr>
                  <w:tcW w:w="3030" w:type="dxa"/>
                  <w:tcBorders>
                    <w:tl2br w:val="nil"/>
                    <w:tr2bl w:val="nil"/>
                  </w:tcBorders>
                  <w:vAlign w:val="center"/>
                </w:tcPr>
                <w:p w14:paraId="4CFB8F5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b w:val="0"/>
                      <w:bCs w:val="0"/>
                      <w:color w:val="auto"/>
                      <w:kern w:val="0"/>
                      <w:sz w:val="21"/>
                      <w:szCs w:val="21"/>
                      <w:highlight w:val="none"/>
                      <w:vertAlign w:val="baseline"/>
                      <w:lang w:val="en-US" w:eastAsia="zh-CN"/>
                    </w:rPr>
                  </w:pPr>
                  <w:r>
                    <w:rPr>
                      <w:rFonts w:hint="eastAsia" w:ascii="Times New Roman" w:hAnsi="Times New Roman" w:eastAsia="宋体" w:cs="Times New Roman"/>
                      <w:b w:val="0"/>
                      <w:bCs w:val="0"/>
                      <w:color w:val="auto"/>
                      <w:kern w:val="0"/>
                      <w:sz w:val="21"/>
                      <w:szCs w:val="21"/>
                      <w:highlight w:val="none"/>
                      <w:vertAlign w:val="baseline"/>
                      <w:lang w:val="en-US" w:eastAsia="zh-CN"/>
                    </w:rPr>
                    <w:t>SS浓度/（mg/L）</w:t>
                  </w:r>
                </w:p>
                <w:p w14:paraId="3FCE76E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b w:val="0"/>
                      <w:bCs w:val="0"/>
                      <w:color w:val="auto"/>
                      <w:kern w:val="0"/>
                      <w:sz w:val="21"/>
                      <w:szCs w:val="21"/>
                      <w:highlight w:val="none"/>
                      <w:vertAlign w:val="baseline"/>
                      <w:lang w:val="en-US" w:eastAsia="zh-CN"/>
                    </w:rPr>
                  </w:pPr>
                  <w:r>
                    <w:rPr>
                      <w:rFonts w:hint="eastAsia" w:ascii="Times New Roman" w:hAnsi="Times New Roman" w:eastAsia="宋体" w:cs="Times New Roman"/>
                      <w:b w:val="0"/>
                      <w:bCs w:val="0"/>
                      <w:color w:val="auto"/>
                      <w:kern w:val="0"/>
                      <w:sz w:val="21"/>
                      <w:szCs w:val="21"/>
                      <w:highlight w:val="none"/>
                      <w:vertAlign w:val="baseline"/>
                      <w:lang w:val="en-US" w:eastAsia="zh-CN"/>
                    </w:rPr>
                    <w:t>最高允许排放负荷/[g/(床位·d)]</w:t>
                  </w:r>
                </w:p>
              </w:tc>
              <w:tc>
                <w:tcPr>
                  <w:tcW w:w="1065" w:type="dxa"/>
                  <w:tcBorders>
                    <w:tl2br w:val="nil"/>
                    <w:tr2bl w:val="nil"/>
                  </w:tcBorders>
                  <w:vAlign w:val="center"/>
                </w:tcPr>
                <w:p w14:paraId="43BC93D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60</w:t>
                  </w:r>
                </w:p>
                <w:p w14:paraId="3C05FB1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60</w:t>
                  </w:r>
                </w:p>
              </w:tc>
              <w:tc>
                <w:tcPr>
                  <w:tcW w:w="3429" w:type="dxa"/>
                  <w:vMerge w:val="continue"/>
                  <w:tcBorders>
                    <w:tl2br w:val="nil"/>
                    <w:tr2bl w:val="nil"/>
                  </w:tcBorders>
                  <w:vAlign w:val="center"/>
                </w:tcPr>
                <w:p w14:paraId="64CF6E1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rPr>
                  </w:pPr>
                </w:p>
              </w:tc>
            </w:tr>
            <w:tr w14:paraId="0E7C998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8" w:type="dxa"/>
                  <w:tcBorders>
                    <w:tl2br w:val="nil"/>
                    <w:tr2bl w:val="nil"/>
                  </w:tcBorders>
                  <w:vAlign w:val="center"/>
                </w:tcPr>
                <w:p w14:paraId="3F75774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5</w:t>
                  </w:r>
                </w:p>
              </w:tc>
              <w:tc>
                <w:tcPr>
                  <w:tcW w:w="3030" w:type="dxa"/>
                  <w:tcBorders>
                    <w:tl2br w:val="nil"/>
                    <w:tr2bl w:val="nil"/>
                  </w:tcBorders>
                  <w:vAlign w:val="center"/>
                </w:tcPr>
                <w:p w14:paraId="44B66EF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rPr>
                  </w:pPr>
                  <w:r>
                    <w:rPr>
                      <w:rFonts w:hint="default" w:cs="Times New Roman"/>
                      <w:b w:val="0"/>
                      <w:bCs w:val="0"/>
                      <w:color w:val="auto"/>
                      <w:kern w:val="0"/>
                      <w:sz w:val="21"/>
                      <w:szCs w:val="21"/>
                      <w:highlight w:val="none"/>
                      <w:vertAlign w:val="baseline"/>
                      <w:lang w:val="en-US" w:eastAsia="zh-CN"/>
                    </w:rPr>
                    <w:t>粪大肠菌群数（MPN/L）</w:t>
                  </w:r>
                </w:p>
              </w:tc>
              <w:tc>
                <w:tcPr>
                  <w:tcW w:w="1065" w:type="dxa"/>
                  <w:tcBorders>
                    <w:tl2br w:val="nil"/>
                    <w:tr2bl w:val="nil"/>
                  </w:tcBorders>
                  <w:vAlign w:val="center"/>
                </w:tcPr>
                <w:p w14:paraId="3936C42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5000</w:t>
                  </w:r>
                </w:p>
              </w:tc>
              <w:tc>
                <w:tcPr>
                  <w:tcW w:w="3429" w:type="dxa"/>
                  <w:vMerge w:val="continue"/>
                  <w:tcBorders>
                    <w:tl2br w:val="nil"/>
                    <w:tr2bl w:val="nil"/>
                  </w:tcBorders>
                  <w:vAlign w:val="center"/>
                </w:tcPr>
                <w:p w14:paraId="457A0D8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rPr>
                  </w:pPr>
                </w:p>
              </w:tc>
            </w:tr>
            <w:tr w14:paraId="505F37E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8" w:type="dxa"/>
                  <w:tcBorders>
                    <w:tl2br w:val="nil"/>
                    <w:tr2bl w:val="nil"/>
                  </w:tcBorders>
                  <w:vAlign w:val="center"/>
                </w:tcPr>
                <w:p w14:paraId="2D5235F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6</w:t>
                  </w:r>
                </w:p>
              </w:tc>
              <w:tc>
                <w:tcPr>
                  <w:tcW w:w="3030" w:type="dxa"/>
                  <w:tcBorders>
                    <w:tl2br w:val="nil"/>
                    <w:tr2bl w:val="nil"/>
                  </w:tcBorders>
                  <w:vAlign w:val="center"/>
                </w:tcPr>
                <w:p w14:paraId="66B1213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rPr>
                  </w:pPr>
                  <w:r>
                    <w:rPr>
                      <w:rFonts w:hint="default" w:cs="Times New Roman"/>
                      <w:b w:val="0"/>
                      <w:bCs w:val="0"/>
                      <w:color w:val="auto"/>
                      <w:kern w:val="0"/>
                      <w:sz w:val="21"/>
                      <w:szCs w:val="21"/>
                      <w:highlight w:val="none"/>
                      <w:vertAlign w:val="baseline"/>
                      <w:lang w:val="en-US" w:eastAsia="zh-CN"/>
                    </w:rPr>
                    <w:t>氨氮（mg/L）</w:t>
                  </w:r>
                </w:p>
              </w:tc>
              <w:tc>
                <w:tcPr>
                  <w:tcW w:w="1065" w:type="dxa"/>
                  <w:tcBorders>
                    <w:tl2br w:val="nil"/>
                    <w:tr2bl w:val="nil"/>
                  </w:tcBorders>
                  <w:vAlign w:val="center"/>
                </w:tcPr>
                <w:p w14:paraId="282B618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45</w:t>
                  </w:r>
                </w:p>
              </w:tc>
              <w:tc>
                <w:tcPr>
                  <w:tcW w:w="3429" w:type="dxa"/>
                  <w:tcBorders>
                    <w:tl2br w:val="nil"/>
                    <w:tr2bl w:val="nil"/>
                  </w:tcBorders>
                  <w:vAlign w:val="center"/>
                </w:tcPr>
                <w:p w14:paraId="16A203D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rPr>
                  </w:pPr>
                  <w:r>
                    <w:rPr>
                      <w:rFonts w:hint="default" w:ascii="Times New Roman" w:hAnsi="Times New Roman" w:eastAsia="宋体" w:cs="Times New Roman"/>
                      <w:b w:val="0"/>
                      <w:bCs w:val="0"/>
                      <w:color w:val="auto"/>
                      <w:kern w:val="0"/>
                      <w:sz w:val="21"/>
                      <w:szCs w:val="21"/>
                      <w:highlight w:val="none"/>
                      <w:vertAlign w:val="baseline"/>
                      <w:lang w:val="en-US" w:eastAsia="zh-CN"/>
                    </w:rPr>
                    <w:t>北京市《水污染物综合排放标准》（DB11/307-2013）表3排入公共污水处理系统的水污染物限值</w:t>
                  </w:r>
                </w:p>
              </w:tc>
            </w:tr>
          </w:tbl>
          <w:p w14:paraId="6D25258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b w:val="0"/>
                <w:bCs w:val="0"/>
                <w:color w:val="auto"/>
                <w:kern w:val="0"/>
                <w:sz w:val="24"/>
                <w:szCs w:val="24"/>
                <w:highlight w:val="none"/>
                <w:lang w:val="en-US" w:eastAsia="zh-CN"/>
              </w:rPr>
            </w:pPr>
            <w:r>
              <w:rPr>
                <w:rFonts w:hint="eastAsia" w:cs="Times New Roman"/>
                <w:b w:val="0"/>
                <w:bCs w:val="0"/>
                <w:color w:val="auto"/>
                <w:kern w:val="0"/>
                <w:sz w:val="24"/>
                <w:szCs w:val="24"/>
                <w:highlight w:val="none"/>
                <w:lang w:val="en-US" w:eastAsia="zh-CN"/>
              </w:rPr>
              <w:t>3、噪声</w:t>
            </w:r>
          </w:p>
          <w:p w14:paraId="68FC1B9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cs="Times New Roman"/>
                <w:b w:val="0"/>
                <w:bCs w:val="0"/>
                <w:color w:val="auto"/>
                <w:kern w:val="0"/>
                <w:sz w:val="24"/>
                <w:szCs w:val="24"/>
                <w:highlight w:val="none"/>
                <w:lang w:val="en-US" w:eastAsia="zh-CN"/>
              </w:rPr>
            </w:pPr>
            <w:r>
              <w:rPr>
                <w:rFonts w:hint="eastAsia" w:cs="Times New Roman"/>
                <w:b w:val="0"/>
                <w:bCs w:val="0"/>
                <w:color w:val="auto"/>
                <w:kern w:val="0"/>
                <w:sz w:val="24"/>
                <w:szCs w:val="24"/>
                <w:highlight w:val="none"/>
                <w:lang w:val="en-US" w:eastAsia="zh-CN"/>
              </w:rPr>
              <w:t>项目施工期噪声执行《建筑施工场界环境噪声排放标准》(GB12523-2011)规定的建筑施工场界环境噪声排放限值，具体限值见下表。</w:t>
            </w:r>
          </w:p>
          <w:p w14:paraId="72CF266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0" w:firstLineChars="0"/>
              <w:jc w:val="center"/>
              <w:textAlignment w:val="auto"/>
              <w:rPr>
                <w:rFonts w:hint="default" w:cs="Times New Roman"/>
                <w:b w:val="0"/>
                <w:bCs w:val="0"/>
                <w:color w:val="auto"/>
                <w:kern w:val="0"/>
                <w:sz w:val="24"/>
                <w:szCs w:val="24"/>
                <w:highlight w:val="none"/>
                <w:lang w:val="en-US" w:eastAsia="zh-CN"/>
              </w:rPr>
            </w:pPr>
            <w:r>
              <w:rPr>
                <w:rFonts w:hint="eastAsia" w:cs="Times New Roman"/>
                <w:b/>
                <w:bCs/>
                <w:color w:val="auto"/>
                <w:kern w:val="0"/>
                <w:sz w:val="21"/>
                <w:szCs w:val="21"/>
                <w:highlight w:val="none"/>
                <w:lang w:val="en-US" w:eastAsia="zh-CN"/>
              </w:rPr>
              <w:t>表3-7 建筑施工场界环境噪声排放标准限值</w:t>
            </w:r>
          </w:p>
          <w:tbl>
            <w:tblPr>
              <w:tblStyle w:val="13"/>
              <w:tblW w:w="4999"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352"/>
              <w:gridCol w:w="2415"/>
              <w:gridCol w:w="3442"/>
            </w:tblGrid>
            <w:tr w14:paraId="3923944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52" w:type="dxa"/>
                  <w:tcBorders>
                    <w:tl2br w:val="nil"/>
                    <w:tr2bl w:val="nil"/>
                  </w:tcBorders>
                  <w:vAlign w:val="center"/>
                </w:tcPr>
                <w:p w14:paraId="5D18BEF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bCs/>
                      <w:color w:val="auto"/>
                      <w:kern w:val="0"/>
                      <w:sz w:val="21"/>
                      <w:szCs w:val="21"/>
                      <w:highlight w:val="none"/>
                      <w:vertAlign w:val="baseline"/>
                      <w:lang w:val="en-US" w:eastAsia="zh-CN"/>
                    </w:rPr>
                  </w:pPr>
                  <w:r>
                    <w:rPr>
                      <w:rFonts w:hint="eastAsia" w:cs="Times New Roman"/>
                      <w:b/>
                      <w:bCs/>
                      <w:color w:val="auto"/>
                      <w:kern w:val="0"/>
                      <w:sz w:val="21"/>
                      <w:szCs w:val="21"/>
                      <w:highlight w:val="none"/>
                      <w:vertAlign w:val="baseline"/>
                      <w:lang w:val="en-US" w:eastAsia="zh-CN"/>
                    </w:rPr>
                    <w:t>昼间</w:t>
                  </w:r>
                </w:p>
              </w:tc>
              <w:tc>
                <w:tcPr>
                  <w:tcW w:w="2415" w:type="dxa"/>
                  <w:tcBorders>
                    <w:tl2br w:val="nil"/>
                    <w:tr2bl w:val="nil"/>
                  </w:tcBorders>
                  <w:vAlign w:val="center"/>
                </w:tcPr>
                <w:p w14:paraId="75EAB67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bCs/>
                      <w:color w:val="auto"/>
                      <w:kern w:val="0"/>
                      <w:sz w:val="21"/>
                      <w:szCs w:val="21"/>
                      <w:highlight w:val="none"/>
                      <w:vertAlign w:val="baseline"/>
                      <w:lang w:val="en-US" w:eastAsia="zh-CN"/>
                    </w:rPr>
                  </w:pPr>
                  <w:r>
                    <w:rPr>
                      <w:rFonts w:hint="eastAsia" w:cs="Times New Roman"/>
                      <w:b/>
                      <w:bCs/>
                      <w:color w:val="auto"/>
                      <w:kern w:val="0"/>
                      <w:sz w:val="21"/>
                      <w:szCs w:val="21"/>
                      <w:highlight w:val="none"/>
                      <w:vertAlign w:val="baseline"/>
                      <w:lang w:val="en-US" w:eastAsia="zh-CN"/>
                    </w:rPr>
                    <w:t>夜间</w:t>
                  </w:r>
                </w:p>
              </w:tc>
              <w:tc>
                <w:tcPr>
                  <w:tcW w:w="3442" w:type="dxa"/>
                  <w:tcBorders>
                    <w:tl2br w:val="nil"/>
                    <w:tr2bl w:val="nil"/>
                  </w:tcBorders>
                  <w:vAlign w:val="center"/>
                </w:tcPr>
                <w:p w14:paraId="14D139E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bCs/>
                      <w:color w:val="auto"/>
                      <w:kern w:val="0"/>
                      <w:sz w:val="21"/>
                      <w:szCs w:val="21"/>
                      <w:highlight w:val="none"/>
                      <w:vertAlign w:val="baseline"/>
                      <w:lang w:val="en-US" w:eastAsia="zh-CN"/>
                    </w:rPr>
                  </w:pPr>
                  <w:r>
                    <w:rPr>
                      <w:rFonts w:hint="eastAsia" w:cs="Times New Roman"/>
                      <w:b/>
                      <w:bCs/>
                      <w:color w:val="auto"/>
                      <w:kern w:val="0"/>
                      <w:sz w:val="21"/>
                      <w:szCs w:val="21"/>
                      <w:highlight w:val="none"/>
                      <w:vertAlign w:val="baseline"/>
                      <w:lang w:val="en-US" w:eastAsia="zh-CN"/>
                    </w:rPr>
                    <w:t>执行标准</w:t>
                  </w:r>
                </w:p>
              </w:tc>
            </w:tr>
            <w:tr w14:paraId="5139F73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52" w:type="dxa"/>
                  <w:tcBorders>
                    <w:tl2br w:val="nil"/>
                    <w:tr2bl w:val="nil"/>
                  </w:tcBorders>
                  <w:vAlign w:val="center"/>
                </w:tcPr>
                <w:p w14:paraId="5F25CE9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70dB(A)</w:t>
                  </w:r>
                </w:p>
              </w:tc>
              <w:tc>
                <w:tcPr>
                  <w:tcW w:w="2415" w:type="dxa"/>
                  <w:tcBorders>
                    <w:tl2br w:val="nil"/>
                    <w:tr2bl w:val="nil"/>
                  </w:tcBorders>
                  <w:vAlign w:val="center"/>
                </w:tcPr>
                <w:p w14:paraId="1BA0C30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55dB(A)</w:t>
                  </w:r>
                </w:p>
              </w:tc>
              <w:tc>
                <w:tcPr>
                  <w:tcW w:w="3442" w:type="dxa"/>
                  <w:tcBorders>
                    <w:tl2br w:val="nil"/>
                    <w:tr2bl w:val="nil"/>
                  </w:tcBorders>
                  <w:vAlign w:val="center"/>
                </w:tcPr>
                <w:p w14:paraId="53AB560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rPr>
                  </w:pPr>
                  <w:r>
                    <w:rPr>
                      <w:rFonts w:hint="default" w:cs="Times New Roman"/>
                      <w:b w:val="0"/>
                      <w:bCs w:val="0"/>
                      <w:color w:val="auto"/>
                      <w:kern w:val="0"/>
                      <w:sz w:val="21"/>
                      <w:szCs w:val="21"/>
                      <w:highlight w:val="none"/>
                      <w:vertAlign w:val="baseline"/>
                      <w:lang w:val="en-US" w:eastAsia="zh-CN"/>
                    </w:rPr>
                    <w:t>《建筑施工场界环境噪声排放标准》(GB12523-2011)</w:t>
                  </w:r>
                </w:p>
              </w:tc>
            </w:tr>
          </w:tbl>
          <w:p w14:paraId="6358D3A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b w:val="0"/>
                <w:bCs w:val="0"/>
                <w:color w:val="auto"/>
                <w:kern w:val="0"/>
                <w:sz w:val="24"/>
                <w:szCs w:val="24"/>
                <w:highlight w:val="none"/>
                <w:lang w:val="en-US" w:eastAsia="zh-CN"/>
              </w:rPr>
            </w:pPr>
            <w:r>
              <w:rPr>
                <w:rFonts w:hint="eastAsia" w:cs="Times New Roman"/>
                <w:b w:val="0"/>
                <w:bCs w:val="0"/>
                <w:color w:val="auto"/>
                <w:kern w:val="0"/>
                <w:sz w:val="24"/>
                <w:szCs w:val="24"/>
                <w:highlight w:val="none"/>
                <w:lang w:val="en-US" w:eastAsia="zh-CN"/>
              </w:rPr>
              <w:t>项目运营期厂界噪声执行《工业企业厂界环境噪声排放标准》（GB12348-2008）1类标准，具体限值见下表。</w:t>
            </w:r>
          </w:p>
          <w:p w14:paraId="583C7EB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0" w:firstLineChars="0"/>
              <w:jc w:val="center"/>
              <w:textAlignment w:val="auto"/>
              <w:rPr>
                <w:rFonts w:hint="eastAsia" w:cs="Times New Roman"/>
                <w:b w:val="0"/>
                <w:bCs w:val="0"/>
                <w:color w:val="auto"/>
                <w:kern w:val="0"/>
                <w:sz w:val="24"/>
                <w:szCs w:val="24"/>
                <w:highlight w:val="none"/>
                <w:lang w:val="en-US" w:eastAsia="zh-CN"/>
              </w:rPr>
            </w:pPr>
            <w:r>
              <w:rPr>
                <w:rFonts w:hint="eastAsia" w:cs="Times New Roman"/>
                <w:b/>
                <w:bCs/>
                <w:color w:val="auto"/>
                <w:kern w:val="0"/>
                <w:sz w:val="21"/>
                <w:szCs w:val="21"/>
                <w:highlight w:val="none"/>
                <w:lang w:val="en-US" w:eastAsia="zh-CN"/>
              </w:rPr>
              <w:t>表3-8 工业企业厂界环境噪声排放限值</w:t>
            </w:r>
          </w:p>
          <w:tbl>
            <w:tblPr>
              <w:tblStyle w:val="13"/>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62"/>
              <w:gridCol w:w="1695"/>
              <w:gridCol w:w="1695"/>
              <w:gridCol w:w="3458"/>
            </w:tblGrid>
            <w:tr w14:paraId="6DC7EDB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2" w:type="dxa"/>
                  <w:tcBorders>
                    <w:tl2br w:val="nil"/>
                    <w:tr2bl w:val="nil"/>
                  </w:tcBorders>
                  <w:vAlign w:val="center"/>
                </w:tcPr>
                <w:p w14:paraId="6D18AA6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bCs/>
                      <w:color w:val="auto"/>
                      <w:kern w:val="0"/>
                      <w:sz w:val="21"/>
                      <w:szCs w:val="21"/>
                      <w:highlight w:val="none"/>
                      <w:vertAlign w:val="baseline"/>
                      <w:lang w:val="en-US" w:eastAsia="zh-CN"/>
                    </w:rPr>
                  </w:pPr>
                  <w:r>
                    <w:rPr>
                      <w:rFonts w:hint="eastAsia" w:cs="Times New Roman"/>
                      <w:b/>
                      <w:bCs/>
                      <w:color w:val="auto"/>
                      <w:kern w:val="0"/>
                      <w:sz w:val="21"/>
                      <w:szCs w:val="21"/>
                      <w:highlight w:val="none"/>
                      <w:vertAlign w:val="baseline"/>
                      <w:lang w:val="en-US" w:eastAsia="zh-CN"/>
                    </w:rPr>
                    <w:t>类别</w:t>
                  </w:r>
                </w:p>
              </w:tc>
              <w:tc>
                <w:tcPr>
                  <w:tcW w:w="1695" w:type="dxa"/>
                  <w:tcBorders>
                    <w:tl2br w:val="nil"/>
                    <w:tr2bl w:val="nil"/>
                  </w:tcBorders>
                  <w:vAlign w:val="center"/>
                </w:tcPr>
                <w:p w14:paraId="3DBF9C2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bCs/>
                      <w:color w:val="auto"/>
                      <w:kern w:val="0"/>
                      <w:sz w:val="21"/>
                      <w:szCs w:val="21"/>
                      <w:highlight w:val="none"/>
                      <w:vertAlign w:val="baseline"/>
                      <w:lang w:val="en-US" w:eastAsia="zh-CN"/>
                    </w:rPr>
                  </w:pPr>
                  <w:r>
                    <w:rPr>
                      <w:rFonts w:hint="eastAsia" w:cs="Times New Roman"/>
                      <w:b/>
                      <w:bCs/>
                      <w:color w:val="auto"/>
                      <w:kern w:val="0"/>
                      <w:sz w:val="21"/>
                      <w:szCs w:val="21"/>
                      <w:highlight w:val="none"/>
                      <w:vertAlign w:val="baseline"/>
                      <w:lang w:val="en-US" w:eastAsia="zh-CN"/>
                    </w:rPr>
                    <w:t>昼间</w:t>
                  </w:r>
                </w:p>
              </w:tc>
              <w:tc>
                <w:tcPr>
                  <w:tcW w:w="1695" w:type="dxa"/>
                  <w:tcBorders>
                    <w:tl2br w:val="nil"/>
                    <w:tr2bl w:val="nil"/>
                  </w:tcBorders>
                  <w:vAlign w:val="center"/>
                </w:tcPr>
                <w:p w14:paraId="443E599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bCs/>
                      <w:color w:val="auto"/>
                      <w:kern w:val="0"/>
                      <w:sz w:val="21"/>
                      <w:szCs w:val="21"/>
                      <w:highlight w:val="none"/>
                      <w:vertAlign w:val="baseline"/>
                      <w:lang w:val="en-US" w:eastAsia="zh-CN"/>
                    </w:rPr>
                  </w:pPr>
                  <w:r>
                    <w:rPr>
                      <w:rFonts w:hint="eastAsia" w:cs="Times New Roman"/>
                      <w:b/>
                      <w:bCs/>
                      <w:color w:val="auto"/>
                      <w:kern w:val="0"/>
                      <w:sz w:val="21"/>
                      <w:szCs w:val="21"/>
                      <w:highlight w:val="none"/>
                      <w:vertAlign w:val="baseline"/>
                      <w:lang w:val="en-US" w:eastAsia="zh-CN"/>
                    </w:rPr>
                    <w:t>夜间</w:t>
                  </w:r>
                </w:p>
              </w:tc>
              <w:tc>
                <w:tcPr>
                  <w:tcW w:w="3458" w:type="dxa"/>
                  <w:tcBorders>
                    <w:tl2br w:val="nil"/>
                    <w:tr2bl w:val="nil"/>
                  </w:tcBorders>
                  <w:vAlign w:val="center"/>
                </w:tcPr>
                <w:p w14:paraId="35292FA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s="Times New Roman"/>
                      <w:b/>
                      <w:bCs/>
                      <w:color w:val="auto"/>
                      <w:kern w:val="0"/>
                      <w:sz w:val="21"/>
                      <w:szCs w:val="21"/>
                      <w:highlight w:val="none"/>
                      <w:vertAlign w:val="baseline"/>
                      <w:lang w:val="en-US" w:eastAsia="zh-CN"/>
                    </w:rPr>
                  </w:pPr>
                  <w:r>
                    <w:rPr>
                      <w:rFonts w:hint="eastAsia" w:cs="Times New Roman"/>
                      <w:b/>
                      <w:bCs/>
                      <w:color w:val="auto"/>
                      <w:kern w:val="0"/>
                      <w:sz w:val="21"/>
                      <w:szCs w:val="21"/>
                      <w:highlight w:val="none"/>
                      <w:vertAlign w:val="baseline"/>
                      <w:lang w:val="en-US" w:eastAsia="zh-CN"/>
                    </w:rPr>
                    <w:t>执行标准</w:t>
                  </w:r>
                </w:p>
              </w:tc>
            </w:tr>
            <w:tr w14:paraId="11988B0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2" w:type="dxa"/>
                  <w:tcBorders>
                    <w:tl2br w:val="nil"/>
                    <w:tr2bl w:val="nil"/>
                  </w:tcBorders>
                  <w:shd w:val="clear" w:color="auto" w:fill="auto"/>
                  <w:vAlign w:val="center"/>
                </w:tcPr>
                <w:p w14:paraId="59A15DE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SA"/>
                    </w:rPr>
                  </w:pPr>
                  <w:r>
                    <w:rPr>
                      <w:rFonts w:hint="eastAsia" w:cs="Times New Roman"/>
                      <w:b w:val="0"/>
                      <w:bCs w:val="0"/>
                      <w:color w:val="auto"/>
                      <w:kern w:val="0"/>
                      <w:sz w:val="21"/>
                      <w:szCs w:val="21"/>
                      <w:highlight w:val="none"/>
                      <w:vertAlign w:val="baseline"/>
                      <w:lang w:val="en-US" w:eastAsia="zh-CN"/>
                    </w:rPr>
                    <w:t>1类</w:t>
                  </w:r>
                </w:p>
              </w:tc>
              <w:tc>
                <w:tcPr>
                  <w:tcW w:w="1695" w:type="dxa"/>
                  <w:tcBorders>
                    <w:tl2br w:val="nil"/>
                    <w:tr2bl w:val="nil"/>
                  </w:tcBorders>
                  <w:shd w:val="clear" w:color="auto" w:fill="auto"/>
                  <w:vAlign w:val="center"/>
                </w:tcPr>
                <w:p w14:paraId="543AAB5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SA"/>
                    </w:rPr>
                  </w:pPr>
                  <w:r>
                    <w:rPr>
                      <w:rFonts w:hint="eastAsia" w:cs="Times New Roman"/>
                      <w:b w:val="0"/>
                      <w:bCs w:val="0"/>
                      <w:color w:val="auto"/>
                      <w:kern w:val="0"/>
                      <w:sz w:val="21"/>
                      <w:szCs w:val="21"/>
                      <w:highlight w:val="none"/>
                      <w:vertAlign w:val="baseline"/>
                      <w:lang w:val="en-US" w:eastAsia="zh-CN"/>
                    </w:rPr>
                    <w:t>55dB(A)</w:t>
                  </w:r>
                </w:p>
              </w:tc>
              <w:tc>
                <w:tcPr>
                  <w:tcW w:w="1695" w:type="dxa"/>
                  <w:tcBorders>
                    <w:tl2br w:val="nil"/>
                    <w:tr2bl w:val="nil"/>
                  </w:tcBorders>
                  <w:shd w:val="clear" w:color="auto" w:fill="auto"/>
                  <w:vAlign w:val="center"/>
                </w:tcPr>
                <w:p w14:paraId="36A87DB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SA"/>
                    </w:rPr>
                  </w:pPr>
                  <w:r>
                    <w:rPr>
                      <w:rFonts w:hint="eastAsia" w:cs="Times New Roman"/>
                      <w:b w:val="0"/>
                      <w:bCs w:val="0"/>
                      <w:color w:val="auto"/>
                      <w:kern w:val="0"/>
                      <w:sz w:val="21"/>
                      <w:szCs w:val="21"/>
                      <w:highlight w:val="none"/>
                      <w:vertAlign w:val="baseline"/>
                      <w:lang w:val="en-US" w:eastAsia="zh-CN"/>
                    </w:rPr>
                    <w:t>45dB(A)</w:t>
                  </w:r>
                </w:p>
              </w:tc>
              <w:tc>
                <w:tcPr>
                  <w:tcW w:w="3458" w:type="dxa"/>
                  <w:tcBorders>
                    <w:tl2br w:val="nil"/>
                    <w:tr2bl w:val="nil"/>
                  </w:tcBorders>
                  <w:vAlign w:val="center"/>
                </w:tcPr>
                <w:p w14:paraId="3B3A815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《工业企业厂界环境噪声排放标准》（GB12348-2008）</w:t>
                  </w:r>
                </w:p>
              </w:tc>
            </w:tr>
          </w:tbl>
          <w:p w14:paraId="12BDF36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cs="Times New Roman"/>
                <w:b w:val="0"/>
                <w:bCs w:val="0"/>
                <w:color w:val="auto"/>
                <w:kern w:val="0"/>
                <w:sz w:val="24"/>
                <w:szCs w:val="24"/>
                <w:highlight w:val="none"/>
                <w:lang w:val="en-US" w:eastAsia="zh-CN"/>
              </w:rPr>
            </w:pPr>
            <w:r>
              <w:rPr>
                <w:rFonts w:hint="eastAsia" w:cs="Times New Roman"/>
                <w:b w:val="0"/>
                <w:bCs w:val="0"/>
                <w:color w:val="auto"/>
                <w:kern w:val="0"/>
                <w:sz w:val="24"/>
                <w:szCs w:val="24"/>
                <w:highlight w:val="none"/>
                <w:lang w:val="en-US" w:eastAsia="zh-CN"/>
              </w:rPr>
              <w:t>4、固体废物</w:t>
            </w:r>
          </w:p>
          <w:p w14:paraId="0F49836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cs="Times New Roman"/>
                <w:b w:val="0"/>
                <w:bCs w:val="0"/>
                <w:color w:val="auto"/>
                <w:kern w:val="0"/>
                <w:sz w:val="24"/>
                <w:szCs w:val="24"/>
                <w:highlight w:val="none"/>
                <w:lang w:eastAsia="zh-CN"/>
              </w:rPr>
            </w:pPr>
            <w:r>
              <w:rPr>
                <w:rFonts w:hint="eastAsia" w:cs="Times New Roman"/>
                <w:b w:val="0"/>
                <w:bCs w:val="0"/>
                <w:color w:val="auto"/>
                <w:kern w:val="0"/>
                <w:sz w:val="24"/>
                <w:szCs w:val="24"/>
                <w:highlight w:val="none"/>
                <w:lang w:eastAsia="zh-CN"/>
              </w:rPr>
              <w:t>生活垃圾处理执行《北京市生活垃圾管理条例》（2020年5月1日实施）中有关规定。</w:t>
            </w:r>
          </w:p>
          <w:p w14:paraId="63C2E7F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cs="Times New Roman"/>
                <w:b w:val="0"/>
                <w:bCs w:val="0"/>
                <w:color w:val="auto"/>
                <w:kern w:val="0"/>
                <w:sz w:val="24"/>
                <w:szCs w:val="24"/>
                <w:highlight w:val="none"/>
                <w:lang w:eastAsia="zh-CN"/>
              </w:rPr>
            </w:pPr>
            <w:r>
              <w:rPr>
                <w:rFonts w:hint="eastAsia" w:cs="Times New Roman"/>
                <w:b w:val="0"/>
                <w:bCs w:val="0"/>
                <w:color w:val="auto"/>
                <w:kern w:val="0"/>
                <w:sz w:val="24"/>
                <w:szCs w:val="24"/>
                <w:highlight w:val="none"/>
                <w:lang w:eastAsia="zh-CN"/>
              </w:rPr>
              <w:t>固体废物执行《中华人民共和国固体废物污染环境防治法》（2020年4月29日修订）中有关规定。</w:t>
            </w:r>
          </w:p>
          <w:p w14:paraId="499A2CB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cs="Times New Roman"/>
                <w:b w:val="0"/>
                <w:bCs w:val="0"/>
                <w:color w:val="auto"/>
                <w:kern w:val="0"/>
                <w:sz w:val="24"/>
                <w:szCs w:val="24"/>
                <w:highlight w:val="none"/>
                <w:lang w:eastAsia="zh-CN"/>
              </w:rPr>
            </w:pPr>
            <w:r>
              <w:rPr>
                <w:rFonts w:hint="eastAsia" w:cs="Times New Roman"/>
                <w:b w:val="0"/>
                <w:bCs w:val="0"/>
                <w:color w:val="auto"/>
                <w:kern w:val="0"/>
                <w:sz w:val="24"/>
                <w:szCs w:val="24"/>
                <w:highlight w:val="none"/>
                <w:lang w:eastAsia="zh-CN"/>
              </w:rPr>
              <w:t>危险废物执行《危险废物贮存污染控制标准》（GB18597-2023）、《危险废物污染防治技术政策》、《危险废物转移管理办法》和《北京市危险废物污染环境防治条例》中的有关规定。危险废物中的医疗废物收集、储存、转运等还应严格执行《医疗废物专用包装袋、容器和警示标志标准》（HJ421-2008）、《医疗废物管理条例》（2011年修订）、《医疗废物处理处置污染控制标准》、《北京市医疗废物贮存污染防治指导意见》中的有关规定。</w:t>
            </w:r>
          </w:p>
          <w:p w14:paraId="61F8626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cs="Times New Roman"/>
                <w:b w:val="0"/>
                <w:bCs w:val="0"/>
                <w:color w:val="auto"/>
                <w:kern w:val="0"/>
                <w:sz w:val="24"/>
                <w:szCs w:val="24"/>
                <w:highlight w:val="none"/>
                <w:lang w:val="en-US" w:eastAsia="zh-CN"/>
              </w:rPr>
            </w:pPr>
            <w:r>
              <w:rPr>
                <w:rFonts w:hint="eastAsia" w:cs="Times New Roman"/>
                <w:b w:val="0"/>
                <w:bCs w:val="0"/>
                <w:color w:val="auto"/>
                <w:kern w:val="0"/>
                <w:sz w:val="24"/>
                <w:szCs w:val="24"/>
                <w:highlight w:val="none"/>
                <w:lang w:eastAsia="zh-CN"/>
              </w:rPr>
              <w:t>根据《医疗机构水污染物排放标准》（GB18466-2005）中有关污泥控制与处置的规定：化粪池污泥、污水处理设施栅渣及污泥属危险废物，应按危险废物进行处理和处置。污泥清淘前应进行监测，达到</w:t>
            </w:r>
            <w:r>
              <w:rPr>
                <w:rFonts w:hint="eastAsia" w:cs="Times New Roman"/>
                <w:b w:val="0"/>
                <w:bCs w:val="0"/>
                <w:color w:val="auto"/>
                <w:kern w:val="0"/>
                <w:sz w:val="24"/>
                <w:szCs w:val="24"/>
                <w:highlight w:val="none"/>
                <w:lang w:val="en-US" w:eastAsia="zh-CN"/>
              </w:rPr>
              <w:t>下表要求。</w:t>
            </w:r>
          </w:p>
          <w:p w14:paraId="2053B88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0" w:firstLineChars="0"/>
              <w:jc w:val="center"/>
              <w:textAlignment w:val="auto"/>
              <w:rPr>
                <w:rFonts w:hint="eastAsia" w:cs="Times New Roman"/>
                <w:b w:val="0"/>
                <w:bCs w:val="0"/>
                <w:color w:val="auto"/>
                <w:kern w:val="0"/>
                <w:sz w:val="24"/>
                <w:szCs w:val="24"/>
                <w:highlight w:val="none"/>
                <w:lang w:val="en-US" w:eastAsia="zh-CN"/>
              </w:rPr>
            </w:pPr>
            <w:r>
              <w:rPr>
                <w:rFonts w:hint="eastAsia" w:cs="Times New Roman"/>
                <w:b/>
                <w:bCs/>
                <w:color w:val="auto"/>
                <w:kern w:val="0"/>
                <w:sz w:val="21"/>
                <w:szCs w:val="21"/>
                <w:highlight w:val="none"/>
                <w:lang w:val="en-US" w:eastAsia="zh-CN"/>
              </w:rPr>
              <w:t>表3-9 医疗机构污泥控制标准</w:t>
            </w:r>
          </w:p>
          <w:tbl>
            <w:tblPr>
              <w:tblStyle w:val="13"/>
              <w:tblW w:w="4999"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282"/>
              <w:gridCol w:w="2730"/>
              <w:gridCol w:w="2197"/>
            </w:tblGrid>
            <w:tr w14:paraId="3D31F40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82" w:type="dxa"/>
                  <w:tcBorders>
                    <w:tl2br w:val="nil"/>
                    <w:tr2bl w:val="nil"/>
                  </w:tcBorders>
                  <w:vAlign w:val="center"/>
                </w:tcPr>
                <w:p w14:paraId="4D2AFDF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bCs/>
                      <w:color w:val="auto"/>
                      <w:kern w:val="0"/>
                      <w:sz w:val="21"/>
                      <w:szCs w:val="21"/>
                      <w:highlight w:val="none"/>
                      <w:vertAlign w:val="baseline"/>
                      <w:lang w:val="en-US" w:eastAsia="zh-CN"/>
                    </w:rPr>
                  </w:pPr>
                  <w:r>
                    <w:rPr>
                      <w:rFonts w:hint="eastAsia" w:cs="Times New Roman"/>
                      <w:b/>
                      <w:bCs/>
                      <w:color w:val="auto"/>
                      <w:kern w:val="0"/>
                      <w:sz w:val="21"/>
                      <w:szCs w:val="21"/>
                      <w:highlight w:val="none"/>
                      <w:vertAlign w:val="baseline"/>
                      <w:lang w:val="en-US" w:eastAsia="zh-CN"/>
                    </w:rPr>
                    <w:t>医疗机构类别</w:t>
                  </w:r>
                </w:p>
              </w:tc>
              <w:tc>
                <w:tcPr>
                  <w:tcW w:w="2730" w:type="dxa"/>
                  <w:tcBorders>
                    <w:tl2br w:val="nil"/>
                    <w:tr2bl w:val="nil"/>
                  </w:tcBorders>
                  <w:vAlign w:val="center"/>
                </w:tcPr>
                <w:p w14:paraId="39883B7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bCs/>
                      <w:color w:val="auto"/>
                      <w:kern w:val="0"/>
                      <w:sz w:val="21"/>
                      <w:szCs w:val="21"/>
                      <w:highlight w:val="none"/>
                      <w:vertAlign w:val="baseline"/>
                      <w:lang w:val="en-US" w:eastAsia="zh-CN"/>
                    </w:rPr>
                  </w:pPr>
                  <w:r>
                    <w:rPr>
                      <w:rFonts w:hint="eastAsia" w:cs="Times New Roman"/>
                      <w:b/>
                      <w:bCs/>
                      <w:color w:val="auto"/>
                      <w:kern w:val="0"/>
                      <w:sz w:val="21"/>
                      <w:szCs w:val="21"/>
                      <w:highlight w:val="none"/>
                      <w:vertAlign w:val="baseline"/>
                      <w:lang w:val="en-US" w:eastAsia="zh-CN"/>
                    </w:rPr>
                    <w:t>粪大肠菌群数/（MPN/L）</w:t>
                  </w:r>
                </w:p>
              </w:tc>
              <w:tc>
                <w:tcPr>
                  <w:tcW w:w="2197" w:type="dxa"/>
                  <w:tcBorders>
                    <w:tl2br w:val="nil"/>
                    <w:tr2bl w:val="nil"/>
                  </w:tcBorders>
                  <w:vAlign w:val="center"/>
                </w:tcPr>
                <w:p w14:paraId="1C48586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bCs/>
                      <w:color w:val="auto"/>
                      <w:kern w:val="0"/>
                      <w:sz w:val="21"/>
                      <w:szCs w:val="21"/>
                      <w:highlight w:val="none"/>
                      <w:vertAlign w:val="baseline"/>
                      <w:lang w:val="en-US" w:eastAsia="zh-CN"/>
                    </w:rPr>
                  </w:pPr>
                  <w:r>
                    <w:rPr>
                      <w:rFonts w:hint="eastAsia" w:cs="Times New Roman"/>
                      <w:b/>
                      <w:bCs/>
                      <w:color w:val="auto"/>
                      <w:kern w:val="0"/>
                      <w:sz w:val="21"/>
                      <w:szCs w:val="21"/>
                      <w:highlight w:val="none"/>
                      <w:vertAlign w:val="baseline"/>
                      <w:lang w:val="en-US" w:eastAsia="zh-CN"/>
                    </w:rPr>
                    <w:t>蛔虫卵死亡率/%</w:t>
                  </w:r>
                </w:p>
              </w:tc>
            </w:tr>
            <w:tr w14:paraId="2D308F4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82" w:type="dxa"/>
                  <w:tcBorders>
                    <w:tl2br w:val="nil"/>
                    <w:tr2bl w:val="nil"/>
                  </w:tcBorders>
                  <w:vAlign w:val="center"/>
                </w:tcPr>
                <w:p w14:paraId="3455EB0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rPr>
                  </w:pPr>
                  <w:r>
                    <w:rPr>
                      <w:rFonts w:hint="default" w:cs="Times New Roman"/>
                      <w:b w:val="0"/>
                      <w:bCs w:val="0"/>
                      <w:color w:val="auto"/>
                      <w:kern w:val="0"/>
                      <w:sz w:val="21"/>
                      <w:szCs w:val="21"/>
                      <w:highlight w:val="none"/>
                      <w:vertAlign w:val="baseline"/>
                      <w:lang w:val="en-US" w:eastAsia="zh-CN"/>
                    </w:rPr>
                    <w:t>综合医疗机构和其他医疗机构</w:t>
                  </w:r>
                </w:p>
              </w:tc>
              <w:tc>
                <w:tcPr>
                  <w:tcW w:w="2730" w:type="dxa"/>
                  <w:tcBorders>
                    <w:tl2br w:val="nil"/>
                    <w:tr2bl w:val="nil"/>
                  </w:tcBorders>
                  <w:vAlign w:val="center"/>
                </w:tcPr>
                <w:p w14:paraId="63326DD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rPr>
                  </w:pPr>
                  <w:r>
                    <w:rPr>
                      <w:rFonts w:hint="default" w:cs="Times New Roman"/>
                      <w:b w:val="0"/>
                      <w:bCs w:val="0"/>
                      <w:color w:val="auto"/>
                      <w:kern w:val="0"/>
                      <w:sz w:val="21"/>
                      <w:szCs w:val="21"/>
                      <w:highlight w:val="none"/>
                      <w:vertAlign w:val="baseline"/>
                      <w:lang w:val="en-US" w:eastAsia="zh-CN"/>
                    </w:rPr>
                    <w:t>≤</w:t>
                  </w:r>
                  <w:r>
                    <w:rPr>
                      <w:rFonts w:hint="eastAsia" w:cs="Times New Roman"/>
                      <w:b w:val="0"/>
                      <w:bCs w:val="0"/>
                      <w:color w:val="auto"/>
                      <w:kern w:val="0"/>
                      <w:sz w:val="21"/>
                      <w:szCs w:val="21"/>
                      <w:highlight w:val="none"/>
                      <w:vertAlign w:val="baseline"/>
                      <w:lang w:val="en-US" w:eastAsia="zh-CN"/>
                    </w:rPr>
                    <w:t>100</w:t>
                  </w:r>
                </w:p>
              </w:tc>
              <w:tc>
                <w:tcPr>
                  <w:tcW w:w="2197" w:type="dxa"/>
                  <w:tcBorders>
                    <w:tl2br w:val="nil"/>
                    <w:tr2bl w:val="nil"/>
                  </w:tcBorders>
                  <w:vAlign w:val="center"/>
                </w:tcPr>
                <w:p w14:paraId="524D674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rPr>
                  </w:pPr>
                  <w:r>
                    <w:rPr>
                      <w:rFonts w:hint="default" w:cs="Times New Roman"/>
                      <w:b w:val="0"/>
                      <w:bCs w:val="0"/>
                      <w:color w:val="auto"/>
                      <w:kern w:val="0"/>
                      <w:sz w:val="21"/>
                      <w:szCs w:val="21"/>
                      <w:highlight w:val="none"/>
                      <w:vertAlign w:val="baseline"/>
                      <w:lang w:val="en-US" w:eastAsia="zh-CN"/>
                    </w:rPr>
                    <w:t>＞</w:t>
                  </w:r>
                  <w:r>
                    <w:rPr>
                      <w:rFonts w:hint="eastAsia" w:cs="Times New Roman"/>
                      <w:b w:val="0"/>
                      <w:bCs w:val="0"/>
                      <w:color w:val="auto"/>
                      <w:kern w:val="0"/>
                      <w:sz w:val="21"/>
                      <w:szCs w:val="21"/>
                      <w:highlight w:val="none"/>
                      <w:vertAlign w:val="baseline"/>
                      <w:lang w:val="en-US" w:eastAsia="zh-CN"/>
                    </w:rPr>
                    <w:t>95</w:t>
                  </w:r>
                </w:p>
              </w:tc>
            </w:tr>
          </w:tbl>
          <w:p w14:paraId="734C192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cs="Times New Roman"/>
                <w:b w:val="0"/>
                <w:bCs w:val="0"/>
                <w:color w:val="auto"/>
                <w:kern w:val="0"/>
                <w:sz w:val="24"/>
                <w:szCs w:val="24"/>
                <w:highlight w:val="none"/>
                <w:lang w:val="en-US" w:eastAsia="zh-CN"/>
              </w:rPr>
            </w:pPr>
          </w:p>
        </w:tc>
      </w:tr>
      <w:tr w14:paraId="01BA0DD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1" w:type="dxa"/>
            <w:vAlign w:val="center"/>
          </w:tcPr>
          <w:p w14:paraId="5E2C9636">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0"/>
                <w:szCs w:val="21"/>
                <w:highlight w:val="none"/>
              </w:rPr>
            </w:pPr>
            <w:r>
              <w:rPr>
                <w:rFonts w:hint="default" w:ascii="Times New Roman" w:hAnsi="Times New Roman" w:eastAsia="宋体" w:cs="Times New Roman"/>
                <w:b w:val="0"/>
                <w:bCs w:val="0"/>
                <w:color w:val="auto"/>
                <w:kern w:val="0"/>
                <w:sz w:val="24"/>
                <w:highlight w:val="none"/>
              </w:rPr>
              <w:t>总量控制指标</w:t>
            </w:r>
          </w:p>
        </w:tc>
        <w:tc>
          <w:tcPr>
            <w:tcW w:w="8649" w:type="dxa"/>
            <w:vAlign w:val="center"/>
          </w:tcPr>
          <w:p w14:paraId="766DDC5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firstLine="480" w:firstLineChars="200"/>
              <w:jc w:val="both"/>
              <w:textAlignment w:val="auto"/>
              <w:rPr>
                <w:rFonts w:hint="default" w:ascii="Times New Roman" w:hAnsi="Times New Roman" w:eastAsia="宋体" w:cs="Times New Roman"/>
                <w:b w:val="0"/>
                <w:bCs w:val="0"/>
                <w:color w:val="auto"/>
                <w:sz w:val="24"/>
                <w:highlight w:val="none"/>
                <w:lang w:val="en-US" w:eastAsia="zh-CN"/>
              </w:rPr>
            </w:pPr>
            <w:r>
              <w:rPr>
                <w:rFonts w:hint="eastAsia" w:cs="Times New Roman"/>
                <w:b w:val="0"/>
                <w:bCs w:val="0"/>
                <w:color w:val="auto"/>
                <w:sz w:val="24"/>
                <w:highlight w:val="none"/>
                <w:lang w:val="en-US" w:eastAsia="zh-CN"/>
              </w:rPr>
              <w:t>1、</w:t>
            </w:r>
            <w:r>
              <w:rPr>
                <w:rFonts w:hint="default" w:ascii="Times New Roman" w:hAnsi="Times New Roman" w:eastAsia="宋体" w:cs="Times New Roman"/>
                <w:b w:val="0"/>
                <w:bCs w:val="0"/>
                <w:color w:val="auto"/>
                <w:sz w:val="24"/>
                <w:highlight w:val="none"/>
                <w:lang w:val="en-US" w:eastAsia="zh-CN"/>
              </w:rPr>
              <w:t>污染物排放总量控制原则</w:t>
            </w:r>
          </w:p>
          <w:p w14:paraId="4424BCC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firstLine="480" w:firstLineChars="200"/>
              <w:jc w:val="both"/>
              <w:textAlignment w:val="auto"/>
              <w:rPr>
                <w:rFonts w:hint="default" w:ascii="Times New Roman" w:hAnsi="Times New Roman" w:eastAsia="宋体" w:cs="Times New Roman"/>
                <w:b w:val="0"/>
                <w:bCs w:val="0"/>
                <w:color w:val="auto"/>
                <w:sz w:val="24"/>
                <w:highlight w:val="none"/>
                <w:lang w:val="en-US" w:eastAsia="zh-CN"/>
              </w:rPr>
            </w:pPr>
            <w:r>
              <w:rPr>
                <w:rFonts w:hint="default" w:ascii="Times New Roman" w:hAnsi="Times New Roman" w:eastAsia="宋体" w:cs="Times New Roman"/>
                <w:b w:val="0"/>
                <w:bCs w:val="0"/>
                <w:color w:val="auto"/>
                <w:sz w:val="24"/>
                <w:highlight w:val="none"/>
                <w:lang w:val="en-US" w:eastAsia="zh-CN"/>
              </w:rPr>
              <w:t>根据北京市环境保护局《关于转发环境保护部&lt;建设项目主要污染物排放总量指标审核及管理暂行办法&gt;的通知》（京环发[2015]19号）的规定、北京市环境保护局《关于建设项目主要污染物排放总量指标审核及管理的补充通知》（京环发[2016]24号）的规定，北京市实施建设项目总量指标审核及管理的污染物包括：二氧化硫和氮氧化物、烟粉尘、挥发性有机物（工业及汽车维修行业）、化学需氧量和氨氮。其中规定</w:t>
            </w:r>
            <w:r>
              <w:rPr>
                <w:rFonts w:hint="eastAsia" w:cs="Times New Roman"/>
                <w:b w:val="0"/>
                <w:bCs w:val="0"/>
                <w:color w:val="auto"/>
                <w:sz w:val="24"/>
                <w:highlight w:val="none"/>
                <w:lang w:val="en-US" w:eastAsia="zh-CN"/>
              </w:rPr>
              <w:t>“</w:t>
            </w:r>
            <w:r>
              <w:rPr>
                <w:rFonts w:hint="default" w:ascii="Times New Roman" w:hAnsi="Times New Roman" w:eastAsia="宋体" w:cs="Times New Roman"/>
                <w:b w:val="0"/>
                <w:bCs w:val="0"/>
                <w:color w:val="auto"/>
                <w:sz w:val="24"/>
                <w:highlight w:val="none"/>
                <w:lang w:val="en-US" w:eastAsia="zh-CN"/>
              </w:rPr>
              <w:t>纳入污水管网通过污水处理设施集中处理污水的生活源建设项目水污染物按照该污水处理厂排入地表水体的标准核算排放总量</w:t>
            </w:r>
            <w:r>
              <w:rPr>
                <w:rFonts w:hint="eastAsia" w:cs="Times New Roman"/>
                <w:b w:val="0"/>
                <w:bCs w:val="0"/>
                <w:color w:val="auto"/>
                <w:sz w:val="24"/>
                <w:highlight w:val="none"/>
                <w:lang w:val="en-US" w:eastAsia="zh-CN"/>
              </w:rPr>
              <w:t>”</w:t>
            </w:r>
            <w:r>
              <w:rPr>
                <w:rFonts w:hint="default" w:ascii="Times New Roman" w:hAnsi="Times New Roman" w:eastAsia="宋体" w:cs="Times New Roman"/>
                <w:b w:val="0"/>
                <w:bCs w:val="0"/>
                <w:color w:val="auto"/>
                <w:sz w:val="24"/>
                <w:highlight w:val="none"/>
                <w:lang w:val="en-US" w:eastAsia="zh-CN"/>
              </w:rPr>
              <w:t>。</w:t>
            </w:r>
          </w:p>
          <w:p w14:paraId="57D0D40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firstLine="480" w:firstLineChars="200"/>
              <w:jc w:val="both"/>
              <w:textAlignment w:val="auto"/>
              <w:rPr>
                <w:rFonts w:hint="default" w:ascii="Times New Roman" w:hAnsi="Times New Roman" w:eastAsia="宋体" w:cs="Times New Roman"/>
                <w:b w:val="0"/>
                <w:bCs w:val="0"/>
                <w:color w:val="auto"/>
                <w:sz w:val="24"/>
                <w:highlight w:val="none"/>
                <w:lang w:val="en-US" w:eastAsia="zh-CN"/>
              </w:rPr>
            </w:pPr>
            <w:r>
              <w:rPr>
                <w:rFonts w:hint="eastAsia" w:cs="Times New Roman"/>
                <w:b w:val="0"/>
                <w:bCs w:val="0"/>
                <w:color w:val="auto"/>
                <w:sz w:val="24"/>
                <w:highlight w:val="none"/>
                <w:lang w:val="en-US" w:eastAsia="zh-CN"/>
              </w:rPr>
              <w:t>2、建设项目污染物排放总量指标核算</w:t>
            </w:r>
          </w:p>
          <w:p w14:paraId="2B09B43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firstLine="480" w:firstLineChars="200"/>
              <w:jc w:val="both"/>
              <w:textAlignment w:val="auto"/>
              <w:rPr>
                <w:rFonts w:hint="default" w:ascii="Times New Roman" w:hAnsi="Times New Roman" w:eastAsia="宋体" w:cs="Times New Roman"/>
                <w:b w:val="0"/>
                <w:bCs w:val="0"/>
                <w:color w:val="auto"/>
                <w:sz w:val="24"/>
                <w:highlight w:val="none"/>
                <w:lang w:val="en-US" w:eastAsia="zh-CN"/>
              </w:rPr>
            </w:pPr>
            <w:r>
              <w:rPr>
                <w:rFonts w:hint="eastAsia" w:cs="Times New Roman"/>
                <w:b w:val="0"/>
                <w:bCs w:val="0"/>
                <w:color w:val="auto"/>
                <w:sz w:val="24"/>
                <w:highlight w:val="none"/>
                <w:lang w:val="en-US" w:eastAsia="zh-CN"/>
              </w:rPr>
              <w:t>（1）大气污染物排放总量指标核算</w:t>
            </w:r>
          </w:p>
          <w:p w14:paraId="7D8877C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firstLine="480" w:firstLineChars="200"/>
              <w:jc w:val="both"/>
              <w:textAlignment w:val="auto"/>
              <w:rPr>
                <w:rFonts w:hint="default" w:ascii="Times New Roman" w:hAnsi="Times New Roman" w:eastAsia="宋体" w:cs="Times New Roman"/>
                <w:b w:val="0"/>
                <w:bCs w:val="0"/>
                <w:color w:val="auto"/>
                <w:sz w:val="24"/>
                <w:highlight w:val="none"/>
                <w:lang w:val="en-US" w:eastAsia="zh-CN"/>
              </w:rPr>
            </w:pPr>
            <w:r>
              <w:rPr>
                <w:rFonts w:hint="eastAsia" w:cs="Times New Roman"/>
                <w:b w:val="0"/>
                <w:bCs w:val="0"/>
                <w:color w:val="auto"/>
                <w:sz w:val="24"/>
                <w:highlight w:val="none"/>
                <w:lang w:val="en-US" w:eastAsia="zh-CN"/>
              </w:rPr>
              <w:t>本项目为中医专科建设项目，不属于工业及汽车维修业，因此不需要申请挥发性有机物总量指标。本项目不设锅炉、食堂等，不产生</w:t>
            </w:r>
            <w:r>
              <w:rPr>
                <w:rFonts w:hint="default" w:ascii="Times New Roman" w:hAnsi="Times New Roman" w:eastAsia="宋体" w:cs="Times New Roman"/>
                <w:b w:val="0"/>
                <w:bCs w:val="0"/>
                <w:color w:val="auto"/>
                <w:sz w:val="24"/>
                <w:highlight w:val="none"/>
                <w:lang w:val="en-US" w:eastAsia="zh-CN"/>
              </w:rPr>
              <w:t>二氧化硫</w:t>
            </w:r>
            <w:r>
              <w:rPr>
                <w:rFonts w:hint="eastAsia" w:cs="Times New Roman"/>
                <w:b w:val="0"/>
                <w:bCs w:val="0"/>
                <w:color w:val="auto"/>
                <w:sz w:val="24"/>
                <w:highlight w:val="none"/>
                <w:lang w:val="en-US" w:eastAsia="zh-CN"/>
              </w:rPr>
              <w:t>、</w:t>
            </w:r>
            <w:r>
              <w:rPr>
                <w:rFonts w:hint="default" w:ascii="Times New Roman" w:hAnsi="Times New Roman" w:eastAsia="宋体" w:cs="Times New Roman"/>
                <w:b w:val="0"/>
                <w:bCs w:val="0"/>
                <w:color w:val="auto"/>
                <w:sz w:val="24"/>
                <w:highlight w:val="none"/>
                <w:lang w:val="en-US" w:eastAsia="zh-CN"/>
              </w:rPr>
              <w:t>氮氧化物</w:t>
            </w:r>
            <w:r>
              <w:rPr>
                <w:rFonts w:hint="eastAsia" w:cs="Times New Roman"/>
                <w:b w:val="0"/>
                <w:bCs w:val="0"/>
                <w:color w:val="auto"/>
                <w:sz w:val="24"/>
                <w:highlight w:val="none"/>
                <w:lang w:val="en-US" w:eastAsia="zh-CN"/>
              </w:rPr>
              <w:t>和颗粒物，因此不需要申请</w:t>
            </w:r>
            <w:r>
              <w:rPr>
                <w:rFonts w:hint="default" w:ascii="Times New Roman" w:hAnsi="Times New Roman" w:eastAsia="宋体" w:cs="Times New Roman"/>
                <w:b w:val="0"/>
                <w:bCs w:val="0"/>
                <w:color w:val="auto"/>
                <w:sz w:val="24"/>
                <w:highlight w:val="none"/>
                <w:lang w:val="en-US" w:eastAsia="zh-CN"/>
              </w:rPr>
              <w:t>二氧化硫</w:t>
            </w:r>
            <w:r>
              <w:rPr>
                <w:rFonts w:hint="eastAsia" w:cs="Times New Roman"/>
                <w:b w:val="0"/>
                <w:bCs w:val="0"/>
                <w:color w:val="auto"/>
                <w:sz w:val="24"/>
                <w:highlight w:val="none"/>
                <w:lang w:val="en-US" w:eastAsia="zh-CN"/>
              </w:rPr>
              <w:t>、</w:t>
            </w:r>
            <w:r>
              <w:rPr>
                <w:rFonts w:hint="default" w:ascii="Times New Roman" w:hAnsi="Times New Roman" w:eastAsia="宋体" w:cs="Times New Roman"/>
                <w:b w:val="0"/>
                <w:bCs w:val="0"/>
                <w:color w:val="auto"/>
                <w:sz w:val="24"/>
                <w:highlight w:val="none"/>
                <w:lang w:val="en-US" w:eastAsia="zh-CN"/>
              </w:rPr>
              <w:t>氮氧化物</w:t>
            </w:r>
            <w:r>
              <w:rPr>
                <w:rFonts w:hint="eastAsia" w:cs="Times New Roman"/>
                <w:b w:val="0"/>
                <w:bCs w:val="0"/>
                <w:color w:val="auto"/>
                <w:sz w:val="24"/>
                <w:highlight w:val="none"/>
                <w:lang w:val="en-US" w:eastAsia="zh-CN"/>
              </w:rPr>
              <w:t>、烟粉尘总量指标。</w:t>
            </w:r>
          </w:p>
          <w:p w14:paraId="4CB969D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firstLine="480" w:firstLineChars="200"/>
              <w:jc w:val="both"/>
              <w:textAlignment w:val="auto"/>
              <w:rPr>
                <w:rFonts w:hint="default" w:ascii="Times New Roman" w:hAnsi="Times New Roman" w:eastAsia="宋体" w:cs="Times New Roman"/>
                <w:b w:val="0"/>
                <w:bCs w:val="0"/>
                <w:color w:val="auto"/>
                <w:sz w:val="24"/>
                <w:highlight w:val="none"/>
                <w:lang w:val="en-US" w:eastAsia="zh-CN"/>
              </w:rPr>
            </w:pPr>
            <w:r>
              <w:rPr>
                <w:rFonts w:hint="eastAsia" w:cs="Times New Roman"/>
                <w:b w:val="0"/>
                <w:bCs w:val="0"/>
                <w:color w:val="auto"/>
                <w:sz w:val="24"/>
                <w:highlight w:val="none"/>
                <w:lang w:val="en-US" w:eastAsia="zh-CN"/>
              </w:rPr>
              <w:t>（2）水污染物排放总量指标核算</w:t>
            </w:r>
          </w:p>
          <w:p w14:paraId="2E5F87E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firstLine="480" w:firstLineChars="200"/>
              <w:jc w:val="both"/>
              <w:textAlignment w:val="auto"/>
              <w:rPr>
                <w:rFonts w:hint="eastAsia" w:cs="Times New Roman"/>
                <w:b w:val="0"/>
                <w:bCs w:val="0"/>
                <w:color w:val="auto"/>
                <w:sz w:val="24"/>
                <w:highlight w:val="none"/>
                <w:lang w:val="en-US" w:eastAsia="zh-CN"/>
              </w:rPr>
            </w:pPr>
            <w:r>
              <w:rPr>
                <w:rFonts w:hint="eastAsia" w:cs="Times New Roman"/>
                <w:b w:val="0"/>
                <w:bCs w:val="0"/>
                <w:color w:val="auto"/>
                <w:sz w:val="24"/>
                <w:highlight w:val="none"/>
                <w:lang w:val="en-US" w:eastAsia="zh-CN"/>
              </w:rPr>
              <w:t>项目从事中西医结合医院运营，开展各科医疗科室门诊、住院及相关服务，涉及排放的总量控制污染物为废水中的化学需氧量和氨氮。</w:t>
            </w:r>
          </w:p>
          <w:p w14:paraId="47D8CE0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firstLine="480" w:firstLineChars="200"/>
              <w:jc w:val="both"/>
              <w:textAlignment w:val="auto"/>
              <w:rPr>
                <w:rFonts w:hint="default" w:cs="Times New Roman"/>
                <w:b w:val="0"/>
                <w:bCs w:val="0"/>
                <w:color w:val="auto"/>
                <w:sz w:val="24"/>
                <w:highlight w:val="none"/>
                <w:lang w:val="en-US" w:eastAsia="zh-CN"/>
              </w:rPr>
            </w:pPr>
            <w:r>
              <w:rPr>
                <w:rFonts w:hint="eastAsia" w:cs="Times New Roman"/>
                <w:b w:val="0"/>
                <w:bCs w:val="0"/>
                <w:color w:val="auto"/>
                <w:sz w:val="24"/>
                <w:highlight w:val="none"/>
                <w:lang w:val="en-US" w:eastAsia="zh-CN"/>
              </w:rPr>
              <w:t>本项目所排废水为病房废水、门诊废水、行政人员生活废水、卫生清扫废水等，全部废水均视为医疗废水。医疗废水经污水处理设施处理后经市政污水管网进入清河再生水厂集中处理。本项目废水排放量2250.60m</w:t>
            </w:r>
            <w:r>
              <w:rPr>
                <w:rFonts w:hint="eastAsia" w:cs="Times New Roman"/>
                <w:b w:val="0"/>
                <w:bCs w:val="0"/>
                <w:color w:val="auto"/>
                <w:sz w:val="24"/>
                <w:highlight w:val="none"/>
                <w:vertAlign w:val="superscript"/>
                <w:lang w:val="en-US" w:eastAsia="zh-CN"/>
              </w:rPr>
              <w:t>3</w:t>
            </w:r>
            <w:r>
              <w:rPr>
                <w:rFonts w:hint="eastAsia" w:cs="Times New Roman"/>
                <w:b w:val="0"/>
                <w:bCs w:val="0"/>
                <w:color w:val="auto"/>
                <w:sz w:val="24"/>
                <w:highlight w:val="none"/>
                <w:lang w:val="en-US" w:eastAsia="zh-CN"/>
              </w:rPr>
              <w:t>/a。</w:t>
            </w:r>
          </w:p>
          <w:p w14:paraId="730B5AC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firstLine="480" w:firstLineChars="200"/>
              <w:jc w:val="both"/>
              <w:textAlignment w:val="auto"/>
              <w:rPr>
                <w:rFonts w:hint="eastAsia" w:cs="Times New Roman"/>
                <w:b w:val="0"/>
                <w:bCs w:val="0"/>
                <w:color w:val="auto"/>
                <w:sz w:val="24"/>
                <w:highlight w:val="none"/>
                <w:lang w:val="en-US" w:eastAsia="zh-CN"/>
              </w:rPr>
            </w:pPr>
            <w:r>
              <w:rPr>
                <w:rFonts w:hint="eastAsia" w:cs="Times New Roman"/>
                <w:b w:val="0"/>
                <w:bCs w:val="0"/>
                <w:color w:val="auto"/>
                <w:sz w:val="24"/>
                <w:highlight w:val="none"/>
                <w:lang w:val="en-US" w:eastAsia="zh-CN"/>
              </w:rPr>
              <w:t>清河再生水厂排水执行《城镇污水处理厂水污染物排放标准》（DB11/890-2012）中“表1新（改、扩）建城镇污水处理厂基本控制项目排放限值B标准”相关要求，其排水水质浓度限值为：COD30mg/L、氨氮1.5（2.5）mg/L（12月1日-3月31日执行2.5mg/L，其余时间执行1.5mg/L）。</w:t>
            </w:r>
          </w:p>
          <w:p w14:paraId="459122C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firstLine="480" w:firstLineChars="200"/>
              <w:jc w:val="both"/>
              <w:textAlignment w:val="auto"/>
              <w:rPr>
                <w:rFonts w:hint="eastAsia" w:cs="Times New Roman"/>
                <w:b w:val="0"/>
                <w:bCs w:val="0"/>
                <w:color w:val="auto"/>
                <w:sz w:val="24"/>
                <w:highlight w:val="none"/>
                <w:lang w:val="en-US" w:eastAsia="zh-CN"/>
              </w:rPr>
            </w:pPr>
            <w:r>
              <w:rPr>
                <w:rFonts w:hint="eastAsia" w:cs="Times New Roman"/>
                <w:b w:val="0"/>
                <w:bCs w:val="0"/>
                <w:color w:val="auto"/>
                <w:sz w:val="24"/>
                <w:highlight w:val="none"/>
                <w:lang w:val="en-US" w:eastAsia="zh-CN"/>
              </w:rPr>
              <w:t>化学需氧量COD最大允许排放量为：</w:t>
            </w:r>
          </w:p>
          <w:p w14:paraId="00ADCC0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firstLine="480" w:firstLineChars="200"/>
              <w:jc w:val="both"/>
              <w:textAlignment w:val="auto"/>
              <w:rPr>
                <w:rFonts w:hint="default" w:cs="Times New Roman"/>
                <w:b w:val="0"/>
                <w:bCs w:val="0"/>
                <w:color w:val="auto"/>
                <w:sz w:val="24"/>
                <w:highlight w:val="none"/>
                <w:lang w:val="en-US" w:eastAsia="zh-CN"/>
              </w:rPr>
            </w:pPr>
            <w:r>
              <w:rPr>
                <w:rFonts w:hint="eastAsia" w:cs="Times New Roman"/>
                <w:b w:val="0"/>
                <w:bCs w:val="0"/>
                <w:color w:val="auto"/>
                <w:sz w:val="24"/>
                <w:highlight w:val="none"/>
                <w:lang w:val="en-US" w:eastAsia="zh-CN"/>
              </w:rPr>
              <w:t>2250.60m</w:t>
            </w:r>
            <w:r>
              <w:rPr>
                <w:rFonts w:hint="eastAsia" w:cs="Times New Roman"/>
                <w:b w:val="0"/>
                <w:bCs w:val="0"/>
                <w:color w:val="auto"/>
                <w:sz w:val="24"/>
                <w:highlight w:val="none"/>
                <w:vertAlign w:val="superscript"/>
                <w:lang w:val="en-US" w:eastAsia="zh-CN"/>
              </w:rPr>
              <w:t>3</w:t>
            </w:r>
            <w:r>
              <w:rPr>
                <w:rFonts w:hint="eastAsia" w:cs="Times New Roman"/>
                <w:b w:val="0"/>
                <w:bCs w:val="0"/>
                <w:color w:val="auto"/>
                <w:sz w:val="24"/>
                <w:highlight w:val="none"/>
                <w:lang w:val="en-US" w:eastAsia="zh-CN"/>
              </w:rPr>
              <w:t>/a×30mg/L×10</w:t>
            </w:r>
            <w:r>
              <w:rPr>
                <w:rFonts w:hint="eastAsia" w:cs="Times New Roman"/>
                <w:b w:val="0"/>
                <w:bCs w:val="0"/>
                <w:color w:val="auto"/>
                <w:sz w:val="24"/>
                <w:highlight w:val="none"/>
                <w:vertAlign w:val="superscript"/>
                <w:lang w:val="en-US" w:eastAsia="zh-CN"/>
              </w:rPr>
              <w:t>-6</w:t>
            </w:r>
            <w:r>
              <w:rPr>
                <w:rFonts w:hint="eastAsia" w:cs="Times New Roman"/>
                <w:b w:val="0"/>
                <w:bCs w:val="0"/>
                <w:color w:val="auto"/>
                <w:sz w:val="24"/>
                <w:highlight w:val="none"/>
                <w:lang w:val="en-US" w:eastAsia="zh-CN"/>
              </w:rPr>
              <w:t>=0.068t/a</w:t>
            </w:r>
          </w:p>
          <w:p w14:paraId="2A3B208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firstLine="480" w:firstLineChars="200"/>
              <w:jc w:val="both"/>
              <w:textAlignment w:val="auto"/>
              <w:rPr>
                <w:rFonts w:hint="eastAsia" w:cs="Times New Roman"/>
                <w:b w:val="0"/>
                <w:bCs w:val="0"/>
                <w:color w:val="auto"/>
                <w:sz w:val="24"/>
                <w:highlight w:val="none"/>
                <w:lang w:val="en-US" w:eastAsia="zh-CN"/>
              </w:rPr>
            </w:pPr>
            <w:r>
              <w:rPr>
                <w:rFonts w:hint="eastAsia" w:cs="Times New Roman"/>
                <w:b w:val="0"/>
                <w:bCs w:val="0"/>
                <w:color w:val="auto"/>
                <w:sz w:val="24"/>
                <w:highlight w:val="none"/>
                <w:lang w:val="en-US" w:eastAsia="zh-CN"/>
              </w:rPr>
              <w:t>氨氮最大允许排放量为：</w:t>
            </w:r>
          </w:p>
          <w:p w14:paraId="5EE42CB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firstLine="480" w:firstLineChars="200"/>
              <w:jc w:val="both"/>
              <w:textAlignment w:val="auto"/>
              <w:rPr>
                <w:rFonts w:hint="eastAsia" w:cs="Times New Roman"/>
                <w:b w:val="0"/>
                <w:bCs w:val="0"/>
                <w:color w:val="auto"/>
                <w:sz w:val="24"/>
                <w:highlight w:val="none"/>
                <w:lang w:val="en-US" w:eastAsia="zh-CN"/>
              </w:rPr>
            </w:pPr>
            <w:r>
              <w:rPr>
                <w:rFonts w:hint="eastAsia" w:cs="Times New Roman"/>
                <w:b w:val="0"/>
                <w:bCs w:val="0"/>
                <w:color w:val="auto"/>
                <w:sz w:val="24"/>
                <w:highlight w:val="none"/>
                <w:lang w:val="en-US" w:eastAsia="zh-CN"/>
              </w:rPr>
              <w:t>2250.60m</w:t>
            </w:r>
            <w:r>
              <w:rPr>
                <w:rFonts w:hint="eastAsia" w:cs="Times New Roman"/>
                <w:b w:val="0"/>
                <w:bCs w:val="0"/>
                <w:color w:val="auto"/>
                <w:sz w:val="24"/>
                <w:highlight w:val="none"/>
                <w:vertAlign w:val="superscript"/>
                <w:lang w:val="en-US" w:eastAsia="zh-CN"/>
              </w:rPr>
              <w:t>3</w:t>
            </w:r>
            <w:r>
              <w:rPr>
                <w:rFonts w:hint="eastAsia" w:cs="Times New Roman"/>
                <w:b w:val="0"/>
                <w:bCs w:val="0"/>
                <w:color w:val="auto"/>
                <w:sz w:val="24"/>
                <w:highlight w:val="none"/>
                <w:lang w:val="en-US" w:eastAsia="zh-CN"/>
              </w:rPr>
              <w:t>/a×（1.5mg/L×2/3+2.5mg/L×1/3）×10</w:t>
            </w:r>
            <w:r>
              <w:rPr>
                <w:rFonts w:hint="eastAsia" w:cs="Times New Roman"/>
                <w:b w:val="0"/>
                <w:bCs w:val="0"/>
                <w:color w:val="auto"/>
                <w:sz w:val="24"/>
                <w:highlight w:val="none"/>
                <w:vertAlign w:val="superscript"/>
                <w:lang w:val="en-US" w:eastAsia="zh-CN"/>
              </w:rPr>
              <w:t>-6</w:t>
            </w:r>
            <w:r>
              <w:rPr>
                <w:rFonts w:hint="eastAsia" w:cs="Times New Roman"/>
                <w:b w:val="0"/>
                <w:bCs w:val="0"/>
                <w:color w:val="auto"/>
                <w:sz w:val="24"/>
                <w:highlight w:val="none"/>
                <w:lang w:val="en-US" w:eastAsia="zh-CN"/>
              </w:rPr>
              <w:t>=0.004t/a</w:t>
            </w:r>
          </w:p>
          <w:p w14:paraId="24BCA9D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firstLine="480" w:firstLineChars="200"/>
              <w:jc w:val="both"/>
              <w:textAlignment w:val="auto"/>
              <w:rPr>
                <w:rFonts w:hint="default" w:cs="Times New Roman"/>
                <w:b w:val="0"/>
                <w:bCs w:val="0"/>
                <w:color w:val="auto"/>
                <w:sz w:val="24"/>
                <w:highlight w:val="none"/>
                <w:lang w:val="en-US" w:eastAsia="zh-CN"/>
              </w:rPr>
            </w:pPr>
            <w:r>
              <w:rPr>
                <w:rFonts w:hint="eastAsia" w:cs="Times New Roman"/>
                <w:b w:val="0"/>
                <w:bCs w:val="0"/>
                <w:color w:val="auto"/>
                <w:sz w:val="24"/>
                <w:highlight w:val="none"/>
                <w:lang w:val="en-US" w:eastAsia="zh-CN"/>
              </w:rPr>
              <w:t>3、总量控制指标</w:t>
            </w:r>
          </w:p>
          <w:p w14:paraId="005DFE9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firstLine="480" w:firstLineChars="200"/>
              <w:jc w:val="both"/>
              <w:textAlignment w:val="auto"/>
              <w:rPr>
                <w:rFonts w:hint="default" w:cs="Times New Roman"/>
                <w:b w:val="0"/>
                <w:bCs w:val="0"/>
                <w:color w:val="auto"/>
                <w:sz w:val="24"/>
                <w:highlight w:val="none"/>
                <w:lang w:val="en-US" w:eastAsia="zh-CN"/>
              </w:rPr>
            </w:pPr>
            <w:r>
              <w:rPr>
                <w:rFonts w:hint="default" w:cs="Times New Roman"/>
                <w:b w:val="0"/>
                <w:bCs w:val="0"/>
                <w:color w:val="auto"/>
                <w:sz w:val="24"/>
                <w:highlight w:val="none"/>
                <w:lang w:val="en-US" w:eastAsia="zh-CN"/>
              </w:rPr>
              <w:t>根据北京市环境保护局关于《转发环境保护部&lt;建设项目主要污染物排放总量指标审核及管理暂行办法&gt;的通知（京环发[2015]19号，2015年7月15日起执行）中的相关规定：</w:t>
            </w:r>
            <w:r>
              <w:rPr>
                <w:rFonts w:hint="eastAsia" w:cs="Times New Roman"/>
                <w:b w:val="0"/>
                <w:bCs w:val="0"/>
                <w:color w:val="auto"/>
                <w:sz w:val="24"/>
                <w:highlight w:val="none"/>
                <w:lang w:val="en-US" w:eastAsia="zh-CN"/>
              </w:rPr>
              <w:t>“</w:t>
            </w:r>
            <w:r>
              <w:rPr>
                <w:rFonts w:hint="default" w:cs="Times New Roman"/>
                <w:b w:val="0"/>
                <w:bCs w:val="0"/>
                <w:color w:val="auto"/>
                <w:sz w:val="24"/>
                <w:highlight w:val="none"/>
                <w:lang w:val="en-US" w:eastAsia="zh-CN"/>
              </w:rPr>
              <w:t>该办法适用于各级环境保护主管部门对建设项目（不含城镇生活污水处理厂、垃圾处理场、危险废物和医疗废物处置场）主要污染排放总量指标的审核与管理。上一年度环境空气质量平均浓度不达标的城市、水环境质量未到要求的市县，相关污染物应按照建设项目所需替代的主要排放总量指标2倍进行削减替代。</w:t>
            </w:r>
            <w:r>
              <w:rPr>
                <w:rFonts w:hint="eastAsia" w:cs="Times New Roman"/>
                <w:b w:val="0"/>
                <w:bCs w:val="0"/>
                <w:color w:val="auto"/>
                <w:sz w:val="24"/>
                <w:highlight w:val="none"/>
                <w:lang w:val="en-US" w:eastAsia="zh-CN"/>
              </w:rPr>
              <w:t>”</w:t>
            </w:r>
          </w:p>
          <w:p w14:paraId="7806779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firstLine="480" w:firstLineChars="200"/>
              <w:jc w:val="both"/>
              <w:textAlignment w:val="auto"/>
              <w:rPr>
                <w:rFonts w:hint="default" w:cs="Times New Roman"/>
                <w:b w:val="0"/>
                <w:bCs w:val="0"/>
                <w:color w:val="auto"/>
                <w:sz w:val="24"/>
                <w:highlight w:val="none"/>
                <w:lang w:val="en-US" w:eastAsia="zh-CN"/>
              </w:rPr>
            </w:pPr>
            <w:r>
              <w:rPr>
                <w:rFonts w:hint="eastAsia" w:cs="Times New Roman"/>
                <w:b w:val="0"/>
                <w:bCs w:val="0"/>
                <w:color w:val="auto"/>
                <w:sz w:val="24"/>
                <w:highlight w:val="none"/>
                <w:lang w:val="en-US" w:eastAsia="zh-CN"/>
              </w:rPr>
              <w:t>本项目所在海淀区上一年度水环境质量达到要求，无需按照2倍进行削减替代。则本项目水污染物总量指标为化学需氧量0.068t/a、氨氮0.004t/a</w:t>
            </w:r>
          </w:p>
          <w:p w14:paraId="6B01820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firstLine="480" w:firstLineChars="200"/>
              <w:jc w:val="both"/>
              <w:textAlignment w:val="auto"/>
              <w:rPr>
                <w:rFonts w:hint="default" w:ascii="Times New Roman" w:hAnsi="Times New Roman" w:eastAsia="宋体" w:cs="Times New Roman"/>
                <w:b w:val="0"/>
                <w:bCs w:val="0"/>
                <w:color w:val="auto"/>
                <w:sz w:val="24"/>
                <w:highlight w:val="none"/>
                <w:lang w:val="en-US" w:eastAsia="zh-CN"/>
              </w:rPr>
            </w:pPr>
          </w:p>
          <w:p w14:paraId="531BB66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firstLine="480" w:firstLineChars="200"/>
              <w:jc w:val="both"/>
              <w:textAlignment w:val="auto"/>
              <w:rPr>
                <w:rFonts w:hint="default" w:ascii="Times New Roman" w:hAnsi="Times New Roman" w:eastAsia="宋体" w:cs="Times New Roman"/>
                <w:b w:val="0"/>
                <w:bCs w:val="0"/>
                <w:color w:val="auto"/>
                <w:sz w:val="24"/>
                <w:highlight w:val="none"/>
                <w:lang w:val="en-US" w:eastAsia="zh-CN"/>
              </w:rPr>
            </w:pPr>
          </w:p>
          <w:p w14:paraId="7120FE4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firstLine="480" w:firstLineChars="200"/>
              <w:jc w:val="both"/>
              <w:textAlignment w:val="auto"/>
              <w:rPr>
                <w:rFonts w:hint="default" w:ascii="Times New Roman" w:hAnsi="Times New Roman" w:eastAsia="宋体" w:cs="Times New Roman"/>
                <w:b w:val="0"/>
                <w:bCs w:val="0"/>
                <w:color w:val="auto"/>
                <w:sz w:val="24"/>
                <w:highlight w:val="none"/>
                <w:lang w:val="en-US" w:eastAsia="zh-CN"/>
              </w:rPr>
            </w:pPr>
          </w:p>
          <w:p w14:paraId="0E35A85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firstLine="480" w:firstLineChars="200"/>
              <w:jc w:val="both"/>
              <w:textAlignment w:val="auto"/>
              <w:rPr>
                <w:rFonts w:hint="default" w:ascii="Times New Roman" w:hAnsi="Times New Roman" w:eastAsia="宋体" w:cs="Times New Roman"/>
                <w:b w:val="0"/>
                <w:bCs w:val="0"/>
                <w:color w:val="auto"/>
                <w:sz w:val="24"/>
                <w:highlight w:val="none"/>
                <w:lang w:val="en-US" w:eastAsia="zh-CN"/>
              </w:rPr>
            </w:pPr>
          </w:p>
          <w:p w14:paraId="19E2409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firstLine="480" w:firstLineChars="200"/>
              <w:jc w:val="both"/>
              <w:textAlignment w:val="auto"/>
              <w:rPr>
                <w:rFonts w:hint="default" w:ascii="Times New Roman" w:hAnsi="Times New Roman" w:eastAsia="宋体" w:cs="Times New Roman"/>
                <w:b w:val="0"/>
                <w:bCs w:val="0"/>
                <w:color w:val="auto"/>
                <w:sz w:val="24"/>
                <w:highlight w:val="none"/>
                <w:lang w:val="en-US" w:eastAsia="zh-CN"/>
              </w:rPr>
            </w:pPr>
          </w:p>
          <w:p w14:paraId="424487A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firstLine="480" w:firstLineChars="200"/>
              <w:jc w:val="both"/>
              <w:textAlignment w:val="auto"/>
              <w:rPr>
                <w:rFonts w:hint="default" w:ascii="Times New Roman" w:hAnsi="Times New Roman" w:eastAsia="宋体" w:cs="Times New Roman"/>
                <w:b w:val="0"/>
                <w:bCs w:val="0"/>
                <w:color w:val="auto"/>
                <w:sz w:val="24"/>
                <w:highlight w:val="none"/>
                <w:lang w:val="en-US" w:eastAsia="zh-CN"/>
              </w:rPr>
            </w:pPr>
          </w:p>
          <w:p w14:paraId="32DFE73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firstLine="480" w:firstLineChars="200"/>
              <w:jc w:val="both"/>
              <w:textAlignment w:val="auto"/>
              <w:rPr>
                <w:rFonts w:hint="default" w:ascii="Times New Roman" w:hAnsi="Times New Roman" w:eastAsia="宋体" w:cs="Times New Roman"/>
                <w:b w:val="0"/>
                <w:bCs w:val="0"/>
                <w:color w:val="auto"/>
                <w:sz w:val="24"/>
                <w:highlight w:val="none"/>
                <w:lang w:val="en-US" w:eastAsia="zh-CN"/>
              </w:rPr>
            </w:pPr>
          </w:p>
          <w:p w14:paraId="297D29A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firstLine="480" w:firstLineChars="200"/>
              <w:jc w:val="both"/>
              <w:textAlignment w:val="auto"/>
              <w:rPr>
                <w:rFonts w:hint="default" w:ascii="Times New Roman" w:hAnsi="Times New Roman" w:eastAsia="宋体" w:cs="Times New Roman"/>
                <w:b w:val="0"/>
                <w:bCs w:val="0"/>
                <w:color w:val="auto"/>
                <w:sz w:val="24"/>
                <w:highlight w:val="none"/>
                <w:lang w:val="en-US" w:eastAsia="zh-CN"/>
              </w:rPr>
            </w:pPr>
          </w:p>
        </w:tc>
      </w:tr>
    </w:tbl>
    <w:p w14:paraId="24BD3DD1">
      <w:pPr>
        <w:spacing w:before="0" w:beforeAutospacing="0" w:after="0" w:afterAutospacing="0"/>
        <w:jc w:val="center"/>
        <w:outlineLvl w:val="0"/>
        <w:rPr>
          <w:rFonts w:ascii="黑体" w:hAnsi="黑体" w:eastAsia="黑体"/>
          <w:snapToGrid w:val="0"/>
          <w:color w:val="auto"/>
          <w:sz w:val="30"/>
          <w:szCs w:val="30"/>
          <w:highlight w:val="none"/>
        </w:rPr>
      </w:pPr>
      <w:r>
        <w:rPr>
          <w:rFonts w:hint="eastAsia" w:ascii="黑体" w:hAnsi="黑体" w:eastAsia="黑体"/>
          <w:snapToGrid w:val="0"/>
          <w:color w:val="auto"/>
          <w:sz w:val="30"/>
          <w:szCs w:val="30"/>
          <w:highlight w:val="none"/>
        </w:rPr>
        <w:br w:type="page"/>
      </w:r>
      <w:r>
        <w:rPr>
          <w:rFonts w:hint="eastAsia" w:ascii="黑体" w:hAnsi="黑体" w:eastAsia="黑体"/>
          <w:snapToGrid w:val="0"/>
          <w:color w:val="auto"/>
          <w:sz w:val="30"/>
          <w:szCs w:val="30"/>
          <w:highlight w:val="none"/>
        </w:rPr>
        <w:t>四、主要环境影响和保护措施</w:t>
      </w:r>
    </w:p>
    <w:tbl>
      <w:tblPr>
        <w:tblStyle w:val="12"/>
        <w:tblW w:w="5224"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71"/>
        <w:gridCol w:w="8729"/>
      </w:tblGrid>
      <w:tr w14:paraId="73637B9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4" w:type="dxa"/>
            <w:tcMar>
              <w:left w:w="28" w:type="dxa"/>
              <w:right w:w="28" w:type="dxa"/>
            </w:tcMar>
            <w:vAlign w:val="center"/>
          </w:tcPr>
          <w:p w14:paraId="61E61EB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b w:val="0"/>
                <w:bCs w:val="0"/>
                <w:color w:val="auto"/>
                <w:kern w:val="2"/>
                <w:highlight w:val="none"/>
              </w:rPr>
            </w:pPr>
            <w:r>
              <w:rPr>
                <w:rFonts w:hint="default" w:ascii="Times New Roman" w:hAnsi="Times New Roman"/>
                <w:b w:val="0"/>
                <w:bCs w:val="0"/>
                <w:color w:val="auto"/>
                <w:kern w:val="2"/>
                <w:highlight w:val="none"/>
              </w:rPr>
              <w:t>施工期环境保护措施</w:t>
            </w:r>
          </w:p>
        </w:tc>
        <w:tc>
          <w:tcPr>
            <w:tcW w:w="8653" w:type="dxa"/>
            <w:vAlign w:val="center"/>
          </w:tcPr>
          <w:p w14:paraId="03BE0B1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b w:val="0"/>
                <w:bCs w:val="0"/>
                <w:color w:val="auto"/>
                <w:spacing w:val="0"/>
                <w:sz w:val="24"/>
                <w:szCs w:val="24"/>
                <w:highlight w:val="none"/>
              </w:rPr>
            </w:pPr>
            <w:r>
              <w:rPr>
                <w:rFonts w:hint="default" w:ascii="Times New Roman" w:hAnsi="Times New Roman" w:eastAsia="宋体" w:cs="Times New Roman"/>
                <w:b w:val="0"/>
                <w:bCs w:val="0"/>
                <w:color w:val="auto"/>
                <w:spacing w:val="0"/>
                <w:sz w:val="24"/>
                <w:szCs w:val="24"/>
                <w:highlight w:val="none"/>
              </w:rPr>
              <w:t>本项目租用现有房屋进行建设，不涉及土建施工，施工期仅为室内装修，设备安装调试，仅在昼间开展，施工过程产生的污染物主要为噪声和建筑垃圾。</w:t>
            </w:r>
          </w:p>
          <w:p w14:paraId="6CBEA64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b w:val="0"/>
                <w:bCs w:val="0"/>
                <w:color w:val="auto"/>
                <w:spacing w:val="0"/>
                <w:sz w:val="24"/>
                <w:szCs w:val="24"/>
                <w:highlight w:val="none"/>
                <w:lang w:val="en-US" w:eastAsia="zh-CN"/>
              </w:rPr>
            </w:pPr>
            <w:r>
              <w:rPr>
                <w:rFonts w:hint="default" w:ascii="Times New Roman" w:hAnsi="Times New Roman" w:eastAsia="宋体" w:cs="Times New Roman"/>
                <w:b w:val="0"/>
                <w:bCs w:val="0"/>
                <w:color w:val="auto"/>
                <w:spacing w:val="0"/>
                <w:sz w:val="24"/>
                <w:szCs w:val="24"/>
                <w:highlight w:val="none"/>
                <w:lang w:val="en-US" w:eastAsia="zh-CN"/>
              </w:rPr>
              <w:t>本项目施工时间约为2个月，本项目施工期主要污染物为施工噪声，同时产生少量装修粉尘、装修垃圾、生活垃圾和生活污水。随着施工期的结束，对环境的影响也随之消失。</w:t>
            </w:r>
          </w:p>
          <w:p w14:paraId="4D2CB57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b w:val="0"/>
                <w:bCs w:val="0"/>
                <w:color w:val="auto"/>
                <w:spacing w:val="0"/>
                <w:sz w:val="24"/>
                <w:szCs w:val="24"/>
                <w:highlight w:val="none"/>
                <w:lang w:val="en-US" w:eastAsia="zh-CN"/>
              </w:rPr>
            </w:pPr>
            <w:r>
              <w:rPr>
                <w:rFonts w:hint="default" w:ascii="Times New Roman" w:hAnsi="Times New Roman" w:eastAsia="宋体" w:cs="Times New Roman"/>
                <w:b w:val="0"/>
                <w:bCs w:val="0"/>
                <w:color w:val="auto"/>
                <w:spacing w:val="0"/>
                <w:sz w:val="24"/>
                <w:szCs w:val="24"/>
                <w:highlight w:val="none"/>
                <w:lang w:val="en-US" w:eastAsia="zh-CN"/>
              </w:rPr>
              <w:t>1</w:t>
            </w:r>
            <w:r>
              <w:rPr>
                <w:rFonts w:hint="eastAsia" w:ascii="Times New Roman" w:hAnsi="Times New Roman" w:eastAsia="宋体" w:cs="Times New Roman"/>
                <w:b w:val="0"/>
                <w:bCs w:val="0"/>
                <w:color w:val="auto"/>
                <w:spacing w:val="0"/>
                <w:sz w:val="24"/>
                <w:szCs w:val="24"/>
                <w:highlight w:val="none"/>
                <w:lang w:val="en-US" w:eastAsia="zh-CN"/>
              </w:rPr>
              <w:t>、</w:t>
            </w:r>
            <w:r>
              <w:rPr>
                <w:rFonts w:hint="default" w:ascii="Times New Roman" w:hAnsi="Times New Roman" w:eastAsia="宋体" w:cs="Times New Roman"/>
                <w:b w:val="0"/>
                <w:bCs w:val="0"/>
                <w:color w:val="auto"/>
                <w:spacing w:val="0"/>
                <w:sz w:val="24"/>
                <w:szCs w:val="24"/>
                <w:highlight w:val="none"/>
                <w:lang w:val="en-US" w:eastAsia="zh-CN"/>
              </w:rPr>
              <w:t>废气</w:t>
            </w:r>
          </w:p>
          <w:p w14:paraId="552D4D7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b w:val="0"/>
                <w:bCs w:val="0"/>
                <w:color w:val="auto"/>
                <w:spacing w:val="0"/>
                <w:sz w:val="24"/>
                <w:szCs w:val="24"/>
                <w:highlight w:val="none"/>
                <w:lang w:val="en-US" w:eastAsia="zh-CN"/>
              </w:rPr>
            </w:pPr>
            <w:r>
              <w:rPr>
                <w:rFonts w:hint="default" w:ascii="Times New Roman" w:hAnsi="Times New Roman" w:eastAsia="宋体" w:cs="Times New Roman"/>
                <w:b w:val="0"/>
                <w:bCs w:val="0"/>
                <w:color w:val="auto"/>
                <w:spacing w:val="0"/>
                <w:sz w:val="24"/>
                <w:szCs w:val="24"/>
                <w:highlight w:val="none"/>
                <w:lang w:val="en-US" w:eastAsia="zh-CN"/>
              </w:rPr>
              <w:t>（1）施工材料及废弃物不在室外堆放；及时清运装修过程产生的废渣至北京市规定的建筑垃圾处置场进行处置。</w:t>
            </w:r>
          </w:p>
          <w:p w14:paraId="23E1E5F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b w:val="0"/>
                <w:bCs w:val="0"/>
                <w:color w:val="auto"/>
                <w:spacing w:val="0"/>
                <w:sz w:val="24"/>
                <w:szCs w:val="24"/>
                <w:highlight w:val="none"/>
                <w:lang w:val="en-US" w:eastAsia="zh-CN"/>
              </w:rPr>
            </w:pPr>
            <w:r>
              <w:rPr>
                <w:rFonts w:hint="default" w:ascii="Times New Roman" w:hAnsi="Times New Roman" w:eastAsia="宋体" w:cs="Times New Roman"/>
                <w:b w:val="0"/>
                <w:bCs w:val="0"/>
                <w:color w:val="auto"/>
                <w:spacing w:val="0"/>
                <w:sz w:val="24"/>
                <w:szCs w:val="24"/>
                <w:highlight w:val="none"/>
                <w:lang w:val="en-US" w:eastAsia="zh-CN"/>
              </w:rPr>
              <w:t>（2）物料运输路线尽量避开周边的居民区。</w:t>
            </w:r>
          </w:p>
          <w:p w14:paraId="7D0C764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b w:val="0"/>
                <w:bCs w:val="0"/>
                <w:color w:val="auto"/>
                <w:spacing w:val="0"/>
                <w:sz w:val="24"/>
                <w:szCs w:val="24"/>
                <w:highlight w:val="none"/>
                <w:lang w:val="en-US" w:eastAsia="zh-CN"/>
              </w:rPr>
            </w:pPr>
            <w:r>
              <w:rPr>
                <w:rFonts w:hint="default" w:ascii="Times New Roman" w:hAnsi="Times New Roman" w:eastAsia="宋体" w:cs="Times New Roman"/>
                <w:b w:val="0"/>
                <w:bCs w:val="0"/>
                <w:color w:val="auto"/>
                <w:spacing w:val="0"/>
                <w:sz w:val="24"/>
                <w:szCs w:val="24"/>
                <w:highlight w:val="none"/>
                <w:lang w:val="en-US" w:eastAsia="zh-CN"/>
              </w:rPr>
              <w:t>（3）物料卸运时多洒水，以减少扬尘的产生。</w:t>
            </w:r>
          </w:p>
          <w:p w14:paraId="6E3EBBE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b w:val="0"/>
                <w:bCs w:val="0"/>
                <w:color w:val="auto"/>
                <w:spacing w:val="0"/>
                <w:sz w:val="24"/>
                <w:szCs w:val="24"/>
                <w:highlight w:val="none"/>
                <w:lang w:val="en-US" w:eastAsia="zh-CN"/>
              </w:rPr>
            </w:pPr>
            <w:r>
              <w:rPr>
                <w:rFonts w:hint="default" w:ascii="Times New Roman" w:hAnsi="Times New Roman" w:eastAsia="宋体" w:cs="Times New Roman"/>
                <w:b w:val="0"/>
                <w:bCs w:val="0"/>
                <w:color w:val="auto"/>
                <w:spacing w:val="0"/>
                <w:sz w:val="24"/>
                <w:szCs w:val="24"/>
                <w:highlight w:val="none"/>
                <w:lang w:val="en-US" w:eastAsia="zh-CN"/>
              </w:rPr>
              <w:t>（4）根据《北京市空气重污染应急预案（2023年修订）》，空气质量预报为橙色预警（Ⅱ级响应）、红色预警（I级响应）时，停止建筑垃圾、渣土、砂石等易产生扬尘车辆运输。</w:t>
            </w:r>
          </w:p>
          <w:p w14:paraId="651C866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0"/>
                <w:sz w:val="24"/>
                <w:highlight w:val="none"/>
                <w:lang w:val="en-US" w:eastAsia="zh-CN"/>
              </w:rPr>
            </w:pPr>
            <w:r>
              <w:rPr>
                <w:rFonts w:hint="eastAsia"/>
                <w:b w:val="0"/>
                <w:bCs w:val="0"/>
                <w:color w:val="auto"/>
                <w:spacing w:val="0"/>
                <w:sz w:val="24"/>
                <w:highlight w:val="none"/>
                <w:lang w:val="en-US" w:eastAsia="zh-CN"/>
              </w:rPr>
              <w:t>2、废水</w:t>
            </w:r>
          </w:p>
          <w:p w14:paraId="74EACAC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0"/>
                <w:sz w:val="24"/>
                <w:highlight w:val="none"/>
                <w:lang w:val="en-US" w:eastAsia="zh-CN"/>
              </w:rPr>
            </w:pPr>
            <w:r>
              <w:rPr>
                <w:rFonts w:hint="default"/>
                <w:b w:val="0"/>
                <w:bCs w:val="0"/>
                <w:color w:val="auto"/>
                <w:spacing w:val="0"/>
                <w:sz w:val="24"/>
                <w:highlight w:val="none"/>
                <w:lang w:val="en-US" w:eastAsia="zh-CN"/>
              </w:rPr>
              <w:t>本项目施工期水污染源主要为施工操作废水和现场施工人员产生的生活污水。施工操作废水主要为装修完成后使用墩布对现场地面清洁时产生废水等。据估算，该部分废水产生量约为10m</w:t>
            </w:r>
            <w:r>
              <w:rPr>
                <w:rFonts w:hint="default"/>
                <w:b w:val="0"/>
                <w:bCs w:val="0"/>
                <w:color w:val="auto"/>
                <w:spacing w:val="0"/>
                <w:sz w:val="24"/>
                <w:highlight w:val="none"/>
                <w:vertAlign w:val="superscript"/>
                <w:lang w:val="en-US" w:eastAsia="zh-CN"/>
              </w:rPr>
              <w:t>3</w:t>
            </w:r>
            <w:r>
              <w:rPr>
                <w:rFonts w:hint="eastAsia"/>
                <w:b w:val="0"/>
                <w:bCs w:val="0"/>
                <w:color w:val="auto"/>
                <w:spacing w:val="0"/>
                <w:sz w:val="24"/>
                <w:highlight w:val="none"/>
                <w:lang w:val="en-US" w:eastAsia="zh-CN"/>
              </w:rPr>
              <w:t>；</w:t>
            </w:r>
            <w:r>
              <w:rPr>
                <w:rFonts w:hint="default"/>
                <w:b w:val="0"/>
                <w:bCs w:val="0"/>
                <w:color w:val="auto"/>
                <w:spacing w:val="0"/>
                <w:sz w:val="24"/>
                <w:highlight w:val="none"/>
                <w:lang w:val="en-US" w:eastAsia="zh-CN"/>
              </w:rPr>
              <w:t>生活污水主要产生于施工人员，按施工人员每人每天用水50L计，污水排放量为用水量的</w:t>
            </w:r>
            <w:r>
              <w:rPr>
                <w:rFonts w:hint="eastAsia"/>
                <w:b w:val="0"/>
                <w:bCs w:val="0"/>
                <w:color w:val="auto"/>
                <w:spacing w:val="0"/>
                <w:sz w:val="24"/>
                <w:highlight w:val="none"/>
                <w:lang w:val="en-US" w:eastAsia="zh-CN"/>
              </w:rPr>
              <w:t>85</w:t>
            </w:r>
            <w:r>
              <w:rPr>
                <w:rFonts w:hint="default"/>
                <w:b w:val="0"/>
                <w:bCs w:val="0"/>
                <w:color w:val="auto"/>
                <w:spacing w:val="0"/>
                <w:sz w:val="24"/>
                <w:highlight w:val="none"/>
                <w:lang w:val="en-US" w:eastAsia="zh-CN"/>
              </w:rPr>
              <w:t>%，施工人员按10人计，每天排放污水约0.4</w:t>
            </w:r>
            <w:r>
              <w:rPr>
                <w:rFonts w:hint="eastAsia"/>
                <w:b w:val="0"/>
                <w:bCs w:val="0"/>
                <w:color w:val="auto"/>
                <w:spacing w:val="0"/>
                <w:sz w:val="24"/>
                <w:highlight w:val="none"/>
                <w:lang w:val="en-US" w:eastAsia="zh-CN"/>
              </w:rPr>
              <w:t>25</w:t>
            </w:r>
            <w:r>
              <w:rPr>
                <w:rFonts w:hint="default"/>
                <w:b w:val="0"/>
                <w:bCs w:val="0"/>
                <w:color w:val="auto"/>
                <w:spacing w:val="0"/>
                <w:sz w:val="24"/>
                <w:highlight w:val="none"/>
                <w:lang w:val="en-US" w:eastAsia="zh-CN"/>
              </w:rPr>
              <w:t>m</w:t>
            </w:r>
            <w:r>
              <w:rPr>
                <w:rFonts w:hint="default"/>
                <w:b w:val="0"/>
                <w:bCs w:val="0"/>
                <w:color w:val="auto"/>
                <w:spacing w:val="0"/>
                <w:sz w:val="24"/>
                <w:highlight w:val="none"/>
                <w:vertAlign w:val="superscript"/>
                <w:lang w:val="en-US" w:eastAsia="zh-CN"/>
              </w:rPr>
              <w:t>3</w:t>
            </w:r>
            <w:r>
              <w:rPr>
                <w:rFonts w:hint="default"/>
                <w:b w:val="0"/>
                <w:bCs w:val="0"/>
                <w:color w:val="auto"/>
                <w:spacing w:val="0"/>
                <w:sz w:val="24"/>
                <w:highlight w:val="none"/>
                <w:lang w:val="en-US" w:eastAsia="zh-CN"/>
              </w:rPr>
              <w:t>/d。按施工期</w:t>
            </w:r>
            <w:r>
              <w:rPr>
                <w:rFonts w:hint="eastAsia"/>
                <w:b w:val="0"/>
                <w:bCs w:val="0"/>
                <w:color w:val="auto"/>
                <w:spacing w:val="0"/>
                <w:sz w:val="24"/>
                <w:highlight w:val="none"/>
                <w:lang w:val="en-US" w:eastAsia="zh-CN"/>
              </w:rPr>
              <w:t>60</w:t>
            </w:r>
            <w:r>
              <w:rPr>
                <w:rFonts w:hint="default"/>
                <w:b w:val="0"/>
                <w:bCs w:val="0"/>
                <w:color w:val="auto"/>
                <w:spacing w:val="0"/>
                <w:sz w:val="24"/>
                <w:highlight w:val="none"/>
                <w:lang w:val="en-US" w:eastAsia="zh-CN"/>
              </w:rPr>
              <w:t>天计算，施工期共产生生活污水</w:t>
            </w:r>
            <w:r>
              <w:rPr>
                <w:rFonts w:hint="eastAsia"/>
                <w:b w:val="0"/>
                <w:bCs w:val="0"/>
                <w:color w:val="auto"/>
                <w:spacing w:val="0"/>
                <w:sz w:val="24"/>
                <w:highlight w:val="none"/>
                <w:lang w:val="en-US" w:eastAsia="zh-CN"/>
              </w:rPr>
              <w:t>25.5</w:t>
            </w:r>
            <w:r>
              <w:rPr>
                <w:rFonts w:hint="default"/>
                <w:b w:val="0"/>
                <w:bCs w:val="0"/>
                <w:color w:val="auto"/>
                <w:spacing w:val="0"/>
                <w:sz w:val="24"/>
                <w:highlight w:val="none"/>
                <w:lang w:val="en-US" w:eastAsia="zh-CN"/>
              </w:rPr>
              <w:t>m</w:t>
            </w:r>
            <w:r>
              <w:rPr>
                <w:rFonts w:hint="default"/>
                <w:b w:val="0"/>
                <w:bCs w:val="0"/>
                <w:color w:val="auto"/>
                <w:spacing w:val="0"/>
                <w:sz w:val="24"/>
                <w:highlight w:val="none"/>
                <w:vertAlign w:val="superscript"/>
                <w:lang w:val="en-US" w:eastAsia="zh-CN"/>
              </w:rPr>
              <w:t>3</w:t>
            </w:r>
            <w:r>
              <w:rPr>
                <w:rFonts w:hint="default"/>
                <w:b w:val="0"/>
                <w:bCs w:val="0"/>
                <w:color w:val="auto"/>
                <w:spacing w:val="0"/>
                <w:sz w:val="24"/>
                <w:highlight w:val="none"/>
                <w:lang w:val="en-US" w:eastAsia="zh-CN"/>
              </w:rPr>
              <w:t>。</w:t>
            </w:r>
          </w:p>
          <w:p w14:paraId="19633E7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0"/>
                <w:sz w:val="24"/>
                <w:highlight w:val="none"/>
                <w:lang w:val="en-US" w:eastAsia="zh-CN"/>
              </w:rPr>
            </w:pPr>
            <w:r>
              <w:rPr>
                <w:rFonts w:hint="default"/>
                <w:b w:val="0"/>
                <w:bCs w:val="0"/>
                <w:color w:val="auto"/>
                <w:spacing w:val="0"/>
                <w:sz w:val="24"/>
                <w:highlight w:val="none"/>
                <w:lang w:val="en-US" w:eastAsia="zh-CN"/>
              </w:rPr>
              <w:t>施工期间产生的废水不得随意排放，其中，地面清洁时清洗墩布产生的废水经墩布池收集后进入厂区排水管网，施工人员盥洗、如厕使用所在建筑现有卫生间。项目施工期产生的地面清洁废水及施工人员生活污水最终排入市政污水管网，不会对当地水环境产生较大影响。</w:t>
            </w:r>
          </w:p>
          <w:p w14:paraId="3857AC3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0"/>
                <w:sz w:val="24"/>
                <w:highlight w:val="none"/>
                <w:lang w:val="en-US" w:eastAsia="zh-CN"/>
              </w:rPr>
            </w:pPr>
            <w:r>
              <w:rPr>
                <w:rFonts w:hint="eastAsia"/>
                <w:b w:val="0"/>
                <w:bCs w:val="0"/>
                <w:color w:val="auto"/>
                <w:spacing w:val="0"/>
                <w:sz w:val="24"/>
                <w:highlight w:val="none"/>
                <w:lang w:val="en-US" w:eastAsia="zh-CN"/>
              </w:rPr>
              <w:t>3、噪声</w:t>
            </w:r>
          </w:p>
          <w:p w14:paraId="3F45DEE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0"/>
                <w:sz w:val="24"/>
                <w:highlight w:val="none"/>
                <w:lang w:val="en-US" w:eastAsia="zh-CN"/>
              </w:rPr>
            </w:pPr>
            <w:r>
              <w:rPr>
                <w:rFonts w:hint="default"/>
                <w:b w:val="0"/>
                <w:bCs w:val="0"/>
                <w:color w:val="auto"/>
                <w:spacing w:val="0"/>
                <w:sz w:val="24"/>
                <w:highlight w:val="none"/>
                <w:lang w:val="en-US" w:eastAsia="zh-CN"/>
              </w:rPr>
              <w:t>（1）选用低噪声设备和工艺，加强检查、维护和保养机械设备，保持润滑，紧固各部件，减少运行振动噪声。整体设备应安放稳固，并与地面保持良好接触，有条件的应使用减振机座，降低噪声。</w:t>
            </w:r>
          </w:p>
          <w:p w14:paraId="558B875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0"/>
                <w:sz w:val="24"/>
                <w:highlight w:val="none"/>
                <w:lang w:val="en-US" w:eastAsia="zh-CN"/>
              </w:rPr>
            </w:pPr>
            <w:r>
              <w:rPr>
                <w:rFonts w:hint="default"/>
                <w:b w:val="0"/>
                <w:bCs w:val="0"/>
                <w:color w:val="auto"/>
                <w:spacing w:val="0"/>
                <w:sz w:val="24"/>
                <w:highlight w:val="none"/>
                <w:lang w:val="en-US" w:eastAsia="zh-CN"/>
              </w:rPr>
              <w:t>（2）合理布局施工现场，尽量减少高噪声设备的同时运转，尽量缩短高噪声设备的使用时间。</w:t>
            </w:r>
          </w:p>
          <w:p w14:paraId="07E9EEA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0"/>
                <w:sz w:val="24"/>
                <w:highlight w:val="none"/>
                <w:lang w:val="en-US" w:eastAsia="zh-CN"/>
              </w:rPr>
            </w:pPr>
            <w:r>
              <w:rPr>
                <w:rFonts w:hint="default"/>
                <w:b w:val="0"/>
                <w:bCs w:val="0"/>
                <w:color w:val="auto"/>
                <w:spacing w:val="0"/>
                <w:sz w:val="24"/>
                <w:highlight w:val="none"/>
                <w:lang w:val="en-US" w:eastAsia="zh-CN"/>
              </w:rPr>
              <w:t>（3）合理安排施工时间。本项目施工单位应严格遵守相关规定，合理安排施工时间，除工程必须施工，并取得生态环境部门和建设行政主管部门批准外，严禁在22:00~6:00期间进行施工作业。</w:t>
            </w:r>
          </w:p>
          <w:p w14:paraId="7FEA12F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0"/>
                <w:sz w:val="24"/>
                <w:highlight w:val="none"/>
                <w:lang w:val="en-US" w:eastAsia="zh-CN"/>
              </w:rPr>
            </w:pPr>
            <w:r>
              <w:rPr>
                <w:rFonts w:hint="eastAsia"/>
                <w:b w:val="0"/>
                <w:bCs w:val="0"/>
                <w:color w:val="auto"/>
                <w:spacing w:val="0"/>
                <w:sz w:val="24"/>
                <w:highlight w:val="none"/>
                <w:lang w:val="en-US" w:eastAsia="zh-CN"/>
              </w:rPr>
              <w:t>4、固体废物</w:t>
            </w:r>
          </w:p>
          <w:p w14:paraId="7586A7D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0"/>
                <w:sz w:val="24"/>
                <w:highlight w:val="none"/>
                <w:lang w:val="en-US" w:eastAsia="zh-CN"/>
              </w:rPr>
            </w:pPr>
            <w:r>
              <w:rPr>
                <w:rFonts w:hint="default"/>
                <w:b w:val="0"/>
                <w:bCs w:val="0"/>
                <w:color w:val="auto"/>
                <w:spacing w:val="0"/>
                <w:sz w:val="24"/>
                <w:highlight w:val="none"/>
                <w:lang w:val="en-US" w:eastAsia="zh-CN"/>
              </w:rPr>
              <w:t>施工期间固体废物主要为施工产生的建筑垃圾及生活垃圾。</w:t>
            </w:r>
          </w:p>
          <w:p w14:paraId="5EA2DCC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0"/>
                <w:sz w:val="24"/>
                <w:highlight w:val="none"/>
                <w:lang w:val="en-US" w:eastAsia="zh-CN"/>
              </w:rPr>
            </w:pPr>
            <w:r>
              <w:rPr>
                <w:rFonts w:hint="default"/>
                <w:b w:val="0"/>
                <w:bCs w:val="0"/>
                <w:color w:val="auto"/>
                <w:spacing w:val="0"/>
                <w:sz w:val="24"/>
                <w:highlight w:val="none"/>
                <w:lang w:val="en-US" w:eastAsia="zh-CN"/>
              </w:rPr>
              <w:t>施工期产生的建筑垃圾来自于施工过程产生的拆除物和建筑废料，应运往指定的垃圾处理场所处理、消纳，施工场地应设置施工垃圾临时存放处。生活垃圾主要为现场施工人员产生的日常生活垃圾，产生量平均每人每天0.2kg左右，每天平均施工人数约为10人，则施工期日产生活垃圾2kg。施工场地按照垃圾分类要求设置垃圾桶，施工人员应根据生活垃圾分类要求进行垃圾投放，生活垃圾最终由环卫部门定期清运。</w:t>
            </w:r>
          </w:p>
          <w:p w14:paraId="14EFF59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0"/>
                <w:sz w:val="24"/>
                <w:highlight w:val="none"/>
                <w:lang w:val="en-US" w:eastAsia="zh-CN"/>
              </w:rPr>
            </w:pPr>
            <w:r>
              <w:rPr>
                <w:rFonts w:hint="default"/>
                <w:b w:val="0"/>
                <w:bCs w:val="0"/>
                <w:color w:val="auto"/>
                <w:spacing w:val="0"/>
                <w:sz w:val="24"/>
                <w:highlight w:val="none"/>
                <w:lang w:val="en-US" w:eastAsia="zh-CN"/>
              </w:rPr>
              <w:t>本项目施工期产生的固体废物组成成分相对简单，固体废物均能得到妥善处置。因此本项目施工中产生的固体废物对当地环境影响较小。</w:t>
            </w:r>
          </w:p>
          <w:p w14:paraId="73CB761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10"/>
                <w:sz w:val="24"/>
                <w:highlight w:val="none"/>
                <w:lang w:val="en-US" w:eastAsia="zh-CN"/>
              </w:rPr>
            </w:pPr>
            <w:r>
              <w:rPr>
                <w:rFonts w:hint="default"/>
                <w:b w:val="0"/>
                <w:bCs w:val="0"/>
                <w:color w:val="auto"/>
                <w:spacing w:val="0"/>
                <w:sz w:val="24"/>
                <w:highlight w:val="none"/>
                <w:lang w:val="en-US" w:eastAsia="zh-CN"/>
              </w:rPr>
              <w:t>综上所述，施工期的环境影响是短期的，建设项目施工阶段完成后，对周边的影响可消除。由于施工期环境影响受人为和自然条件的影响较大，因此应加强对施工现场的管理，遵守北京市的有关规定（如：《北京市建设工程施工现场管理办法》和《绿色施工管理规程》），并认真落实以上提出的各项污染防治措施，坚持文明施工，接受城管部门的监督，最大限度地减少施工期间对周围环境的影响。</w:t>
            </w:r>
          </w:p>
        </w:tc>
      </w:tr>
      <w:tr w14:paraId="39D4F32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4" w:type="dxa"/>
            <w:tcMar>
              <w:left w:w="28" w:type="dxa"/>
              <w:right w:w="28" w:type="dxa"/>
            </w:tcMar>
            <w:vAlign w:val="center"/>
          </w:tcPr>
          <w:p w14:paraId="242FD914">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z w:val="24"/>
                <w:highlight w:val="none"/>
              </w:rPr>
            </w:pPr>
            <w:r>
              <w:rPr>
                <w:rFonts w:hint="default"/>
                <w:b w:val="0"/>
                <w:bCs w:val="0"/>
                <w:color w:val="auto"/>
                <w:sz w:val="24"/>
                <w:highlight w:val="none"/>
              </w:rPr>
              <w:t>运营期环境影响和保护措施</w:t>
            </w:r>
          </w:p>
        </w:tc>
        <w:tc>
          <w:tcPr>
            <w:tcW w:w="8653" w:type="dxa"/>
            <w:vAlign w:val="center"/>
          </w:tcPr>
          <w:p w14:paraId="4854427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0"/>
                <w:sz w:val="24"/>
                <w:highlight w:val="none"/>
                <w:lang w:val="en-US" w:eastAsia="zh-CN"/>
              </w:rPr>
            </w:pPr>
            <w:r>
              <w:rPr>
                <w:rFonts w:hint="eastAsia"/>
                <w:b w:val="0"/>
                <w:bCs w:val="0"/>
                <w:color w:val="auto"/>
                <w:spacing w:val="0"/>
                <w:sz w:val="24"/>
                <w:highlight w:val="none"/>
                <w:lang w:val="en-US" w:eastAsia="zh-CN"/>
              </w:rPr>
              <w:t>根据项目建设单位提供的资料，结合本项目特点，评价单位对本项目污染源强进行调查分析，筛选出本项目运营期对环境可能产生不良影响的主要有：废气、废水、噪声、固体废物等。</w:t>
            </w:r>
          </w:p>
          <w:p w14:paraId="6A9C763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rPr>
                <w:rFonts w:hint="eastAsia"/>
                <w:b w:val="0"/>
                <w:bCs w:val="0"/>
                <w:color w:val="auto"/>
                <w:spacing w:val="0"/>
                <w:sz w:val="24"/>
                <w:highlight w:val="none"/>
                <w:lang w:val="en-US" w:eastAsia="zh-CN"/>
              </w:rPr>
            </w:pPr>
            <w:r>
              <w:rPr>
                <w:rFonts w:hint="eastAsia"/>
                <w:b/>
                <w:bCs/>
                <w:color w:val="auto"/>
                <w:spacing w:val="0"/>
                <w:sz w:val="24"/>
                <w:highlight w:val="none"/>
                <w:lang w:val="en-US" w:eastAsia="zh-CN"/>
              </w:rPr>
              <w:t>1、废气环境影响分析</w:t>
            </w:r>
          </w:p>
          <w:p w14:paraId="60AC9F2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0"/>
                <w:sz w:val="24"/>
                <w:highlight w:val="none"/>
                <w:lang w:val="en-US" w:eastAsia="zh-CN"/>
              </w:rPr>
            </w:pPr>
            <w:r>
              <w:rPr>
                <w:rFonts w:hint="eastAsia"/>
                <w:b w:val="0"/>
                <w:bCs w:val="0"/>
                <w:color w:val="auto"/>
                <w:spacing w:val="0"/>
                <w:sz w:val="24"/>
                <w:highlight w:val="none"/>
                <w:lang w:val="en-US" w:eastAsia="zh-CN"/>
              </w:rPr>
              <w:t>项目无燃煤、燃油、燃气设施，不设食堂。</w:t>
            </w:r>
          </w:p>
          <w:p w14:paraId="6513F0E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0"/>
                <w:sz w:val="24"/>
                <w:highlight w:val="none"/>
                <w:lang w:val="en-US" w:eastAsia="zh-CN"/>
              </w:rPr>
            </w:pPr>
            <w:r>
              <w:rPr>
                <w:rFonts w:hint="eastAsia"/>
                <w:b w:val="0"/>
                <w:bCs w:val="0"/>
                <w:color w:val="auto"/>
                <w:spacing w:val="0"/>
                <w:sz w:val="24"/>
                <w:highlight w:val="none"/>
                <w:lang w:val="en-US" w:eastAsia="zh-CN"/>
              </w:rPr>
              <w:t>本项目医学检验科使用的试剂盒、检测试剂全部为成套材料，上机直接检验，不使用化学试剂，无化验废气产生，无含病原微生物的气溶胶产生。本项目涉及消毒废气的产生，根据《排污许可证申请与核发技术规范 医疗机构》（HJ1105-2020）有关废气产污环节内容，不对乙醇挥发废气进行分析。</w:t>
            </w:r>
          </w:p>
          <w:p w14:paraId="489D65E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0"/>
                <w:sz w:val="24"/>
                <w:highlight w:val="none"/>
                <w:lang w:val="en-US" w:eastAsia="zh-CN"/>
              </w:rPr>
            </w:pPr>
            <w:r>
              <w:rPr>
                <w:rFonts w:hint="eastAsia"/>
                <w:b w:val="0"/>
                <w:bCs w:val="0"/>
                <w:color w:val="auto"/>
                <w:spacing w:val="0"/>
                <w:sz w:val="24"/>
                <w:highlight w:val="none"/>
                <w:lang w:val="en-US" w:eastAsia="zh-CN"/>
              </w:rPr>
              <w:t>本项目设置污水处理设施，安装地埋式一体化污水处理设备，设计处理能力为6m</w:t>
            </w:r>
            <w:r>
              <w:rPr>
                <w:rFonts w:hint="eastAsia"/>
                <w:b w:val="0"/>
                <w:bCs w:val="0"/>
                <w:color w:val="auto"/>
                <w:spacing w:val="0"/>
                <w:sz w:val="24"/>
                <w:highlight w:val="none"/>
                <w:vertAlign w:val="superscript"/>
                <w:lang w:val="en-US" w:eastAsia="zh-CN"/>
              </w:rPr>
              <w:t>3</w:t>
            </w:r>
            <w:r>
              <w:rPr>
                <w:rFonts w:hint="eastAsia"/>
                <w:b w:val="0"/>
                <w:bCs w:val="0"/>
                <w:color w:val="auto"/>
                <w:spacing w:val="0"/>
                <w:sz w:val="24"/>
                <w:highlight w:val="none"/>
                <w:lang w:val="en-US" w:eastAsia="zh-CN"/>
              </w:rPr>
              <w:t>/d，设计处理工艺为“格栅+调节池+絮凝沉淀+消毒（次氯酸钠）”，污水处理设施运行过程中有机物腐败产生臭味，臭味来自沉淀等单元。</w:t>
            </w:r>
          </w:p>
          <w:p w14:paraId="539EFE2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0"/>
                <w:sz w:val="24"/>
                <w:highlight w:val="none"/>
                <w:lang w:val="en-US" w:eastAsia="zh-CN"/>
              </w:rPr>
            </w:pPr>
            <w:r>
              <w:rPr>
                <w:rFonts w:hint="eastAsia"/>
                <w:b w:val="0"/>
                <w:bCs w:val="0"/>
                <w:color w:val="auto"/>
                <w:spacing w:val="0"/>
                <w:sz w:val="24"/>
                <w:highlight w:val="none"/>
                <w:lang w:val="en-US" w:eastAsia="zh-CN"/>
              </w:rPr>
              <w:t>（1）污水处理设施周边恶臭气体类比分析</w:t>
            </w:r>
          </w:p>
          <w:p w14:paraId="6C570CB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0"/>
                <w:sz w:val="24"/>
                <w:highlight w:val="none"/>
                <w:lang w:val="en-US" w:eastAsia="zh-CN"/>
              </w:rPr>
            </w:pPr>
            <w:r>
              <w:rPr>
                <w:rFonts w:hint="eastAsia"/>
                <w:b w:val="0"/>
                <w:bCs w:val="0"/>
                <w:color w:val="auto"/>
                <w:spacing w:val="0"/>
                <w:sz w:val="24"/>
                <w:highlight w:val="none"/>
                <w:lang w:val="en-US" w:eastAsia="zh-CN"/>
              </w:rPr>
              <w:t>根据类比对象北京雍禾医院有限公司，污水处理工艺采用“化粪池+一级强化处理+消毒”处理，设计处理规模为30m</w:t>
            </w:r>
            <w:r>
              <w:rPr>
                <w:rFonts w:hint="eastAsia"/>
                <w:b w:val="0"/>
                <w:bCs w:val="0"/>
                <w:color w:val="auto"/>
                <w:spacing w:val="0"/>
                <w:sz w:val="24"/>
                <w:highlight w:val="none"/>
                <w:vertAlign w:val="superscript"/>
                <w:lang w:val="en-US" w:eastAsia="zh-CN"/>
              </w:rPr>
              <w:t>3</w:t>
            </w:r>
            <w:r>
              <w:rPr>
                <w:rFonts w:hint="eastAsia"/>
                <w:b w:val="0"/>
                <w:bCs w:val="0"/>
                <w:color w:val="auto"/>
                <w:spacing w:val="0"/>
                <w:sz w:val="24"/>
                <w:highlight w:val="none"/>
                <w:lang w:val="en-US" w:eastAsia="zh-CN"/>
              </w:rPr>
              <w:t>/d，主要处理医院所产生的医疗污水、生活污水，本项目污水处理设施采用“化粪池+一级强化+次氯酸钠消毒”处理工艺，设计处理规模为8m</w:t>
            </w:r>
            <w:r>
              <w:rPr>
                <w:rFonts w:hint="eastAsia"/>
                <w:b w:val="0"/>
                <w:bCs w:val="0"/>
                <w:color w:val="auto"/>
                <w:spacing w:val="0"/>
                <w:sz w:val="24"/>
                <w:highlight w:val="none"/>
                <w:vertAlign w:val="superscript"/>
                <w:lang w:val="en-US" w:eastAsia="zh-CN"/>
              </w:rPr>
              <w:t>3</w:t>
            </w:r>
            <w:r>
              <w:rPr>
                <w:rFonts w:hint="eastAsia"/>
                <w:b w:val="0"/>
                <w:bCs w:val="0"/>
                <w:color w:val="auto"/>
                <w:spacing w:val="0"/>
                <w:sz w:val="24"/>
                <w:highlight w:val="none"/>
                <w:lang w:val="en-US" w:eastAsia="zh-CN"/>
              </w:rPr>
              <w:t>/d。项目类比一览表详见下表。</w:t>
            </w:r>
          </w:p>
          <w:p w14:paraId="6AE51BDD">
            <w:pPr>
              <w:pStyle w:val="31"/>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表4-1 污水处理设施情况对比一类表</w:t>
            </w:r>
          </w:p>
          <w:tbl>
            <w:tblPr>
              <w:tblStyle w:val="13"/>
              <w:tblW w:w="4999"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94"/>
              <w:gridCol w:w="3315"/>
              <w:gridCol w:w="3703"/>
            </w:tblGrid>
            <w:tr w14:paraId="3D5CDAF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94" w:type="dxa"/>
                  <w:tcBorders>
                    <w:tl2br w:val="nil"/>
                    <w:tr2bl w:val="nil"/>
                  </w:tcBorders>
                  <w:vAlign w:val="center"/>
                </w:tcPr>
                <w:p w14:paraId="72BE003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项目</w:t>
                  </w:r>
                </w:p>
              </w:tc>
              <w:tc>
                <w:tcPr>
                  <w:tcW w:w="3315" w:type="dxa"/>
                  <w:tcBorders>
                    <w:tl2br w:val="nil"/>
                    <w:tr2bl w:val="nil"/>
                  </w:tcBorders>
                  <w:vAlign w:val="center"/>
                </w:tcPr>
                <w:p w14:paraId="5E41768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default"/>
                      <w:b w:val="0"/>
                      <w:bCs w:val="0"/>
                      <w:color w:val="auto"/>
                      <w:spacing w:val="0"/>
                      <w:sz w:val="21"/>
                      <w:szCs w:val="21"/>
                      <w:highlight w:val="none"/>
                      <w:vertAlign w:val="baseline"/>
                      <w:lang w:val="en-US" w:eastAsia="zh-CN"/>
                    </w:rPr>
                    <w:t>北京雍禾医院有限公司</w:t>
                  </w:r>
                </w:p>
              </w:tc>
              <w:tc>
                <w:tcPr>
                  <w:tcW w:w="3703" w:type="dxa"/>
                  <w:tcBorders>
                    <w:tl2br w:val="nil"/>
                    <w:tr2bl w:val="nil"/>
                  </w:tcBorders>
                  <w:vAlign w:val="center"/>
                </w:tcPr>
                <w:p w14:paraId="58374C9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本项目</w:t>
                  </w:r>
                </w:p>
              </w:tc>
            </w:tr>
            <w:tr w14:paraId="6B48D62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94" w:type="dxa"/>
                  <w:tcBorders>
                    <w:tl2br w:val="nil"/>
                    <w:tr2bl w:val="nil"/>
                  </w:tcBorders>
                  <w:vAlign w:val="center"/>
                </w:tcPr>
                <w:p w14:paraId="2692EDC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医院类型</w:t>
                  </w:r>
                </w:p>
              </w:tc>
              <w:tc>
                <w:tcPr>
                  <w:tcW w:w="3315" w:type="dxa"/>
                  <w:tcBorders>
                    <w:tl2br w:val="nil"/>
                    <w:tr2bl w:val="nil"/>
                  </w:tcBorders>
                  <w:vAlign w:val="center"/>
                </w:tcPr>
                <w:p w14:paraId="7229014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综合医院</w:t>
                  </w:r>
                </w:p>
              </w:tc>
              <w:tc>
                <w:tcPr>
                  <w:tcW w:w="3703" w:type="dxa"/>
                  <w:tcBorders>
                    <w:tl2br w:val="nil"/>
                    <w:tr2bl w:val="nil"/>
                  </w:tcBorders>
                  <w:vAlign w:val="center"/>
                </w:tcPr>
                <w:p w14:paraId="3F376FA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中医医院</w:t>
                  </w:r>
                </w:p>
              </w:tc>
            </w:tr>
            <w:tr w14:paraId="67EC84D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94" w:type="dxa"/>
                  <w:tcBorders>
                    <w:tl2br w:val="nil"/>
                    <w:tr2bl w:val="nil"/>
                  </w:tcBorders>
                  <w:vAlign w:val="center"/>
                </w:tcPr>
                <w:p w14:paraId="374C0E5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污水类型</w:t>
                  </w:r>
                </w:p>
              </w:tc>
              <w:tc>
                <w:tcPr>
                  <w:tcW w:w="3315" w:type="dxa"/>
                  <w:tcBorders>
                    <w:tl2br w:val="nil"/>
                    <w:tr2bl w:val="nil"/>
                  </w:tcBorders>
                  <w:vAlign w:val="center"/>
                </w:tcPr>
                <w:p w14:paraId="41F5F5D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医院产生的全部废水，包括门诊（诊疗及手术）、病房、医护人员、院内清洁等</w:t>
                  </w:r>
                </w:p>
              </w:tc>
              <w:tc>
                <w:tcPr>
                  <w:tcW w:w="3703" w:type="dxa"/>
                  <w:tcBorders>
                    <w:tl2br w:val="nil"/>
                    <w:tr2bl w:val="nil"/>
                  </w:tcBorders>
                  <w:vAlign w:val="center"/>
                </w:tcPr>
                <w:p w14:paraId="1E2409B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医院产生的全部废水，包括门诊、病房、医护人员、院内清洁等</w:t>
                  </w:r>
                </w:p>
              </w:tc>
            </w:tr>
            <w:tr w14:paraId="64B06AD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94" w:type="dxa"/>
                  <w:tcBorders>
                    <w:tl2br w:val="nil"/>
                    <w:tr2bl w:val="nil"/>
                  </w:tcBorders>
                  <w:vAlign w:val="center"/>
                </w:tcPr>
                <w:p w14:paraId="0F2824A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建设内容</w:t>
                  </w:r>
                </w:p>
              </w:tc>
              <w:tc>
                <w:tcPr>
                  <w:tcW w:w="3315" w:type="dxa"/>
                  <w:tcBorders>
                    <w:tl2br w:val="nil"/>
                    <w:tr2bl w:val="nil"/>
                  </w:tcBorders>
                  <w:vAlign w:val="center"/>
                </w:tcPr>
                <w:p w14:paraId="27B3D73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从事综合医院运营，门诊接待量41人次/d，设置床位20张</w:t>
                  </w:r>
                </w:p>
              </w:tc>
              <w:tc>
                <w:tcPr>
                  <w:tcW w:w="3703" w:type="dxa"/>
                  <w:tcBorders>
                    <w:tl2br w:val="nil"/>
                    <w:tr2bl w:val="nil"/>
                  </w:tcBorders>
                  <w:vAlign w:val="center"/>
                </w:tcPr>
                <w:p w14:paraId="7FE7EA9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建设中医医院住院部，设置床位20张</w:t>
                  </w:r>
                </w:p>
              </w:tc>
            </w:tr>
            <w:tr w14:paraId="5FE8AD9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94" w:type="dxa"/>
                  <w:tcBorders>
                    <w:tl2br w:val="nil"/>
                    <w:tr2bl w:val="nil"/>
                  </w:tcBorders>
                  <w:vAlign w:val="center"/>
                </w:tcPr>
                <w:p w14:paraId="7056513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处理规模</w:t>
                  </w:r>
                </w:p>
              </w:tc>
              <w:tc>
                <w:tcPr>
                  <w:tcW w:w="3315" w:type="dxa"/>
                  <w:tcBorders>
                    <w:tl2br w:val="nil"/>
                    <w:tr2bl w:val="nil"/>
                  </w:tcBorders>
                  <w:vAlign w:val="center"/>
                </w:tcPr>
                <w:p w14:paraId="64A504C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30m</w:t>
                  </w:r>
                  <w:r>
                    <w:rPr>
                      <w:rFonts w:hint="eastAsia"/>
                      <w:b w:val="0"/>
                      <w:bCs w:val="0"/>
                      <w:color w:val="auto"/>
                      <w:spacing w:val="0"/>
                      <w:sz w:val="21"/>
                      <w:szCs w:val="21"/>
                      <w:highlight w:val="none"/>
                      <w:vertAlign w:val="superscript"/>
                      <w:lang w:val="en-US" w:eastAsia="zh-CN"/>
                    </w:rPr>
                    <w:t>3</w:t>
                  </w:r>
                  <w:r>
                    <w:rPr>
                      <w:rFonts w:hint="eastAsia"/>
                      <w:b w:val="0"/>
                      <w:bCs w:val="0"/>
                      <w:color w:val="auto"/>
                      <w:spacing w:val="0"/>
                      <w:sz w:val="21"/>
                      <w:szCs w:val="21"/>
                      <w:highlight w:val="none"/>
                      <w:vertAlign w:val="baseline"/>
                      <w:lang w:val="en-US" w:eastAsia="zh-CN"/>
                    </w:rPr>
                    <w:t>/d</w:t>
                  </w:r>
                </w:p>
              </w:tc>
              <w:tc>
                <w:tcPr>
                  <w:tcW w:w="3703" w:type="dxa"/>
                  <w:tcBorders>
                    <w:tl2br w:val="nil"/>
                    <w:tr2bl w:val="nil"/>
                  </w:tcBorders>
                  <w:vAlign w:val="center"/>
                </w:tcPr>
                <w:p w14:paraId="7CBEA7A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8m</w:t>
                  </w:r>
                  <w:r>
                    <w:rPr>
                      <w:rFonts w:hint="eastAsia"/>
                      <w:b w:val="0"/>
                      <w:bCs w:val="0"/>
                      <w:color w:val="auto"/>
                      <w:spacing w:val="0"/>
                      <w:sz w:val="21"/>
                      <w:szCs w:val="21"/>
                      <w:highlight w:val="none"/>
                      <w:vertAlign w:val="superscript"/>
                      <w:lang w:val="en-US" w:eastAsia="zh-CN"/>
                    </w:rPr>
                    <w:t>3</w:t>
                  </w:r>
                  <w:r>
                    <w:rPr>
                      <w:rFonts w:hint="eastAsia"/>
                      <w:b w:val="0"/>
                      <w:bCs w:val="0"/>
                      <w:color w:val="auto"/>
                      <w:spacing w:val="0"/>
                      <w:sz w:val="21"/>
                      <w:szCs w:val="21"/>
                      <w:highlight w:val="none"/>
                      <w:vertAlign w:val="baseline"/>
                      <w:lang w:val="en-US" w:eastAsia="zh-CN"/>
                    </w:rPr>
                    <w:t>/d</w:t>
                  </w:r>
                </w:p>
              </w:tc>
            </w:tr>
            <w:tr w14:paraId="6CBFB3A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94" w:type="dxa"/>
                  <w:tcBorders>
                    <w:tl2br w:val="nil"/>
                    <w:tr2bl w:val="nil"/>
                  </w:tcBorders>
                  <w:vAlign w:val="center"/>
                </w:tcPr>
                <w:p w14:paraId="0A54D7D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污水处理工艺</w:t>
                  </w:r>
                </w:p>
              </w:tc>
              <w:tc>
                <w:tcPr>
                  <w:tcW w:w="3315" w:type="dxa"/>
                  <w:tcBorders>
                    <w:tl2br w:val="nil"/>
                    <w:tr2bl w:val="nil"/>
                  </w:tcBorders>
                  <w:vAlign w:val="center"/>
                </w:tcPr>
                <w:p w14:paraId="486EA7F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化粪池+一级强化处理+消毒</w:t>
                  </w:r>
                </w:p>
              </w:tc>
              <w:tc>
                <w:tcPr>
                  <w:tcW w:w="3703" w:type="dxa"/>
                  <w:tcBorders>
                    <w:tl2br w:val="nil"/>
                    <w:tr2bl w:val="nil"/>
                  </w:tcBorders>
                  <w:vAlign w:val="center"/>
                </w:tcPr>
                <w:p w14:paraId="4A5A81E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化粪池+一级强化处理+次氯酸钠消毒</w:t>
                  </w:r>
                </w:p>
              </w:tc>
            </w:tr>
            <w:tr w14:paraId="6EB00D6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94" w:type="dxa"/>
                  <w:tcBorders>
                    <w:tl2br w:val="nil"/>
                    <w:tr2bl w:val="nil"/>
                  </w:tcBorders>
                  <w:vAlign w:val="center"/>
                </w:tcPr>
                <w:p w14:paraId="16C5F78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污水处理设施管理措施</w:t>
                  </w:r>
                </w:p>
              </w:tc>
              <w:tc>
                <w:tcPr>
                  <w:tcW w:w="3315" w:type="dxa"/>
                  <w:tcBorders>
                    <w:tl2br w:val="nil"/>
                    <w:tr2bl w:val="nil"/>
                  </w:tcBorders>
                  <w:vAlign w:val="center"/>
                </w:tcPr>
                <w:p w14:paraId="4274D12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污水处理设施密闭，加喷洒除臭剂</w:t>
                  </w:r>
                </w:p>
              </w:tc>
              <w:tc>
                <w:tcPr>
                  <w:tcW w:w="3703" w:type="dxa"/>
                  <w:tcBorders>
                    <w:tl2br w:val="nil"/>
                    <w:tr2bl w:val="nil"/>
                  </w:tcBorders>
                  <w:vAlign w:val="center"/>
                </w:tcPr>
                <w:p w14:paraId="7EEA0AE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污水处理设施密闭地埋，加喷洒除臭剂</w:t>
                  </w:r>
                </w:p>
              </w:tc>
            </w:tr>
          </w:tbl>
          <w:p w14:paraId="29D4FA7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0"/>
                <w:sz w:val="24"/>
                <w:highlight w:val="none"/>
                <w:lang w:val="en-US" w:eastAsia="zh-CN"/>
              </w:rPr>
            </w:pPr>
            <w:r>
              <w:rPr>
                <w:rFonts w:hint="eastAsia"/>
                <w:b w:val="0"/>
                <w:bCs w:val="0"/>
                <w:color w:val="auto"/>
                <w:spacing w:val="0"/>
                <w:sz w:val="24"/>
                <w:highlight w:val="none"/>
                <w:lang w:val="en-US" w:eastAsia="zh-CN"/>
              </w:rPr>
              <w:t>由上表分析可知，北京雍禾医院有限公司处理污水类型和污水处理工艺类似，满足类比要求。</w:t>
            </w:r>
          </w:p>
          <w:p w14:paraId="32B4E6D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0"/>
                <w:sz w:val="24"/>
                <w:highlight w:val="none"/>
                <w:lang w:val="en-US" w:eastAsia="zh-CN"/>
              </w:rPr>
            </w:pPr>
            <w:r>
              <w:rPr>
                <w:rFonts w:hint="eastAsia"/>
                <w:b w:val="0"/>
                <w:bCs w:val="0"/>
                <w:color w:val="auto"/>
                <w:spacing w:val="0"/>
                <w:sz w:val="24"/>
                <w:highlight w:val="none"/>
                <w:lang w:val="en-US" w:eastAsia="zh-CN"/>
              </w:rPr>
              <w:t>（2）恶臭气体达标情况</w:t>
            </w:r>
          </w:p>
          <w:p w14:paraId="1647318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0"/>
                <w:sz w:val="24"/>
                <w:highlight w:val="none"/>
                <w:lang w:val="en-US" w:eastAsia="zh-CN"/>
              </w:rPr>
            </w:pPr>
            <w:r>
              <w:rPr>
                <w:rFonts w:hint="eastAsia"/>
                <w:b w:val="0"/>
                <w:bCs w:val="0"/>
                <w:color w:val="auto"/>
                <w:spacing w:val="0"/>
                <w:sz w:val="24"/>
                <w:highlight w:val="none"/>
                <w:lang w:val="en-US" w:eastAsia="zh-CN"/>
              </w:rPr>
              <w:t>1）废气处理工艺及可行性分析</w:t>
            </w:r>
          </w:p>
          <w:p w14:paraId="7987E67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0"/>
                <w:sz w:val="24"/>
                <w:highlight w:val="none"/>
                <w:lang w:val="en-US" w:eastAsia="zh-CN"/>
              </w:rPr>
            </w:pPr>
            <w:r>
              <w:rPr>
                <w:rFonts w:hint="default"/>
                <w:b w:val="0"/>
                <w:bCs w:val="0"/>
                <w:color w:val="auto"/>
                <w:spacing w:val="0"/>
                <w:sz w:val="24"/>
                <w:highlight w:val="none"/>
                <w:lang w:val="en-US" w:eastAsia="zh-CN"/>
              </w:rPr>
              <w:t>本项目化粪池为密闭，污水处理设施均加盖密闭</w:t>
            </w:r>
            <w:r>
              <w:rPr>
                <w:rFonts w:hint="eastAsia"/>
                <w:b w:val="0"/>
                <w:bCs w:val="0"/>
                <w:color w:val="auto"/>
                <w:spacing w:val="0"/>
                <w:sz w:val="24"/>
                <w:highlight w:val="none"/>
                <w:lang w:val="en-US" w:eastAsia="zh-CN"/>
              </w:rPr>
              <w:t>，构筑物池壁预留进气口、出气口，产生恶臭区域加罩或加盖，投放除臭剂</w:t>
            </w:r>
            <w:r>
              <w:rPr>
                <w:rFonts w:hint="default"/>
                <w:b w:val="0"/>
                <w:bCs w:val="0"/>
                <w:color w:val="auto"/>
                <w:spacing w:val="0"/>
                <w:sz w:val="24"/>
                <w:highlight w:val="none"/>
                <w:lang w:val="en-US" w:eastAsia="zh-CN"/>
              </w:rPr>
              <w:t>，满足《排污许可证申请与核发技术规范-医疗机构》(HJ1105-2020)中A.1 废气治理可行技术参考表中的无组织可行性技术要求(产生恶臭区域加罩或加盖，投放除臭剂)，是可行的。</w:t>
            </w:r>
          </w:p>
          <w:p w14:paraId="1C6945F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0"/>
                <w:sz w:val="24"/>
                <w:highlight w:val="none"/>
                <w:lang w:val="en-US" w:eastAsia="zh-CN"/>
              </w:rPr>
            </w:pPr>
            <w:r>
              <w:rPr>
                <w:rFonts w:hint="eastAsia"/>
                <w:b w:val="0"/>
                <w:bCs w:val="0"/>
                <w:color w:val="auto"/>
                <w:spacing w:val="0"/>
                <w:sz w:val="24"/>
                <w:highlight w:val="none"/>
                <w:lang w:val="en-US" w:eastAsia="zh-CN"/>
              </w:rPr>
              <w:t>2）达标分析</w:t>
            </w:r>
          </w:p>
          <w:p w14:paraId="74C80E2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0"/>
                <w:sz w:val="24"/>
                <w:highlight w:val="none"/>
                <w:lang w:val="en-US" w:eastAsia="zh-CN"/>
              </w:rPr>
            </w:pPr>
            <w:r>
              <w:rPr>
                <w:rFonts w:hint="eastAsia"/>
                <w:b w:val="0"/>
                <w:bCs w:val="0"/>
                <w:color w:val="auto"/>
                <w:spacing w:val="0"/>
                <w:sz w:val="24"/>
                <w:highlight w:val="none"/>
                <w:lang w:val="en-US" w:eastAsia="zh-CN"/>
              </w:rPr>
              <w:t>本项目厂界无组织废气中氨、硫化氢、臭气浓度类比北京雍禾医院有限公司喷洒除臭剂后的厂界废气监测数据，根据奥来国信（北京）检测技术有限责任公司出具的《北京雍禾医院有限公司项目环保验收监测》（奥来国信（北京）检测技术有限责任公司）检测报告（奥检（AL）字2023HJ-3501号），详见附件6，2023年10月31日-11月2日北京雍禾医院有限公司厂界恶臭气体无组织监测结果为：氨最大浓度值为0.054mg/m</w:t>
            </w:r>
            <w:r>
              <w:rPr>
                <w:rFonts w:hint="eastAsia"/>
                <w:b w:val="0"/>
                <w:bCs w:val="0"/>
                <w:color w:val="auto"/>
                <w:spacing w:val="0"/>
                <w:sz w:val="24"/>
                <w:highlight w:val="none"/>
                <w:vertAlign w:val="superscript"/>
                <w:lang w:val="en-US" w:eastAsia="zh-CN"/>
              </w:rPr>
              <w:t>3</w:t>
            </w:r>
            <w:r>
              <w:rPr>
                <w:rFonts w:hint="eastAsia"/>
                <w:b w:val="0"/>
                <w:bCs w:val="0"/>
                <w:color w:val="auto"/>
                <w:spacing w:val="0"/>
                <w:sz w:val="24"/>
                <w:highlight w:val="none"/>
                <w:lang w:val="en-US" w:eastAsia="zh-CN"/>
              </w:rPr>
              <w:t>、硫化氢&lt;0.001mg/m</w:t>
            </w:r>
            <w:r>
              <w:rPr>
                <w:rFonts w:hint="eastAsia"/>
                <w:b w:val="0"/>
                <w:bCs w:val="0"/>
                <w:color w:val="auto"/>
                <w:spacing w:val="0"/>
                <w:sz w:val="24"/>
                <w:highlight w:val="none"/>
                <w:vertAlign w:val="superscript"/>
                <w:lang w:val="en-US" w:eastAsia="zh-CN"/>
              </w:rPr>
              <w:t>3</w:t>
            </w:r>
            <w:r>
              <w:rPr>
                <w:rFonts w:hint="eastAsia"/>
                <w:b w:val="0"/>
                <w:bCs w:val="0"/>
                <w:color w:val="auto"/>
                <w:spacing w:val="0"/>
                <w:sz w:val="24"/>
                <w:highlight w:val="none"/>
                <w:lang w:val="en-US" w:eastAsia="zh-CN"/>
              </w:rPr>
              <w:t>、臭气浓度最大值为&lt;10(无量纲)。</w:t>
            </w:r>
          </w:p>
          <w:p w14:paraId="19E38D2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0"/>
                <w:sz w:val="24"/>
                <w:highlight w:val="none"/>
                <w:lang w:val="en-US" w:eastAsia="zh-CN"/>
              </w:rPr>
            </w:pPr>
            <w:r>
              <w:rPr>
                <w:rFonts w:hint="eastAsia"/>
                <w:b w:val="0"/>
                <w:bCs w:val="0"/>
                <w:color w:val="auto"/>
                <w:spacing w:val="0"/>
                <w:sz w:val="24"/>
                <w:highlight w:val="none"/>
                <w:lang w:val="en-US" w:eastAsia="zh-CN"/>
              </w:rPr>
              <w:t>本项目在化粪池和污水处理设施采取密闭、消毒、以及喷洒除臭剂、空气清新剂的措施后，恶臭废气对项目周边的大气环境保护目标无直接影响。经类比预测，NH</w:t>
            </w:r>
            <w:r>
              <w:rPr>
                <w:rFonts w:hint="eastAsia"/>
                <w:b w:val="0"/>
                <w:bCs w:val="0"/>
                <w:color w:val="auto"/>
                <w:spacing w:val="0"/>
                <w:sz w:val="24"/>
                <w:highlight w:val="none"/>
                <w:vertAlign w:val="subscript"/>
                <w:lang w:val="en-US" w:eastAsia="zh-CN"/>
              </w:rPr>
              <w:t>3</w:t>
            </w:r>
            <w:r>
              <w:rPr>
                <w:rFonts w:hint="eastAsia"/>
                <w:b w:val="0"/>
                <w:bCs w:val="0"/>
                <w:color w:val="auto"/>
                <w:spacing w:val="0"/>
                <w:sz w:val="24"/>
                <w:highlight w:val="none"/>
                <w:lang w:val="en-US" w:eastAsia="zh-CN"/>
              </w:rPr>
              <w:t>、H</w:t>
            </w:r>
            <w:r>
              <w:rPr>
                <w:rFonts w:hint="eastAsia"/>
                <w:b w:val="0"/>
                <w:bCs w:val="0"/>
                <w:color w:val="auto"/>
                <w:spacing w:val="0"/>
                <w:sz w:val="24"/>
                <w:highlight w:val="none"/>
                <w:vertAlign w:val="subscript"/>
                <w:lang w:val="en-US" w:eastAsia="zh-CN"/>
              </w:rPr>
              <w:t>2</w:t>
            </w:r>
            <w:r>
              <w:rPr>
                <w:rFonts w:hint="eastAsia"/>
                <w:b w:val="0"/>
                <w:bCs w:val="0"/>
                <w:color w:val="auto"/>
                <w:spacing w:val="0"/>
                <w:sz w:val="24"/>
                <w:highlight w:val="none"/>
                <w:lang w:val="en-US" w:eastAsia="zh-CN"/>
              </w:rPr>
              <w:t>S可满足北京市《大气污染物综合排放标准》（DB11/501-2017）中“表3 生产工艺废气及其他废气大气污染物排放限值”中“单位周界无组织排放监控点浓度限值”（NH</w:t>
            </w:r>
            <w:r>
              <w:rPr>
                <w:rFonts w:hint="eastAsia"/>
                <w:b w:val="0"/>
                <w:bCs w:val="0"/>
                <w:color w:val="auto"/>
                <w:spacing w:val="0"/>
                <w:sz w:val="24"/>
                <w:highlight w:val="none"/>
                <w:vertAlign w:val="subscript"/>
                <w:lang w:val="en-US" w:eastAsia="zh-CN"/>
              </w:rPr>
              <w:t>3</w:t>
            </w:r>
            <w:r>
              <w:rPr>
                <w:rFonts w:hint="eastAsia"/>
                <w:b w:val="0"/>
                <w:bCs w:val="0"/>
                <w:color w:val="auto"/>
                <w:spacing w:val="0"/>
                <w:sz w:val="24"/>
                <w:highlight w:val="none"/>
                <w:lang w:val="en-US" w:eastAsia="zh-CN"/>
              </w:rPr>
              <w:t>0.2mg/m</w:t>
            </w:r>
            <w:r>
              <w:rPr>
                <w:rFonts w:hint="eastAsia"/>
                <w:b w:val="0"/>
                <w:bCs w:val="0"/>
                <w:color w:val="auto"/>
                <w:spacing w:val="0"/>
                <w:sz w:val="24"/>
                <w:highlight w:val="none"/>
                <w:vertAlign w:val="superscript"/>
                <w:lang w:val="en-US" w:eastAsia="zh-CN"/>
              </w:rPr>
              <w:t>3</w:t>
            </w:r>
            <w:r>
              <w:rPr>
                <w:rFonts w:hint="eastAsia"/>
                <w:b w:val="0"/>
                <w:bCs w:val="0"/>
                <w:color w:val="auto"/>
                <w:spacing w:val="0"/>
                <w:sz w:val="24"/>
                <w:highlight w:val="none"/>
                <w:lang w:val="en-US" w:eastAsia="zh-CN"/>
              </w:rPr>
              <w:t>、H</w:t>
            </w:r>
            <w:r>
              <w:rPr>
                <w:rFonts w:hint="eastAsia"/>
                <w:b w:val="0"/>
                <w:bCs w:val="0"/>
                <w:color w:val="auto"/>
                <w:spacing w:val="0"/>
                <w:sz w:val="24"/>
                <w:highlight w:val="none"/>
                <w:vertAlign w:val="subscript"/>
                <w:lang w:val="en-US" w:eastAsia="zh-CN"/>
              </w:rPr>
              <w:t>2</w:t>
            </w:r>
            <w:r>
              <w:rPr>
                <w:rFonts w:hint="eastAsia"/>
                <w:b w:val="0"/>
                <w:bCs w:val="0"/>
                <w:color w:val="auto"/>
                <w:spacing w:val="0"/>
                <w:sz w:val="24"/>
                <w:highlight w:val="none"/>
                <w:lang w:val="en-US" w:eastAsia="zh-CN"/>
              </w:rPr>
              <w:t>S0.01mg/m</w:t>
            </w:r>
            <w:r>
              <w:rPr>
                <w:rFonts w:hint="eastAsia"/>
                <w:b w:val="0"/>
                <w:bCs w:val="0"/>
                <w:color w:val="auto"/>
                <w:spacing w:val="0"/>
                <w:sz w:val="24"/>
                <w:highlight w:val="none"/>
                <w:vertAlign w:val="superscript"/>
                <w:lang w:val="en-US" w:eastAsia="zh-CN"/>
              </w:rPr>
              <w:t>3</w:t>
            </w:r>
            <w:r>
              <w:rPr>
                <w:rFonts w:hint="eastAsia"/>
                <w:b w:val="0"/>
                <w:bCs w:val="0"/>
                <w:color w:val="auto"/>
                <w:spacing w:val="0"/>
                <w:sz w:val="24"/>
                <w:highlight w:val="none"/>
                <w:lang w:val="en-US" w:eastAsia="zh-CN"/>
              </w:rPr>
              <w:t>）要求；臭气浓度满足《医疗机构水污染物排放标准》（GB18466-2005）中“污水处理站周边大气污染物最高允许浓度”（臭气浓度10（无量纲））要求。</w:t>
            </w:r>
          </w:p>
          <w:p w14:paraId="04BF3F5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0"/>
                <w:sz w:val="24"/>
                <w:highlight w:val="none"/>
                <w:lang w:val="en-US" w:eastAsia="zh-CN"/>
              </w:rPr>
            </w:pPr>
            <w:r>
              <w:rPr>
                <w:rFonts w:hint="eastAsia"/>
                <w:b w:val="0"/>
                <w:bCs w:val="0"/>
                <w:color w:val="auto"/>
                <w:spacing w:val="0"/>
                <w:sz w:val="24"/>
                <w:highlight w:val="none"/>
                <w:lang w:val="en-US" w:eastAsia="zh-CN"/>
              </w:rPr>
              <w:t>（3）废气监测计划</w:t>
            </w:r>
          </w:p>
          <w:p w14:paraId="777CCEE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0"/>
                <w:sz w:val="24"/>
                <w:highlight w:val="none"/>
                <w:lang w:val="en-US" w:eastAsia="zh-CN"/>
              </w:rPr>
            </w:pPr>
            <w:r>
              <w:rPr>
                <w:rFonts w:hint="eastAsia"/>
                <w:b w:val="0"/>
                <w:bCs w:val="0"/>
                <w:color w:val="auto"/>
                <w:spacing w:val="0"/>
                <w:sz w:val="24"/>
                <w:highlight w:val="none"/>
                <w:lang w:val="en-US" w:eastAsia="zh-CN"/>
              </w:rPr>
              <w:t>根据《排污单位自行监测技术指南总则》(HJ819-2017)及《排污许可证申请与核发技术规范医疗机构》(HJ1105-2020)相关规定做好营运期污染物排放监测。本项目中医医院应开展自行监测，结合具体情况，医院可委托其他监测机构代其开展自行监测，排污单位对委托监测的数据负责。废气自行监测计划见下表。</w:t>
            </w:r>
          </w:p>
          <w:p w14:paraId="338C287E">
            <w:pPr>
              <w:pStyle w:val="31"/>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表4-2 本项目厂界无组织废气自行监测要求</w:t>
            </w:r>
          </w:p>
          <w:tbl>
            <w:tblPr>
              <w:tblStyle w:val="13"/>
              <w:tblW w:w="8514"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975"/>
              <w:gridCol w:w="2655"/>
              <w:gridCol w:w="1755"/>
              <w:gridCol w:w="2129"/>
            </w:tblGrid>
            <w:tr w14:paraId="7E294C8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75" w:type="dxa"/>
                  <w:tcBorders>
                    <w:tl2br w:val="nil"/>
                    <w:tr2bl w:val="nil"/>
                  </w:tcBorders>
                  <w:vAlign w:val="center"/>
                </w:tcPr>
                <w:p w14:paraId="62BB98E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0"/>
                      <w:sz w:val="21"/>
                      <w:szCs w:val="21"/>
                      <w:highlight w:val="none"/>
                      <w:vertAlign w:val="baseline"/>
                      <w:lang w:val="en-US" w:eastAsia="zh-CN"/>
                    </w:rPr>
                  </w:pPr>
                  <w:r>
                    <w:rPr>
                      <w:rFonts w:hint="eastAsia"/>
                      <w:b/>
                      <w:bCs/>
                      <w:color w:val="auto"/>
                      <w:spacing w:val="0"/>
                      <w:sz w:val="21"/>
                      <w:szCs w:val="21"/>
                      <w:highlight w:val="none"/>
                      <w:vertAlign w:val="baseline"/>
                      <w:lang w:val="en-US" w:eastAsia="zh-CN"/>
                    </w:rPr>
                    <w:t>监测点位</w:t>
                  </w:r>
                </w:p>
              </w:tc>
              <w:tc>
                <w:tcPr>
                  <w:tcW w:w="2655" w:type="dxa"/>
                  <w:tcBorders>
                    <w:tl2br w:val="nil"/>
                    <w:tr2bl w:val="nil"/>
                  </w:tcBorders>
                  <w:vAlign w:val="center"/>
                </w:tcPr>
                <w:p w14:paraId="2E2635D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0"/>
                      <w:sz w:val="21"/>
                      <w:szCs w:val="21"/>
                      <w:highlight w:val="none"/>
                      <w:vertAlign w:val="baseline"/>
                      <w:lang w:val="en-US" w:eastAsia="zh-CN"/>
                    </w:rPr>
                  </w:pPr>
                  <w:r>
                    <w:rPr>
                      <w:rFonts w:hint="eastAsia"/>
                      <w:b/>
                      <w:bCs/>
                      <w:color w:val="auto"/>
                      <w:spacing w:val="0"/>
                      <w:sz w:val="21"/>
                      <w:szCs w:val="21"/>
                      <w:highlight w:val="none"/>
                      <w:vertAlign w:val="baseline"/>
                      <w:lang w:val="en-US" w:eastAsia="zh-CN"/>
                    </w:rPr>
                    <w:t>监测指标</w:t>
                  </w:r>
                </w:p>
              </w:tc>
              <w:tc>
                <w:tcPr>
                  <w:tcW w:w="1755" w:type="dxa"/>
                  <w:tcBorders>
                    <w:tl2br w:val="nil"/>
                    <w:tr2bl w:val="nil"/>
                  </w:tcBorders>
                  <w:vAlign w:val="center"/>
                </w:tcPr>
                <w:p w14:paraId="6FE3130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0"/>
                      <w:sz w:val="21"/>
                      <w:szCs w:val="21"/>
                      <w:highlight w:val="none"/>
                      <w:vertAlign w:val="baseline"/>
                      <w:lang w:val="en-US" w:eastAsia="zh-CN"/>
                    </w:rPr>
                  </w:pPr>
                  <w:r>
                    <w:rPr>
                      <w:rFonts w:hint="eastAsia"/>
                      <w:b/>
                      <w:bCs/>
                      <w:color w:val="auto"/>
                      <w:spacing w:val="0"/>
                      <w:sz w:val="21"/>
                      <w:szCs w:val="21"/>
                      <w:highlight w:val="none"/>
                      <w:vertAlign w:val="baseline"/>
                      <w:lang w:val="en-US" w:eastAsia="zh-CN"/>
                    </w:rPr>
                    <w:t>监测方法</w:t>
                  </w:r>
                </w:p>
              </w:tc>
              <w:tc>
                <w:tcPr>
                  <w:tcW w:w="2129" w:type="dxa"/>
                  <w:tcBorders>
                    <w:tl2br w:val="nil"/>
                    <w:tr2bl w:val="nil"/>
                  </w:tcBorders>
                  <w:vAlign w:val="center"/>
                </w:tcPr>
                <w:p w14:paraId="60FB0CC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0"/>
                      <w:sz w:val="21"/>
                      <w:szCs w:val="21"/>
                      <w:highlight w:val="none"/>
                      <w:vertAlign w:val="baseline"/>
                      <w:lang w:val="en-US" w:eastAsia="zh-CN"/>
                    </w:rPr>
                  </w:pPr>
                  <w:r>
                    <w:rPr>
                      <w:rFonts w:hint="eastAsia"/>
                      <w:b/>
                      <w:bCs/>
                      <w:color w:val="auto"/>
                      <w:spacing w:val="0"/>
                      <w:sz w:val="21"/>
                      <w:szCs w:val="21"/>
                      <w:highlight w:val="none"/>
                      <w:vertAlign w:val="baseline"/>
                      <w:lang w:val="en-US" w:eastAsia="zh-CN"/>
                    </w:rPr>
                    <w:t>监测频次</w:t>
                  </w:r>
                </w:p>
              </w:tc>
            </w:tr>
            <w:tr w14:paraId="35F06EF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75" w:type="dxa"/>
                  <w:tcBorders>
                    <w:tl2br w:val="nil"/>
                    <w:tr2bl w:val="nil"/>
                  </w:tcBorders>
                  <w:vAlign w:val="center"/>
                </w:tcPr>
                <w:p w14:paraId="5D263F8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厂界无组织废气</w:t>
                  </w:r>
                </w:p>
              </w:tc>
              <w:tc>
                <w:tcPr>
                  <w:tcW w:w="2655" w:type="dxa"/>
                  <w:tcBorders>
                    <w:tl2br w:val="nil"/>
                    <w:tr2bl w:val="nil"/>
                  </w:tcBorders>
                  <w:vAlign w:val="center"/>
                </w:tcPr>
                <w:p w14:paraId="1BD5F04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H</w:t>
                  </w:r>
                  <w:r>
                    <w:rPr>
                      <w:rFonts w:hint="eastAsia"/>
                      <w:b w:val="0"/>
                      <w:bCs w:val="0"/>
                      <w:color w:val="auto"/>
                      <w:spacing w:val="0"/>
                      <w:sz w:val="21"/>
                      <w:szCs w:val="21"/>
                      <w:highlight w:val="none"/>
                      <w:vertAlign w:val="subscript"/>
                      <w:lang w:val="en-US" w:eastAsia="zh-CN"/>
                    </w:rPr>
                    <w:t>2</w:t>
                  </w:r>
                  <w:r>
                    <w:rPr>
                      <w:rFonts w:hint="eastAsia"/>
                      <w:b w:val="0"/>
                      <w:bCs w:val="0"/>
                      <w:color w:val="auto"/>
                      <w:spacing w:val="0"/>
                      <w:sz w:val="21"/>
                      <w:szCs w:val="21"/>
                      <w:highlight w:val="none"/>
                      <w:vertAlign w:val="baseline"/>
                      <w:lang w:val="en-US" w:eastAsia="zh-CN"/>
                    </w:rPr>
                    <w:t>S、NH</w:t>
                  </w:r>
                  <w:r>
                    <w:rPr>
                      <w:rFonts w:hint="eastAsia"/>
                      <w:b w:val="0"/>
                      <w:bCs w:val="0"/>
                      <w:color w:val="auto"/>
                      <w:spacing w:val="0"/>
                      <w:sz w:val="21"/>
                      <w:szCs w:val="21"/>
                      <w:highlight w:val="none"/>
                      <w:vertAlign w:val="subscript"/>
                      <w:lang w:val="en-US" w:eastAsia="zh-CN"/>
                    </w:rPr>
                    <w:t>3</w:t>
                  </w:r>
                  <w:r>
                    <w:rPr>
                      <w:rFonts w:hint="eastAsia"/>
                      <w:b w:val="0"/>
                      <w:bCs w:val="0"/>
                      <w:color w:val="auto"/>
                      <w:spacing w:val="0"/>
                      <w:sz w:val="21"/>
                      <w:szCs w:val="21"/>
                      <w:highlight w:val="none"/>
                      <w:vertAlign w:val="baseline"/>
                      <w:lang w:val="en-US" w:eastAsia="zh-CN"/>
                    </w:rPr>
                    <w:t>、臭气浓度</w:t>
                  </w:r>
                </w:p>
              </w:tc>
              <w:tc>
                <w:tcPr>
                  <w:tcW w:w="1755" w:type="dxa"/>
                  <w:tcBorders>
                    <w:tl2br w:val="nil"/>
                    <w:tr2bl w:val="nil"/>
                  </w:tcBorders>
                  <w:vAlign w:val="center"/>
                </w:tcPr>
                <w:p w14:paraId="18868B9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手工</w:t>
                  </w:r>
                </w:p>
              </w:tc>
              <w:tc>
                <w:tcPr>
                  <w:tcW w:w="2129" w:type="dxa"/>
                  <w:tcBorders>
                    <w:tl2br w:val="nil"/>
                    <w:tr2bl w:val="nil"/>
                  </w:tcBorders>
                  <w:vAlign w:val="center"/>
                </w:tcPr>
                <w:p w14:paraId="33B8BAD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1次/季度</w:t>
                  </w:r>
                </w:p>
              </w:tc>
            </w:tr>
          </w:tbl>
          <w:p w14:paraId="234D65E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rPr>
                <w:rFonts w:hint="default"/>
                <w:b w:val="0"/>
                <w:bCs w:val="0"/>
                <w:color w:val="auto"/>
                <w:spacing w:val="0"/>
                <w:sz w:val="24"/>
                <w:highlight w:val="none"/>
                <w:lang w:val="en-US" w:eastAsia="zh-CN"/>
              </w:rPr>
            </w:pPr>
            <w:r>
              <w:rPr>
                <w:rFonts w:hint="eastAsia"/>
                <w:b/>
                <w:bCs/>
                <w:color w:val="auto"/>
                <w:spacing w:val="0"/>
                <w:sz w:val="24"/>
                <w:highlight w:val="none"/>
                <w:lang w:val="en-US" w:eastAsia="zh-CN"/>
              </w:rPr>
              <w:t>2、废水环境影响分析</w:t>
            </w:r>
          </w:p>
          <w:p w14:paraId="2048A56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0"/>
                <w:sz w:val="24"/>
                <w:highlight w:val="none"/>
                <w:lang w:val="en-US" w:eastAsia="zh-CN"/>
              </w:rPr>
            </w:pPr>
            <w:r>
              <w:rPr>
                <w:rFonts w:hint="eastAsia"/>
                <w:b w:val="0"/>
                <w:bCs w:val="0"/>
                <w:color w:val="auto"/>
                <w:spacing w:val="0"/>
                <w:sz w:val="24"/>
                <w:highlight w:val="none"/>
                <w:lang w:val="en-US" w:eastAsia="zh-CN"/>
              </w:rPr>
              <w:t>（1）医院用水排水情况</w:t>
            </w:r>
          </w:p>
          <w:p w14:paraId="4A32D47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0"/>
                <w:sz w:val="24"/>
                <w:highlight w:val="none"/>
                <w:lang w:val="en-US" w:eastAsia="zh-CN"/>
              </w:rPr>
            </w:pPr>
            <w:r>
              <w:rPr>
                <w:rFonts w:hint="eastAsia"/>
                <w:b w:val="0"/>
                <w:bCs w:val="0"/>
                <w:color w:val="auto"/>
                <w:spacing w:val="0"/>
                <w:sz w:val="24"/>
                <w:highlight w:val="none"/>
                <w:lang w:val="en-US" w:eastAsia="zh-CN"/>
              </w:rPr>
              <w:t>本项目用水由海淀区市政自来水管网提供，包括门诊用水、病房用水、行政人员生活用水、卫生清洁用水等。用水量参考《医院污水处理工程技术规范》（HJ2029-2013）、《建筑给水排水设计标准》（GB50015-2019）及《医院管理学-医院建筑分册》中相关数据进行估算，本项目新鲜水日用水量为7.36m</w:t>
            </w:r>
            <w:r>
              <w:rPr>
                <w:rFonts w:hint="eastAsia"/>
                <w:b w:val="0"/>
                <w:bCs w:val="0"/>
                <w:color w:val="auto"/>
                <w:spacing w:val="0"/>
                <w:sz w:val="24"/>
                <w:highlight w:val="none"/>
                <w:vertAlign w:val="superscript"/>
                <w:lang w:val="en-US" w:eastAsia="zh-CN"/>
              </w:rPr>
              <w:t>3</w:t>
            </w:r>
            <w:r>
              <w:rPr>
                <w:rFonts w:hint="eastAsia"/>
                <w:b w:val="0"/>
                <w:bCs w:val="0"/>
                <w:color w:val="auto"/>
                <w:spacing w:val="0"/>
                <w:sz w:val="24"/>
                <w:highlight w:val="none"/>
                <w:lang w:val="en-US" w:eastAsia="zh-CN"/>
              </w:rPr>
              <w:t>/d，新鲜水年用水量为2686.40m</w:t>
            </w:r>
            <w:r>
              <w:rPr>
                <w:rFonts w:hint="eastAsia"/>
                <w:b w:val="0"/>
                <w:bCs w:val="0"/>
                <w:color w:val="auto"/>
                <w:spacing w:val="0"/>
                <w:sz w:val="24"/>
                <w:highlight w:val="none"/>
                <w:vertAlign w:val="superscript"/>
                <w:lang w:val="en-US" w:eastAsia="zh-CN"/>
              </w:rPr>
              <w:t>3</w:t>
            </w:r>
            <w:r>
              <w:rPr>
                <w:rFonts w:hint="eastAsia"/>
                <w:b w:val="0"/>
                <w:bCs w:val="0"/>
                <w:color w:val="auto"/>
                <w:spacing w:val="0"/>
                <w:sz w:val="24"/>
                <w:highlight w:val="none"/>
                <w:lang w:val="en-US" w:eastAsia="zh-CN"/>
              </w:rPr>
              <w:t>/a。</w:t>
            </w:r>
          </w:p>
          <w:p w14:paraId="3E5C169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0"/>
                <w:sz w:val="24"/>
                <w:highlight w:val="none"/>
                <w:lang w:val="en-US" w:eastAsia="zh-CN"/>
              </w:rPr>
            </w:pPr>
            <w:r>
              <w:rPr>
                <w:rFonts w:hint="eastAsia"/>
                <w:b w:val="0"/>
                <w:bCs w:val="0"/>
                <w:color w:val="auto"/>
                <w:spacing w:val="0"/>
                <w:sz w:val="24"/>
                <w:highlight w:val="none"/>
                <w:lang w:val="en-US" w:eastAsia="zh-CN"/>
              </w:rPr>
              <w:t>本项目排水包括门诊废水、病房废水、行政人员废水、卫生清扫废水等，全部废水均作为医疗废水排入污水处理设施处理后，经市政管网汇入清河再生水厂。根据《医院污水处理工程技术规范》（HJ2029-2013）中医院废水排放系数，项目日排水量为6.18m</w:t>
            </w:r>
            <w:r>
              <w:rPr>
                <w:rFonts w:hint="eastAsia"/>
                <w:b w:val="0"/>
                <w:bCs w:val="0"/>
                <w:color w:val="auto"/>
                <w:spacing w:val="0"/>
                <w:sz w:val="24"/>
                <w:highlight w:val="none"/>
                <w:vertAlign w:val="superscript"/>
                <w:lang w:val="en-US" w:eastAsia="zh-CN"/>
              </w:rPr>
              <w:t>3</w:t>
            </w:r>
            <w:r>
              <w:rPr>
                <w:rFonts w:hint="eastAsia"/>
                <w:b w:val="0"/>
                <w:bCs w:val="0"/>
                <w:color w:val="auto"/>
                <w:spacing w:val="0"/>
                <w:sz w:val="24"/>
                <w:highlight w:val="none"/>
                <w:lang w:val="en-US" w:eastAsia="zh-CN"/>
              </w:rPr>
              <w:t>/d，年排水量为2250.60m</w:t>
            </w:r>
            <w:r>
              <w:rPr>
                <w:rFonts w:hint="eastAsia"/>
                <w:b w:val="0"/>
                <w:bCs w:val="0"/>
                <w:color w:val="auto"/>
                <w:spacing w:val="0"/>
                <w:sz w:val="24"/>
                <w:highlight w:val="none"/>
                <w:vertAlign w:val="superscript"/>
                <w:lang w:val="en-US" w:eastAsia="zh-CN"/>
              </w:rPr>
              <w:t>3</w:t>
            </w:r>
            <w:r>
              <w:rPr>
                <w:rFonts w:hint="eastAsia"/>
                <w:b w:val="0"/>
                <w:bCs w:val="0"/>
                <w:color w:val="auto"/>
                <w:spacing w:val="0"/>
                <w:sz w:val="24"/>
                <w:highlight w:val="none"/>
                <w:lang w:val="en-US" w:eastAsia="zh-CN"/>
              </w:rPr>
              <w:t>/a。</w:t>
            </w:r>
          </w:p>
          <w:p w14:paraId="7F5E244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0"/>
                <w:sz w:val="24"/>
                <w:highlight w:val="none"/>
                <w:lang w:val="en-US" w:eastAsia="zh-CN"/>
              </w:rPr>
            </w:pPr>
            <w:r>
              <w:rPr>
                <w:rFonts w:hint="eastAsia"/>
                <w:b w:val="0"/>
                <w:bCs w:val="0"/>
                <w:color w:val="auto"/>
                <w:spacing w:val="0"/>
                <w:sz w:val="24"/>
                <w:highlight w:val="none"/>
                <w:lang w:val="en-US" w:eastAsia="zh-CN"/>
              </w:rPr>
              <w:t>根据《医院污水处理工程技术规范》（HJ2029-2013）以及《建设项目环境影响评价技术指南 医疗机构》（DB11/T-2012）中，对本项目特殊性质污水（特殊医疗废水）进行识别可知，本项目不涉及特殊医疗废水。</w:t>
            </w:r>
          </w:p>
          <w:p w14:paraId="032F26A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b w:val="0"/>
                <w:bCs w:val="0"/>
                <w:color w:val="auto"/>
                <w:spacing w:val="-10"/>
                <w:sz w:val="24"/>
                <w:highlight w:val="none"/>
                <w:lang w:val="en-US" w:eastAsia="zh-CN"/>
              </w:rPr>
            </w:pPr>
            <w:r>
              <w:rPr>
                <w:rFonts w:hint="eastAsia"/>
                <w:b/>
                <w:bCs/>
                <w:color w:val="auto"/>
                <w:spacing w:val="0"/>
                <w:sz w:val="21"/>
                <w:szCs w:val="21"/>
                <w:highlight w:val="none"/>
                <w:lang w:val="en-US" w:eastAsia="zh-CN"/>
              </w:rPr>
              <w:t>表4-3 项目医疗废水识别表</w:t>
            </w:r>
          </w:p>
          <w:tbl>
            <w:tblPr>
              <w:tblStyle w:val="13"/>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85"/>
              <w:gridCol w:w="3660"/>
              <w:gridCol w:w="2235"/>
              <w:gridCol w:w="1334"/>
            </w:tblGrid>
            <w:tr w14:paraId="7167ACF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5" w:type="dxa"/>
                  <w:tcBorders>
                    <w:tl2br w:val="nil"/>
                    <w:tr2bl w:val="nil"/>
                  </w:tcBorders>
                  <w:vAlign w:val="center"/>
                </w:tcPr>
                <w:p w14:paraId="446739F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0"/>
                      <w:sz w:val="21"/>
                      <w:szCs w:val="21"/>
                      <w:highlight w:val="none"/>
                      <w:vertAlign w:val="baseline"/>
                      <w:lang w:val="en-US" w:eastAsia="zh-CN"/>
                    </w:rPr>
                  </w:pPr>
                  <w:r>
                    <w:rPr>
                      <w:rFonts w:hint="eastAsia"/>
                      <w:b/>
                      <w:bCs/>
                      <w:color w:val="auto"/>
                      <w:spacing w:val="0"/>
                      <w:sz w:val="21"/>
                      <w:szCs w:val="21"/>
                      <w:highlight w:val="none"/>
                      <w:vertAlign w:val="baseline"/>
                      <w:lang w:val="en-US" w:eastAsia="zh-CN"/>
                    </w:rPr>
                    <w:t>特殊医疗废水类别</w:t>
                  </w:r>
                </w:p>
              </w:tc>
              <w:tc>
                <w:tcPr>
                  <w:tcW w:w="3660" w:type="dxa"/>
                  <w:tcBorders>
                    <w:tl2br w:val="nil"/>
                    <w:tr2bl w:val="nil"/>
                  </w:tcBorders>
                  <w:vAlign w:val="center"/>
                </w:tcPr>
                <w:p w14:paraId="33D4713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0"/>
                      <w:sz w:val="21"/>
                      <w:szCs w:val="21"/>
                      <w:highlight w:val="none"/>
                      <w:vertAlign w:val="baseline"/>
                      <w:lang w:val="en-US" w:eastAsia="zh-CN"/>
                    </w:rPr>
                  </w:pPr>
                  <w:r>
                    <w:rPr>
                      <w:rFonts w:hint="eastAsia"/>
                      <w:b/>
                      <w:bCs/>
                      <w:color w:val="auto"/>
                      <w:spacing w:val="0"/>
                      <w:sz w:val="21"/>
                      <w:szCs w:val="21"/>
                      <w:highlight w:val="none"/>
                      <w:vertAlign w:val="baseline"/>
                      <w:lang w:val="en-US" w:eastAsia="zh-CN"/>
                    </w:rPr>
                    <w:t>主要来源</w:t>
                  </w:r>
                </w:p>
              </w:tc>
              <w:tc>
                <w:tcPr>
                  <w:tcW w:w="2235" w:type="dxa"/>
                  <w:tcBorders>
                    <w:tl2br w:val="nil"/>
                    <w:tr2bl w:val="nil"/>
                  </w:tcBorders>
                  <w:vAlign w:val="center"/>
                </w:tcPr>
                <w:p w14:paraId="4EA4916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0"/>
                      <w:sz w:val="21"/>
                      <w:szCs w:val="21"/>
                      <w:highlight w:val="none"/>
                      <w:vertAlign w:val="baseline"/>
                      <w:lang w:val="en-US" w:eastAsia="zh-CN"/>
                    </w:rPr>
                  </w:pPr>
                  <w:r>
                    <w:rPr>
                      <w:rFonts w:hint="eastAsia"/>
                      <w:b/>
                      <w:bCs/>
                      <w:color w:val="auto"/>
                      <w:spacing w:val="0"/>
                      <w:sz w:val="21"/>
                      <w:szCs w:val="21"/>
                      <w:highlight w:val="none"/>
                      <w:vertAlign w:val="baseline"/>
                      <w:lang w:val="en-US" w:eastAsia="zh-CN"/>
                    </w:rPr>
                    <w:t>本项目情况</w:t>
                  </w:r>
                </w:p>
              </w:tc>
              <w:tc>
                <w:tcPr>
                  <w:tcW w:w="1334" w:type="dxa"/>
                  <w:tcBorders>
                    <w:tl2br w:val="nil"/>
                    <w:tr2bl w:val="nil"/>
                  </w:tcBorders>
                  <w:vAlign w:val="center"/>
                </w:tcPr>
                <w:p w14:paraId="0E8FD9A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bCs/>
                      <w:color w:val="auto"/>
                      <w:spacing w:val="0"/>
                      <w:sz w:val="21"/>
                      <w:szCs w:val="21"/>
                      <w:highlight w:val="none"/>
                      <w:vertAlign w:val="baseline"/>
                      <w:lang w:val="en-US" w:eastAsia="zh-CN"/>
                    </w:rPr>
                  </w:pPr>
                  <w:r>
                    <w:rPr>
                      <w:rFonts w:hint="eastAsia"/>
                      <w:b/>
                      <w:bCs/>
                      <w:color w:val="auto"/>
                      <w:spacing w:val="0"/>
                      <w:sz w:val="21"/>
                      <w:szCs w:val="21"/>
                      <w:highlight w:val="none"/>
                      <w:vertAlign w:val="baseline"/>
                      <w:lang w:val="en-US" w:eastAsia="zh-CN"/>
                    </w:rPr>
                    <w:t>项目采取的</w:t>
                  </w:r>
                </w:p>
                <w:p w14:paraId="7EE6E5A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0"/>
                      <w:sz w:val="21"/>
                      <w:szCs w:val="21"/>
                      <w:highlight w:val="none"/>
                      <w:vertAlign w:val="baseline"/>
                      <w:lang w:val="en-US" w:eastAsia="zh-CN"/>
                    </w:rPr>
                  </w:pPr>
                  <w:r>
                    <w:rPr>
                      <w:rFonts w:hint="eastAsia"/>
                      <w:b/>
                      <w:bCs/>
                      <w:color w:val="auto"/>
                      <w:spacing w:val="0"/>
                      <w:sz w:val="21"/>
                      <w:szCs w:val="21"/>
                      <w:highlight w:val="none"/>
                      <w:vertAlign w:val="baseline"/>
                      <w:lang w:val="en-US" w:eastAsia="zh-CN"/>
                    </w:rPr>
                    <w:t>治理措施</w:t>
                  </w:r>
                </w:p>
              </w:tc>
            </w:tr>
            <w:tr w14:paraId="54BD08E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5" w:type="dxa"/>
                  <w:tcBorders>
                    <w:tl2br w:val="nil"/>
                    <w:tr2bl w:val="nil"/>
                  </w:tcBorders>
                  <w:vAlign w:val="center"/>
                </w:tcPr>
                <w:p w14:paraId="24A4B1B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感染性废水</w:t>
                  </w:r>
                </w:p>
              </w:tc>
              <w:tc>
                <w:tcPr>
                  <w:tcW w:w="3660" w:type="dxa"/>
                  <w:tcBorders>
                    <w:tl2br w:val="nil"/>
                    <w:tr2bl w:val="nil"/>
                  </w:tcBorders>
                  <w:vAlign w:val="center"/>
                </w:tcPr>
                <w:p w14:paraId="3115DF5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default"/>
                      <w:b w:val="0"/>
                      <w:bCs w:val="0"/>
                      <w:color w:val="auto"/>
                      <w:spacing w:val="0"/>
                      <w:sz w:val="21"/>
                      <w:szCs w:val="21"/>
                      <w:highlight w:val="none"/>
                      <w:vertAlign w:val="baseline"/>
                      <w:lang w:val="en-US" w:eastAsia="zh-CN"/>
                    </w:rPr>
                    <w:t>传染性专科医疗机构、非传染性专科医疗机构中感染性疾病门诊（包括功能相对独立的发热门诊、肠道门诊、呼吸道门诊和传染科）及病房产生的感染性污水</w:t>
                  </w:r>
                </w:p>
              </w:tc>
              <w:tc>
                <w:tcPr>
                  <w:tcW w:w="2235" w:type="dxa"/>
                  <w:tcBorders>
                    <w:tl2br w:val="nil"/>
                    <w:tr2bl w:val="nil"/>
                  </w:tcBorders>
                  <w:vAlign w:val="center"/>
                </w:tcPr>
                <w:p w14:paraId="4FAF6E0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本项目不设发热门诊，不设肠道门诊、呼吸道门诊、传染病科室和传染性病房</w:t>
                  </w:r>
                </w:p>
              </w:tc>
              <w:tc>
                <w:tcPr>
                  <w:tcW w:w="1334" w:type="dxa"/>
                  <w:tcBorders>
                    <w:tl2br w:val="nil"/>
                    <w:tr2bl w:val="nil"/>
                  </w:tcBorders>
                  <w:vAlign w:val="center"/>
                </w:tcPr>
                <w:p w14:paraId="2BE5501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不产生感染性废水</w:t>
                  </w:r>
                </w:p>
              </w:tc>
            </w:tr>
            <w:tr w14:paraId="5EF0659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5" w:type="dxa"/>
                  <w:tcBorders>
                    <w:tl2br w:val="nil"/>
                    <w:tr2bl w:val="nil"/>
                  </w:tcBorders>
                  <w:vAlign w:val="center"/>
                </w:tcPr>
                <w:p w14:paraId="74E88A2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酸性废水</w:t>
                  </w:r>
                </w:p>
              </w:tc>
              <w:tc>
                <w:tcPr>
                  <w:tcW w:w="3660" w:type="dxa"/>
                  <w:tcBorders>
                    <w:tl2br w:val="nil"/>
                    <w:tr2bl w:val="nil"/>
                  </w:tcBorders>
                  <w:vAlign w:val="center"/>
                </w:tcPr>
                <w:p w14:paraId="3B23282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default"/>
                      <w:b w:val="0"/>
                      <w:bCs w:val="0"/>
                      <w:color w:val="auto"/>
                      <w:spacing w:val="0"/>
                      <w:sz w:val="21"/>
                      <w:szCs w:val="21"/>
                      <w:highlight w:val="none"/>
                      <w:vertAlign w:val="baseline"/>
                      <w:lang w:val="en-US" w:eastAsia="zh-CN"/>
                    </w:rPr>
                    <w:t>医院检验或化学清洗剂使用硝酸、硫酸、过氧酸、一氯乙酸等酸性物质而产生的污水</w:t>
                  </w:r>
                </w:p>
              </w:tc>
              <w:tc>
                <w:tcPr>
                  <w:tcW w:w="2235" w:type="dxa"/>
                  <w:vMerge w:val="restart"/>
                  <w:tcBorders>
                    <w:tl2br w:val="nil"/>
                    <w:tr2bl w:val="nil"/>
                  </w:tcBorders>
                  <w:vAlign w:val="center"/>
                </w:tcPr>
                <w:p w14:paraId="46ED0D2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项目</w:t>
                  </w:r>
                  <w:r>
                    <w:rPr>
                      <w:rFonts w:hint="default"/>
                      <w:b w:val="0"/>
                      <w:bCs w:val="0"/>
                      <w:color w:val="auto"/>
                      <w:spacing w:val="0"/>
                      <w:sz w:val="21"/>
                      <w:szCs w:val="21"/>
                      <w:highlight w:val="none"/>
                      <w:vertAlign w:val="baseline"/>
                      <w:lang w:val="en-US" w:eastAsia="zh-CN"/>
                    </w:rPr>
                    <w:t>检验科使用的试剂盒、检测试剂全部为成套材料，上机直接检验，不产生废水。</w:t>
                  </w:r>
                </w:p>
              </w:tc>
              <w:tc>
                <w:tcPr>
                  <w:tcW w:w="1334" w:type="dxa"/>
                  <w:tcBorders>
                    <w:tl2br w:val="nil"/>
                    <w:tr2bl w:val="nil"/>
                  </w:tcBorders>
                  <w:vAlign w:val="center"/>
                </w:tcPr>
                <w:p w14:paraId="0D1AB3B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不产生酸性废水</w:t>
                  </w:r>
                </w:p>
              </w:tc>
            </w:tr>
            <w:tr w14:paraId="0B4E3F8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5" w:type="dxa"/>
                  <w:tcBorders>
                    <w:tl2br w:val="nil"/>
                    <w:tr2bl w:val="nil"/>
                  </w:tcBorders>
                  <w:vAlign w:val="center"/>
                </w:tcPr>
                <w:p w14:paraId="4280828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含氰废水</w:t>
                  </w:r>
                </w:p>
              </w:tc>
              <w:tc>
                <w:tcPr>
                  <w:tcW w:w="3660" w:type="dxa"/>
                  <w:tcBorders>
                    <w:tl2br w:val="nil"/>
                    <w:tr2bl w:val="nil"/>
                  </w:tcBorders>
                  <w:vAlign w:val="center"/>
                </w:tcPr>
                <w:p w14:paraId="5852D6A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default"/>
                      <w:b w:val="0"/>
                      <w:bCs w:val="0"/>
                      <w:color w:val="auto"/>
                      <w:spacing w:val="0"/>
                      <w:sz w:val="21"/>
                      <w:szCs w:val="21"/>
                      <w:highlight w:val="none"/>
                      <w:vertAlign w:val="baseline"/>
                      <w:lang w:val="en-US" w:eastAsia="zh-CN"/>
                    </w:rPr>
                    <w:t>在血清、血液、细菌和化学检查分析时使用氰化钾、氰化钠、铁氰化钾、亚铁氰化钾等含氰化物而产生的污水</w:t>
                  </w:r>
                </w:p>
              </w:tc>
              <w:tc>
                <w:tcPr>
                  <w:tcW w:w="2235" w:type="dxa"/>
                  <w:vMerge w:val="continue"/>
                  <w:tcBorders>
                    <w:tl2br w:val="nil"/>
                    <w:tr2bl w:val="nil"/>
                  </w:tcBorders>
                  <w:vAlign w:val="center"/>
                </w:tcPr>
                <w:p w14:paraId="514C47B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p>
              </w:tc>
              <w:tc>
                <w:tcPr>
                  <w:tcW w:w="1334" w:type="dxa"/>
                  <w:tcBorders>
                    <w:tl2br w:val="nil"/>
                    <w:tr2bl w:val="nil"/>
                  </w:tcBorders>
                  <w:vAlign w:val="center"/>
                </w:tcPr>
                <w:p w14:paraId="06CF860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不产生含氰废水</w:t>
                  </w:r>
                </w:p>
              </w:tc>
            </w:tr>
            <w:tr w14:paraId="1B6EABF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5" w:type="dxa"/>
                  <w:tcBorders>
                    <w:tl2br w:val="nil"/>
                    <w:tr2bl w:val="nil"/>
                  </w:tcBorders>
                  <w:vAlign w:val="center"/>
                </w:tcPr>
                <w:p w14:paraId="11360B0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含铬废水</w:t>
                  </w:r>
                </w:p>
              </w:tc>
              <w:tc>
                <w:tcPr>
                  <w:tcW w:w="3660" w:type="dxa"/>
                  <w:tcBorders>
                    <w:tl2br w:val="nil"/>
                    <w:tr2bl w:val="nil"/>
                  </w:tcBorders>
                  <w:vAlign w:val="center"/>
                </w:tcPr>
                <w:p w14:paraId="7858CB3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default"/>
                      <w:b w:val="0"/>
                      <w:bCs w:val="0"/>
                      <w:color w:val="auto"/>
                      <w:spacing w:val="0"/>
                      <w:sz w:val="21"/>
                      <w:szCs w:val="21"/>
                      <w:highlight w:val="none"/>
                      <w:vertAlign w:val="baseline"/>
                      <w:lang w:val="en-US" w:eastAsia="zh-CN"/>
                    </w:rPr>
                    <w:t>病理、血液检查及化验等工作中使用重铬酸钾、三氧化铬、铬酸钾等化学品形成污水</w:t>
                  </w:r>
                </w:p>
              </w:tc>
              <w:tc>
                <w:tcPr>
                  <w:tcW w:w="2235" w:type="dxa"/>
                  <w:vMerge w:val="continue"/>
                  <w:tcBorders>
                    <w:tl2br w:val="nil"/>
                    <w:tr2bl w:val="nil"/>
                  </w:tcBorders>
                  <w:vAlign w:val="center"/>
                </w:tcPr>
                <w:p w14:paraId="43B9F9A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p>
              </w:tc>
              <w:tc>
                <w:tcPr>
                  <w:tcW w:w="1334" w:type="dxa"/>
                  <w:tcBorders>
                    <w:tl2br w:val="nil"/>
                    <w:tr2bl w:val="nil"/>
                  </w:tcBorders>
                  <w:vAlign w:val="center"/>
                </w:tcPr>
                <w:p w14:paraId="2EFCC4D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不产生含铬废水</w:t>
                  </w:r>
                </w:p>
              </w:tc>
            </w:tr>
            <w:tr w14:paraId="775EA9F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5" w:type="dxa"/>
                  <w:tcBorders>
                    <w:tl2br w:val="nil"/>
                    <w:tr2bl w:val="nil"/>
                  </w:tcBorders>
                  <w:vAlign w:val="center"/>
                </w:tcPr>
                <w:p w14:paraId="2D7BDC3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含汞废水</w:t>
                  </w:r>
                </w:p>
              </w:tc>
              <w:tc>
                <w:tcPr>
                  <w:tcW w:w="3660" w:type="dxa"/>
                  <w:tcBorders>
                    <w:tl2br w:val="nil"/>
                    <w:tr2bl w:val="nil"/>
                  </w:tcBorders>
                  <w:vAlign w:val="center"/>
                </w:tcPr>
                <w:p w14:paraId="4D1E2B8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default"/>
                      <w:b w:val="0"/>
                      <w:bCs w:val="0"/>
                      <w:color w:val="auto"/>
                      <w:spacing w:val="0"/>
                      <w:sz w:val="21"/>
                      <w:szCs w:val="21"/>
                      <w:highlight w:val="none"/>
                      <w:vertAlign w:val="baseline"/>
                      <w:lang w:val="en-US" w:eastAsia="zh-CN"/>
                    </w:rPr>
                    <w:t>各种口腔门诊治疗、含汞检测仪器破损、分析检查和诊断中使用氯化高汞、硝酸高汞以及硫氰酸高汞等剧毒物质而产生少量污水</w:t>
                  </w:r>
                </w:p>
              </w:tc>
              <w:tc>
                <w:tcPr>
                  <w:tcW w:w="2235" w:type="dxa"/>
                  <w:tcBorders>
                    <w:tl2br w:val="nil"/>
                    <w:tr2bl w:val="nil"/>
                  </w:tcBorders>
                  <w:vAlign w:val="center"/>
                </w:tcPr>
                <w:p w14:paraId="5CE8752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项目口腔科治疗及检查不涉及使用含汞材料及试剂</w:t>
                  </w:r>
                </w:p>
              </w:tc>
              <w:tc>
                <w:tcPr>
                  <w:tcW w:w="1334" w:type="dxa"/>
                  <w:tcBorders>
                    <w:tl2br w:val="nil"/>
                    <w:tr2bl w:val="nil"/>
                  </w:tcBorders>
                  <w:vAlign w:val="center"/>
                </w:tcPr>
                <w:p w14:paraId="056D3F1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不产生含汞废水</w:t>
                  </w:r>
                </w:p>
              </w:tc>
            </w:tr>
            <w:tr w14:paraId="3F51BE5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5" w:type="dxa"/>
                  <w:tcBorders>
                    <w:tl2br w:val="nil"/>
                    <w:tr2bl w:val="nil"/>
                  </w:tcBorders>
                  <w:vAlign w:val="center"/>
                </w:tcPr>
                <w:p w14:paraId="3BFB786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洗印废水</w:t>
                  </w:r>
                </w:p>
              </w:tc>
              <w:tc>
                <w:tcPr>
                  <w:tcW w:w="3660" w:type="dxa"/>
                  <w:tcBorders>
                    <w:tl2br w:val="nil"/>
                    <w:tr2bl w:val="nil"/>
                  </w:tcBorders>
                  <w:vAlign w:val="center"/>
                </w:tcPr>
                <w:p w14:paraId="577D8A0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default"/>
                      <w:b w:val="0"/>
                      <w:bCs w:val="0"/>
                      <w:color w:val="auto"/>
                      <w:spacing w:val="0"/>
                      <w:sz w:val="21"/>
                      <w:szCs w:val="21"/>
                      <w:highlight w:val="none"/>
                      <w:vertAlign w:val="baseline"/>
                      <w:lang w:val="en-US" w:eastAsia="zh-CN"/>
                    </w:rPr>
                    <w:t>医院放射科照片胶片洗印加工产生洗印污水和废液</w:t>
                  </w:r>
                </w:p>
              </w:tc>
              <w:tc>
                <w:tcPr>
                  <w:tcW w:w="2235" w:type="dxa"/>
                  <w:tcBorders>
                    <w:tl2br w:val="nil"/>
                    <w:tr2bl w:val="nil"/>
                  </w:tcBorders>
                  <w:vAlign w:val="center"/>
                </w:tcPr>
                <w:p w14:paraId="5EB1816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项目X光射线装置拍摄为数字成像，出片为干式打印。不涉及洗印、定影</w:t>
                  </w:r>
                </w:p>
              </w:tc>
              <w:tc>
                <w:tcPr>
                  <w:tcW w:w="1334" w:type="dxa"/>
                  <w:tcBorders>
                    <w:tl2br w:val="nil"/>
                    <w:tr2bl w:val="nil"/>
                  </w:tcBorders>
                  <w:vAlign w:val="center"/>
                </w:tcPr>
                <w:p w14:paraId="7A6958A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不产生洗印废水</w:t>
                  </w:r>
                </w:p>
              </w:tc>
            </w:tr>
            <w:tr w14:paraId="538124E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5" w:type="dxa"/>
                  <w:tcBorders>
                    <w:tl2br w:val="nil"/>
                    <w:tr2bl w:val="nil"/>
                  </w:tcBorders>
                  <w:vAlign w:val="center"/>
                </w:tcPr>
                <w:p w14:paraId="612F980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放射性废水</w:t>
                  </w:r>
                </w:p>
              </w:tc>
              <w:tc>
                <w:tcPr>
                  <w:tcW w:w="3660" w:type="dxa"/>
                  <w:tcBorders>
                    <w:tl2br w:val="nil"/>
                    <w:tr2bl w:val="nil"/>
                  </w:tcBorders>
                  <w:vAlign w:val="center"/>
                </w:tcPr>
                <w:p w14:paraId="403319A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default"/>
                      <w:b w:val="0"/>
                      <w:bCs w:val="0"/>
                      <w:color w:val="auto"/>
                      <w:spacing w:val="0"/>
                      <w:sz w:val="21"/>
                      <w:szCs w:val="21"/>
                      <w:highlight w:val="none"/>
                      <w:vertAlign w:val="baseline"/>
                      <w:lang w:val="en-US" w:eastAsia="zh-CN"/>
                    </w:rPr>
                    <w:t>同位素治疗和诊断</w:t>
                  </w:r>
                </w:p>
              </w:tc>
              <w:tc>
                <w:tcPr>
                  <w:tcW w:w="2235" w:type="dxa"/>
                  <w:tcBorders>
                    <w:tl2br w:val="nil"/>
                    <w:tr2bl w:val="nil"/>
                  </w:tcBorders>
                  <w:vAlign w:val="center"/>
                </w:tcPr>
                <w:p w14:paraId="4B29E15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项目不涉及使用放射性同位素诊断和治疗</w:t>
                  </w:r>
                </w:p>
              </w:tc>
              <w:tc>
                <w:tcPr>
                  <w:tcW w:w="1334" w:type="dxa"/>
                  <w:tcBorders>
                    <w:tl2br w:val="nil"/>
                    <w:tr2bl w:val="nil"/>
                  </w:tcBorders>
                  <w:vAlign w:val="center"/>
                </w:tcPr>
                <w:p w14:paraId="00BEE1D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不产生放射性废水</w:t>
                  </w:r>
                </w:p>
              </w:tc>
            </w:tr>
          </w:tbl>
          <w:p w14:paraId="038D636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0"/>
                <w:sz w:val="24"/>
                <w:highlight w:val="none"/>
                <w:lang w:val="en-US" w:eastAsia="zh-CN"/>
              </w:rPr>
            </w:pPr>
            <w:r>
              <w:rPr>
                <w:rFonts w:hint="eastAsia"/>
                <w:b w:val="0"/>
                <w:bCs w:val="0"/>
                <w:color w:val="auto"/>
                <w:spacing w:val="0"/>
                <w:sz w:val="24"/>
                <w:highlight w:val="none"/>
                <w:lang w:val="en-US" w:eastAsia="zh-CN"/>
              </w:rPr>
              <w:t>（2）水污染物源强核算</w:t>
            </w:r>
          </w:p>
          <w:p w14:paraId="227CE3A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0"/>
                <w:sz w:val="24"/>
                <w:highlight w:val="none"/>
                <w:lang w:val="en-US" w:eastAsia="zh-CN"/>
              </w:rPr>
            </w:pPr>
            <w:r>
              <w:rPr>
                <w:rFonts w:hint="eastAsia"/>
                <w:b w:val="0"/>
                <w:bCs w:val="0"/>
                <w:color w:val="auto"/>
                <w:spacing w:val="0"/>
                <w:sz w:val="24"/>
                <w:highlight w:val="none"/>
                <w:lang w:val="en-US" w:eastAsia="zh-CN"/>
              </w:rPr>
              <w:t>本项目排水包括门诊废水、口腔科废水、病房废水、医务人员废水、行政人员废水、卫生清扫废水等，全部废水均作为医疗废水排入污水处理设施处理后，经市政管网汇入清河再生水厂。</w:t>
            </w:r>
          </w:p>
          <w:p w14:paraId="55F5212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0"/>
                <w:sz w:val="24"/>
                <w:highlight w:val="none"/>
                <w:lang w:val="en-US" w:eastAsia="zh-CN"/>
              </w:rPr>
            </w:pPr>
            <w:r>
              <w:rPr>
                <w:rFonts w:hint="eastAsia"/>
                <w:b w:val="0"/>
                <w:bCs w:val="0"/>
                <w:color w:val="auto"/>
                <w:spacing w:val="0"/>
                <w:sz w:val="24"/>
                <w:highlight w:val="none"/>
                <w:lang w:val="en-US" w:eastAsia="zh-CN"/>
              </w:rPr>
              <w:t>根据《医院污水处理工程技术规范》（HJ2029-2013），项目医疗废水水质参考如下：</w:t>
            </w:r>
          </w:p>
          <w:p w14:paraId="1E05FED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b w:val="0"/>
                <w:bCs w:val="0"/>
                <w:color w:val="auto"/>
                <w:spacing w:val="-10"/>
                <w:sz w:val="24"/>
                <w:highlight w:val="none"/>
                <w:lang w:val="en-US" w:eastAsia="zh-CN"/>
              </w:rPr>
            </w:pPr>
            <w:r>
              <w:rPr>
                <w:rFonts w:hint="eastAsia"/>
                <w:b/>
                <w:bCs/>
                <w:color w:val="auto"/>
                <w:spacing w:val="0"/>
                <w:sz w:val="21"/>
                <w:szCs w:val="21"/>
                <w:highlight w:val="none"/>
                <w:lang w:val="en-US" w:eastAsia="zh-CN"/>
              </w:rPr>
              <w:t>表4-4 医疗废水水质要求</w:t>
            </w:r>
          </w:p>
          <w:tbl>
            <w:tblPr>
              <w:tblStyle w:val="13"/>
              <w:tblW w:w="5000" w:type="pct"/>
              <w:jc w:val="center"/>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18"/>
              <w:gridCol w:w="1267"/>
              <w:gridCol w:w="1267"/>
              <w:gridCol w:w="1267"/>
              <w:gridCol w:w="1270"/>
              <w:gridCol w:w="1924"/>
            </w:tblGrid>
            <w:tr w14:paraId="7A7B3EB8">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15" w:type="dxa"/>
                  <w:tcBorders>
                    <w:tl2br w:val="nil"/>
                    <w:tr2bl w:val="nil"/>
                  </w:tcBorders>
                  <w:vAlign w:val="center"/>
                </w:tcPr>
                <w:p w14:paraId="1C189D1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bCs/>
                      <w:color w:val="auto"/>
                      <w:sz w:val="21"/>
                      <w:szCs w:val="21"/>
                      <w:highlight w:val="none"/>
                      <w:vertAlign w:val="baseline"/>
                      <w:lang w:val="en-US" w:eastAsia="zh-CN"/>
                    </w:rPr>
                  </w:pPr>
                  <w:r>
                    <w:rPr>
                      <w:rFonts w:hint="eastAsia" w:cs="Times New Roman"/>
                      <w:b/>
                      <w:bCs/>
                      <w:color w:val="auto"/>
                      <w:sz w:val="21"/>
                      <w:szCs w:val="21"/>
                      <w:highlight w:val="none"/>
                      <w:vertAlign w:val="baseline"/>
                      <w:lang w:val="en-US" w:eastAsia="zh-CN"/>
                    </w:rPr>
                    <w:t>指标</w:t>
                  </w:r>
                </w:p>
              </w:tc>
              <w:tc>
                <w:tcPr>
                  <w:tcW w:w="1263" w:type="dxa"/>
                  <w:tcBorders>
                    <w:tl2br w:val="nil"/>
                    <w:tr2bl w:val="nil"/>
                  </w:tcBorders>
                  <w:vAlign w:val="center"/>
                </w:tcPr>
                <w:p w14:paraId="4987688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s="Times New Roman"/>
                      <w:b/>
                      <w:bCs/>
                      <w:color w:val="auto"/>
                      <w:sz w:val="21"/>
                      <w:szCs w:val="21"/>
                      <w:highlight w:val="none"/>
                      <w:vertAlign w:val="baseline"/>
                      <w:lang w:val="en-US" w:eastAsia="zh-CN"/>
                    </w:rPr>
                  </w:pPr>
                  <w:r>
                    <w:rPr>
                      <w:rFonts w:hint="eastAsia" w:cs="Times New Roman"/>
                      <w:b/>
                      <w:bCs/>
                      <w:color w:val="auto"/>
                      <w:sz w:val="21"/>
                      <w:szCs w:val="21"/>
                      <w:highlight w:val="none"/>
                      <w:vertAlign w:val="baseline"/>
                      <w:lang w:val="en-US" w:eastAsia="zh-CN"/>
                    </w:rPr>
                    <w:t>COD</w:t>
                  </w:r>
                </w:p>
                <w:p w14:paraId="7198074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bCs/>
                      <w:color w:val="auto"/>
                      <w:sz w:val="21"/>
                      <w:szCs w:val="21"/>
                      <w:highlight w:val="none"/>
                      <w:vertAlign w:val="baseline"/>
                      <w:lang w:val="en-US" w:eastAsia="zh-CN"/>
                    </w:rPr>
                  </w:pPr>
                  <w:r>
                    <w:rPr>
                      <w:rFonts w:hint="eastAsia" w:cs="Times New Roman"/>
                      <w:b/>
                      <w:bCs/>
                      <w:color w:val="auto"/>
                      <w:sz w:val="21"/>
                      <w:szCs w:val="21"/>
                      <w:highlight w:val="none"/>
                      <w:vertAlign w:val="baseline"/>
                      <w:lang w:val="en-US" w:eastAsia="zh-CN"/>
                    </w:rPr>
                    <w:t>（mg/L）</w:t>
                  </w:r>
                </w:p>
              </w:tc>
              <w:tc>
                <w:tcPr>
                  <w:tcW w:w="1263" w:type="dxa"/>
                  <w:tcBorders>
                    <w:tl2br w:val="nil"/>
                    <w:tr2bl w:val="nil"/>
                  </w:tcBorders>
                  <w:vAlign w:val="center"/>
                </w:tcPr>
                <w:p w14:paraId="54C599E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s="Times New Roman"/>
                      <w:b/>
                      <w:bCs/>
                      <w:color w:val="auto"/>
                      <w:sz w:val="21"/>
                      <w:szCs w:val="21"/>
                      <w:highlight w:val="none"/>
                      <w:vertAlign w:val="subscript"/>
                      <w:lang w:val="en-US" w:eastAsia="zh-CN"/>
                    </w:rPr>
                  </w:pPr>
                  <w:r>
                    <w:rPr>
                      <w:rFonts w:hint="eastAsia" w:cs="Times New Roman"/>
                      <w:b/>
                      <w:bCs/>
                      <w:color w:val="auto"/>
                      <w:sz w:val="21"/>
                      <w:szCs w:val="21"/>
                      <w:highlight w:val="none"/>
                      <w:vertAlign w:val="baseline"/>
                      <w:lang w:val="en-US" w:eastAsia="zh-CN"/>
                    </w:rPr>
                    <w:t>BOD</w:t>
                  </w:r>
                  <w:r>
                    <w:rPr>
                      <w:rFonts w:hint="eastAsia" w:cs="Times New Roman"/>
                      <w:b/>
                      <w:bCs/>
                      <w:color w:val="auto"/>
                      <w:sz w:val="21"/>
                      <w:szCs w:val="21"/>
                      <w:highlight w:val="none"/>
                      <w:vertAlign w:val="subscript"/>
                      <w:lang w:val="en-US" w:eastAsia="zh-CN"/>
                    </w:rPr>
                    <w:t>5</w:t>
                  </w:r>
                </w:p>
                <w:p w14:paraId="6014BE7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bCs/>
                      <w:color w:val="auto"/>
                      <w:sz w:val="21"/>
                      <w:szCs w:val="21"/>
                      <w:highlight w:val="none"/>
                      <w:vertAlign w:val="baseline"/>
                      <w:lang w:val="en-US" w:eastAsia="zh-CN"/>
                    </w:rPr>
                  </w:pPr>
                  <w:r>
                    <w:rPr>
                      <w:rFonts w:hint="eastAsia" w:cs="Times New Roman"/>
                      <w:b/>
                      <w:bCs/>
                      <w:color w:val="auto"/>
                      <w:sz w:val="21"/>
                      <w:szCs w:val="21"/>
                      <w:highlight w:val="none"/>
                      <w:vertAlign w:val="baseline"/>
                      <w:lang w:val="en-US" w:eastAsia="zh-CN"/>
                    </w:rPr>
                    <w:t>（mg/L）</w:t>
                  </w:r>
                </w:p>
              </w:tc>
              <w:tc>
                <w:tcPr>
                  <w:tcW w:w="1263" w:type="dxa"/>
                  <w:tcBorders>
                    <w:tl2br w:val="nil"/>
                    <w:tr2bl w:val="nil"/>
                  </w:tcBorders>
                  <w:vAlign w:val="center"/>
                </w:tcPr>
                <w:p w14:paraId="44D93DB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s="Times New Roman"/>
                      <w:b/>
                      <w:bCs/>
                      <w:color w:val="auto"/>
                      <w:sz w:val="21"/>
                      <w:szCs w:val="21"/>
                      <w:highlight w:val="none"/>
                      <w:vertAlign w:val="baseline"/>
                      <w:lang w:val="en-US" w:eastAsia="zh-CN"/>
                    </w:rPr>
                  </w:pPr>
                  <w:r>
                    <w:rPr>
                      <w:rFonts w:hint="eastAsia" w:cs="Times New Roman"/>
                      <w:b/>
                      <w:bCs/>
                      <w:color w:val="auto"/>
                      <w:sz w:val="21"/>
                      <w:szCs w:val="21"/>
                      <w:highlight w:val="none"/>
                      <w:vertAlign w:val="baseline"/>
                      <w:lang w:val="en-US" w:eastAsia="zh-CN"/>
                    </w:rPr>
                    <w:t>SS</w:t>
                  </w:r>
                </w:p>
                <w:p w14:paraId="227CCA9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bCs/>
                      <w:color w:val="auto"/>
                      <w:sz w:val="21"/>
                      <w:szCs w:val="21"/>
                      <w:highlight w:val="none"/>
                      <w:vertAlign w:val="baseline"/>
                      <w:lang w:val="en-US" w:eastAsia="zh-CN"/>
                    </w:rPr>
                  </w:pPr>
                  <w:r>
                    <w:rPr>
                      <w:rFonts w:hint="eastAsia" w:cs="Times New Roman"/>
                      <w:b/>
                      <w:bCs/>
                      <w:color w:val="auto"/>
                      <w:sz w:val="21"/>
                      <w:szCs w:val="21"/>
                      <w:highlight w:val="none"/>
                      <w:vertAlign w:val="baseline"/>
                      <w:lang w:val="en-US" w:eastAsia="zh-CN"/>
                    </w:rPr>
                    <w:t>（mg/L）</w:t>
                  </w:r>
                </w:p>
              </w:tc>
              <w:tc>
                <w:tcPr>
                  <w:tcW w:w="1266" w:type="dxa"/>
                  <w:tcBorders>
                    <w:tl2br w:val="nil"/>
                    <w:tr2bl w:val="nil"/>
                  </w:tcBorders>
                  <w:vAlign w:val="center"/>
                </w:tcPr>
                <w:p w14:paraId="6D6B07B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bCs/>
                      <w:color w:val="auto"/>
                      <w:sz w:val="21"/>
                      <w:szCs w:val="21"/>
                      <w:highlight w:val="none"/>
                      <w:vertAlign w:val="baseline"/>
                      <w:lang w:val="en-US" w:eastAsia="zh-CN"/>
                    </w:rPr>
                  </w:pPr>
                  <w:r>
                    <w:rPr>
                      <w:rFonts w:hint="eastAsia" w:cs="Times New Roman"/>
                      <w:b/>
                      <w:bCs/>
                      <w:color w:val="auto"/>
                      <w:sz w:val="21"/>
                      <w:szCs w:val="21"/>
                      <w:highlight w:val="none"/>
                      <w:vertAlign w:val="baseline"/>
                      <w:lang w:val="en-US" w:eastAsia="zh-CN"/>
                    </w:rPr>
                    <w:t>NH</w:t>
                  </w:r>
                  <w:r>
                    <w:rPr>
                      <w:rFonts w:hint="eastAsia" w:cs="Times New Roman"/>
                      <w:b/>
                      <w:bCs/>
                      <w:color w:val="auto"/>
                      <w:sz w:val="21"/>
                      <w:szCs w:val="21"/>
                      <w:highlight w:val="none"/>
                      <w:vertAlign w:val="subscript"/>
                      <w:lang w:val="en-US" w:eastAsia="zh-CN"/>
                    </w:rPr>
                    <w:t>3</w:t>
                  </w:r>
                  <w:r>
                    <w:rPr>
                      <w:rFonts w:hint="eastAsia" w:cs="Times New Roman"/>
                      <w:b/>
                      <w:bCs/>
                      <w:color w:val="auto"/>
                      <w:sz w:val="21"/>
                      <w:szCs w:val="21"/>
                      <w:highlight w:val="none"/>
                      <w:vertAlign w:val="baseline"/>
                      <w:lang w:val="en-US" w:eastAsia="zh-CN"/>
                    </w:rPr>
                    <w:t>-N（mg/L）</w:t>
                  </w:r>
                </w:p>
              </w:tc>
              <w:tc>
                <w:tcPr>
                  <w:tcW w:w="1918" w:type="dxa"/>
                  <w:tcBorders>
                    <w:tl2br w:val="nil"/>
                    <w:tr2bl w:val="nil"/>
                  </w:tcBorders>
                  <w:vAlign w:val="center"/>
                </w:tcPr>
                <w:p w14:paraId="7483E6B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bCs/>
                      <w:color w:val="auto"/>
                      <w:sz w:val="21"/>
                      <w:szCs w:val="21"/>
                      <w:highlight w:val="none"/>
                      <w:vertAlign w:val="baseline"/>
                      <w:lang w:val="en-US" w:eastAsia="zh-CN"/>
                    </w:rPr>
                  </w:pPr>
                  <w:r>
                    <w:rPr>
                      <w:rFonts w:hint="eastAsia" w:cs="Times New Roman"/>
                      <w:b/>
                      <w:bCs/>
                      <w:color w:val="auto"/>
                      <w:sz w:val="21"/>
                      <w:szCs w:val="21"/>
                      <w:highlight w:val="none"/>
                      <w:vertAlign w:val="baseline"/>
                      <w:lang w:val="en-US" w:eastAsia="zh-CN"/>
                    </w:rPr>
                    <w:t>粪大肠杆菌（MPN/L）</w:t>
                  </w:r>
                </w:p>
              </w:tc>
            </w:tr>
            <w:tr w14:paraId="1D84CFEC">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15" w:type="dxa"/>
                  <w:tcBorders>
                    <w:tl2br w:val="nil"/>
                    <w:tr2bl w:val="nil"/>
                  </w:tcBorders>
                  <w:vAlign w:val="center"/>
                </w:tcPr>
                <w:p w14:paraId="082A5FC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污水浓度范围</w:t>
                  </w:r>
                </w:p>
              </w:tc>
              <w:tc>
                <w:tcPr>
                  <w:tcW w:w="1263" w:type="dxa"/>
                  <w:tcBorders>
                    <w:tl2br w:val="nil"/>
                    <w:tr2bl w:val="nil"/>
                  </w:tcBorders>
                  <w:vAlign w:val="center"/>
                </w:tcPr>
                <w:p w14:paraId="6F678E8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150~300</w:t>
                  </w:r>
                </w:p>
              </w:tc>
              <w:tc>
                <w:tcPr>
                  <w:tcW w:w="1263" w:type="dxa"/>
                  <w:tcBorders>
                    <w:tl2br w:val="nil"/>
                    <w:tr2bl w:val="nil"/>
                  </w:tcBorders>
                  <w:vAlign w:val="center"/>
                </w:tcPr>
                <w:p w14:paraId="745CBA5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80~150</w:t>
                  </w:r>
                </w:p>
              </w:tc>
              <w:tc>
                <w:tcPr>
                  <w:tcW w:w="1263" w:type="dxa"/>
                  <w:tcBorders>
                    <w:tl2br w:val="nil"/>
                    <w:tr2bl w:val="nil"/>
                  </w:tcBorders>
                  <w:vAlign w:val="center"/>
                </w:tcPr>
                <w:p w14:paraId="44AACD6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40~120</w:t>
                  </w:r>
                </w:p>
              </w:tc>
              <w:tc>
                <w:tcPr>
                  <w:tcW w:w="1266" w:type="dxa"/>
                  <w:tcBorders>
                    <w:tl2br w:val="nil"/>
                    <w:tr2bl w:val="nil"/>
                  </w:tcBorders>
                  <w:vAlign w:val="center"/>
                </w:tcPr>
                <w:p w14:paraId="3AEA649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10~50</w:t>
                  </w:r>
                </w:p>
              </w:tc>
              <w:tc>
                <w:tcPr>
                  <w:tcW w:w="1918" w:type="dxa"/>
                  <w:tcBorders>
                    <w:tl2br w:val="nil"/>
                    <w:tr2bl w:val="nil"/>
                  </w:tcBorders>
                  <w:vAlign w:val="center"/>
                </w:tcPr>
                <w:p w14:paraId="6C7EDF5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1.0×10</w:t>
                  </w:r>
                  <w:r>
                    <w:rPr>
                      <w:rFonts w:hint="eastAsia" w:cs="Times New Roman"/>
                      <w:color w:val="auto"/>
                      <w:sz w:val="21"/>
                      <w:szCs w:val="21"/>
                      <w:highlight w:val="none"/>
                      <w:vertAlign w:val="superscript"/>
                      <w:lang w:val="en-US" w:eastAsia="zh-CN"/>
                    </w:rPr>
                    <w:t>6</w:t>
                  </w:r>
                  <w:r>
                    <w:rPr>
                      <w:rFonts w:hint="eastAsia" w:cs="Times New Roman"/>
                      <w:color w:val="auto"/>
                      <w:sz w:val="21"/>
                      <w:szCs w:val="21"/>
                      <w:highlight w:val="none"/>
                      <w:vertAlign w:val="baseline"/>
                      <w:lang w:val="en-US" w:eastAsia="zh-CN"/>
                    </w:rPr>
                    <w:t>~3.0×10</w:t>
                  </w:r>
                  <w:r>
                    <w:rPr>
                      <w:rFonts w:hint="eastAsia" w:cs="Times New Roman"/>
                      <w:color w:val="auto"/>
                      <w:sz w:val="21"/>
                      <w:szCs w:val="21"/>
                      <w:highlight w:val="none"/>
                      <w:vertAlign w:val="superscript"/>
                      <w:lang w:val="en-US" w:eastAsia="zh-CN"/>
                    </w:rPr>
                    <w:t>8</w:t>
                  </w:r>
                </w:p>
              </w:tc>
            </w:tr>
            <w:tr w14:paraId="4AB3EB7E">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15" w:type="dxa"/>
                  <w:tcBorders>
                    <w:tl2br w:val="nil"/>
                    <w:tr2bl w:val="nil"/>
                  </w:tcBorders>
                  <w:vAlign w:val="center"/>
                </w:tcPr>
                <w:p w14:paraId="270535C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本次取值</w:t>
                  </w:r>
                </w:p>
              </w:tc>
              <w:tc>
                <w:tcPr>
                  <w:tcW w:w="1263" w:type="dxa"/>
                  <w:tcBorders>
                    <w:tl2br w:val="nil"/>
                    <w:tr2bl w:val="nil"/>
                  </w:tcBorders>
                  <w:vAlign w:val="center"/>
                </w:tcPr>
                <w:p w14:paraId="7E64AF8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300</w:t>
                  </w:r>
                </w:p>
              </w:tc>
              <w:tc>
                <w:tcPr>
                  <w:tcW w:w="1263" w:type="dxa"/>
                  <w:tcBorders>
                    <w:tl2br w:val="nil"/>
                    <w:tr2bl w:val="nil"/>
                  </w:tcBorders>
                  <w:vAlign w:val="center"/>
                </w:tcPr>
                <w:p w14:paraId="41E1C77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150</w:t>
                  </w:r>
                </w:p>
              </w:tc>
              <w:tc>
                <w:tcPr>
                  <w:tcW w:w="1263" w:type="dxa"/>
                  <w:tcBorders>
                    <w:tl2br w:val="nil"/>
                    <w:tr2bl w:val="nil"/>
                  </w:tcBorders>
                  <w:vAlign w:val="center"/>
                </w:tcPr>
                <w:p w14:paraId="3C72A32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120</w:t>
                  </w:r>
                </w:p>
              </w:tc>
              <w:tc>
                <w:tcPr>
                  <w:tcW w:w="1266" w:type="dxa"/>
                  <w:tcBorders>
                    <w:tl2br w:val="nil"/>
                    <w:tr2bl w:val="nil"/>
                  </w:tcBorders>
                  <w:vAlign w:val="center"/>
                </w:tcPr>
                <w:p w14:paraId="30990E9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50</w:t>
                  </w:r>
                </w:p>
              </w:tc>
              <w:tc>
                <w:tcPr>
                  <w:tcW w:w="1918" w:type="dxa"/>
                  <w:tcBorders>
                    <w:tl2br w:val="nil"/>
                    <w:tr2bl w:val="nil"/>
                  </w:tcBorders>
                  <w:vAlign w:val="center"/>
                </w:tcPr>
                <w:p w14:paraId="0031159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3.0×10</w:t>
                  </w:r>
                  <w:r>
                    <w:rPr>
                      <w:rFonts w:hint="eastAsia" w:cs="Times New Roman"/>
                      <w:color w:val="auto"/>
                      <w:sz w:val="21"/>
                      <w:szCs w:val="21"/>
                      <w:highlight w:val="none"/>
                      <w:vertAlign w:val="superscript"/>
                      <w:lang w:val="en-US" w:eastAsia="zh-CN"/>
                    </w:rPr>
                    <w:t>8</w:t>
                  </w:r>
                </w:p>
              </w:tc>
            </w:tr>
          </w:tbl>
          <w:p w14:paraId="1572097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0"/>
                <w:sz w:val="24"/>
                <w:highlight w:val="none"/>
                <w:lang w:val="en-US" w:eastAsia="zh-CN"/>
              </w:rPr>
            </w:pPr>
            <w:r>
              <w:rPr>
                <w:rFonts w:hint="eastAsia"/>
                <w:b w:val="0"/>
                <w:bCs w:val="0"/>
                <w:color w:val="auto"/>
                <w:spacing w:val="0"/>
                <w:sz w:val="24"/>
                <w:highlight w:val="none"/>
                <w:lang w:val="en-US" w:eastAsia="zh-CN"/>
              </w:rPr>
              <w:t>化粪池预处理效率参照《化粪池原理及水污染物去除率》中数据，化粪池对CODcr的处理效率约为15%，对BOD</w:t>
            </w:r>
            <w:r>
              <w:rPr>
                <w:rFonts w:hint="eastAsia"/>
                <w:b w:val="0"/>
                <w:bCs w:val="0"/>
                <w:color w:val="auto"/>
                <w:spacing w:val="0"/>
                <w:sz w:val="24"/>
                <w:highlight w:val="none"/>
                <w:vertAlign w:val="subscript"/>
                <w:lang w:val="en-US" w:eastAsia="zh-CN"/>
              </w:rPr>
              <w:t>5</w:t>
            </w:r>
            <w:r>
              <w:rPr>
                <w:rFonts w:hint="eastAsia"/>
                <w:b w:val="0"/>
                <w:bCs w:val="0"/>
                <w:color w:val="auto"/>
                <w:spacing w:val="0"/>
                <w:sz w:val="24"/>
                <w:highlight w:val="none"/>
                <w:lang w:val="en-US" w:eastAsia="zh-CN"/>
              </w:rPr>
              <w:t>的处理效率约为9%，对SS的处理效率约为30%，对氨氮的处理效率约为3%。</w:t>
            </w:r>
          </w:p>
          <w:p w14:paraId="038DF9F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0"/>
                <w:sz w:val="24"/>
                <w:highlight w:val="none"/>
                <w:lang w:val="en-US" w:eastAsia="zh-CN"/>
              </w:rPr>
            </w:pPr>
            <w:r>
              <w:rPr>
                <w:rFonts w:hint="eastAsia"/>
                <w:b w:val="0"/>
                <w:bCs w:val="0"/>
                <w:color w:val="auto"/>
                <w:spacing w:val="0"/>
                <w:sz w:val="24"/>
                <w:highlight w:val="none"/>
                <w:lang w:val="en-US" w:eastAsia="zh-CN"/>
              </w:rPr>
              <w:t>根据《小型医疗机构污水强化混凝处理探讨》（城市建设理论研究（2018年第21期）、《采用强化混凝法提高污水处理效能》（华中科技大学学报（2002年9月））采用“格栅+调节池+混凝沉淀+消毒”的一级强化处理工艺，在最佳混凝条件下污染物去除率分别为CODcr：70%-80%、BOD</w:t>
            </w:r>
            <w:r>
              <w:rPr>
                <w:rFonts w:hint="eastAsia"/>
                <w:b w:val="0"/>
                <w:bCs w:val="0"/>
                <w:color w:val="auto"/>
                <w:spacing w:val="0"/>
                <w:sz w:val="24"/>
                <w:highlight w:val="none"/>
                <w:vertAlign w:val="subscript"/>
                <w:lang w:val="en-US" w:eastAsia="zh-CN"/>
              </w:rPr>
              <w:t>5</w:t>
            </w:r>
            <w:r>
              <w:rPr>
                <w:rFonts w:hint="eastAsia"/>
                <w:b w:val="0"/>
                <w:bCs w:val="0"/>
                <w:color w:val="auto"/>
                <w:spacing w:val="0"/>
                <w:sz w:val="24"/>
                <w:highlight w:val="none"/>
                <w:lang w:val="en-US" w:eastAsia="zh-CN"/>
              </w:rPr>
              <w:t>：70%、SS：96%、氨氮：13%。结合医疗污水处理设备设计单位提供资料，本次环评污染物去除率分别按CODcr：50%、BOD</w:t>
            </w:r>
            <w:r>
              <w:rPr>
                <w:rFonts w:hint="eastAsia"/>
                <w:b w:val="0"/>
                <w:bCs w:val="0"/>
                <w:color w:val="auto"/>
                <w:spacing w:val="0"/>
                <w:sz w:val="24"/>
                <w:highlight w:val="none"/>
                <w:vertAlign w:val="subscript"/>
                <w:lang w:val="en-US" w:eastAsia="zh-CN"/>
              </w:rPr>
              <w:t>5</w:t>
            </w:r>
            <w:r>
              <w:rPr>
                <w:rFonts w:hint="eastAsia"/>
                <w:b w:val="0"/>
                <w:bCs w:val="0"/>
                <w:color w:val="auto"/>
                <w:spacing w:val="0"/>
                <w:sz w:val="24"/>
                <w:highlight w:val="none"/>
                <w:lang w:val="en-US" w:eastAsia="zh-CN"/>
              </w:rPr>
              <w:t>：35%、SS：70%、氨氮：13%计。</w:t>
            </w:r>
          </w:p>
          <w:p w14:paraId="2422729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0"/>
                <w:sz w:val="24"/>
                <w:highlight w:val="none"/>
                <w:lang w:val="en-US" w:eastAsia="zh-CN"/>
              </w:rPr>
            </w:pPr>
            <w:r>
              <w:rPr>
                <w:rFonts w:hint="eastAsia"/>
                <w:b w:val="0"/>
                <w:bCs w:val="0"/>
                <w:color w:val="auto"/>
                <w:spacing w:val="0"/>
                <w:sz w:val="24"/>
                <w:highlight w:val="none"/>
                <w:lang w:val="en-US" w:eastAsia="zh-CN"/>
              </w:rPr>
              <w:t>根据《次氯酸钠和二氧化氯消毒液对城市污水消毒效果的研究》使用10mg/L次氯酸钠（以有效氯计）接触20min对粪大肠菌群的去除率接近于100%，本项目采用含氯消毒剂消毒的工艺控制要求为：消毒接触池接触时间</w:t>
            </w:r>
            <w:r>
              <w:rPr>
                <w:rFonts w:hint="default" w:ascii="Times New Roman" w:hAnsi="Times New Roman" w:cs="Times New Roman"/>
                <w:b w:val="0"/>
                <w:bCs w:val="0"/>
                <w:color w:val="auto"/>
                <w:spacing w:val="0"/>
                <w:sz w:val="24"/>
                <w:highlight w:val="none"/>
                <w:lang w:val="en-US" w:eastAsia="zh-CN"/>
              </w:rPr>
              <w:t>≥</w:t>
            </w:r>
            <w:r>
              <w:rPr>
                <w:rFonts w:hint="eastAsia"/>
                <w:b w:val="0"/>
                <w:bCs w:val="0"/>
                <w:color w:val="auto"/>
                <w:spacing w:val="0"/>
                <w:sz w:val="24"/>
                <w:highlight w:val="none"/>
                <w:lang w:val="en-US" w:eastAsia="zh-CN"/>
              </w:rPr>
              <w:t>1h，消毒接触池出口总余氯2-8mg/L，项目消毒池出水即为废水排放口出水，总余氯指标通过结合项目运行中的实际水质、水量和每日2次的检测数据，调整次氯酸钠溶液投加量，以确保废水排放口出水总余氯保持在2-8mg/L，按照2-8mg/L排放浓度核算，本评价按去除率为99.999%计。</w:t>
            </w:r>
          </w:p>
          <w:p w14:paraId="7609A97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10"/>
                <w:sz w:val="24"/>
                <w:highlight w:val="none"/>
                <w:lang w:val="en-US" w:eastAsia="zh-CN"/>
              </w:rPr>
            </w:pPr>
            <w:r>
              <w:rPr>
                <w:rFonts w:hint="eastAsia"/>
                <w:b w:val="0"/>
                <w:bCs w:val="0"/>
                <w:color w:val="auto"/>
                <w:spacing w:val="0"/>
                <w:sz w:val="24"/>
                <w:highlight w:val="none"/>
                <w:lang w:val="en-US" w:eastAsia="zh-CN"/>
              </w:rPr>
              <w:t>本项目医疗废水经化粪池及污水处理设施处理后的水质情况、各项污染物的排放情况详见下表。</w:t>
            </w:r>
          </w:p>
          <w:p w14:paraId="4AE47A7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b/>
                <w:bCs/>
                <w:color w:val="auto"/>
                <w:spacing w:val="-10"/>
                <w:sz w:val="21"/>
                <w:szCs w:val="21"/>
                <w:highlight w:val="none"/>
                <w:lang w:val="en-US" w:eastAsia="zh-CN"/>
              </w:rPr>
            </w:pPr>
            <w:r>
              <w:rPr>
                <w:rFonts w:hint="eastAsia"/>
                <w:b/>
                <w:bCs/>
                <w:color w:val="auto"/>
                <w:spacing w:val="-10"/>
                <w:sz w:val="21"/>
                <w:szCs w:val="21"/>
                <w:highlight w:val="none"/>
                <w:lang w:val="en-US" w:eastAsia="zh-CN"/>
              </w:rPr>
              <w:t>表4-5 项目水污染物产生及排放情况一览表</w:t>
            </w:r>
          </w:p>
          <w:tbl>
            <w:tblPr>
              <w:tblStyle w:val="13"/>
              <w:tblW w:w="4998" w:type="pct"/>
              <w:jc w:val="center"/>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53"/>
              <w:gridCol w:w="855"/>
              <w:gridCol w:w="825"/>
              <w:gridCol w:w="885"/>
              <w:gridCol w:w="1065"/>
              <w:gridCol w:w="615"/>
              <w:gridCol w:w="720"/>
              <w:gridCol w:w="750"/>
              <w:gridCol w:w="705"/>
              <w:gridCol w:w="780"/>
              <w:gridCol w:w="957"/>
            </w:tblGrid>
            <w:tr w14:paraId="38E5A4DC">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7" w:type="pct"/>
                  <w:vMerge w:val="restart"/>
                  <w:tcBorders>
                    <w:tl2br w:val="nil"/>
                    <w:tr2bl w:val="nil"/>
                  </w:tcBorders>
                  <w:vAlign w:val="center"/>
                </w:tcPr>
                <w:p w14:paraId="7339DAA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bCs/>
                      <w:color w:val="auto"/>
                      <w:sz w:val="18"/>
                      <w:szCs w:val="18"/>
                      <w:highlight w:val="none"/>
                      <w:vertAlign w:val="baseline"/>
                      <w:lang w:val="en-US" w:eastAsia="zh-CN"/>
                    </w:rPr>
                  </w:pPr>
                  <w:r>
                    <w:rPr>
                      <w:rFonts w:hint="eastAsia" w:cs="Times New Roman"/>
                      <w:b/>
                      <w:bCs/>
                      <w:color w:val="auto"/>
                      <w:sz w:val="18"/>
                      <w:szCs w:val="18"/>
                      <w:highlight w:val="none"/>
                      <w:vertAlign w:val="baseline"/>
                      <w:lang w:val="en-US" w:eastAsia="zh-CN"/>
                    </w:rPr>
                    <w:t>污染物</w:t>
                  </w:r>
                </w:p>
              </w:tc>
              <w:tc>
                <w:tcPr>
                  <w:tcW w:w="502" w:type="pct"/>
                  <w:vMerge w:val="restart"/>
                  <w:tcBorders>
                    <w:tl2br w:val="nil"/>
                    <w:tr2bl w:val="nil"/>
                  </w:tcBorders>
                  <w:vAlign w:val="center"/>
                </w:tcPr>
                <w:p w14:paraId="2E53B2F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bCs/>
                      <w:color w:val="auto"/>
                      <w:sz w:val="18"/>
                      <w:szCs w:val="18"/>
                      <w:highlight w:val="none"/>
                      <w:vertAlign w:val="baseline"/>
                      <w:lang w:val="en-US" w:eastAsia="zh-CN"/>
                    </w:rPr>
                  </w:pPr>
                  <w:r>
                    <w:rPr>
                      <w:rFonts w:hint="eastAsia" w:cs="Times New Roman"/>
                      <w:b/>
                      <w:bCs/>
                      <w:color w:val="auto"/>
                      <w:sz w:val="18"/>
                      <w:szCs w:val="18"/>
                      <w:highlight w:val="none"/>
                      <w:vertAlign w:val="baseline"/>
                      <w:lang w:val="en-US" w:eastAsia="zh-CN"/>
                    </w:rPr>
                    <w:t>废水量m</w:t>
                  </w:r>
                  <w:r>
                    <w:rPr>
                      <w:rFonts w:hint="eastAsia" w:cs="Times New Roman"/>
                      <w:b/>
                      <w:bCs/>
                      <w:color w:val="auto"/>
                      <w:sz w:val="18"/>
                      <w:szCs w:val="18"/>
                      <w:highlight w:val="none"/>
                      <w:vertAlign w:val="superscript"/>
                      <w:lang w:val="en-US" w:eastAsia="zh-CN"/>
                    </w:rPr>
                    <w:t>3</w:t>
                  </w:r>
                  <w:r>
                    <w:rPr>
                      <w:rFonts w:hint="eastAsia" w:cs="Times New Roman"/>
                      <w:b/>
                      <w:bCs/>
                      <w:color w:val="auto"/>
                      <w:sz w:val="18"/>
                      <w:szCs w:val="18"/>
                      <w:highlight w:val="none"/>
                      <w:vertAlign w:val="baseline"/>
                      <w:lang w:val="en-US" w:eastAsia="zh-CN"/>
                    </w:rPr>
                    <w:t>/a</w:t>
                  </w:r>
                </w:p>
              </w:tc>
              <w:tc>
                <w:tcPr>
                  <w:tcW w:w="484" w:type="pct"/>
                  <w:vMerge w:val="restart"/>
                  <w:tcBorders>
                    <w:tl2br w:val="nil"/>
                    <w:tr2bl w:val="nil"/>
                  </w:tcBorders>
                  <w:vAlign w:val="center"/>
                </w:tcPr>
                <w:p w14:paraId="44E661C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bCs/>
                      <w:color w:val="auto"/>
                      <w:sz w:val="18"/>
                      <w:szCs w:val="18"/>
                      <w:highlight w:val="none"/>
                      <w:vertAlign w:val="baseline"/>
                      <w:lang w:val="en-US" w:eastAsia="zh-CN"/>
                    </w:rPr>
                  </w:pPr>
                  <w:r>
                    <w:rPr>
                      <w:rFonts w:hint="eastAsia" w:cs="Times New Roman"/>
                      <w:b/>
                      <w:bCs/>
                      <w:color w:val="auto"/>
                      <w:sz w:val="18"/>
                      <w:szCs w:val="18"/>
                      <w:highlight w:val="none"/>
                      <w:vertAlign w:val="baseline"/>
                      <w:lang w:val="en-US" w:eastAsia="zh-CN"/>
                    </w:rPr>
                    <w:t>污染物名称</w:t>
                  </w:r>
                </w:p>
              </w:tc>
              <w:tc>
                <w:tcPr>
                  <w:tcW w:w="1145" w:type="pct"/>
                  <w:gridSpan w:val="2"/>
                  <w:tcBorders>
                    <w:tl2br w:val="nil"/>
                    <w:tr2bl w:val="nil"/>
                  </w:tcBorders>
                  <w:vAlign w:val="center"/>
                </w:tcPr>
                <w:p w14:paraId="2AD8542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bCs/>
                      <w:color w:val="auto"/>
                      <w:sz w:val="18"/>
                      <w:szCs w:val="18"/>
                      <w:highlight w:val="none"/>
                      <w:vertAlign w:val="baseline"/>
                      <w:lang w:val="en-US" w:eastAsia="zh-CN"/>
                    </w:rPr>
                  </w:pPr>
                  <w:r>
                    <w:rPr>
                      <w:rFonts w:hint="eastAsia" w:cs="Times New Roman"/>
                      <w:b/>
                      <w:bCs/>
                      <w:color w:val="auto"/>
                      <w:sz w:val="18"/>
                      <w:szCs w:val="18"/>
                      <w:highlight w:val="none"/>
                      <w:vertAlign w:val="baseline"/>
                      <w:lang w:val="en-US" w:eastAsia="zh-CN"/>
                    </w:rPr>
                    <w:t>污染物产生情况</w:t>
                  </w:r>
                </w:p>
              </w:tc>
              <w:tc>
                <w:tcPr>
                  <w:tcW w:w="784" w:type="pct"/>
                  <w:gridSpan w:val="2"/>
                  <w:tcBorders>
                    <w:right w:val="single" w:color="000000" w:sz="4" w:space="0"/>
                    <w:tl2br w:val="nil"/>
                    <w:tr2bl w:val="nil"/>
                  </w:tcBorders>
                  <w:vAlign w:val="center"/>
                </w:tcPr>
                <w:p w14:paraId="222596D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s="Times New Roman"/>
                      <w:b/>
                      <w:bCs/>
                      <w:color w:val="auto"/>
                      <w:sz w:val="18"/>
                      <w:szCs w:val="18"/>
                      <w:highlight w:val="none"/>
                      <w:vertAlign w:val="baseline"/>
                      <w:lang w:val="en-US" w:eastAsia="zh-CN"/>
                    </w:rPr>
                  </w:pPr>
                  <w:r>
                    <w:rPr>
                      <w:rFonts w:hint="eastAsia" w:cs="Times New Roman"/>
                      <w:b/>
                      <w:bCs/>
                      <w:color w:val="auto"/>
                      <w:sz w:val="18"/>
                      <w:szCs w:val="18"/>
                      <w:highlight w:val="none"/>
                      <w:vertAlign w:val="baseline"/>
                      <w:lang w:val="en-US" w:eastAsia="zh-CN"/>
                    </w:rPr>
                    <w:t>化粪池处理</w:t>
                  </w:r>
                </w:p>
              </w:tc>
              <w:tc>
                <w:tcPr>
                  <w:tcW w:w="854" w:type="pct"/>
                  <w:gridSpan w:val="2"/>
                  <w:tcBorders>
                    <w:left w:val="single" w:color="000000" w:sz="4" w:space="0"/>
                    <w:tl2br w:val="nil"/>
                    <w:tr2bl w:val="nil"/>
                  </w:tcBorders>
                  <w:vAlign w:val="center"/>
                </w:tcPr>
                <w:p w14:paraId="0FA3698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s="Times New Roman"/>
                      <w:b/>
                      <w:bCs/>
                      <w:color w:val="auto"/>
                      <w:sz w:val="18"/>
                      <w:szCs w:val="18"/>
                      <w:highlight w:val="none"/>
                      <w:vertAlign w:val="baseline"/>
                      <w:lang w:val="en-US" w:eastAsia="zh-CN"/>
                    </w:rPr>
                  </w:pPr>
                  <w:r>
                    <w:rPr>
                      <w:rFonts w:hint="eastAsia" w:cs="Times New Roman"/>
                      <w:b/>
                      <w:bCs/>
                      <w:color w:val="auto"/>
                      <w:sz w:val="18"/>
                      <w:szCs w:val="18"/>
                      <w:highlight w:val="none"/>
                      <w:vertAlign w:val="baseline"/>
                      <w:lang w:val="en-US" w:eastAsia="zh-CN"/>
                    </w:rPr>
                    <w:t>污水处理设施处理</w:t>
                  </w:r>
                </w:p>
              </w:tc>
              <w:tc>
                <w:tcPr>
                  <w:tcW w:w="1020" w:type="pct"/>
                  <w:gridSpan w:val="2"/>
                  <w:tcBorders>
                    <w:tl2br w:val="nil"/>
                    <w:tr2bl w:val="nil"/>
                  </w:tcBorders>
                  <w:vAlign w:val="center"/>
                </w:tcPr>
                <w:p w14:paraId="0EAF824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bCs/>
                      <w:color w:val="auto"/>
                      <w:sz w:val="18"/>
                      <w:szCs w:val="18"/>
                      <w:highlight w:val="none"/>
                      <w:vertAlign w:val="baseline"/>
                      <w:lang w:val="en-US" w:eastAsia="zh-CN"/>
                    </w:rPr>
                  </w:pPr>
                  <w:r>
                    <w:rPr>
                      <w:rFonts w:hint="eastAsia" w:cs="Times New Roman"/>
                      <w:b/>
                      <w:bCs/>
                      <w:color w:val="auto"/>
                      <w:sz w:val="18"/>
                      <w:szCs w:val="18"/>
                      <w:highlight w:val="none"/>
                      <w:vertAlign w:val="baseline"/>
                      <w:lang w:val="en-US" w:eastAsia="zh-CN"/>
                    </w:rPr>
                    <w:t>污染物排放情况</w:t>
                  </w:r>
                </w:p>
              </w:tc>
            </w:tr>
            <w:tr w14:paraId="63E83627">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7" w:type="pct"/>
                  <w:vMerge w:val="continue"/>
                  <w:tcBorders>
                    <w:tl2br w:val="nil"/>
                    <w:tr2bl w:val="nil"/>
                  </w:tcBorders>
                  <w:vAlign w:val="center"/>
                </w:tcPr>
                <w:p w14:paraId="4D952B3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s="Times New Roman"/>
                      <w:color w:val="auto"/>
                      <w:sz w:val="18"/>
                      <w:szCs w:val="18"/>
                      <w:highlight w:val="none"/>
                      <w:vertAlign w:val="baseline"/>
                      <w:lang w:val="en-US" w:eastAsia="zh-CN"/>
                    </w:rPr>
                  </w:pPr>
                </w:p>
              </w:tc>
              <w:tc>
                <w:tcPr>
                  <w:tcW w:w="502" w:type="pct"/>
                  <w:vMerge w:val="continue"/>
                  <w:tcBorders>
                    <w:tl2br w:val="nil"/>
                    <w:tr2bl w:val="nil"/>
                  </w:tcBorders>
                  <w:vAlign w:val="center"/>
                </w:tcPr>
                <w:p w14:paraId="0225D8D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s="Times New Roman"/>
                      <w:color w:val="auto"/>
                      <w:sz w:val="18"/>
                      <w:szCs w:val="18"/>
                      <w:highlight w:val="none"/>
                      <w:vertAlign w:val="baseline"/>
                      <w:lang w:val="en-US" w:eastAsia="zh-CN"/>
                    </w:rPr>
                  </w:pPr>
                </w:p>
              </w:tc>
              <w:tc>
                <w:tcPr>
                  <w:tcW w:w="484" w:type="pct"/>
                  <w:vMerge w:val="continue"/>
                  <w:tcBorders>
                    <w:tl2br w:val="nil"/>
                    <w:tr2bl w:val="nil"/>
                  </w:tcBorders>
                  <w:vAlign w:val="center"/>
                </w:tcPr>
                <w:p w14:paraId="2DECA92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s="Times New Roman"/>
                      <w:color w:val="auto"/>
                      <w:sz w:val="18"/>
                      <w:szCs w:val="18"/>
                      <w:highlight w:val="none"/>
                      <w:vertAlign w:val="baseline"/>
                      <w:lang w:val="en-US" w:eastAsia="zh-CN"/>
                    </w:rPr>
                  </w:pPr>
                </w:p>
              </w:tc>
              <w:tc>
                <w:tcPr>
                  <w:tcW w:w="519" w:type="pct"/>
                  <w:tcBorders>
                    <w:tl2br w:val="nil"/>
                    <w:tr2bl w:val="nil"/>
                  </w:tcBorders>
                  <w:vAlign w:val="center"/>
                </w:tcPr>
                <w:p w14:paraId="2034917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s="Times New Roman"/>
                      <w:b/>
                      <w:bCs/>
                      <w:color w:val="auto"/>
                      <w:sz w:val="18"/>
                      <w:szCs w:val="18"/>
                      <w:highlight w:val="none"/>
                      <w:vertAlign w:val="baseline"/>
                      <w:lang w:val="en-US" w:eastAsia="zh-CN"/>
                    </w:rPr>
                  </w:pPr>
                  <w:r>
                    <w:rPr>
                      <w:rFonts w:hint="eastAsia" w:cs="Times New Roman"/>
                      <w:b/>
                      <w:bCs/>
                      <w:color w:val="auto"/>
                      <w:sz w:val="18"/>
                      <w:szCs w:val="18"/>
                      <w:highlight w:val="none"/>
                      <w:vertAlign w:val="baseline"/>
                      <w:lang w:val="en-US" w:eastAsia="zh-CN"/>
                    </w:rPr>
                    <w:t>浓度</w:t>
                  </w:r>
                </w:p>
                <w:p w14:paraId="66FD5E1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s="Times New Roman"/>
                      <w:b/>
                      <w:bCs/>
                      <w:color w:val="auto"/>
                      <w:sz w:val="18"/>
                      <w:szCs w:val="18"/>
                      <w:highlight w:val="none"/>
                      <w:vertAlign w:val="baseline"/>
                      <w:lang w:val="en-US" w:eastAsia="zh-CN"/>
                    </w:rPr>
                  </w:pPr>
                  <w:r>
                    <w:rPr>
                      <w:rFonts w:hint="eastAsia" w:cs="Times New Roman"/>
                      <w:b/>
                      <w:bCs/>
                      <w:color w:val="auto"/>
                      <w:sz w:val="18"/>
                      <w:szCs w:val="18"/>
                      <w:highlight w:val="none"/>
                      <w:vertAlign w:val="baseline"/>
                      <w:lang w:val="en-US" w:eastAsia="zh-CN"/>
                    </w:rPr>
                    <w:t>mg/L</w:t>
                  </w:r>
                </w:p>
              </w:tc>
              <w:tc>
                <w:tcPr>
                  <w:tcW w:w="625" w:type="pct"/>
                  <w:tcBorders>
                    <w:top w:val="single" w:color="000000" w:sz="4" w:space="0"/>
                    <w:tl2br w:val="nil"/>
                    <w:tr2bl w:val="nil"/>
                  </w:tcBorders>
                  <w:vAlign w:val="center"/>
                </w:tcPr>
                <w:p w14:paraId="57BB7EC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s="Times New Roman"/>
                      <w:b/>
                      <w:bCs/>
                      <w:color w:val="auto"/>
                      <w:sz w:val="18"/>
                      <w:szCs w:val="18"/>
                      <w:highlight w:val="none"/>
                      <w:vertAlign w:val="baseline"/>
                      <w:lang w:val="en-US" w:eastAsia="zh-CN"/>
                    </w:rPr>
                  </w:pPr>
                  <w:r>
                    <w:rPr>
                      <w:rFonts w:hint="eastAsia" w:cs="Times New Roman"/>
                      <w:b/>
                      <w:bCs/>
                      <w:color w:val="auto"/>
                      <w:sz w:val="18"/>
                      <w:szCs w:val="18"/>
                      <w:highlight w:val="none"/>
                      <w:vertAlign w:val="baseline"/>
                      <w:lang w:val="en-US" w:eastAsia="zh-CN"/>
                    </w:rPr>
                    <w:t>产生量</w:t>
                  </w:r>
                </w:p>
                <w:p w14:paraId="3C16BF0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s="Times New Roman"/>
                      <w:b/>
                      <w:bCs/>
                      <w:color w:val="auto"/>
                      <w:sz w:val="18"/>
                      <w:szCs w:val="18"/>
                      <w:highlight w:val="none"/>
                      <w:vertAlign w:val="baseline"/>
                      <w:lang w:val="en-US" w:eastAsia="zh-CN"/>
                    </w:rPr>
                  </w:pPr>
                  <w:r>
                    <w:rPr>
                      <w:rFonts w:hint="eastAsia" w:cs="Times New Roman"/>
                      <w:b/>
                      <w:bCs/>
                      <w:color w:val="auto"/>
                      <w:sz w:val="18"/>
                      <w:szCs w:val="18"/>
                      <w:highlight w:val="none"/>
                      <w:vertAlign w:val="baseline"/>
                      <w:lang w:val="en-US" w:eastAsia="zh-CN"/>
                    </w:rPr>
                    <w:t>t/a</w:t>
                  </w:r>
                </w:p>
              </w:tc>
              <w:tc>
                <w:tcPr>
                  <w:tcW w:w="361" w:type="pct"/>
                  <w:tcBorders>
                    <w:top w:val="single" w:color="000000" w:sz="4" w:space="0"/>
                    <w:right w:val="single" w:color="000000" w:sz="4" w:space="0"/>
                    <w:tl2br w:val="nil"/>
                    <w:tr2bl w:val="nil"/>
                  </w:tcBorders>
                  <w:vAlign w:val="center"/>
                </w:tcPr>
                <w:p w14:paraId="3E63B56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bCs/>
                      <w:color w:val="auto"/>
                      <w:sz w:val="18"/>
                      <w:szCs w:val="18"/>
                      <w:highlight w:val="none"/>
                      <w:vertAlign w:val="baseline"/>
                      <w:lang w:val="en-US" w:eastAsia="zh-CN"/>
                    </w:rPr>
                  </w:pPr>
                  <w:r>
                    <w:rPr>
                      <w:rFonts w:hint="eastAsia" w:cs="Times New Roman"/>
                      <w:b/>
                      <w:bCs/>
                      <w:color w:val="auto"/>
                      <w:sz w:val="18"/>
                      <w:szCs w:val="18"/>
                      <w:highlight w:val="none"/>
                      <w:vertAlign w:val="baseline"/>
                      <w:lang w:val="en-US" w:eastAsia="zh-CN"/>
                    </w:rPr>
                    <w:t>处理效率%</w:t>
                  </w:r>
                </w:p>
              </w:tc>
              <w:tc>
                <w:tcPr>
                  <w:tcW w:w="423" w:type="pct"/>
                  <w:tcBorders>
                    <w:top w:val="single" w:color="000000" w:sz="4" w:space="0"/>
                    <w:left w:val="single" w:color="000000" w:sz="4" w:space="0"/>
                    <w:right w:val="single" w:color="000000" w:sz="4" w:space="0"/>
                    <w:tl2br w:val="nil"/>
                    <w:tr2bl w:val="nil"/>
                  </w:tcBorders>
                  <w:vAlign w:val="center"/>
                </w:tcPr>
                <w:p w14:paraId="2CB6280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s="Times New Roman"/>
                      <w:b/>
                      <w:bCs/>
                      <w:color w:val="auto"/>
                      <w:sz w:val="18"/>
                      <w:szCs w:val="18"/>
                      <w:highlight w:val="none"/>
                      <w:vertAlign w:val="baseline"/>
                      <w:lang w:val="en-US" w:eastAsia="zh-CN"/>
                    </w:rPr>
                  </w:pPr>
                  <w:r>
                    <w:rPr>
                      <w:rFonts w:hint="eastAsia" w:cs="Times New Roman"/>
                      <w:b/>
                      <w:bCs/>
                      <w:color w:val="auto"/>
                      <w:sz w:val="18"/>
                      <w:szCs w:val="18"/>
                      <w:highlight w:val="none"/>
                      <w:vertAlign w:val="baseline"/>
                      <w:lang w:val="en-US" w:eastAsia="zh-CN"/>
                    </w:rPr>
                    <w:t>浓度</w:t>
                  </w:r>
                </w:p>
                <w:p w14:paraId="4BC8623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bCs/>
                      <w:color w:val="auto"/>
                      <w:sz w:val="18"/>
                      <w:szCs w:val="18"/>
                      <w:highlight w:val="none"/>
                      <w:vertAlign w:val="baseline"/>
                      <w:lang w:val="en-US" w:eastAsia="zh-CN"/>
                    </w:rPr>
                  </w:pPr>
                  <w:r>
                    <w:rPr>
                      <w:rFonts w:hint="eastAsia" w:cs="Times New Roman"/>
                      <w:b/>
                      <w:bCs/>
                      <w:color w:val="auto"/>
                      <w:sz w:val="18"/>
                      <w:szCs w:val="18"/>
                      <w:highlight w:val="none"/>
                      <w:vertAlign w:val="baseline"/>
                      <w:lang w:val="en-US" w:eastAsia="zh-CN"/>
                    </w:rPr>
                    <w:t>mg/L</w:t>
                  </w:r>
                </w:p>
              </w:tc>
              <w:tc>
                <w:tcPr>
                  <w:tcW w:w="440" w:type="pct"/>
                  <w:tcBorders>
                    <w:top w:val="single" w:color="000000" w:sz="4" w:space="0"/>
                    <w:left w:val="single" w:color="000000" w:sz="4" w:space="0"/>
                    <w:right w:val="single" w:color="000000" w:sz="4" w:space="0"/>
                    <w:tl2br w:val="nil"/>
                    <w:tr2bl w:val="nil"/>
                  </w:tcBorders>
                  <w:vAlign w:val="center"/>
                </w:tcPr>
                <w:p w14:paraId="464D2FC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s="Times New Roman"/>
                      <w:b/>
                      <w:bCs/>
                      <w:color w:val="auto"/>
                      <w:sz w:val="18"/>
                      <w:szCs w:val="18"/>
                      <w:highlight w:val="none"/>
                      <w:vertAlign w:val="baseline"/>
                      <w:lang w:val="en-US" w:eastAsia="zh-CN"/>
                    </w:rPr>
                  </w:pPr>
                  <w:r>
                    <w:rPr>
                      <w:rFonts w:hint="eastAsia" w:cs="Times New Roman"/>
                      <w:b/>
                      <w:bCs/>
                      <w:color w:val="auto"/>
                      <w:sz w:val="18"/>
                      <w:szCs w:val="18"/>
                      <w:highlight w:val="none"/>
                      <w:vertAlign w:val="baseline"/>
                      <w:lang w:val="en-US" w:eastAsia="zh-CN"/>
                    </w:rPr>
                    <w:t>处理效率%</w:t>
                  </w:r>
                </w:p>
              </w:tc>
              <w:tc>
                <w:tcPr>
                  <w:tcW w:w="414" w:type="pct"/>
                  <w:tcBorders>
                    <w:top w:val="single" w:color="000000" w:sz="4" w:space="0"/>
                    <w:left w:val="single" w:color="000000" w:sz="4" w:space="0"/>
                    <w:tl2br w:val="nil"/>
                    <w:tr2bl w:val="nil"/>
                  </w:tcBorders>
                  <w:vAlign w:val="center"/>
                </w:tcPr>
                <w:p w14:paraId="03B7B09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s="Times New Roman"/>
                      <w:b/>
                      <w:bCs/>
                      <w:color w:val="auto"/>
                      <w:sz w:val="18"/>
                      <w:szCs w:val="18"/>
                      <w:highlight w:val="none"/>
                      <w:vertAlign w:val="baseline"/>
                      <w:lang w:val="en-US" w:eastAsia="zh-CN"/>
                    </w:rPr>
                  </w:pPr>
                  <w:r>
                    <w:rPr>
                      <w:rFonts w:hint="eastAsia" w:cs="Times New Roman"/>
                      <w:b/>
                      <w:bCs/>
                      <w:color w:val="auto"/>
                      <w:sz w:val="18"/>
                      <w:szCs w:val="18"/>
                      <w:highlight w:val="none"/>
                      <w:vertAlign w:val="baseline"/>
                      <w:lang w:val="en-US" w:eastAsia="zh-CN"/>
                    </w:rPr>
                    <w:t>浓度</w:t>
                  </w:r>
                </w:p>
                <w:p w14:paraId="3B2EDB7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s="Times New Roman"/>
                      <w:b/>
                      <w:bCs/>
                      <w:color w:val="auto"/>
                      <w:sz w:val="18"/>
                      <w:szCs w:val="18"/>
                      <w:highlight w:val="none"/>
                      <w:vertAlign w:val="baseline"/>
                      <w:lang w:val="en-US" w:eastAsia="zh-CN"/>
                    </w:rPr>
                  </w:pPr>
                  <w:r>
                    <w:rPr>
                      <w:rFonts w:hint="eastAsia" w:cs="Times New Roman"/>
                      <w:b/>
                      <w:bCs/>
                      <w:color w:val="auto"/>
                      <w:sz w:val="18"/>
                      <w:szCs w:val="18"/>
                      <w:highlight w:val="none"/>
                      <w:vertAlign w:val="baseline"/>
                      <w:lang w:val="en-US" w:eastAsia="zh-CN"/>
                    </w:rPr>
                    <w:t>mg/L</w:t>
                  </w:r>
                </w:p>
              </w:tc>
              <w:tc>
                <w:tcPr>
                  <w:tcW w:w="458" w:type="pct"/>
                  <w:tcBorders>
                    <w:tl2br w:val="nil"/>
                    <w:tr2bl w:val="nil"/>
                  </w:tcBorders>
                  <w:vAlign w:val="center"/>
                </w:tcPr>
                <w:p w14:paraId="04B58C7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bCs/>
                      <w:color w:val="auto"/>
                      <w:sz w:val="18"/>
                      <w:szCs w:val="18"/>
                      <w:highlight w:val="none"/>
                      <w:vertAlign w:val="baseline"/>
                      <w:lang w:val="en-US" w:eastAsia="zh-CN"/>
                    </w:rPr>
                  </w:pPr>
                  <w:r>
                    <w:rPr>
                      <w:rFonts w:hint="eastAsia" w:cs="Times New Roman"/>
                      <w:b/>
                      <w:bCs/>
                      <w:color w:val="auto"/>
                      <w:sz w:val="18"/>
                      <w:szCs w:val="18"/>
                      <w:highlight w:val="none"/>
                      <w:vertAlign w:val="baseline"/>
                      <w:lang w:val="en-US" w:eastAsia="zh-CN"/>
                    </w:rPr>
                    <w:t>浓度mg/L</w:t>
                  </w:r>
                </w:p>
              </w:tc>
              <w:tc>
                <w:tcPr>
                  <w:tcW w:w="562" w:type="pct"/>
                  <w:tcBorders>
                    <w:tl2br w:val="nil"/>
                    <w:tr2bl w:val="nil"/>
                  </w:tcBorders>
                  <w:vAlign w:val="center"/>
                </w:tcPr>
                <w:p w14:paraId="127C4BB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bCs/>
                      <w:color w:val="auto"/>
                      <w:sz w:val="18"/>
                      <w:szCs w:val="18"/>
                      <w:highlight w:val="none"/>
                      <w:vertAlign w:val="baseline"/>
                      <w:lang w:val="en-US" w:eastAsia="zh-CN"/>
                    </w:rPr>
                  </w:pPr>
                  <w:r>
                    <w:rPr>
                      <w:rFonts w:hint="eastAsia" w:cs="Times New Roman"/>
                      <w:b/>
                      <w:bCs/>
                      <w:color w:val="auto"/>
                      <w:sz w:val="18"/>
                      <w:szCs w:val="18"/>
                      <w:highlight w:val="none"/>
                      <w:vertAlign w:val="baseline"/>
                      <w:lang w:val="en-US" w:eastAsia="zh-CN"/>
                    </w:rPr>
                    <w:t>排放量t/a</w:t>
                  </w:r>
                </w:p>
              </w:tc>
            </w:tr>
            <w:tr w14:paraId="25A8FAA4">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7" w:type="pct"/>
                  <w:vMerge w:val="restart"/>
                  <w:tcBorders>
                    <w:tl2br w:val="nil"/>
                    <w:tr2bl w:val="nil"/>
                  </w:tcBorders>
                  <w:vAlign w:val="center"/>
                </w:tcPr>
                <w:p w14:paraId="228F06F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医疗废水</w:t>
                  </w:r>
                </w:p>
              </w:tc>
              <w:tc>
                <w:tcPr>
                  <w:tcW w:w="502" w:type="pct"/>
                  <w:vMerge w:val="restart"/>
                  <w:tcBorders>
                    <w:tl2br w:val="nil"/>
                    <w:tr2bl w:val="nil"/>
                  </w:tcBorders>
                  <w:vAlign w:val="center"/>
                </w:tcPr>
                <w:p w14:paraId="78A3F68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2250.60</w:t>
                  </w:r>
                </w:p>
              </w:tc>
              <w:tc>
                <w:tcPr>
                  <w:tcW w:w="484" w:type="pct"/>
                  <w:tcBorders>
                    <w:tl2br w:val="nil"/>
                    <w:tr2bl w:val="nil"/>
                  </w:tcBorders>
                  <w:vAlign w:val="center"/>
                </w:tcPr>
                <w:p w14:paraId="4DBD420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18"/>
                      <w:szCs w:val="18"/>
                      <w:highlight w:val="none"/>
                      <w:vertAlign w:val="baseline"/>
                      <w:lang w:val="en-US" w:eastAsia="zh-CN" w:bidi="ar-SA"/>
                    </w:rPr>
                  </w:pPr>
                  <w:r>
                    <w:rPr>
                      <w:rFonts w:hint="eastAsia" w:cs="Times New Roman"/>
                      <w:color w:val="auto"/>
                      <w:sz w:val="18"/>
                      <w:szCs w:val="18"/>
                      <w:highlight w:val="none"/>
                      <w:vertAlign w:val="baseline"/>
                      <w:lang w:val="en-US" w:eastAsia="zh-CN"/>
                    </w:rPr>
                    <w:t>CODcr</w:t>
                  </w:r>
                </w:p>
              </w:tc>
              <w:tc>
                <w:tcPr>
                  <w:tcW w:w="519" w:type="pct"/>
                  <w:tcBorders>
                    <w:tl2br w:val="nil"/>
                    <w:tr2bl w:val="nil"/>
                  </w:tcBorders>
                  <w:vAlign w:val="center"/>
                </w:tcPr>
                <w:p w14:paraId="426D7B4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18"/>
                      <w:szCs w:val="18"/>
                      <w:highlight w:val="none"/>
                      <w:vertAlign w:val="baseline"/>
                      <w:lang w:val="en-US" w:eastAsia="zh-CN" w:bidi="ar-SA"/>
                    </w:rPr>
                  </w:pPr>
                  <w:r>
                    <w:rPr>
                      <w:rFonts w:hint="eastAsia" w:cs="Times New Roman"/>
                      <w:color w:val="auto"/>
                      <w:sz w:val="18"/>
                      <w:szCs w:val="18"/>
                      <w:highlight w:val="none"/>
                      <w:vertAlign w:val="baseline"/>
                      <w:lang w:val="en-US" w:eastAsia="zh-CN"/>
                    </w:rPr>
                    <w:t>300</w:t>
                  </w:r>
                </w:p>
              </w:tc>
              <w:tc>
                <w:tcPr>
                  <w:tcW w:w="625" w:type="pct"/>
                  <w:tcBorders>
                    <w:tl2br w:val="nil"/>
                    <w:tr2bl w:val="nil"/>
                  </w:tcBorders>
                  <w:vAlign w:val="center"/>
                </w:tcPr>
                <w:p w14:paraId="4B31186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18"/>
                      <w:szCs w:val="18"/>
                      <w:highlight w:val="none"/>
                      <w:vertAlign w:val="baseline"/>
                      <w:lang w:val="en-US" w:eastAsia="zh-CN" w:bidi="ar-SA"/>
                    </w:rPr>
                  </w:pPr>
                  <w:r>
                    <w:rPr>
                      <w:rFonts w:hint="eastAsia" w:cs="Times New Roman"/>
                      <w:color w:val="auto"/>
                      <w:kern w:val="2"/>
                      <w:sz w:val="18"/>
                      <w:szCs w:val="18"/>
                      <w:highlight w:val="none"/>
                      <w:vertAlign w:val="baseline"/>
                      <w:lang w:val="en-US" w:eastAsia="zh-CN" w:bidi="ar-SA"/>
                    </w:rPr>
                    <w:t>0.6752</w:t>
                  </w:r>
                </w:p>
              </w:tc>
              <w:tc>
                <w:tcPr>
                  <w:tcW w:w="361" w:type="pct"/>
                  <w:tcBorders>
                    <w:right w:val="single" w:color="000000" w:sz="4" w:space="0"/>
                    <w:tl2br w:val="nil"/>
                    <w:tr2bl w:val="nil"/>
                  </w:tcBorders>
                  <w:shd w:val="clear" w:color="auto" w:fill="auto"/>
                  <w:vAlign w:val="center"/>
                </w:tcPr>
                <w:p w14:paraId="07A3AF0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18"/>
                      <w:szCs w:val="18"/>
                      <w:highlight w:val="none"/>
                      <w:vertAlign w:val="baseline"/>
                      <w:lang w:val="en-US" w:eastAsia="zh-CN" w:bidi="ar-SA"/>
                    </w:rPr>
                  </w:pPr>
                  <w:r>
                    <w:rPr>
                      <w:rFonts w:hint="eastAsia" w:cs="Times New Roman"/>
                      <w:color w:val="auto"/>
                      <w:sz w:val="18"/>
                      <w:szCs w:val="18"/>
                      <w:highlight w:val="none"/>
                      <w:vertAlign w:val="baseline"/>
                      <w:lang w:val="en-US" w:eastAsia="zh-CN"/>
                    </w:rPr>
                    <w:t>15</w:t>
                  </w:r>
                </w:p>
              </w:tc>
              <w:tc>
                <w:tcPr>
                  <w:tcW w:w="423" w:type="pct"/>
                  <w:tcBorders>
                    <w:left w:val="single" w:color="000000" w:sz="4" w:space="0"/>
                    <w:tl2br w:val="nil"/>
                    <w:tr2bl w:val="nil"/>
                  </w:tcBorders>
                  <w:shd w:val="clear" w:color="auto" w:fill="auto"/>
                  <w:vAlign w:val="center"/>
                </w:tcPr>
                <w:p w14:paraId="5C19162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18"/>
                      <w:szCs w:val="18"/>
                      <w:highlight w:val="none"/>
                      <w:vertAlign w:val="baseline"/>
                      <w:lang w:val="en-US" w:eastAsia="zh-CN" w:bidi="ar-SA"/>
                    </w:rPr>
                  </w:pPr>
                  <w:r>
                    <w:rPr>
                      <w:rFonts w:hint="eastAsia" w:cs="Times New Roman"/>
                      <w:color w:val="auto"/>
                      <w:kern w:val="2"/>
                      <w:sz w:val="18"/>
                      <w:szCs w:val="18"/>
                      <w:highlight w:val="none"/>
                      <w:vertAlign w:val="baseline"/>
                      <w:lang w:val="en-US" w:eastAsia="zh-CN" w:bidi="ar-SA"/>
                    </w:rPr>
                    <w:t>255.0</w:t>
                  </w:r>
                </w:p>
              </w:tc>
              <w:tc>
                <w:tcPr>
                  <w:tcW w:w="440" w:type="pct"/>
                  <w:tcBorders>
                    <w:right w:val="single" w:color="000000" w:sz="4" w:space="0"/>
                    <w:tl2br w:val="nil"/>
                    <w:tr2bl w:val="nil"/>
                  </w:tcBorders>
                  <w:shd w:val="clear" w:color="auto" w:fill="auto"/>
                  <w:vAlign w:val="center"/>
                </w:tcPr>
                <w:p w14:paraId="688078F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auto"/>
                      <w:kern w:val="2"/>
                      <w:sz w:val="18"/>
                      <w:szCs w:val="18"/>
                      <w:highlight w:val="none"/>
                      <w:vertAlign w:val="baseline"/>
                      <w:lang w:val="en-US" w:eastAsia="zh-CN" w:bidi="ar-SA"/>
                    </w:rPr>
                  </w:pPr>
                  <w:r>
                    <w:rPr>
                      <w:rFonts w:hint="eastAsia" w:cs="Times New Roman"/>
                      <w:color w:val="auto"/>
                      <w:sz w:val="18"/>
                      <w:szCs w:val="18"/>
                      <w:highlight w:val="none"/>
                      <w:vertAlign w:val="baseline"/>
                      <w:lang w:val="en-US" w:eastAsia="zh-CN"/>
                    </w:rPr>
                    <w:t>50</w:t>
                  </w:r>
                </w:p>
              </w:tc>
              <w:tc>
                <w:tcPr>
                  <w:tcW w:w="414" w:type="pct"/>
                  <w:tcBorders>
                    <w:left w:val="single" w:color="000000" w:sz="4" w:space="0"/>
                    <w:tl2br w:val="nil"/>
                    <w:tr2bl w:val="nil"/>
                  </w:tcBorders>
                  <w:vAlign w:val="center"/>
                </w:tcPr>
                <w:p w14:paraId="5F9F2DE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127.5</w:t>
                  </w:r>
                </w:p>
              </w:tc>
              <w:tc>
                <w:tcPr>
                  <w:tcW w:w="458" w:type="pct"/>
                  <w:tcBorders>
                    <w:tl2br w:val="nil"/>
                    <w:tr2bl w:val="nil"/>
                  </w:tcBorders>
                  <w:shd w:val="clear" w:color="auto" w:fill="auto"/>
                  <w:vAlign w:val="center"/>
                </w:tcPr>
                <w:p w14:paraId="4E96954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18"/>
                      <w:szCs w:val="18"/>
                      <w:highlight w:val="none"/>
                      <w:vertAlign w:val="baseline"/>
                      <w:lang w:val="en-US" w:eastAsia="zh-CN" w:bidi="ar-SA"/>
                    </w:rPr>
                  </w:pPr>
                  <w:r>
                    <w:rPr>
                      <w:rFonts w:hint="eastAsia" w:cs="Times New Roman"/>
                      <w:color w:val="auto"/>
                      <w:sz w:val="18"/>
                      <w:szCs w:val="18"/>
                      <w:highlight w:val="none"/>
                      <w:vertAlign w:val="baseline"/>
                      <w:lang w:val="en-US" w:eastAsia="zh-CN"/>
                    </w:rPr>
                    <w:t>127.5</w:t>
                  </w:r>
                </w:p>
              </w:tc>
              <w:tc>
                <w:tcPr>
                  <w:tcW w:w="562" w:type="pct"/>
                  <w:tcBorders>
                    <w:tl2br w:val="nil"/>
                    <w:tr2bl w:val="nil"/>
                  </w:tcBorders>
                  <w:vAlign w:val="center"/>
                </w:tcPr>
                <w:p w14:paraId="3134145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18"/>
                      <w:szCs w:val="18"/>
                      <w:highlight w:val="none"/>
                      <w:vertAlign w:val="baseline"/>
                      <w:lang w:val="en-US" w:eastAsia="zh-CN" w:bidi="ar-SA"/>
                    </w:rPr>
                  </w:pPr>
                  <w:r>
                    <w:rPr>
                      <w:rFonts w:hint="eastAsia" w:cs="Times New Roman"/>
                      <w:color w:val="auto"/>
                      <w:kern w:val="2"/>
                      <w:sz w:val="18"/>
                      <w:szCs w:val="18"/>
                      <w:highlight w:val="none"/>
                      <w:vertAlign w:val="baseline"/>
                      <w:lang w:val="en-US" w:eastAsia="zh-CN" w:bidi="ar-SA"/>
                    </w:rPr>
                    <w:t>0.2870</w:t>
                  </w:r>
                </w:p>
              </w:tc>
            </w:tr>
            <w:tr w14:paraId="01807DB3">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7" w:type="pct"/>
                  <w:vMerge w:val="continue"/>
                  <w:tcBorders>
                    <w:tl2br w:val="nil"/>
                    <w:tr2bl w:val="nil"/>
                  </w:tcBorders>
                  <w:vAlign w:val="center"/>
                </w:tcPr>
                <w:p w14:paraId="04FE9F4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s="Times New Roman"/>
                      <w:color w:val="auto"/>
                      <w:sz w:val="18"/>
                      <w:szCs w:val="18"/>
                      <w:highlight w:val="none"/>
                      <w:vertAlign w:val="baseline"/>
                      <w:lang w:val="en-US" w:eastAsia="zh-CN"/>
                    </w:rPr>
                  </w:pPr>
                </w:p>
              </w:tc>
              <w:tc>
                <w:tcPr>
                  <w:tcW w:w="502" w:type="pct"/>
                  <w:vMerge w:val="continue"/>
                  <w:tcBorders>
                    <w:tl2br w:val="nil"/>
                    <w:tr2bl w:val="nil"/>
                  </w:tcBorders>
                  <w:vAlign w:val="center"/>
                </w:tcPr>
                <w:p w14:paraId="026ADB7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s="Times New Roman"/>
                      <w:color w:val="auto"/>
                      <w:sz w:val="18"/>
                      <w:szCs w:val="18"/>
                      <w:highlight w:val="none"/>
                      <w:vertAlign w:val="baseline"/>
                      <w:lang w:val="en-US" w:eastAsia="zh-CN"/>
                    </w:rPr>
                  </w:pPr>
                </w:p>
              </w:tc>
              <w:tc>
                <w:tcPr>
                  <w:tcW w:w="484" w:type="pct"/>
                  <w:tcBorders>
                    <w:tl2br w:val="nil"/>
                    <w:tr2bl w:val="nil"/>
                  </w:tcBorders>
                  <w:vAlign w:val="center"/>
                </w:tcPr>
                <w:p w14:paraId="1AC56F6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18"/>
                      <w:szCs w:val="18"/>
                      <w:highlight w:val="none"/>
                      <w:vertAlign w:val="baseline"/>
                      <w:lang w:val="en-US" w:eastAsia="zh-CN" w:bidi="ar-SA"/>
                    </w:rPr>
                  </w:pPr>
                  <w:r>
                    <w:rPr>
                      <w:rFonts w:hint="eastAsia" w:cs="Times New Roman"/>
                      <w:color w:val="auto"/>
                      <w:sz w:val="18"/>
                      <w:szCs w:val="18"/>
                      <w:highlight w:val="none"/>
                      <w:vertAlign w:val="baseline"/>
                      <w:lang w:val="en-US" w:eastAsia="zh-CN"/>
                    </w:rPr>
                    <w:t>BOD</w:t>
                  </w:r>
                  <w:r>
                    <w:rPr>
                      <w:rFonts w:hint="eastAsia" w:cs="Times New Roman"/>
                      <w:color w:val="auto"/>
                      <w:sz w:val="18"/>
                      <w:szCs w:val="18"/>
                      <w:highlight w:val="none"/>
                      <w:vertAlign w:val="subscript"/>
                      <w:lang w:val="en-US" w:eastAsia="zh-CN"/>
                    </w:rPr>
                    <w:t>5</w:t>
                  </w:r>
                </w:p>
              </w:tc>
              <w:tc>
                <w:tcPr>
                  <w:tcW w:w="519" w:type="pct"/>
                  <w:tcBorders>
                    <w:tl2br w:val="nil"/>
                    <w:tr2bl w:val="nil"/>
                  </w:tcBorders>
                  <w:vAlign w:val="center"/>
                </w:tcPr>
                <w:p w14:paraId="664E6FB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18"/>
                      <w:szCs w:val="18"/>
                      <w:highlight w:val="none"/>
                      <w:vertAlign w:val="baseline"/>
                      <w:lang w:val="en-US" w:eastAsia="zh-CN" w:bidi="ar-SA"/>
                    </w:rPr>
                  </w:pPr>
                  <w:r>
                    <w:rPr>
                      <w:rFonts w:hint="eastAsia" w:cs="Times New Roman"/>
                      <w:color w:val="auto"/>
                      <w:sz w:val="18"/>
                      <w:szCs w:val="18"/>
                      <w:highlight w:val="none"/>
                      <w:vertAlign w:val="baseline"/>
                      <w:lang w:val="en-US" w:eastAsia="zh-CN"/>
                    </w:rPr>
                    <w:t>150</w:t>
                  </w:r>
                </w:p>
              </w:tc>
              <w:tc>
                <w:tcPr>
                  <w:tcW w:w="625" w:type="pct"/>
                  <w:tcBorders>
                    <w:tl2br w:val="nil"/>
                    <w:tr2bl w:val="nil"/>
                  </w:tcBorders>
                  <w:vAlign w:val="center"/>
                </w:tcPr>
                <w:p w14:paraId="39B0A0D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18"/>
                      <w:szCs w:val="18"/>
                      <w:highlight w:val="none"/>
                      <w:vertAlign w:val="baseline"/>
                      <w:lang w:val="en-US" w:eastAsia="zh-CN" w:bidi="ar-SA"/>
                    </w:rPr>
                  </w:pPr>
                  <w:r>
                    <w:rPr>
                      <w:rFonts w:hint="eastAsia" w:cs="Times New Roman"/>
                      <w:color w:val="auto"/>
                      <w:kern w:val="2"/>
                      <w:sz w:val="18"/>
                      <w:szCs w:val="18"/>
                      <w:highlight w:val="none"/>
                      <w:vertAlign w:val="baseline"/>
                      <w:lang w:val="en-US" w:eastAsia="zh-CN" w:bidi="ar-SA"/>
                    </w:rPr>
                    <w:t>0.3376</w:t>
                  </w:r>
                </w:p>
              </w:tc>
              <w:tc>
                <w:tcPr>
                  <w:tcW w:w="361" w:type="pct"/>
                  <w:tcBorders>
                    <w:right w:val="single" w:color="000000" w:sz="4" w:space="0"/>
                    <w:tl2br w:val="nil"/>
                    <w:tr2bl w:val="nil"/>
                  </w:tcBorders>
                  <w:shd w:val="clear" w:color="auto" w:fill="auto"/>
                  <w:vAlign w:val="center"/>
                </w:tcPr>
                <w:p w14:paraId="65D4D2B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auto"/>
                      <w:kern w:val="2"/>
                      <w:sz w:val="18"/>
                      <w:szCs w:val="18"/>
                      <w:highlight w:val="none"/>
                      <w:vertAlign w:val="baseline"/>
                      <w:lang w:val="en-US" w:eastAsia="zh-CN" w:bidi="ar-SA"/>
                    </w:rPr>
                  </w:pPr>
                  <w:r>
                    <w:rPr>
                      <w:rFonts w:hint="eastAsia" w:cs="Times New Roman"/>
                      <w:color w:val="auto"/>
                      <w:sz w:val="18"/>
                      <w:szCs w:val="18"/>
                      <w:highlight w:val="none"/>
                      <w:vertAlign w:val="baseline"/>
                      <w:lang w:val="en-US" w:eastAsia="zh-CN"/>
                    </w:rPr>
                    <w:t>9</w:t>
                  </w:r>
                </w:p>
              </w:tc>
              <w:tc>
                <w:tcPr>
                  <w:tcW w:w="423" w:type="pct"/>
                  <w:tcBorders>
                    <w:left w:val="single" w:color="000000" w:sz="4" w:space="0"/>
                    <w:tl2br w:val="nil"/>
                    <w:tr2bl w:val="nil"/>
                  </w:tcBorders>
                  <w:shd w:val="clear" w:color="auto" w:fill="auto"/>
                  <w:vAlign w:val="center"/>
                </w:tcPr>
                <w:p w14:paraId="1346E2C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18"/>
                      <w:szCs w:val="18"/>
                      <w:highlight w:val="none"/>
                      <w:vertAlign w:val="baseline"/>
                      <w:lang w:val="en-US" w:eastAsia="zh-CN" w:bidi="ar-SA"/>
                    </w:rPr>
                  </w:pPr>
                  <w:r>
                    <w:rPr>
                      <w:rFonts w:hint="eastAsia" w:cs="Times New Roman"/>
                      <w:color w:val="auto"/>
                      <w:kern w:val="2"/>
                      <w:sz w:val="18"/>
                      <w:szCs w:val="18"/>
                      <w:highlight w:val="none"/>
                      <w:vertAlign w:val="baseline"/>
                      <w:lang w:val="en-US" w:eastAsia="zh-CN" w:bidi="ar-SA"/>
                    </w:rPr>
                    <w:t>136.5</w:t>
                  </w:r>
                </w:p>
              </w:tc>
              <w:tc>
                <w:tcPr>
                  <w:tcW w:w="440" w:type="pct"/>
                  <w:tcBorders>
                    <w:right w:val="single" w:color="000000" w:sz="4" w:space="0"/>
                    <w:tl2br w:val="nil"/>
                    <w:tr2bl w:val="nil"/>
                  </w:tcBorders>
                  <w:shd w:val="clear" w:color="auto" w:fill="auto"/>
                  <w:vAlign w:val="center"/>
                </w:tcPr>
                <w:p w14:paraId="4EE0452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18"/>
                      <w:szCs w:val="18"/>
                      <w:highlight w:val="none"/>
                      <w:vertAlign w:val="baseline"/>
                      <w:lang w:val="en-US" w:eastAsia="zh-CN" w:bidi="ar-SA"/>
                    </w:rPr>
                  </w:pPr>
                  <w:r>
                    <w:rPr>
                      <w:rFonts w:hint="eastAsia" w:cs="Times New Roman"/>
                      <w:color w:val="auto"/>
                      <w:sz w:val="18"/>
                      <w:szCs w:val="18"/>
                      <w:highlight w:val="none"/>
                      <w:vertAlign w:val="baseline"/>
                      <w:lang w:val="en-US" w:eastAsia="zh-CN"/>
                    </w:rPr>
                    <w:t>35</w:t>
                  </w:r>
                </w:p>
              </w:tc>
              <w:tc>
                <w:tcPr>
                  <w:tcW w:w="414" w:type="pct"/>
                  <w:tcBorders>
                    <w:left w:val="single" w:color="000000" w:sz="4" w:space="0"/>
                    <w:tl2br w:val="nil"/>
                    <w:tr2bl w:val="nil"/>
                  </w:tcBorders>
                  <w:vAlign w:val="center"/>
                </w:tcPr>
                <w:p w14:paraId="51BE614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88.7</w:t>
                  </w:r>
                </w:p>
              </w:tc>
              <w:tc>
                <w:tcPr>
                  <w:tcW w:w="458" w:type="pct"/>
                  <w:tcBorders>
                    <w:tl2br w:val="nil"/>
                    <w:tr2bl w:val="nil"/>
                  </w:tcBorders>
                  <w:shd w:val="clear" w:color="auto" w:fill="auto"/>
                  <w:vAlign w:val="center"/>
                </w:tcPr>
                <w:p w14:paraId="24C0CDF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18"/>
                      <w:szCs w:val="18"/>
                      <w:highlight w:val="none"/>
                      <w:vertAlign w:val="baseline"/>
                      <w:lang w:val="en-US" w:eastAsia="zh-CN" w:bidi="ar-SA"/>
                    </w:rPr>
                  </w:pPr>
                  <w:r>
                    <w:rPr>
                      <w:rFonts w:hint="eastAsia" w:cs="Times New Roman"/>
                      <w:color w:val="auto"/>
                      <w:sz w:val="18"/>
                      <w:szCs w:val="18"/>
                      <w:highlight w:val="none"/>
                      <w:vertAlign w:val="baseline"/>
                      <w:lang w:val="en-US" w:eastAsia="zh-CN"/>
                    </w:rPr>
                    <w:t>88.7</w:t>
                  </w:r>
                </w:p>
              </w:tc>
              <w:tc>
                <w:tcPr>
                  <w:tcW w:w="562" w:type="pct"/>
                  <w:tcBorders>
                    <w:tl2br w:val="nil"/>
                    <w:tr2bl w:val="nil"/>
                  </w:tcBorders>
                  <w:vAlign w:val="center"/>
                </w:tcPr>
                <w:p w14:paraId="0B964F1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18"/>
                      <w:szCs w:val="18"/>
                      <w:highlight w:val="none"/>
                      <w:vertAlign w:val="baseline"/>
                      <w:lang w:val="en-US" w:eastAsia="zh-CN" w:bidi="ar-SA"/>
                    </w:rPr>
                  </w:pPr>
                  <w:r>
                    <w:rPr>
                      <w:rFonts w:hint="eastAsia" w:cs="Times New Roman"/>
                      <w:color w:val="auto"/>
                      <w:kern w:val="2"/>
                      <w:sz w:val="18"/>
                      <w:szCs w:val="18"/>
                      <w:highlight w:val="none"/>
                      <w:vertAlign w:val="baseline"/>
                      <w:lang w:val="en-US" w:eastAsia="zh-CN" w:bidi="ar-SA"/>
                    </w:rPr>
                    <w:t>0.1996</w:t>
                  </w:r>
                </w:p>
              </w:tc>
            </w:tr>
            <w:tr w14:paraId="033A762A">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7" w:type="pct"/>
                  <w:vMerge w:val="continue"/>
                  <w:tcBorders>
                    <w:tl2br w:val="nil"/>
                    <w:tr2bl w:val="nil"/>
                  </w:tcBorders>
                  <w:vAlign w:val="center"/>
                </w:tcPr>
                <w:p w14:paraId="2C410D1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s="Times New Roman"/>
                      <w:color w:val="auto"/>
                      <w:sz w:val="18"/>
                      <w:szCs w:val="18"/>
                      <w:highlight w:val="none"/>
                      <w:vertAlign w:val="baseline"/>
                      <w:lang w:val="en-US" w:eastAsia="zh-CN"/>
                    </w:rPr>
                  </w:pPr>
                </w:p>
              </w:tc>
              <w:tc>
                <w:tcPr>
                  <w:tcW w:w="502" w:type="pct"/>
                  <w:vMerge w:val="continue"/>
                  <w:tcBorders>
                    <w:tl2br w:val="nil"/>
                    <w:tr2bl w:val="nil"/>
                  </w:tcBorders>
                  <w:vAlign w:val="center"/>
                </w:tcPr>
                <w:p w14:paraId="362D90D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s="Times New Roman"/>
                      <w:color w:val="auto"/>
                      <w:sz w:val="18"/>
                      <w:szCs w:val="18"/>
                      <w:highlight w:val="none"/>
                      <w:vertAlign w:val="baseline"/>
                      <w:lang w:val="en-US" w:eastAsia="zh-CN"/>
                    </w:rPr>
                  </w:pPr>
                </w:p>
              </w:tc>
              <w:tc>
                <w:tcPr>
                  <w:tcW w:w="484" w:type="pct"/>
                  <w:tcBorders>
                    <w:tl2br w:val="nil"/>
                    <w:tr2bl w:val="nil"/>
                  </w:tcBorders>
                  <w:vAlign w:val="center"/>
                </w:tcPr>
                <w:p w14:paraId="04015FE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18"/>
                      <w:szCs w:val="18"/>
                      <w:highlight w:val="none"/>
                      <w:vertAlign w:val="baseline"/>
                      <w:lang w:val="en-US" w:eastAsia="zh-CN" w:bidi="ar-SA"/>
                    </w:rPr>
                  </w:pPr>
                  <w:r>
                    <w:rPr>
                      <w:rFonts w:hint="eastAsia" w:cs="Times New Roman"/>
                      <w:color w:val="auto"/>
                      <w:sz w:val="18"/>
                      <w:szCs w:val="18"/>
                      <w:highlight w:val="none"/>
                      <w:vertAlign w:val="baseline"/>
                      <w:lang w:val="en-US" w:eastAsia="zh-CN"/>
                    </w:rPr>
                    <w:t>SS</w:t>
                  </w:r>
                </w:p>
              </w:tc>
              <w:tc>
                <w:tcPr>
                  <w:tcW w:w="519" w:type="pct"/>
                  <w:tcBorders>
                    <w:tl2br w:val="nil"/>
                    <w:tr2bl w:val="nil"/>
                  </w:tcBorders>
                  <w:vAlign w:val="center"/>
                </w:tcPr>
                <w:p w14:paraId="2B271B9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18"/>
                      <w:szCs w:val="18"/>
                      <w:highlight w:val="none"/>
                      <w:vertAlign w:val="baseline"/>
                      <w:lang w:val="en-US" w:eastAsia="zh-CN" w:bidi="ar-SA"/>
                    </w:rPr>
                  </w:pPr>
                  <w:r>
                    <w:rPr>
                      <w:rFonts w:hint="eastAsia" w:cs="Times New Roman"/>
                      <w:color w:val="auto"/>
                      <w:sz w:val="18"/>
                      <w:szCs w:val="18"/>
                      <w:highlight w:val="none"/>
                      <w:vertAlign w:val="baseline"/>
                      <w:lang w:val="en-US" w:eastAsia="zh-CN"/>
                    </w:rPr>
                    <w:t>120</w:t>
                  </w:r>
                </w:p>
              </w:tc>
              <w:tc>
                <w:tcPr>
                  <w:tcW w:w="625" w:type="pct"/>
                  <w:tcBorders>
                    <w:tl2br w:val="nil"/>
                    <w:tr2bl w:val="nil"/>
                  </w:tcBorders>
                  <w:vAlign w:val="center"/>
                </w:tcPr>
                <w:p w14:paraId="6F71934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18"/>
                      <w:szCs w:val="18"/>
                      <w:highlight w:val="none"/>
                      <w:vertAlign w:val="baseline"/>
                      <w:lang w:val="en-US" w:eastAsia="zh-CN" w:bidi="ar-SA"/>
                    </w:rPr>
                  </w:pPr>
                  <w:r>
                    <w:rPr>
                      <w:rFonts w:hint="eastAsia" w:cs="Times New Roman"/>
                      <w:color w:val="auto"/>
                      <w:kern w:val="2"/>
                      <w:sz w:val="18"/>
                      <w:szCs w:val="18"/>
                      <w:highlight w:val="none"/>
                      <w:vertAlign w:val="baseline"/>
                      <w:lang w:val="en-US" w:eastAsia="zh-CN" w:bidi="ar-SA"/>
                    </w:rPr>
                    <w:t>0.2701</w:t>
                  </w:r>
                </w:p>
              </w:tc>
              <w:tc>
                <w:tcPr>
                  <w:tcW w:w="361" w:type="pct"/>
                  <w:tcBorders>
                    <w:right w:val="single" w:color="000000" w:sz="4" w:space="0"/>
                    <w:tl2br w:val="nil"/>
                    <w:tr2bl w:val="nil"/>
                  </w:tcBorders>
                  <w:shd w:val="clear" w:color="auto" w:fill="auto"/>
                  <w:vAlign w:val="center"/>
                </w:tcPr>
                <w:p w14:paraId="0130DB1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auto"/>
                      <w:kern w:val="2"/>
                      <w:sz w:val="18"/>
                      <w:szCs w:val="18"/>
                      <w:highlight w:val="none"/>
                      <w:vertAlign w:val="baseline"/>
                      <w:lang w:val="en-US" w:eastAsia="zh-CN" w:bidi="ar-SA"/>
                    </w:rPr>
                  </w:pPr>
                  <w:r>
                    <w:rPr>
                      <w:rFonts w:hint="eastAsia" w:cs="Times New Roman"/>
                      <w:color w:val="auto"/>
                      <w:sz w:val="18"/>
                      <w:szCs w:val="18"/>
                      <w:highlight w:val="none"/>
                      <w:vertAlign w:val="baseline"/>
                      <w:lang w:val="en-US" w:eastAsia="zh-CN"/>
                    </w:rPr>
                    <w:t>30</w:t>
                  </w:r>
                </w:p>
              </w:tc>
              <w:tc>
                <w:tcPr>
                  <w:tcW w:w="423" w:type="pct"/>
                  <w:tcBorders>
                    <w:left w:val="single" w:color="000000" w:sz="4" w:space="0"/>
                    <w:tl2br w:val="nil"/>
                    <w:tr2bl w:val="nil"/>
                  </w:tcBorders>
                  <w:shd w:val="clear" w:color="auto" w:fill="auto"/>
                  <w:vAlign w:val="center"/>
                </w:tcPr>
                <w:p w14:paraId="5A0F499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18"/>
                      <w:szCs w:val="18"/>
                      <w:highlight w:val="none"/>
                      <w:vertAlign w:val="baseline"/>
                      <w:lang w:val="en-US" w:eastAsia="zh-CN" w:bidi="ar-SA"/>
                    </w:rPr>
                  </w:pPr>
                  <w:r>
                    <w:rPr>
                      <w:rFonts w:hint="eastAsia" w:cs="Times New Roman"/>
                      <w:color w:val="auto"/>
                      <w:kern w:val="2"/>
                      <w:sz w:val="18"/>
                      <w:szCs w:val="18"/>
                      <w:highlight w:val="none"/>
                      <w:vertAlign w:val="baseline"/>
                      <w:lang w:val="en-US" w:eastAsia="zh-CN" w:bidi="ar-SA"/>
                    </w:rPr>
                    <w:t>84.0</w:t>
                  </w:r>
                </w:p>
              </w:tc>
              <w:tc>
                <w:tcPr>
                  <w:tcW w:w="440" w:type="pct"/>
                  <w:tcBorders>
                    <w:right w:val="single" w:color="000000" w:sz="4" w:space="0"/>
                    <w:tl2br w:val="nil"/>
                    <w:tr2bl w:val="nil"/>
                  </w:tcBorders>
                  <w:shd w:val="clear" w:color="auto" w:fill="auto"/>
                  <w:vAlign w:val="center"/>
                </w:tcPr>
                <w:p w14:paraId="4DD628A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18"/>
                      <w:szCs w:val="18"/>
                      <w:highlight w:val="none"/>
                      <w:vertAlign w:val="baseline"/>
                      <w:lang w:val="en-US" w:eastAsia="zh-CN" w:bidi="ar-SA"/>
                    </w:rPr>
                  </w:pPr>
                  <w:r>
                    <w:rPr>
                      <w:rFonts w:hint="eastAsia" w:cs="Times New Roman"/>
                      <w:color w:val="auto"/>
                      <w:sz w:val="18"/>
                      <w:szCs w:val="18"/>
                      <w:highlight w:val="none"/>
                      <w:vertAlign w:val="baseline"/>
                      <w:lang w:val="en-US" w:eastAsia="zh-CN"/>
                    </w:rPr>
                    <w:t>70</w:t>
                  </w:r>
                </w:p>
              </w:tc>
              <w:tc>
                <w:tcPr>
                  <w:tcW w:w="414" w:type="pct"/>
                  <w:tcBorders>
                    <w:left w:val="single" w:color="000000" w:sz="4" w:space="0"/>
                    <w:tl2br w:val="nil"/>
                    <w:tr2bl w:val="nil"/>
                  </w:tcBorders>
                  <w:vAlign w:val="center"/>
                </w:tcPr>
                <w:p w14:paraId="4551419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25.2</w:t>
                  </w:r>
                </w:p>
              </w:tc>
              <w:tc>
                <w:tcPr>
                  <w:tcW w:w="458" w:type="pct"/>
                  <w:tcBorders>
                    <w:tl2br w:val="nil"/>
                    <w:tr2bl w:val="nil"/>
                  </w:tcBorders>
                  <w:shd w:val="clear" w:color="auto" w:fill="auto"/>
                  <w:vAlign w:val="center"/>
                </w:tcPr>
                <w:p w14:paraId="42BCE04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18"/>
                      <w:szCs w:val="18"/>
                      <w:highlight w:val="none"/>
                      <w:vertAlign w:val="baseline"/>
                      <w:lang w:val="en-US" w:eastAsia="zh-CN" w:bidi="ar-SA"/>
                    </w:rPr>
                  </w:pPr>
                  <w:r>
                    <w:rPr>
                      <w:rFonts w:hint="eastAsia" w:cs="Times New Roman"/>
                      <w:color w:val="auto"/>
                      <w:sz w:val="18"/>
                      <w:szCs w:val="18"/>
                      <w:highlight w:val="none"/>
                      <w:vertAlign w:val="baseline"/>
                      <w:lang w:val="en-US" w:eastAsia="zh-CN"/>
                    </w:rPr>
                    <w:t>25.2</w:t>
                  </w:r>
                </w:p>
              </w:tc>
              <w:tc>
                <w:tcPr>
                  <w:tcW w:w="562" w:type="pct"/>
                  <w:tcBorders>
                    <w:tl2br w:val="nil"/>
                    <w:tr2bl w:val="nil"/>
                  </w:tcBorders>
                  <w:vAlign w:val="center"/>
                </w:tcPr>
                <w:p w14:paraId="27B75DF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18"/>
                      <w:szCs w:val="18"/>
                      <w:highlight w:val="none"/>
                      <w:vertAlign w:val="baseline"/>
                      <w:lang w:val="en-US" w:eastAsia="zh-CN" w:bidi="ar-SA"/>
                    </w:rPr>
                  </w:pPr>
                  <w:r>
                    <w:rPr>
                      <w:rFonts w:hint="eastAsia" w:cs="Times New Roman"/>
                      <w:color w:val="auto"/>
                      <w:kern w:val="2"/>
                      <w:sz w:val="18"/>
                      <w:szCs w:val="18"/>
                      <w:highlight w:val="none"/>
                      <w:vertAlign w:val="baseline"/>
                      <w:lang w:val="en-US" w:eastAsia="zh-CN" w:bidi="ar-SA"/>
                    </w:rPr>
                    <w:t>0.0567</w:t>
                  </w:r>
                </w:p>
              </w:tc>
            </w:tr>
            <w:tr w14:paraId="7034CB4C">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7" w:type="pct"/>
                  <w:vMerge w:val="continue"/>
                  <w:tcBorders>
                    <w:tl2br w:val="nil"/>
                    <w:tr2bl w:val="nil"/>
                  </w:tcBorders>
                  <w:vAlign w:val="center"/>
                </w:tcPr>
                <w:p w14:paraId="1133E7F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s="Times New Roman"/>
                      <w:color w:val="auto"/>
                      <w:sz w:val="18"/>
                      <w:szCs w:val="18"/>
                      <w:highlight w:val="none"/>
                      <w:vertAlign w:val="baseline"/>
                      <w:lang w:val="en-US" w:eastAsia="zh-CN"/>
                    </w:rPr>
                  </w:pPr>
                </w:p>
              </w:tc>
              <w:tc>
                <w:tcPr>
                  <w:tcW w:w="502" w:type="pct"/>
                  <w:vMerge w:val="continue"/>
                  <w:tcBorders>
                    <w:tl2br w:val="nil"/>
                    <w:tr2bl w:val="nil"/>
                  </w:tcBorders>
                  <w:vAlign w:val="center"/>
                </w:tcPr>
                <w:p w14:paraId="37E8866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s="Times New Roman"/>
                      <w:color w:val="auto"/>
                      <w:sz w:val="18"/>
                      <w:szCs w:val="18"/>
                      <w:highlight w:val="none"/>
                      <w:vertAlign w:val="baseline"/>
                      <w:lang w:val="en-US" w:eastAsia="zh-CN"/>
                    </w:rPr>
                  </w:pPr>
                </w:p>
              </w:tc>
              <w:tc>
                <w:tcPr>
                  <w:tcW w:w="484" w:type="pct"/>
                  <w:tcBorders>
                    <w:tl2br w:val="nil"/>
                    <w:tr2bl w:val="nil"/>
                  </w:tcBorders>
                  <w:vAlign w:val="center"/>
                </w:tcPr>
                <w:p w14:paraId="5E06C8F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18"/>
                      <w:szCs w:val="18"/>
                      <w:highlight w:val="none"/>
                      <w:vertAlign w:val="baseline"/>
                      <w:lang w:val="en-US" w:eastAsia="zh-CN" w:bidi="ar-SA"/>
                    </w:rPr>
                  </w:pPr>
                  <w:r>
                    <w:rPr>
                      <w:rFonts w:hint="eastAsia" w:cs="Times New Roman"/>
                      <w:color w:val="auto"/>
                      <w:sz w:val="18"/>
                      <w:szCs w:val="18"/>
                      <w:highlight w:val="none"/>
                      <w:vertAlign w:val="baseline"/>
                      <w:lang w:val="en-US" w:eastAsia="zh-CN"/>
                    </w:rPr>
                    <w:t>NH</w:t>
                  </w:r>
                  <w:r>
                    <w:rPr>
                      <w:rFonts w:hint="eastAsia" w:cs="Times New Roman"/>
                      <w:color w:val="auto"/>
                      <w:sz w:val="18"/>
                      <w:szCs w:val="18"/>
                      <w:highlight w:val="none"/>
                      <w:vertAlign w:val="subscript"/>
                      <w:lang w:val="en-US" w:eastAsia="zh-CN"/>
                    </w:rPr>
                    <w:t>3</w:t>
                  </w:r>
                  <w:r>
                    <w:rPr>
                      <w:rFonts w:hint="eastAsia" w:cs="Times New Roman"/>
                      <w:color w:val="auto"/>
                      <w:sz w:val="18"/>
                      <w:szCs w:val="18"/>
                      <w:highlight w:val="none"/>
                      <w:vertAlign w:val="baseline"/>
                      <w:lang w:val="en-US" w:eastAsia="zh-CN"/>
                    </w:rPr>
                    <w:t>-N</w:t>
                  </w:r>
                </w:p>
              </w:tc>
              <w:tc>
                <w:tcPr>
                  <w:tcW w:w="519" w:type="pct"/>
                  <w:tcBorders>
                    <w:tl2br w:val="nil"/>
                    <w:tr2bl w:val="nil"/>
                  </w:tcBorders>
                  <w:vAlign w:val="center"/>
                </w:tcPr>
                <w:p w14:paraId="513D457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18"/>
                      <w:szCs w:val="18"/>
                      <w:highlight w:val="none"/>
                      <w:vertAlign w:val="baseline"/>
                      <w:lang w:val="en-US" w:eastAsia="zh-CN" w:bidi="ar-SA"/>
                    </w:rPr>
                  </w:pPr>
                  <w:r>
                    <w:rPr>
                      <w:rFonts w:hint="eastAsia" w:cs="Times New Roman"/>
                      <w:color w:val="auto"/>
                      <w:sz w:val="18"/>
                      <w:szCs w:val="18"/>
                      <w:highlight w:val="none"/>
                      <w:vertAlign w:val="baseline"/>
                      <w:lang w:val="en-US" w:eastAsia="zh-CN"/>
                    </w:rPr>
                    <w:t>50</w:t>
                  </w:r>
                </w:p>
              </w:tc>
              <w:tc>
                <w:tcPr>
                  <w:tcW w:w="625" w:type="pct"/>
                  <w:tcBorders>
                    <w:tl2br w:val="nil"/>
                    <w:tr2bl w:val="nil"/>
                  </w:tcBorders>
                  <w:vAlign w:val="center"/>
                </w:tcPr>
                <w:p w14:paraId="029E979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18"/>
                      <w:szCs w:val="18"/>
                      <w:highlight w:val="none"/>
                      <w:vertAlign w:val="baseline"/>
                      <w:lang w:val="en-US" w:eastAsia="zh-CN" w:bidi="ar-SA"/>
                    </w:rPr>
                  </w:pPr>
                  <w:r>
                    <w:rPr>
                      <w:rFonts w:hint="eastAsia" w:cs="Times New Roman"/>
                      <w:color w:val="auto"/>
                      <w:kern w:val="2"/>
                      <w:sz w:val="18"/>
                      <w:szCs w:val="18"/>
                      <w:highlight w:val="none"/>
                      <w:vertAlign w:val="baseline"/>
                      <w:lang w:val="en-US" w:eastAsia="zh-CN" w:bidi="ar-SA"/>
                    </w:rPr>
                    <w:t>0.1125</w:t>
                  </w:r>
                </w:p>
              </w:tc>
              <w:tc>
                <w:tcPr>
                  <w:tcW w:w="361" w:type="pct"/>
                  <w:tcBorders>
                    <w:right w:val="single" w:color="000000" w:sz="4" w:space="0"/>
                    <w:tl2br w:val="nil"/>
                    <w:tr2bl w:val="nil"/>
                  </w:tcBorders>
                  <w:shd w:val="clear" w:color="auto" w:fill="auto"/>
                  <w:vAlign w:val="center"/>
                </w:tcPr>
                <w:p w14:paraId="5739EBA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auto"/>
                      <w:kern w:val="2"/>
                      <w:sz w:val="18"/>
                      <w:szCs w:val="18"/>
                      <w:highlight w:val="none"/>
                      <w:vertAlign w:val="baseline"/>
                      <w:lang w:val="en-US" w:eastAsia="zh-CN" w:bidi="ar-SA"/>
                    </w:rPr>
                  </w:pPr>
                  <w:r>
                    <w:rPr>
                      <w:rFonts w:hint="eastAsia" w:cs="Times New Roman"/>
                      <w:color w:val="auto"/>
                      <w:sz w:val="18"/>
                      <w:szCs w:val="18"/>
                      <w:highlight w:val="none"/>
                      <w:vertAlign w:val="baseline"/>
                      <w:lang w:val="en-US" w:eastAsia="zh-CN"/>
                    </w:rPr>
                    <w:t>3</w:t>
                  </w:r>
                </w:p>
              </w:tc>
              <w:tc>
                <w:tcPr>
                  <w:tcW w:w="423" w:type="pct"/>
                  <w:tcBorders>
                    <w:left w:val="single" w:color="000000" w:sz="4" w:space="0"/>
                    <w:tl2br w:val="nil"/>
                    <w:tr2bl w:val="nil"/>
                  </w:tcBorders>
                  <w:shd w:val="clear" w:color="auto" w:fill="auto"/>
                  <w:vAlign w:val="center"/>
                </w:tcPr>
                <w:p w14:paraId="7E9B535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18"/>
                      <w:szCs w:val="18"/>
                      <w:highlight w:val="none"/>
                      <w:vertAlign w:val="baseline"/>
                      <w:lang w:val="en-US" w:eastAsia="zh-CN" w:bidi="ar-SA"/>
                    </w:rPr>
                  </w:pPr>
                  <w:r>
                    <w:rPr>
                      <w:rFonts w:hint="eastAsia" w:cs="Times New Roman"/>
                      <w:color w:val="auto"/>
                      <w:kern w:val="2"/>
                      <w:sz w:val="18"/>
                      <w:szCs w:val="18"/>
                      <w:highlight w:val="none"/>
                      <w:vertAlign w:val="baseline"/>
                      <w:lang w:val="en-US" w:eastAsia="zh-CN" w:bidi="ar-SA"/>
                    </w:rPr>
                    <w:t>48.5</w:t>
                  </w:r>
                </w:p>
              </w:tc>
              <w:tc>
                <w:tcPr>
                  <w:tcW w:w="440" w:type="pct"/>
                  <w:tcBorders>
                    <w:right w:val="single" w:color="000000" w:sz="4" w:space="0"/>
                    <w:tl2br w:val="nil"/>
                    <w:tr2bl w:val="nil"/>
                  </w:tcBorders>
                  <w:shd w:val="clear" w:color="auto" w:fill="auto"/>
                  <w:vAlign w:val="center"/>
                </w:tcPr>
                <w:p w14:paraId="5FE78EA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18"/>
                      <w:szCs w:val="18"/>
                      <w:highlight w:val="none"/>
                      <w:vertAlign w:val="baseline"/>
                      <w:lang w:val="en-US" w:eastAsia="zh-CN" w:bidi="ar-SA"/>
                    </w:rPr>
                  </w:pPr>
                  <w:r>
                    <w:rPr>
                      <w:rFonts w:hint="eastAsia" w:cs="Times New Roman"/>
                      <w:color w:val="auto"/>
                      <w:sz w:val="18"/>
                      <w:szCs w:val="18"/>
                      <w:highlight w:val="none"/>
                      <w:vertAlign w:val="baseline"/>
                      <w:lang w:val="en-US" w:eastAsia="zh-CN"/>
                    </w:rPr>
                    <w:t>13</w:t>
                  </w:r>
                </w:p>
              </w:tc>
              <w:tc>
                <w:tcPr>
                  <w:tcW w:w="414" w:type="pct"/>
                  <w:tcBorders>
                    <w:left w:val="single" w:color="000000" w:sz="4" w:space="0"/>
                    <w:tl2br w:val="nil"/>
                    <w:tr2bl w:val="nil"/>
                  </w:tcBorders>
                  <w:vAlign w:val="center"/>
                </w:tcPr>
                <w:p w14:paraId="3D6F003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42.2</w:t>
                  </w:r>
                </w:p>
              </w:tc>
              <w:tc>
                <w:tcPr>
                  <w:tcW w:w="458" w:type="pct"/>
                  <w:tcBorders>
                    <w:tl2br w:val="nil"/>
                    <w:tr2bl w:val="nil"/>
                  </w:tcBorders>
                  <w:shd w:val="clear" w:color="auto" w:fill="auto"/>
                  <w:vAlign w:val="center"/>
                </w:tcPr>
                <w:p w14:paraId="3556B83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18"/>
                      <w:szCs w:val="18"/>
                      <w:highlight w:val="none"/>
                      <w:vertAlign w:val="baseline"/>
                      <w:lang w:val="en-US" w:eastAsia="zh-CN" w:bidi="ar-SA"/>
                    </w:rPr>
                  </w:pPr>
                  <w:r>
                    <w:rPr>
                      <w:rFonts w:hint="eastAsia" w:cs="Times New Roman"/>
                      <w:color w:val="auto"/>
                      <w:sz w:val="18"/>
                      <w:szCs w:val="18"/>
                      <w:highlight w:val="none"/>
                      <w:vertAlign w:val="baseline"/>
                      <w:lang w:val="en-US" w:eastAsia="zh-CN"/>
                    </w:rPr>
                    <w:t>42.2</w:t>
                  </w:r>
                </w:p>
              </w:tc>
              <w:tc>
                <w:tcPr>
                  <w:tcW w:w="562" w:type="pct"/>
                  <w:tcBorders>
                    <w:tl2br w:val="nil"/>
                    <w:tr2bl w:val="nil"/>
                  </w:tcBorders>
                  <w:vAlign w:val="center"/>
                </w:tcPr>
                <w:p w14:paraId="7DF3130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18"/>
                      <w:szCs w:val="18"/>
                      <w:highlight w:val="none"/>
                      <w:vertAlign w:val="baseline"/>
                      <w:lang w:val="en-US" w:eastAsia="zh-CN" w:bidi="ar-SA"/>
                    </w:rPr>
                  </w:pPr>
                  <w:r>
                    <w:rPr>
                      <w:rFonts w:hint="eastAsia" w:cs="Times New Roman"/>
                      <w:color w:val="auto"/>
                      <w:kern w:val="2"/>
                      <w:sz w:val="18"/>
                      <w:szCs w:val="18"/>
                      <w:highlight w:val="none"/>
                      <w:vertAlign w:val="baseline"/>
                      <w:lang w:val="en-US" w:eastAsia="zh-CN" w:bidi="ar-SA"/>
                    </w:rPr>
                    <w:t>0.0950</w:t>
                  </w:r>
                </w:p>
              </w:tc>
            </w:tr>
            <w:tr w14:paraId="3B77AB9B">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7" w:type="pct"/>
                  <w:vMerge w:val="continue"/>
                  <w:tcBorders>
                    <w:tl2br w:val="nil"/>
                    <w:tr2bl w:val="nil"/>
                  </w:tcBorders>
                  <w:vAlign w:val="center"/>
                </w:tcPr>
                <w:p w14:paraId="4EADAAC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s="Times New Roman"/>
                      <w:color w:val="auto"/>
                      <w:sz w:val="18"/>
                      <w:szCs w:val="18"/>
                      <w:highlight w:val="none"/>
                      <w:vertAlign w:val="baseline"/>
                      <w:lang w:val="en-US" w:eastAsia="zh-CN"/>
                    </w:rPr>
                  </w:pPr>
                </w:p>
              </w:tc>
              <w:tc>
                <w:tcPr>
                  <w:tcW w:w="502" w:type="pct"/>
                  <w:vMerge w:val="continue"/>
                  <w:tcBorders>
                    <w:tl2br w:val="nil"/>
                    <w:tr2bl w:val="nil"/>
                  </w:tcBorders>
                  <w:vAlign w:val="center"/>
                </w:tcPr>
                <w:p w14:paraId="09307F0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s="Times New Roman"/>
                      <w:color w:val="auto"/>
                      <w:sz w:val="18"/>
                      <w:szCs w:val="18"/>
                      <w:highlight w:val="none"/>
                      <w:vertAlign w:val="baseline"/>
                      <w:lang w:val="en-US" w:eastAsia="zh-CN"/>
                    </w:rPr>
                  </w:pPr>
                </w:p>
              </w:tc>
              <w:tc>
                <w:tcPr>
                  <w:tcW w:w="484" w:type="pct"/>
                  <w:tcBorders>
                    <w:tl2br w:val="nil"/>
                    <w:tr2bl w:val="nil"/>
                  </w:tcBorders>
                  <w:vAlign w:val="center"/>
                </w:tcPr>
                <w:p w14:paraId="7E596F4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18"/>
                      <w:szCs w:val="18"/>
                      <w:highlight w:val="none"/>
                      <w:vertAlign w:val="baseline"/>
                      <w:lang w:val="en-US" w:eastAsia="zh-CN" w:bidi="ar-SA"/>
                    </w:rPr>
                  </w:pPr>
                  <w:r>
                    <w:rPr>
                      <w:rFonts w:hint="eastAsia" w:cs="Times New Roman"/>
                      <w:color w:val="auto"/>
                      <w:sz w:val="18"/>
                      <w:szCs w:val="18"/>
                      <w:highlight w:val="none"/>
                      <w:vertAlign w:val="baseline"/>
                      <w:lang w:val="en-US" w:eastAsia="zh-CN"/>
                    </w:rPr>
                    <w:t>粪大肠菌群数MPN</w:t>
                  </w:r>
                </w:p>
              </w:tc>
              <w:tc>
                <w:tcPr>
                  <w:tcW w:w="519" w:type="pct"/>
                  <w:tcBorders>
                    <w:tl2br w:val="nil"/>
                    <w:tr2bl w:val="nil"/>
                  </w:tcBorders>
                  <w:vAlign w:val="center"/>
                </w:tcPr>
                <w:p w14:paraId="6A00549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18"/>
                      <w:szCs w:val="18"/>
                      <w:highlight w:val="none"/>
                      <w:vertAlign w:val="baseline"/>
                      <w:lang w:val="en-US" w:eastAsia="zh-CN" w:bidi="ar-SA"/>
                    </w:rPr>
                  </w:pPr>
                  <w:r>
                    <w:rPr>
                      <w:rFonts w:hint="eastAsia" w:cs="Times New Roman"/>
                      <w:color w:val="auto"/>
                      <w:sz w:val="18"/>
                      <w:szCs w:val="18"/>
                      <w:highlight w:val="none"/>
                      <w:vertAlign w:val="baseline"/>
                      <w:lang w:val="en-US" w:eastAsia="zh-CN"/>
                    </w:rPr>
                    <w:t>3.0×10</w:t>
                  </w:r>
                  <w:r>
                    <w:rPr>
                      <w:rFonts w:hint="eastAsia" w:cs="Times New Roman"/>
                      <w:color w:val="auto"/>
                      <w:sz w:val="18"/>
                      <w:szCs w:val="18"/>
                      <w:highlight w:val="none"/>
                      <w:vertAlign w:val="superscript"/>
                      <w:lang w:val="en-US" w:eastAsia="zh-CN"/>
                    </w:rPr>
                    <w:t>8</w:t>
                  </w:r>
                </w:p>
              </w:tc>
              <w:tc>
                <w:tcPr>
                  <w:tcW w:w="625" w:type="pct"/>
                  <w:tcBorders>
                    <w:tl2br w:val="nil"/>
                    <w:tr2bl w:val="nil"/>
                  </w:tcBorders>
                  <w:vAlign w:val="center"/>
                </w:tcPr>
                <w:p w14:paraId="40777B8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18"/>
                      <w:szCs w:val="18"/>
                      <w:highlight w:val="none"/>
                      <w:vertAlign w:val="baseline"/>
                      <w:lang w:val="en-US" w:eastAsia="zh-CN" w:bidi="ar-SA"/>
                    </w:rPr>
                  </w:pPr>
                  <w:r>
                    <w:rPr>
                      <w:rFonts w:hint="eastAsia" w:cs="Times New Roman"/>
                      <w:color w:val="auto"/>
                      <w:sz w:val="18"/>
                      <w:szCs w:val="18"/>
                      <w:highlight w:val="none"/>
                      <w:vertAlign w:val="baseline"/>
                      <w:lang w:val="en-US" w:eastAsia="zh-CN"/>
                    </w:rPr>
                    <w:t>6.75×10</w:t>
                  </w:r>
                  <w:r>
                    <w:rPr>
                      <w:rFonts w:hint="eastAsia" w:cs="Times New Roman"/>
                      <w:color w:val="auto"/>
                      <w:sz w:val="18"/>
                      <w:szCs w:val="18"/>
                      <w:highlight w:val="none"/>
                      <w:vertAlign w:val="superscript"/>
                      <w:lang w:val="en-US" w:eastAsia="zh-CN"/>
                    </w:rPr>
                    <w:t>14</w:t>
                  </w:r>
                </w:p>
              </w:tc>
              <w:tc>
                <w:tcPr>
                  <w:tcW w:w="361" w:type="pct"/>
                  <w:tcBorders>
                    <w:right w:val="single" w:color="000000" w:sz="4" w:space="0"/>
                    <w:tl2br w:val="nil"/>
                    <w:tr2bl w:val="nil"/>
                  </w:tcBorders>
                  <w:shd w:val="clear" w:color="auto" w:fill="auto"/>
                  <w:vAlign w:val="center"/>
                </w:tcPr>
                <w:p w14:paraId="6411E6C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auto"/>
                      <w:kern w:val="2"/>
                      <w:sz w:val="18"/>
                      <w:szCs w:val="18"/>
                      <w:highlight w:val="none"/>
                      <w:vertAlign w:val="baseline"/>
                      <w:lang w:val="en-US" w:eastAsia="zh-CN" w:bidi="ar-SA"/>
                    </w:rPr>
                  </w:pPr>
                  <w:r>
                    <w:rPr>
                      <w:rFonts w:hint="eastAsia" w:cs="Times New Roman"/>
                      <w:color w:val="auto"/>
                      <w:sz w:val="18"/>
                      <w:szCs w:val="18"/>
                      <w:highlight w:val="none"/>
                      <w:vertAlign w:val="baseline"/>
                      <w:lang w:val="en-US" w:eastAsia="zh-CN"/>
                    </w:rPr>
                    <w:t>0</w:t>
                  </w:r>
                </w:p>
              </w:tc>
              <w:tc>
                <w:tcPr>
                  <w:tcW w:w="423" w:type="pct"/>
                  <w:tcBorders>
                    <w:left w:val="single" w:color="000000" w:sz="4" w:space="0"/>
                    <w:tl2br w:val="nil"/>
                    <w:tr2bl w:val="nil"/>
                  </w:tcBorders>
                  <w:shd w:val="clear" w:color="auto" w:fill="auto"/>
                  <w:vAlign w:val="center"/>
                </w:tcPr>
                <w:p w14:paraId="0BC0BAF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auto"/>
                      <w:kern w:val="2"/>
                      <w:sz w:val="18"/>
                      <w:szCs w:val="18"/>
                      <w:highlight w:val="none"/>
                      <w:vertAlign w:val="baseline"/>
                      <w:lang w:val="en-US" w:eastAsia="zh-CN" w:bidi="ar-SA"/>
                    </w:rPr>
                  </w:pPr>
                  <w:r>
                    <w:rPr>
                      <w:rFonts w:hint="eastAsia" w:cs="Times New Roman"/>
                      <w:color w:val="auto"/>
                      <w:sz w:val="18"/>
                      <w:szCs w:val="18"/>
                      <w:highlight w:val="none"/>
                      <w:vertAlign w:val="baseline"/>
                      <w:lang w:val="en-US" w:eastAsia="zh-CN"/>
                    </w:rPr>
                    <w:t>3.0×10</w:t>
                  </w:r>
                  <w:r>
                    <w:rPr>
                      <w:rFonts w:hint="eastAsia" w:cs="Times New Roman"/>
                      <w:color w:val="auto"/>
                      <w:sz w:val="18"/>
                      <w:szCs w:val="18"/>
                      <w:highlight w:val="none"/>
                      <w:vertAlign w:val="superscript"/>
                      <w:lang w:val="en-US" w:eastAsia="zh-CN"/>
                    </w:rPr>
                    <w:t>8</w:t>
                  </w:r>
                </w:p>
              </w:tc>
              <w:tc>
                <w:tcPr>
                  <w:tcW w:w="440" w:type="pct"/>
                  <w:tcBorders>
                    <w:right w:val="single" w:color="000000" w:sz="4" w:space="0"/>
                    <w:tl2br w:val="nil"/>
                    <w:tr2bl w:val="nil"/>
                  </w:tcBorders>
                  <w:shd w:val="clear" w:color="auto" w:fill="auto"/>
                  <w:vAlign w:val="center"/>
                </w:tcPr>
                <w:p w14:paraId="5143910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auto"/>
                      <w:kern w:val="2"/>
                      <w:sz w:val="18"/>
                      <w:szCs w:val="18"/>
                      <w:highlight w:val="none"/>
                      <w:vertAlign w:val="baseline"/>
                      <w:lang w:val="en-US" w:eastAsia="zh-CN" w:bidi="ar-SA"/>
                    </w:rPr>
                  </w:pPr>
                  <w:r>
                    <w:rPr>
                      <w:rFonts w:hint="eastAsia" w:cs="Times New Roman"/>
                      <w:color w:val="auto"/>
                      <w:sz w:val="18"/>
                      <w:szCs w:val="18"/>
                      <w:highlight w:val="none"/>
                      <w:vertAlign w:val="baseline"/>
                      <w:lang w:val="en-US" w:eastAsia="zh-CN"/>
                    </w:rPr>
                    <w:t>99.999</w:t>
                  </w:r>
                </w:p>
              </w:tc>
              <w:tc>
                <w:tcPr>
                  <w:tcW w:w="414" w:type="pct"/>
                  <w:tcBorders>
                    <w:left w:val="single" w:color="000000" w:sz="4" w:space="0"/>
                    <w:tl2br w:val="nil"/>
                    <w:tr2bl w:val="nil"/>
                  </w:tcBorders>
                  <w:vAlign w:val="center"/>
                </w:tcPr>
                <w:p w14:paraId="5F49497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3000</w:t>
                  </w:r>
                </w:p>
              </w:tc>
              <w:tc>
                <w:tcPr>
                  <w:tcW w:w="458" w:type="pct"/>
                  <w:tcBorders>
                    <w:tl2br w:val="nil"/>
                    <w:tr2bl w:val="nil"/>
                  </w:tcBorders>
                  <w:vAlign w:val="center"/>
                </w:tcPr>
                <w:p w14:paraId="57419E3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18"/>
                      <w:szCs w:val="18"/>
                      <w:highlight w:val="none"/>
                      <w:vertAlign w:val="baseline"/>
                      <w:lang w:val="en-US" w:eastAsia="zh-CN" w:bidi="ar-SA"/>
                    </w:rPr>
                  </w:pPr>
                  <w:r>
                    <w:rPr>
                      <w:rFonts w:hint="eastAsia" w:cs="Times New Roman"/>
                      <w:color w:val="auto"/>
                      <w:sz w:val="18"/>
                      <w:szCs w:val="18"/>
                      <w:highlight w:val="none"/>
                      <w:vertAlign w:val="baseline"/>
                      <w:lang w:val="en-US" w:eastAsia="zh-CN"/>
                    </w:rPr>
                    <w:t>3000</w:t>
                  </w:r>
                </w:p>
              </w:tc>
              <w:tc>
                <w:tcPr>
                  <w:tcW w:w="562" w:type="pct"/>
                  <w:tcBorders>
                    <w:tl2br w:val="nil"/>
                    <w:tr2bl w:val="nil"/>
                  </w:tcBorders>
                  <w:vAlign w:val="center"/>
                </w:tcPr>
                <w:p w14:paraId="1E769FA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18"/>
                      <w:szCs w:val="18"/>
                      <w:highlight w:val="none"/>
                      <w:vertAlign w:val="baseline"/>
                      <w:lang w:val="en-US" w:eastAsia="zh-CN" w:bidi="ar-SA"/>
                    </w:rPr>
                  </w:pPr>
                  <w:r>
                    <w:rPr>
                      <w:rFonts w:hint="eastAsia" w:cs="Times New Roman"/>
                      <w:color w:val="auto"/>
                      <w:sz w:val="18"/>
                      <w:szCs w:val="18"/>
                      <w:highlight w:val="none"/>
                      <w:vertAlign w:val="baseline"/>
                      <w:lang w:val="en-US" w:eastAsia="zh-CN"/>
                    </w:rPr>
                    <w:t>6.75×10</w:t>
                  </w:r>
                  <w:r>
                    <w:rPr>
                      <w:rFonts w:hint="eastAsia" w:cs="Times New Roman"/>
                      <w:color w:val="auto"/>
                      <w:sz w:val="18"/>
                      <w:szCs w:val="18"/>
                      <w:highlight w:val="none"/>
                      <w:vertAlign w:val="superscript"/>
                      <w:lang w:val="en-US" w:eastAsia="zh-CN"/>
                    </w:rPr>
                    <w:t>9</w:t>
                  </w:r>
                </w:p>
              </w:tc>
            </w:tr>
            <w:tr w14:paraId="71731D5A">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7" w:type="pct"/>
                  <w:vMerge w:val="continue"/>
                  <w:tcBorders>
                    <w:tl2br w:val="nil"/>
                    <w:tr2bl w:val="nil"/>
                  </w:tcBorders>
                  <w:vAlign w:val="center"/>
                </w:tcPr>
                <w:p w14:paraId="14FDEF0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s="Times New Roman"/>
                      <w:color w:val="auto"/>
                      <w:sz w:val="18"/>
                      <w:szCs w:val="18"/>
                      <w:highlight w:val="none"/>
                      <w:vertAlign w:val="baseline"/>
                      <w:lang w:val="en-US" w:eastAsia="zh-CN"/>
                    </w:rPr>
                  </w:pPr>
                </w:p>
              </w:tc>
              <w:tc>
                <w:tcPr>
                  <w:tcW w:w="502" w:type="pct"/>
                  <w:vMerge w:val="continue"/>
                  <w:tcBorders>
                    <w:tl2br w:val="nil"/>
                    <w:tr2bl w:val="nil"/>
                  </w:tcBorders>
                  <w:vAlign w:val="center"/>
                </w:tcPr>
                <w:p w14:paraId="1DCDB2B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s="Times New Roman"/>
                      <w:color w:val="auto"/>
                      <w:sz w:val="18"/>
                      <w:szCs w:val="18"/>
                      <w:highlight w:val="none"/>
                      <w:vertAlign w:val="baseline"/>
                      <w:lang w:val="en-US" w:eastAsia="zh-CN"/>
                    </w:rPr>
                  </w:pPr>
                </w:p>
              </w:tc>
              <w:tc>
                <w:tcPr>
                  <w:tcW w:w="484" w:type="pct"/>
                  <w:tcBorders>
                    <w:tl2br w:val="nil"/>
                    <w:tr2bl w:val="nil"/>
                  </w:tcBorders>
                  <w:vAlign w:val="center"/>
                </w:tcPr>
                <w:p w14:paraId="56A4E63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总余氯</w:t>
                  </w:r>
                </w:p>
              </w:tc>
              <w:tc>
                <w:tcPr>
                  <w:tcW w:w="519" w:type="pct"/>
                  <w:tcBorders>
                    <w:tl2br w:val="nil"/>
                    <w:tr2bl w:val="nil"/>
                  </w:tcBorders>
                  <w:vAlign w:val="center"/>
                </w:tcPr>
                <w:p w14:paraId="22B691A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w:t>
                  </w:r>
                </w:p>
              </w:tc>
              <w:tc>
                <w:tcPr>
                  <w:tcW w:w="625" w:type="pct"/>
                  <w:tcBorders>
                    <w:tl2br w:val="nil"/>
                    <w:tr2bl w:val="nil"/>
                  </w:tcBorders>
                  <w:vAlign w:val="center"/>
                </w:tcPr>
                <w:p w14:paraId="3D1DCA1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w:t>
                  </w:r>
                </w:p>
              </w:tc>
              <w:tc>
                <w:tcPr>
                  <w:tcW w:w="361" w:type="pct"/>
                  <w:tcBorders>
                    <w:right w:val="single" w:color="000000" w:sz="4" w:space="0"/>
                    <w:tl2br w:val="nil"/>
                    <w:tr2bl w:val="nil"/>
                  </w:tcBorders>
                  <w:shd w:val="clear" w:color="auto" w:fill="auto"/>
                  <w:vAlign w:val="center"/>
                </w:tcPr>
                <w:p w14:paraId="1066D0C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w:t>
                  </w:r>
                </w:p>
              </w:tc>
              <w:tc>
                <w:tcPr>
                  <w:tcW w:w="423" w:type="pct"/>
                  <w:tcBorders>
                    <w:left w:val="single" w:color="000000" w:sz="4" w:space="0"/>
                    <w:tl2br w:val="nil"/>
                    <w:tr2bl w:val="nil"/>
                  </w:tcBorders>
                  <w:shd w:val="clear" w:color="auto" w:fill="auto"/>
                  <w:vAlign w:val="center"/>
                </w:tcPr>
                <w:p w14:paraId="42CAF9C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w:t>
                  </w:r>
                </w:p>
              </w:tc>
              <w:tc>
                <w:tcPr>
                  <w:tcW w:w="440" w:type="pct"/>
                  <w:tcBorders>
                    <w:right w:val="single" w:color="000000" w:sz="4" w:space="0"/>
                    <w:tl2br w:val="nil"/>
                    <w:tr2bl w:val="nil"/>
                  </w:tcBorders>
                  <w:shd w:val="clear" w:color="auto" w:fill="auto"/>
                  <w:vAlign w:val="center"/>
                </w:tcPr>
                <w:p w14:paraId="47574F1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w:t>
                  </w:r>
                </w:p>
              </w:tc>
              <w:tc>
                <w:tcPr>
                  <w:tcW w:w="414" w:type="pct"/>
                  <w:tcBorders>
                    <w:left w:val="single" w:color="000000" w:sz="4" w:space="0"/>
                    <w:tl2br w:val="nil"/>
                    <w:tr2bl w:val="nil"/>
                  </w:tcBorders>
                  <w:vAlign w:val="center"/>
                </w:tcPr>
                <w:p w14:paraId="6C12D7D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w:t>
                  </w:r>
                </w:p>
              </w:tc>
              <w:tc>
                <w:tcPr>
                  <w:tcW w:w="458" w:type="pct"/>
                  <w:tcBorders>
                    <w:tl2br w:val="nil"/>
                    <w:tr2bl w:val="nil"/>
                  </w:tcBorders>
                  <w:vAlign w:val="center"/>
                </w:tcPr>
                <w:p w14:paraId="164BEB7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8</w:t>
                  </w:r>
                </w:p>
              </w:tc>
              <w:tc>
                <w:tcPr>
                  <w:tcW w:w="562" w:type="pct"/>
                  <w:tcBorders>
                    <w:tl2br w:val="nil"/>
                    <w:tr2bl w:val="nil"/>
                  </w:tcBorders>
                  <w:vAlign w:val="center"/>
                </w:tcPr>
                <w:p w14:paraId="3C91F60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s="Times New Roman"/>
                      <w:color w:val="auto"/>
                      <w:sz w:val="18"/>
                      <w:szCs w:val="18"/>
                      <w:highlight w:val="none"/>
                      <w:vertAlign w:val="baseline"/>
                      <w:lang w:val="en-US" w:eastAsia="zh-CN"/>
                    </w:rPr>
                  </w:pPr>
                </w:p>
              </w:tc>
            </w:tr>
          </w:tbl>
          <w:p w14:paraId="4804CDF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0"/>
                <w:sz w:val="24"/>
                <w:highlight w:val="none"/>
                <w:lang w:val="en-US" w:eastAsia="zh-CN"/>
              </w:rPr>
            </w:pPr>
            <w:r>
              <w:rPr>
                <w:rFonts w:hint="default"/>
                <w:b w:val="0"/>
                <w:bCs w:val="0"/>
                <w:color w:val="auto"/>
                <w:spacing w:val="0"/>
                <w:sz w:val="24"/>
                <w:highlight w:val="none"/>
                <w:lang w:val="en-US" w:eastAsia="zh-CN"/>
              </w:rPr>
              <w:t>根据《医疗机构水污染物排放标准》（GB18466-2005）附录F，项目污水污染物（COD、BOD</w:t>
            </w:r>
            <w:r>
              <w:rPr>
                <w:rFonts w:hint="eastAsia"/>
                <w:b w:val="0"/>
                <w:bCs w:val="0"/>
                <w:color w:val="auto"/>
                <w:spacing w:val="0"/>
                <w:sz w:val="24"/>
                <w:highlight w:val="none"/>
                <w:vertAlign w:val="subscript"/>
                <w:lang w:val="en-US" w:eastAsia="zh-CN"/>
              </w:rPr>
              <w:t>5</w:t>
            </w:r>
            <w:r>
              <w:rPr>
                <w:rFonts w:hint="default"/>
                <w:b w:val="0"/>
                <w:bCs w:val="0"/>
                <w:color w:val="auto"/>
                <w:spacing w:val="0"/>
                <w:sz w:val="24"/>
                <w:highlight w:val="none"/>
                <w:lang w:val="en-US" w:eastAsia="zh-CN"/>
              </w:rPr>
              <w:t>、SS）单位排放负荷计算公式如下：</w:t>
            </w:r>
          </w:p>
          <w:p w14:paraId="4F228B1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0"/>
                <w:sz w:val="24"/>
                <w:highlight w:val="none"/>
                <w:lang w:val="en-US" w:eastAsia="zh-CN"/>
              </w:rPr>
            </w:pPr>
            <w:r>
              <w:rPr>
                <w:rFonts w:hint="default"/>
                <w:b w:val="0"/>
                <w:bCs w:val="0"/>
                <w:color w:val="auto"/>
                <w:spacing w:val="0"/>
                <w:sz w:val="24"/>
                <w:highlight w:val="none"/>
                <w:lang w:val="en-US" w:eastAsia="zh-CN"/>
              </w:rPr>
              <w:t>L=C×Q/N</w:t>
            </w:r>
          </w:p>
          <w:p w14:paraId="0F90FC9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0"/>
                <w:sz w:val="24"/>
                <w:highlight w:val="none"/>
                <w:lang w:val="en-US" w:eastAsia="zh-CN"/>
              </w:rPr>
            </w:pPr>
            <w:r>
              <w:rPr>
                <w:rFonts w:hint="default"/>
                <w:b w:val="0"/>
                <w:bCs w:val="0"/>
                <w:color w:val="auto"/>
                <w:spacing w:val="0"/>
                <w:sz w:val="24"/>
                <w:highlight w:val="none"/>
                <w:lang w:val="en-US" w:eastAsia="zh-CN"/>
              </w:rPr>
              <w:t>式中：</w:t>
            </w:r>
          </w:p>
          <w:p w14:paraId="2AEC0D1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0"/>
                <w:sz w:val="24"/>
                <w:highlight w:val="none"/>
                <w:lang w:val="en-US" w:eastAsia="zh-CN"/>
              </w:rPr>
            </w:pPr>
            <w:r>
              <w:rPr>
                <w:rFonts w:hint="default"/>
                <w:b w:val="0"/>
                <w:bCs w:val="0"/>
                <w:color w:val="auto"/>
                <w:spacing w:val="0"/>
                <w:sz w:val="24"/>
                <w:highlight w:val="none"/>
                <w:lang w:val="en-US" w:eastAsia="zh-CN"/>
              </w:rPr>
              <w:t>L—水污染单位排放负荷，g/（床位·d）；</w:t>
            </w:r>
          </w:p>
          <w:p w14:paraId="05D3CCD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0"/>
                <w:sz w:val="24"/>
                <w:highlight w:val="none"/>
                <w:lang w:val="en-US" w:eastAsia="zh-CN"/>
              </w:rPr>
            </w:pPr>
            <w:r>
              <w:rPr>
                <w:rFonts w:hint="default"/>
                <w:b w:val="0"/>
                <w:bCs w:val="0"/>
                <w:color w:val="auto"/>
                <w:spacing w:val="0"/>
                <w:sz w:val="24"/>
                <w:highlight w:val="none"/>
                <w:lang w:val="en-US" w:eastAsia="zh-CN"/>
              </w:rPr>
              <w:t>C—污染物排放浓度，mg/L；</w:t>
            </w:r>
          </w:p>
          <w:p w14:paraId="2C6D789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0"/>
                <w:sz w:val="24"/>
                <w:highlight w:val="none"/>
                <w:lang w:val="en-US" w:eastAsia="zh-CN"/>
              </w:rPr>
            </w:pPr>
            <w:r>
              <w:rPr>
                <w:rFonts w:hint="default"/>
                <w:b w:val="0"/>
                <w:bCs w:val="0"/>
                <w:color w:val="auto"/>
                <w:spacing w:val="0"/>
                <w:sz w:val="24"/>
                <w:highlight w:val="none"/>
                <w:lang w:val="en-US" w:eastAsia="zh-CN"/>
              </w:rPr>
              <w:t>Q—日</w:t>
            </w:r>
            <w:r>
              <w:rPr>
                <w:rFonts w:hint="eastAsia"/>
                <w:b w:val="0"/>
                <w:bCs w:val="0"/>
                <w:color w:val="auto"/>
                <w:spacing w:val="0"/>
                <w:sz w:val="24"/>
                <w:highlight w:val="none"/>
                <w:lang w:val="en-US" w:eastAsia="zh-CN"/>
              </w:rPr>
              <w:t>排</w:t>
            </w:r>
            <w:r>
              <w:rPr>
                <w:rFonts w:hint="default"/>
                <w:b w:val="0"/>
                <w:bCs w:val="0"/>
                <w:color w:val="auto"/>
                <w:spacing w:val="0"/>
                <w:sz w:val="24"/>
                <w:highlight w:val="none"/>
                <w:lang w:val="en-US" w:eastAsia="zh-CN"/>
              </w:rPr>
              <w:t>水量，m</w:t>
            </w:r>
            <w:r>
              <w:rPr>
                <w:rFonts w:hint="default"/>
                <w:b w:val="0"/>
                <w:bCs w:val="0"/>
                <w:color w:val="auto"/>
                <w:spacing w:val="0"/>
                <w:sz w:val="24"/>
                <w:highlight w:val="none"/>
                <w:vertAlign w:val="superscript"/>
                <w:lang w:val="en-US" w:eastAsia="zh-CN"/>
              </w:rPr>
              <w:t>3</w:t>
            </w:r>
            <w:r>
              <w:rPr>
                <w:rFonts w:hint="default"/>
                <w:b w:val="0"/>
                <w:bCs w:val="0"/>
                <w:color w:val="auto"/>
                <w:spacing w:val="0"/>
                <w:sz w:val="24"/>
                <w:highlight w:val="none"/>
                <w:lang w:val="en-US" w:eastAsia="zh-CN"/>
              </w:rPr>
              <w:t>/d；</w:t>
            </w:r>
          </w:p>
          <w:p w14:paraId="0A66D43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0"/>
                <w:sz w:val="24"/>
                <w:highlight w:val="none"/>
                <w:lang w:val="en-US" w:eastAsia="zh-CN"/>
              </w:rPr>
            </w:pPr>
            <w:r>
              <w:rPr>
                <w:rFonts w:hint="default"/>
                <w:b w:val="0"/>
                <w:bCs w:val="0"/>
                <w:color w:val="auto"/>
                <w:spacing w:val="0"/>
                <w:sz w:val="24"/>
                <w:highlight w:val="none"/>
                <w:lang w:val="en-US" w:eastAsia="zh-CN"/>
              </w:rPr>
              <w:t>N—床位数，床。</w:t>
            </w:r>
          </w:p>
          <w:p w14:paraId="66AB054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0"/>
                <w:sz w:val="24"/>
                <w:highlight w:val="none"/>
                <w:lang w:val="en-US" w:eastAsia="zh-CN"/>
              </w:rPr>
            </w:pPr>
            <w:r>
              <w:rPr>
                <w:rFonts w:hint="default"/>
                <w:b w:val="0"/>
                <w:bCs w:val="0"/>
                <w:color w:val="auto"/>
                <w:spacing w:val="0"/>
                <w:sz w:val="24"/>
                <w:highlight w:val="none"/>
                <w:lang w:val="en-US" w:eastAsia="zh-CN"/>
              </w:rPr>
              <w:t>项目每天</w:t>
            </w:r>
            <w:r>
              <w:rPr>
                <w:rFonts w:hint="eastAsia"/>
                <w:b w:val="0"/>
                <w:bCs w:val="0"/>
                <w:color w:val="auto"/>
                <w:spacing w:val="0"/>
                <w:sz w:val="24"/>
                <w:highlight w:val="none"/>
                <w:lang w:val="en-US" w:eastAsia="zh-CN"/>
              </w:rPr>
              <w:t>排水6.18</w:t>
            </w:r>
            <w:r>
              <w:rPr>
                <w:rFonts w:hint="default"/>
                <w:b w:val="0"/>
                <w:bCs w:val="0"/>
                <w:color w:val="auto"/>
                <w:spacing w:val="0"/>
                <w:sz w:val="24"/>
                <w:highlight w:val="none"/>
                <w:lang w:val="en-US" w:eastAsia="zh-CN"/>
              </w:rPr>
              <w:t>m</w:t>
            </w:r>
            <w:r>
              <w:rPr>
                <w:rFonts w:hint="default"/>
                <w:b w:val="0"/>
                <w:bCs w:val="0"/>
                <w:color w:val="auto"/>
                <w:spacing w:val="0"/>
                <w:sz w:val="24"/>
                <w:highlight w:val="none"/>
                <w:vertAlign w:val="superscript"/>
                <w:lang w:val="en-US" w:eastAsia="zh-CN"/>
              </w:rPr>
              <w:t>3</w:t>
            </w:r>
            <w:r>
              <w:rPr>
                <w:rFonts w:hint="default"/>
                <w:b w:val="0"/>
                <w:bCs w:val="0"/>
                <w:color w:val="auto"/>
                <w:spacing w:val="0"/>
                <w:sz w:val="24"/>
                <w:highlight w:val="none"/>
                <w:lang w:val="en-US" w:eastAsia="zh-CN"/>
              </w:rPr>
              <w:t>/d，经计算，COD单位排放负荷</w:t>
            </w:r>
            <w:r>
              <w:rPr>
                <w:rFonts w:hint="eastAsia"/>
                <w:b w:val="0"/>
                <w:bCs w:val="0"/>
                <w:color w:val="auto"/>
                <w:spacing w:val="0"/>
                <w:sz w:val="24"/>
                <w:highlight w:val="none"/>
                <w:lang w:val="en-US" w:eastAsia="zh-CN"/>
              </w:rPr>
              <w:t>39.4</w:t>
            </w:r>
            <w:r>
              <w:rPr>
                <w:rFonts w:hint="default"/>
                <w:b w:val="0"/>
                <w:bCs w:val="0"/>
                <w:color w:val="auto"/>
                <w:spacing w:val="0"/>
                <w:sz w:val="24"/>
                <w:highlight w:val="none"/>
                <w:lang w:val="en-US" w:eastAsia="zh-CN"/>
              </w:rPr>
              <w:t>g/（床位·d）、BOD</w:t>
            </w:r>
            <w:r>
              <w:rPr>
                <w:rFonts w:hint="eastAsia"/>
                <w:b w:val="0"/>
                <w:bCs w:val="0"/>
                <w:color w:val="auto"/>
                <w:spacing w:val="0"/>
                <w:sz w:val="24"/>
                <w:highlight w:val="none"/>
                <w:vertAlign w:val="subscript"/>
                <w:lang w:val="en-US" w:eastAsia="zh-CN"/>
              </w:rPr>
              <w:t>5</w:t>
            </w:r>
            <w:r>
              <w:rPr>
                <w:rFonts w:hint="default"/>
                <w:b w:val="0"/>
                <w:bCs w:val="0"/>
                <w:color w:val="auto"/>
                <w:spacing w:val="0"/>
                <w:sz w:val="24"/>
                <w:highlight w:val="none"/>
                <w:lang w:val="en-US" w:eastAsia="zh-CN"/>
              </w:rPr>
              <w:t>单位排放负荷</w:t>
            </w:r>
            <w:r>
              <w:rPr>
                <w:rFonts w:hint="eastAsia"/>
                <w:b w:val="0"/>
                <w:bCs w:val="0"/>
                <w:color w:val="auto"/>
                <w:spacing w:val="0"/>
                <w:sz w:val="24"/>
                <w:highlight w:val="none"/>
                <w:lang w:val="en-US" w:eastAsia="zh-CN"/>
              </w:rPr>
              <w:t>27.4</w:t>
            </w:r>
            <w:r>
              <w:rPr>
                <w:rFonts w:hint="default"/>
                <w:b w:val="0"/>
                <w:bCs w:val="0"/>
                <w:color w:val="auto"/>
                <w:spacing w:val="0"/>
                <w:sz w:val="24"/>
                <w:highlight w:val="none"/>
                <w:lang w:val="en-US" w:eastAsia="zh-CN"/>
              </w:rPr>
              <w:t>g/（床位·d）、SS单位排放负荷</w:t>
            </w:r>
            <w:r>
              <w:rPr>
                <w:rFonts w:hint="eastAsia"/>
                <w:b w:val="0"/>
                <w:bCs w:val="0"/>
                <w:color w:val="auto"/>
                <w:spacing w:val="0"/>
                <w:sz w:val="24"/>
                <w:highlight w:val="none"/>
                <w:lang w:val="en-US" w:eastAsia="zh-CN"/>
              </w:rPr>
              <w:t>7.8</w:t>
            </w:r>
            <w:r>
              <w:rPr>
                <w:rFonts w:hint="default"/>
                <w:b w:val="0"/>
                <w:bCs w:val="0"/>
                <w:color w:val="auto"/>
                <w:spacing w:val="0"/>
                <w:sz w:val="24"/>
                <w:highlight w:val="none"/>
                <w:lang w:val="en-US" w:eastAsia="zh-CN"/>
              </w:rPr>
              <w:t>g/（床位·d），满足《医疗机构水污染物排放标准》（GB18466-2005）中污水污染物最高允许排放负荷要求。</w:t>
            </w:r>
          </w:p>
          <w:p w14:paraId="1D9DC0E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0"/>
                <w:sz w:val="24"/>
                <w:highlight w:val="none"/>
                <w:lang w:val="en-US" w:eastAsia="zh-CN"/>
              </w:rPr>
            </w:pPr>
            <w:r>
              <w:rPr>
                <w:rFonts w:hint="eastAsia"/>
                <w:b w:val="0"/>
                <w:bCs w:val="0"/>
                <w:color w:val="auto"/>
                <w:spacing w:val="0"/>
                <w:sz w:val="24"/>
                <w:highlight w:val="none"/>
                <w:lang w:val="en-US" w:eastAsia="zh-CN"/>
              </w:rPr>
              <w:t>（3）污染物达标排放分析</w:t>
            </w:r>
          </w:p>
          <w:p w14:paraId="68AEB4F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0"/>
                <w:sz w:val="24"/>
                <w:highlight w:val="none"/>
                <w:lang w:val="en-US" w:eastAsia="zh-CN"/>
              </w:rPr>
            </w:pPr>
            <w:r>
              <w:rPr>
                <w:rFonts w:hint="eastAsia"/>
                <w:b w:val="0"/>
                <w:bCs w:val="0"/>
                <w:color w:val="auto"/>
                <w:spacing w:val="0"/>
                <w:sz w:val="24"/>
                <w:highlight w:val="none"/>
                <w:lang w:val="en-US" w:eastAsia="zh-CN"/>
              </w:rPr>
              <w:t>本项目医疗废水达标排放情况见下表。</w:t>
            </w:r>
          </w:p>
          <w:p w14:paraId="3E2EC3F8">
            <w:pPr>
              <w:pStyle w:val="31"/>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表4-6 本项目主要水污染物排放及达标情况</w:t>
            </w:r>
          </w:p>
          <w:tbl>
            <w:tblPr>
              <w:tblStyle w:val="13"/>
              <w:tblW w:w="4998"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53"/>
              <w:gridCol w:w="540"/>
              <w:gridCol w:w="1545"/>
              <w:gridCol w:w="1050"/>
              <w:gridCol w:w="1140"/>
              <w:gridCol w:w="1462"/>
              <w:gridCol w:w="1463"/>
              <w:gridCol w:w="658"/>
            </w:tblGrid>
            <w:tr w14:paraId="30ADD73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3" w:type="dxa"/>
                  <w:tcBorders>
                    <w:tl2br w:val="nil"/>
                    <w:tr2bl w:val="nil"/>
                  </w:tcBorders>
                  <w:vAlign w:val="center"/>
                </w:tcPr>
                <w:p w14:paraId="3F28491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0"/>
                      <w:sz w:val="21"/>
                      <w:szCs w:val="21"/>
                      <w:highlight w:val="none"/>
                      <w:vertAlign w:val="baseline"/>
                      <w:lang w:val="en-US" w:eastAsia="zh-CN"/>
                    </w:rPr>
                  </w:pPr>
                  <w:r>
                    <w:rPr>
                      <w:rFonts w:hint="eastAsia"/>
                      <w:b/>
                      <w:bCs/>
                      <w:color w:val="auto"/>
                      <w:spacing w:val="0"/>
                      <w:sz w:val="21"/>
                      <w:szCs w:val="21"/>
                      <w:highlight w:val="none"/>
                      <w:vertAlign w:val="baseline"/>
                      <w:lang w:val="en-US" w:eastAsia="zh-CN"/>
                    </w:rPr>
                    <w:t>废水类别</w:t>
                  </w:r>
                </w:p>
              </w:tc>
              <w:tc>
                <w:tcPr>
                  <w:tcW w:w="540" w:type="dxa"/>
                  <w:tcBorders>
                    <w:tl2br w:val="nil"/>
                    <w:tr2bl w:val="nil"/>
                  </w:tcBorders>
                  <w:vAlign w:val="center"/>
                </w:tcPr>
                <w:p w14:paraId="180D558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0"/>
                      <w:sz w:val="21"/>
                      <w:szCs w:val="21"/>
                      <w:highlight w:val="none"/>
                      <w:vertAlign w:val="baseline"/>
                      <w:lang w:val="en-US" w:eastAsia="zh-CN"/>
                    </w:rPr>
                  </w:pPr>
                  <w:r>
                    <w:rPr>
                      <w:rFonts w:hint="eastAsia"/>
                      <w:b/>
                      <w:bCs/>
                      <w:color w:val="auto"/>
                      <w:spacing w:val="0"/>
                      <w:sz w:val="21"/>
                      <w:szCs w:val="21"/>
                      <w:highlight w:val="none"/>
                      <w:vertAlign w:val="baseline"/>
                      <w:lang w:val="en-US" w:eastAsia="zh-CN"/>
                    </w:rPr>
                    <w:t>序号</w:t>
                  </w:r>
                </w:p>
              </w:tc>
              <w:tc>
                <w:tcPr>
                  <w:tcW w:w="1545" w:type="dxa"/>
                  <w:tcBorders>
                    <w:tl2br w:val="nil"/>
                    <w:tr2bl w:val="nil"/>
                  </w:tcBorders>
                  <w:vAlign w:val="center"/>
                </w:tcPr>
                <w:p w14:paraId="057352E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0"/>
                      <w:sz w:val="21"/>
                      <w:szCs w:val="21"/>
                      <w:highlight w:val="none"/>
                      <w:vertAlign w:val="baseline"/>
                      <w:lang w:val="en-US" w:eastAsia="zh-CN"/>
                    </w:rPr>
                  </w:pPr>
                  <w:r>
                    <w:rPr>
                      <w:rFonts w:hint="eastAsia"/>
                      <w:b/>
                      <w:bCs/>
                      <w:color w:val="auto"/>
                      <w:spacing w:val="0"/>
                      <w:sz w:val="21"/>
                      <w:szCs w:val="21"/>
                      <w:highlight w:val="none"/>
                      <w:vertAlign w:val="baseline"/>
                      <w:lang w:val="en-US" w:eastAsia="zh-CN"/>
                    </w:rPr>
                    <w:t>污染物名称</w:t>
                  </w:r>
                </w:p>
              </w:tc>
              <w:tc>
                <w:tcPr>
                  <w:tcW w:w="1050" w:type="dxa"/>
                  <w:tcBorders>
                    <w:tl2br w:val="nil"/>
                    <w:tr2bl w:val="nil"/>
                  </w:tcBorders>
                  <w:vAlign w:val="center"/>
                </w:tcPr>
                <w:p w14:paraId="69975D9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0"/>
                      <w:sz w:val="21"/>
                      <w:szCs w:val="21"/>
                      <w:highlight w:val="none"/>
                      <w:vertAlign w:val="baseline"/>
                      <w:lang w:val="en-US" w:eastAsia="zh-CN"/>
                    </w:rPr>
                  </w:pPr>
                  <w:r>
                    <w:rPr>
                      <w:rFonts w:hint="eastAsia"/>
                      <w:b/>
                      <w:bCs/>
                      <w:color w:val="auto"/>
                      <w:spacing w:val="0"/>
                      <w:sz w:val="21"/>
                      <w:szCs w:val="21"/>
                      <w:highlight w:val="none"/>
                      <w:vertAlign w:val="baseline"/>
                      <w:lang w:val="en-US" w:eastAsia="zh-CN"/>
                    </w:rPr>
                    <w:t>排放浓度mg/L</w:t>
                  </w:r>
                </w:p>
              </w:tc>
              <w:tc>
                <w:tcPr>
                  <w:tcW w:w="1140" w:type="dxa"/>
                  <w:tcBorders>
                    <w:tl2br w:val="nil"/>
                    <w:tr2bl w:val="nil"/>
                  </w:tcBorders>
                  <w:vAlign w:val="center"/>
                </w:tcPr>
                <w:p w14:paraId="119F275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0"/>
                      <w:sz w:val="21"/>
                      <w:szCs w:val="21"/>
                      <w:highlight w:val="none"/>
                      <w:vertAlign w:val="baseline"/>
                      <w:lang w:val="en-US" w:eastAsia="zh-CN"/>
                    </w:rPr>
                  </w:pPr>
                  <w:r>
                    <w:rPr>
                      <w:rFonts w:hint="eastAsia"/>
                      <w:b/>
                      <w:bCs/>
                      <w:color w:val="auto"/>
                      <w:spacing w:val="0"/>
                      <w:sz w:val="21"/>
                      <w:szCs w:val="21"/>
                      <w:highlight w:val="none"/>
                      <w:vertAlign w:val="baseline"/>
                      <w:lang w:val="en-US" w:eastAsia="zh-CN"/>
                    </w:rPr>
                    <w:t>浓度标准值mg/L</w:t>
                  </w:r>
                </w:p>
              </w:tc>
              <w:tc>
                <w:tcPr>
                  <w:tcW w:w="1462" w:type="dxa"/>
                  <w:tcBorders>
                    <w:tl2br w:val="nil"/>
                    <w:tr2bl w:val="nil"/>
                  </w:tcBorders>
                  <w:vAlign w:val="center"/>
                </w:tcPr>
                <w:p w14:paraId="45C99C2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0"/>
                      <w:sz w:val="21"/>
                      <w:szCs w:val="21"/>
                      <w:highlight w:val="none"/>
                      <w:vertAlign w:val="baseline"/>
                      <w:lang w:val="en-US" w:eastAsia="zh-CN"/>
                    </w:rPr>
                  </w:pPr>
                  <w:r>
                    <w:rPr>
                      <w:rFonts w:hint="eastAsia"/>
                      <w:b/>
                      <w:bCs/>
                      <w:color w:val="auto"/>
                      <w:spacing w:val="0"/>
                      <w:sz w:val="21"/>
                      <w:szCs w:val="21"/>
                      <w:highlight w:val="none"/>
                      <w:vertAlign w:val="baseline"/>
                      <w:lang w:val="en-US" w:eastAsia="zh-CN"/>
                    </w:rPr>
                    <w:t>排放负荷[g/（床位·d）]</w:t>
                  </w:r>
                </w:p>
              </w:tc>
              <w:tc>
                <w:tcPr>
                  <w:tcW w:w="1463" w:type="dxa"/>
                  <w:tcBorders>
                    <w:tl2br w:val="nil"/>
                    <w:tr2bl w:val="nil"/>
                  </w:tcBorders>
                  <w:vAlign w:val="center"/>
                </w:tcPr>
                <w:p w14:paraId="26808B0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0"/>
                      <w:sz w:val="21"/>
                      <w:szCs w:val="21"/>
                      <w:highlight w:val="none"/>
                      <w:vertAlign w:val="baseline"/>
                      <w:lang w:val="en-US" w:eastAsia="zh-CN"/>
                    </w:rPr>
                  </w:pPr>
                  <w:r>
                    <w:rPr>
                      <w:rFonts w:hint="eastAsia"/>
                      <w:b/>
                      <w:bCs/>
                      <w:color w:val="auto"/>
                      <w:spacing w:val="0"/>
                      <w:sz w:val="21"/>
                      <w:szCs w:val="21"/>
                      <w:highlight w:val="none"/>
                      <w:vertAlign w:val="baseline"/>
                      <w:lang w:val="en-US" w:eastAsia="zh-CN"/>
                    </w:rPr>
                    <w:t>最高允许排放负荷[g/（床位·d）]</w:t>
                  </w:r>
                </w:p>
              </w:tc>
              <w:tc>
                <w:tcPr>
                  <w:tcW w:w="658" w:type="dxa"/>
                  <w:tcBorders>
                    <w:tl2br w:val="nil"/>
                    <w:tr2bl w:val="nil"/>
                  </w:tcBorders>
                  <w:vAlign w:val="center"/>
                </w:tcPr>
                <w:p w14:paraId="61CAB50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0"/>
                      <w:sz w:val="21"/>
                      <w:szCs w:val="21"/>
                      <w:highlight w:val="none"/>
                      <w:vertAlign w:val="baseline"/>
                      <w:lang w:val="en-US" w:eastAsia="zh-CN"/>
                    </w:rPr>
                  </w:pPr>
                  <w:r>
                    <w:rPr>
                      <w:rFonts w:hint="eastAsia"/>
                      <w:b/>
                      <w:bCs/>
                      <w:color w:val="auto"/>
                      <w:spacing w:val="0"/>
                      <w:sz w:val="21"/>
                      <w:szCs w:val="21"/>
                      <w:highlight w:val="none"/>
                      <w:vertAlign w:val="baseline"/>
                      <w:lang w:val="en-US" w:eastAsia="zh-CN"/>
                    </w:rPr>
                    <w:t>达标情况</w:t>
                  </w:r>
                </w:p>
              </w:tc>
            </w:tr>
            <w:tr w14:paraId="04B2DCE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3" w:type="dxa"/>
                  <w:vMerge w:val="restart"/>
                  <w:tcBorders>
                    <w:tl2br w:val="nil"/>
                    <w:tr2bl w:val="nil"/>
                  </w:tcBorders>
                  <w:vAlign w:val="center"/>
                </w:tcPr>
                <w:p w14:paraId="7420F6C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医疗废水</w:t>
                  </w:r>
                </w:p>
              </w:tc>
              <w:tc>
                <w:tcPr>
                  <w:tcW w:w="540" w:type="dxa"/>
                  <w:tcBorders>
                    <w:tl2br w:val="nil"/>
                    <w:tr2bl w:val="nil"/>
                  </w:tcBorders>
                  <w:vAlign w:val="center"/>
                </w:tcPr>
                <w:p w14:paraId="263C3EF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1</w:t>
                  </w:r>
                </w:p>
              </w:tc>
              <w:tc>
                <w:tcPr>
                  <w:tcW w:w="1545" w:type="dxa"/>
                  <w:tcBorders>
                    <w:tl2br w:val="nil"/>
                    <w:tr2bl w:val="nil"/>
                  </w:tcBorders>
                  <w:vAlign w:val="center"/>
                </w:tcPr>
                <w:p w14:paraId="694BA92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pH</w:t>
                  </w:r>
                </w:p>
              </w:tc>
              <w:tc>
                <w:tcPr>
                  <w:tcW w:w="1050" w:type="dxa"/>
                  <w:tcBorders>
                    <w:tl2br w:val="nil"/>
                    <w:tr2bl w:val="nil"/>
                  </w:tcBorders>
                  <w:vAlign w:val="center"/>
                </w:tcPr>
                <w:p w14:paraId="7906F77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6.5~9</w:t>
                  </w:r>
                </w:p>
                <w:p w14:paraId="23C101A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无量纲</w:t>
                  </w:r>
                </w:p>
              </w:tc>
              <w:tc>
                <w:tcPr>
                  <w:tcW w:w="1140" w:type="dxa"/>
                  <w:tcBorders>
                    <w:tl2br w:val="nil"/>
                    <w:tr2bl w:val="nil"/>
                  </w:tcBorders>
                  <w:vAlign w:val="center"/>
                </w:tcPr>
                <w:p w14:paraId="25DECCF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6~9</w:t>
                  </w:r>
                </w:p>
                <w:p w14:paraId="6D28B63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无量纲</w:t>
                  </w:r>
                </w:p>
              </w:tc>
              <w:tc>
                <w:tcPr>
                  <w:tcW w:w="1462" w:type="dxa"/>
                  <w:tcBorders>
                    <w:tl2br w:val="nil"/>
                    <w:tr2bl w:val="nil"/>
                  </w:tcBorders>
                  <w:vAlign w:val="center"/>
                </w:tcPr>
                <w:p w14:paraId="5C58BE3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w:t>
                  </w:r>
                </w:p>
              </w:tc>
              <w:tc>
                <w:tcPr>
                  <w:tcW w:w="1463" w:type="dxa"/>
                  <w:tcBorders>
                    <w:tl2br w:val="nil"/>
                    <w:tr2bl w:val="nil"/>
                  </w:tcBorders>
                  <w:vAlign w:val="center"/>
                </w:tcPr>
                <w:p w14:paraId="5CE8908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w:t>
                  </w:r>
                </w:p>
              </w:tc>
              <w:tc>
                <w:tcPr>
                  <w:tcW w:w="658" w:type="dxa"/>
                  <w:tcBorders>
                    <w:tl2br w:val="nil"/>
                    <w:tr2bl w:val="nil"/>
                  </w:tcBorders>
                  <w:vAlign w:val="center"/>
                </w:tcPr>
                <w:p w14:paraId="45151ED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达标</w:t>
                  </w:r>
                </w:p>
              </w:tc>
            </w:tr>
            <w:tr w14:paraId="3272B63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3" w:type="dxa"/>
                  <w:vMerge w:val="continue"/>
                  <w:tcBorders>
                    <w:tl2br w:val="nil"/>
                    <w:tr2bl w:val="nil"/>
                  </w:tcBorders>
                  <w:vAlign w:val="center"/>
                </w:tcPr>
                <w:p w14:paraId="5E0636C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p>
              </w:tc>
              <w:tc>
                <w:tcPr>
                  <w:tcW w:w="540" w:type="dxa"/>
                  <w:tcBorders>
                    <w:tl2br w:val="nil"/>
                    <w:tr2bl w:val="nil"/>
                  </w:tcBorders>
                  <w:vAlign w:val="center"/>
                </w:tcPr>
                <w:p w14:paraId="5B996DD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2</w:t>
                  </w:r>
                </w:p>
              </w:tc>
              <w:tc>
                <w:tcPr>
                  <w:tcW w:w="1545" w:type="dxa"/>
                  <w:tcBorders>
                    <w:tl2br w:val="nil"/>
                    <w:tr2bl w:val="nil"/>
                  </w:tcBorders>
                  <w:vAlign w:val="center"/>
                </w:tcPr>
                <w:p w14:paraId="43F7D1E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CODcr</w:t>
                  </w:r>
                </w:p>
              </w:tc>
              <w:tc>
                <w:tcPr>
                  <w:tcW w:w="1050" w:type="dxa"/>
                  <w:tcBorders>
                    <w:tl2br w:val="nil"/>
                    <w:tr2bl w:val="nil"/>
                  </w:tcBorders>
                  <w:vAlign w:val="center"/>
                </w:tcPr>
                <w:p w14:paraId="07D0921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127.5</w:t>
                  </w:r>
                </w:p>
              </w:tc>
              <w:tc>
                <w:tcPr>
                  <w:tcW w:w="1140" w:type="dxa"/>
                  <w:tcBorders>
                    <w:tl2br w:val="nil"/>
                    <w:tr2bl w:val="nil"/>
                  </w:tcBorders>
                  <w:vAlign w:val="center"/>
                </w:tcPr>
                <w:p w14:paraId="701D4D6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250</w:t>
                  </w:r>
                </w:p>
              </w:tc>
              <w:tc>
                <w:tcPr>
                  <w:tcW w:w="1462" w:type="dxa"/>
                  <w:tcBorders>
                    <w:tl2br w:val="nil"/>
                    <w:tr2bl w:val="nil"/>
                  </w:tcBorders>
                  <w:vAlign w:val="center"/>
                </w:tcPr>
                <w:p w14:paraId="164BBC8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39.4</w:t>
                  </w:r>
                </w:p>
              </w:tc>
              <w:tc>
                <w:tcPr>
                  <w:tcW w:w="1463" w:type="dxa"/>
                  <w:tcBorders>
                    <w:tl2br w:val="nil"/>
                    <w:tr2bl w:val="nil"/>
                  </w:tcBorders>
                  <w:vAlign w:val="center"/>
                </w:tcPr>
                <w:p w14:paraId="61C386C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250</w:t>
                  </w:r>
                </w:p>
              </w:tc>
              <w:tc>
                <w:tcPr>
                  <w:tcW w:w="658" w:type="dxa"/>
                  <w:tcBorders>
                    <w:tl2br w:val="nil"/>
                    <w:tr2bl w:val="nil"/>
                  </w:tcBorders>
                  <w:vAlign w:val="center"/>
                </w:tcPr>
                <w:p w14:paraId="09ACA98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达标</w:t>
                  </w:r>
                </w:p>
              </w:tc>
            </w:tr>
            <w:tr w14:paraId="45E1FF9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3" w:type="dxa"/>
                  <w:vMerge w:val="continue"/>
                  <w:tcBorders>
                    <w:tl2br w:val="nil"/>
                    <w:tr2bl w:val="nil"/>
                  </w:tcBorders>
                  <w:vAlign w:val="center"/>
                </w:tcPr>
                <w:p w14:paraId="33B0900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p>
              </w:tc>
              <w:tc>
                <w:tcPr>
                  <w:tcW w:w="540" w:type="dxa"/>
                  <w:tcBorders>
                    <w:tl2br w:val="nil"/>
                    <w:tr2bl w:val="nil"/>
                  </w:tcBorders>
                  <w:vAlign w:val="center"/>
                </w:tcPr>
                <w:p w14:paraId="2B871B6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3</w:t>
                  </w:r>
                </w:p>
              </w:tc>
              <w:tc>
                <w:tcPr>
                  <w:tcW w:w="1545" w:type="dxa"/>
                  <w:tcBorders>
                    <w:tl2br w:val="nil"/>
                    <w:tr2bl w:val="nil"/>
                  </w:tcBorders>
                  <w:vAlign w:val="center"/>
                </w:tcPr>
                <w:p w14:paraId="67D1D51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BOD</w:t>
                  </w:r>
                  <w:r>
                    <w:rPr>
                      <w:rFonts w:hint="eastAsia"/>
                      <w:b w:val="0"/>
                      <w:bCs w:val="0"/>
                      <w:color w:val="auto"/>
                      <w:spacing w:val="0"/>
                      <w:sz w:val="21"/>
                      <w:szCs w:val="21"/>
                      <w:highlight w:val="none"/>
                      <w:vertAlign w:val="subscript"/>
                      <w:lang w:val="en-US" w:eastAsia="zh-CN"/>
                    </w:rPr>
                    <w:t>5</w:t>
                  </w:r>
                </w:p>
              </w:tc>
              <w:tc>
                <w:tcPr>
                  <w:tcW w:w="1050" w:type="dxa"/>
                  <w:tcBorders>
                    <w:tl2br w:val="nil"/>
                    <w:tr2bl w:val="nil"/>
                  </w:tcBorders>
                  <w:vAlign w:val="center"/>
                </w:tcPr>
                <w:p w14:paraId="43ADF40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88.7</w:t>
                  </w:r>
                </w:p>
              </w:tc>
              <w:tc>
                <w:tcPr>
                  <w:tcW w:w="1140" w:type="dxa"/>
                  <w:tcBorders>
                    <w:tl2br w:val="nil"/>
                    <w:tr2bl w:val="nil"/>
                  </w:tcBorders>
                  <w:vAlign w:val="center"/>
                </w:tcPr>
                <w:p w14:paraId="6E38051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100</w:t>
                  </w:r>
                </w:p>
              </w:tc>
              <w:tc>
                <w:tcPr>
                  <w:tcW w:w="1462" w:type="dxa"/>
                  <w:tcBorders>
                    <w:tl2br w:val="nil"/>
                    <w:tr2bl w:val="nil"/>
                  </w:tcBorders>
                  <w:vAlign w:val="center"/>
                </w:tcPr>
                <w:p w14:paraId="26204D7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27.4</w:t>
                  </w:r>
                </w:p>
              </w:tc>
              <w:tc>
                <w:tcPr>
                  <w:tcW w:w="1463" w:type="dxa"/>
                  <w:tcBorders>
                    <w:tl2br w:val="nil"/>
                    <w:tr2bl w:val="nil"/>
                  </w:tcBorders>
                  <w:vAlign w:val="center"/>
                </w:tcPr>
                <w:p w14:paraId="63C5FB1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100</w:t>
                  </w:r>
                </w:p>
              </w:tc>
              <w:tc>
                <w:tcPr>
                  <w:tcW w:w="658" w:type="dxa"/>
                  <w:tcBorders>
                    <w:tl2br w:val="nil"/>
                    <w:tr2bl w:val="nil"/>
                  </w:tcBorders>
                  <w:vAlign w:val="center"/>
                </w:tcPr>
                <w:p w14:paraId="10F3A01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达标</w:t>
                  </w:r>
                </w:p>
              </w:tc>
            </w:tr>
            <w:tr w14:paraId="505A0D0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3" w:type="dxa"/>
                  <w:vMerge w:val="continue"/>
                  <w:tcBorders>
                    <w:tl2br w:val="nil"/>
                    <w:tr2bl w:val="nil"/>
                  </w:tcBorders>
                  <w:vAlign w:val="center"/>
                </w:tcPr>
                <w:p w14:paraId="7A5973F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p>
              </w:tc>
              <w:tc>
                <w:tcPr>
                  <w:tcW w:w="540" w:type="dxa"/>
                  <w:tcBorders>
                    <w:tl2br w:val="nil"/>
                    <w:tr2bl w:val="nil"/>
                  </w:tcBorders>
                  <w:vAlign w:val="center"/>
                </w:tcPr>
                <w:p w14:paraId="06487B3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4</w:t>
                  </w:r>
                </w:p>
              </w:tc>
              <w:tc>
                <w:tcPr>
                  <w:tcW w:w="1545" w:type="dxa"/>
                  <w:tcBorders>
                    <w:tl2br w:val="nil"/>
                    <w:tr2bl w:val="nil"/>
                  </w:tcBorders>
                  <w:vAlign w:val="center"/>
                </w:tcPr>
                <w:p w14:paraId="1892EB0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SS</w:t>
                  </w:r>
                </w:p>
              </w:tc>
              <w:tc>
                <w:tcPr>
                  <w:tcW w:w="1050" w:type="dxa"/>
                  <w:tcBorders>
                    <w:tl2br w:val="nil"/>
                    <w:tr2bl w:val="nil"/>
                  </w:tcBorders>
                  <w:vAlign w:val="center"/>
                </w:tcPr>
                <w:p w14:paraId="280A5E1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25.2</w:t>
                  </w:r>
                </w:p>
              </w:tc>
              <w:tc>
                <w:tcPr>
                  <w:tcW w:w="1140" w:type="dxa"/>
                  <w:tcBorders>
                    <w:tl2br w:val="nil"/>
                    <w:tr2bl w:val="nil"/>
                  </w:tcBorders>
                  <w:vAlign w:val="center"/>
                </w:tcPr>
                <w:p w14:paraId="3134936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60</w:t>
                  </w:r>
                </w:p>
              </w:tc>
              <w:tc>
                <w:tcPr>
                  <w:tcW w:w="1462" w:type="dxa"/>
                  <w:tcBorders>
                    <w:tl2br w:val="nil"/>
                    <w:tr2bl w:val="nil"/>
                  </w:tcBorders>
                  <w:vAlign w:val="center"/>
                </w:tcPr>
                <w:p w14:paraId="154E052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7.8</w:t>
                  </w:r>
                </w:p>
              </w:tc>
              <w:tc>
                <w:tcPr>
                  <w:tcW w:w="1463" w:type="dxa"/>
                  <w:tcBorders>
                    <w:tl2br w:val="nil"/>
                    <w:tr2bl w:val="nil"/>
                  </w:tcBorders>
                  <w:vAlign w:val="center"/>
                </w:tcPr>
                <w:p w14:paraId="208D058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60</w:t>
                  </w:r>
                </w:p>
              </w:tc>
              <w:tc>
                <w:tcPr>
                  <w:tcW w:w="658" w:type="dxa"/>
                  <w:tcBorders>
                    <w:tl2br w:val="nil"/>
                    <w:tr2bl w:val="nil"/>
                  </w:tcBorders>
                  <w:vAlign w:val="center"/>
                </w:tcPr>
                <w:p w14:paraId="74DFA35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达标</w:t>
                  </w:r>
                </w:p>
              </w:tc>
            </w:tr>
            <w:tr w14:paraId="69DE864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3" w:type="dxa"/>
                  <w:vMerge w:val="continue"/>
                  <w:tcBorders>
                    <w:tl2br w:val="nil"/>
                    <w:tr2bl w:val="nil"/>
                  </w:tcBorders>
                  <w:vAlign w:val="center"/>
                </w:tcPr>
                <w:p w14:paraId="645359A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p>
              </w:tc>
              <w:tc>
                <w:tcPr>
                  <w:tcW w:w="540" w:type="dxa"/>
                  <w:tcBorders>
                    <w:tl2br w:val="nil"/>
                    <w:tr2bl w:val="nil"/>
                  </w:tcBorders>
                  <w:vAlign w:val="center"/>
                </w:tcPr>
                <w:p w14:paraId="7048010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5</w:t>
                  </w:r>
                </w:p>
              </w:tc>
              <w:tc>
                <w:tcPr>
                  <w:tcW w:w="1545" w:type="dxa"/>
                  <w:tcBorders>
                    <w:tl2br w:val="nil"/>
                    <w:tr2bl w:val="nil"/>
                  </w:tcBorders>
                  <w:vAlign w:val="center"/>
                </w:tcPr>
                <w:p w14:paraId="445BBD0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NH</w:t>
                  </w:r>
                  <w:r>
                    <w:rPr>
                      <w:rFonts w:hint="eastAsia"/>
                      <w:b w:val="0"/>
                      <w:bCs w:val="0"/>
                      <w:color w:val="auto"/>
                      <w:spacing w:val="0"/>
                      <w:sz w:val="21"/>
                      <w:szCs w:val="21"/>
                      <w:highlight w:val="none"/>
                      <w:vertAlign w:val="subscript"/>
                      <w:lang w:val="en-US" w:eastAsia="zh-CN"/>
                    </w:rPr>
                    <w:t>3</w:t>
                  </w:r>
                  <w:r>
                    <w:rPr>
                      <w:rFonts w:hint="eastAsia"/>
                      <w:b w:val="0"/>
                      <w:bCs w:val="0"/>
                      <w:color w:val="auto"/>
                      <w:spacing w:val="0"/>
                      <w:sz w:val="21"/>
                      <w:szCs w:val="21"/>
                      <w:highlight w:val="none"/>
                      <w:vertAlign w:val="baseline"/>
                      <w:lang w:val="en-US" w:eastAsia="zh-CN"/>
                    </w:rPr>
                    <w:t>-N</w:t>
                  </w:r>
                </w:p>
              </w:tc>
              <w:tc>
                <w:tcPr>
                  <w:tcW w:w="1050" w:type="dxa"/>
                  <w:tcBorders>
                    <w:tl2br w:val="nil"/>
                    <w:tr2bl w:val="nil"/>
                  </w:tcBorders>
                  <w:vAlign w:val="center"/>
                </w:tcPr>
                <w:p w14:paraId="025ED40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42.2</w:t>
                  </w:r>
                </w:p>
              </w:tc>
              <w:tc>
                <w:tcPr>
                  <w:tcW w:w="1140" w:type="dxa"/>
                  <w:tcBorders>
                    <w:tl2br w:val="nil"/>
                    <w:tr2bl w:val="nil"/>
                  </w:tcBorders>
                  <w:vAlign w:val="center"/>
                </w:tcPr>
                <w:p w14:paraId="0A17C4E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45</w:t>
                  </w:r>
                </w:p>
              </w:tc>
              <w:tc>
                <w:tcPr>
                  <w:tcW w:w="1462" w:type="dxa"/>
                  <w:tcBorders>
                    <w:tl2br w:val="nil"/>
                    <w:tr2bl w:val="nil"/>
                  </w:tcBorders>
                  <w:vAlign w:val="center"/>
                </w:tcPr>
                <w:p w14:paraId="5C05FB8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w:t>
                  </w:r>
                </w:p>
              </w:tc>
              <w:tc>
                <w:tcPr>
                  <w:tcW w:w="1463" w:type="dxa"/>
                  <w:tcBorders>
                    <w:tl2br w:val="nil"/>
                    <w:tr2bl w:val="nil"/>
                  </w:tcBorders>
                  <w:vAlign w:val="center"/>
                </w:tcPr>
                <w:p w14:paraId="7171847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w:t>
                  </w:r>
                </w:p>
              </w:tc>
              <w:tc>
                <w:tcPr>
                  <w:tcW w:w="658" w:type="dxa"/>
                  <w:tcBorders>
                    <w:tl2br w:val="nil"/>
                    <w:tr2bl w:val="nil"/>
                  </w:tcBorders>
                  <w:vAlign w:val="center"/>
                </w:tcPr>
                <w:p w14:paraId="4386CA9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达标</w:t>
                  </w:r>
                </w:p>
              </w:tc>
            </w:tr>
            <w:tr w14:paraId="0A62F4D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3" w:type="dxa"/>
                  <w:vMerge w:val="continue"/>
                  <w:tcBorders>
                    <w:tl2br w:val="nil"/>
                    <w:tr2bl w:val="nil"/>
                  </w:tcBorders>
                  <w:vAlign w:val="center"/>
                </w:tcPr>
                <w:p w14:paraId="53D8F2A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p>
              </w:tc>
              <w:tc>
                <w:tcPr>
                  <w:tcW w:w="540" w:type="dxa"/>
                  <w:tcBorders>
                    <w:tl2br w:val="nil"/>
                    <w:tr2bl w:val="nil"/>
                  </w:tcBorders>
                  <w:vAlign w:val="center"/>
                </w:tcPr>
                <w:p w14:paraId="5A504FA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6</w:t>
                  </w:r>
                </w:p>
              </w:tc>
              <w:tc>
                <w:tcPr>
                  <w:tcW w:w="1545" w:type="dxa"/>
                  <w:tcBorders>
                    <w:tl2br w:val="nil"/>
                    <w:tr2bl w:val="nil"/>
                  </w:tcBorders>
                  <w:vAlign w:val="center"/>
                </w:tcPr>
                <w:p w14:paraId="6DBA3EA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粪大肠菌群数</w:t>
                  </w:r>
                </w:p>
              </w:tc>
              <w:tc>
                <w:tcPr>
                  <w:tcW w:w="1050" w:type="dxa"/>
                  <w:tcBorders>
                    <w:tl2br w:val="nil"/>
                    <w:tr2bl w:val="nil"/>
                  </w:tcBorders>
                  <w:vAlign w:val="center"/>
                </w:tcPr>
                <w:p w14:paraId="59C6D05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3000</w:t>
                  </w:r>
                </w:p>
                <w:p w14:paraId="453A450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MPN/L</w:t>
                  </w:r>
                </w:p>
              </w:tc>
              <w:tc>
                <w:tcPr>
                  <w:tcW w:w="1140" w:type="dxa"/>
                  <w:tcBorders>
                    <w:tl2br w:val="nil"/>
                    <w:tr2bl w:val="nil"/>
                  </w:tcBorders>
                  <w:vAlign w:val="center"/>
                </w:tcPr>
                <w:p w14:paraId="5781438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5000</w:t>
                  </w:r>
                </w:p>
                <w:p w14:paraId="6A194EB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MPN/L</w:t>
                  </w:r>
                </w:p>
              </w:tc>
              <w:tc>
                <w:tcPr>
                  <w:tcW w:w="1462" w:type="dxa"/>
                  <w:tcBorders>
                    <w:tl2br w:val="nil"/>
                    <w:tr2bl w:val="nil"/>
                  </w:tcBorders>
                  <w:vAlign w:val="center"/>
                </w:tcPr>
                <w:p w14:paraId="7A097A5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w:t>
                  </w:r>
                </w:p>
              </w:tc>
              <w:tc>
                <w:tcPr>
                  <w:tcW w:w="1463" w:type="dxa"/>
                  <w:tcBorders>
                    <w:tl2br w:val="nil"/>
                    <w:tr2bl w:val="nil"/>
                  </w:tcBorders>
                  <w:vAlign w:val="center"/>
                </w:tcPr>
                <w:p w14:paraId="086A106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w:t>
                  </w:r>
                </w:p>
              </w:tc>
              <w:tc>
                <w:tcPr>
                  <w:tcW w:w="658" w:type="dxa"/>
                  <w:tcBorders>
                    <w:tl2br w:val="nil"/>
                    <w:tr2bl w:val="nil"/>
                  </w:tcBorders>
                  <w:vAlign w:val="center"/>
                </w:tcPr>
                <w:p w14:paraId="57F75BE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达标</w:t>
                  </w:r>
                </w:p>
              </w:tc>
            </w:tr>
            <w:tr w14:paraId="351D628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3" w:type="dxa"/>
                  <w:vMerge w:val="continue"/>
                  <w:tcBorders>
                    <w:tl2br w:val="nil"/>
                    <w:tr2bl w:val="nil"/>
                  </w:tcBorders>
                  <w:vAlign w:val="center"/>
                </w:tcPr>
                <w:p w14:paraId="556BE88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p>
              </w:tc>
              <w:tc>
                <w:tcPr>
                  <w:tcW w:w="540" w:type="dxa"/>
                  <w:tcBorders>
                    <w:tl2br w:val="nil"/>
                    <w:tr2bl w:val="nil"/>
                  </w:tcBorders>
                  <w:vAlign w:val="center"/>
                </w:tcPr>
                <w:p w14:paraId="7BA8950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7</w:t>
                  </w:r>
                </w:p>
              </w:tc>
              <w:tc>
                <w:tcPr>
                  <w:tcW w:w="1545" w:type="dxa"/>
                  <w:tcBorders>
                    <w:tl2br w:val="nil"/>
                    <w:tr2bl w:val="nil"/>
                  </w:tcBorders>
                  <w:vAlign w:val="center"/>
                </w:tcPr>
                <w:p w14:paraId="74FD10F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总余氯</w:t>
                  </w:r>
                </w:p>
              </w:tc>
              <w:tc>
                <w:tcPr>
                  <w:tcW w:w="1050" w:type="dxa"/>
                  <w:tcBorders>
                    <w:tl2br w:val="nil"/>
                    <w:tr2bl w:val="nil"/>
                  </w:tcBorders>
                  <w:vAlign w:val="center"/>
                </w:tcPr>
                <w:p w14:paraId="193C1B1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8</w:t>
                  </w:r>
                </w:p>
              </w:tc>
              <w:tc>
                <w:tcPr>
                  <w:tcW w:w="1140" w:type="dxa"/>
                  <w:tcBorders>
                    <w:tl2br w:val="nil"/>
                    <w:tr2bl w:val="nil"/>
                  </w:tcBorders>
                  <w:vAlign w:val="center"/>
                </w:tcPr>
                <w:p w14:paraId="579F558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2-8</w:t>
                  </w:r>
                </w:p>
              </w:tc>
              <w:tc>
                <w:tcPr>
                  <w:tcW w:w="1462" w:type="dxa"/>
                  <w:tcBorders>
                    <w:tl2br w:val="nil"/>
                    <w:tr2bl w:val="nil"/>
                  </w:tcBorders>
                  <w:vAlign w:val="center"/>
                </w:tcPr>
                <w:p w14:paraId="3F2F968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w:t>
                  </w:r>
                </w:p>
              </w:tc>
              <w:tc>
                <w:tcPr>
                  <w:tcW w:w="1463" w:type="dxa"/>
                  <w:tcBorders>
                    <w:tl2br w:val="nil"/>
                    <w:tr2bl w:val="nil"/>
                  </w:tcBorders>
                  <w:vAlign w:val="center"/>
                </w:tcPr>
                <w:p w14:paraId="2E93700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w:t>
                  </w:r>
                </w:p>
              </w:tc>
              <w:tc>
                <w:tcPr>
                  <w:tcW w:w="658" w:type="dxa"/>
                  <w:tcBorders>
                    <w:tl2br w:val="nil"/>
                    <w:tr2bl w:val="nil"/>
                  </w:tcBorders>
                  <w:vAlign w:val="center"/>
                </w:tcPr>
                <w:p w14:paraId="76B5D23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达标</w:t>
                  </w:r>
                </w:p>
              </w:tc>
            </w:tr>
          </w:tbl>
          <w:p w14:paraId="094211B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0"/>
                <w:sz w:val="24"/>
                <w:highlight w:val="none"/>
                <w:lang w:val="en-US" w:eastAsia="zh-CN"/>
              </w:rPr>
            </w:pPr>
            <w:r>
              <w:rPr>
                <w:rFonts w:hint="default"/>
                <w:b w:val="0"/>
                <w:bCs w:val="0"/>
                <w:color w:val="auto"/>
                <w:spacing w:val="0"/>
                <w:sz w:val="24"/>
                <w:highlight w:val="none"/>
                <w:lang w:val="en-US" w:eastAsia="zh-CN"/>
              </w:rPr>
              <w:t>根据上表数据分析，医疗污水中主要水污染物pH、COD</w:t>
            </w:r>
            <w:r>
              <w:rPr>
                <w:rFonts w:hint="eastAsia"/>
                <w:b w:val="0"/>
                <w:bCs w:val="0"/>
                <w:color w:val="auto"/>
                <w:spacing w:val="0"/>
                <w:sz w:val="24"/>
                <w:highlight w:val="none"/>
                <w:lang w:val="en-US" w:eastAsia="zh-CN"/>
              </w:rPr>
              <w:t>cr</w:t>
            </w:r>
            <w:r>
              <w:rPr>
                <w:rFonts w:hint="default"/>
                <w:b w:val="0"/>
                <w:bCs w:val="0"/>
                <w:color w:val="auto"/>
                <w:spacing w:val="0"/>
                <w:sz w:val="24"/>
                <w:highlight w:val="none"/>
                <w:lang w:val="en-US" w:eastAsia="zh-CN"/>
              </w:rPr>
              <w:t>、BOD</w:t>
            </w:r>
            <w:r>
              <w:rPr>
                <w:rFonts w:hint="default"/>
                <w:b w:val="0"/>
                <w:bCs w:val="0"/>
                <w:color w:val="auto"/>
                <w:spacing w:val="0"/>
                <w:sz w:val="24"/>
                <w:highlight w:val="none"/>
                <w:vertAlign w:val="subscript"/>
                <w:lang w:val="en-US" w:eastAsia="zh-CN"/>
              </w:rPr>
              <w:t>5</w:t>
            </w:r>
            <w:r>
              <w:rPr>
                <w:rFonts w:hint="default"/>
                <w:b w:val="0"/>
                <w:bCs w:val="0"/>
                <w:color w:val="auto"/>
                <w:spacing w:val="0"/>
                <w:sz w:val="24"/>
                <w:highlight w:val="none"/>
                <w:lang w:val="en-US" w:eastAsia="zh-CN"/>
              </w:rPr>
              <w:t>、SS、粪大肠菌群数排放浓度符合《医疗机构水污染物排放标准》（GB18466-2005）中表2</w:t>
            </w:r>
            <w:r>
              <w:rPr>
                <w:rFonts w:hint="eastAsia"/>
                <w:b w:val="0"/>
                <w:bCs w:val="0"/>
                <w:color w:val="auto"/>
                <w:spacing w:val="0"/>
                <w:sz w:val="24"/>
                <w:highlight w:val="none"/>
                <w:lang w:val="en-US" w:eastAsia="zh-CN"/>
              </w:rPr>
              <w:t>“</w:t>
            </w:r>
            <w:r>
              <w:rPr>
                <w:rFonts w:hint="default"/>
                <w:b w:val="0"/>
                <w:bCs w:val="0"/>
                <w:color w:val="auto"/>
                <w:spacing w:val="0"/>
                <w:sz w:val="24"/>
                <w:highlight w:val="none"/>
                <w:lang w:val="en-US" w:eastAsia="zh-CN"/>
              </w:rPr>
              <w:t>预处理标准</w:t>
            </w:r>
            <w:r>
              <w:rPr>
                <w:rFonts w:hint="eastAsia"/>
                <w:b w:val="0"/>
                <w:bCs w:val="0"/>
                <w:color w:val="auto"/>
                <w:spacing w:val="0"/>
                <w:sz w:val="24"/>
                <w:highlight w:val="none"/>
                <w:lang w:val="en-US" w:eastAsia="zh-CN"/>
              </w:rPr>
              <w:t>”</w:t>
            </w:r>
            <w:r>
              <w:rPr>
                <w:rFonts w:hint="default"/>
                <w:b w:val="0"/>
                <w:bCs w:val="0"/>
                <w:color w:val="auto"/>
                <w:spacing w:val="0"/>
                <w:sz w:val="24"/>
                <w:highlight w:val="none"/>
                <w:lang w:val="en-US" w:eastAsia="zh-CN"/>
              </w:rPr>
              <w:t>要求</w:t>
            </w:r>
            <w:r>
              <w:rPr>
                <w:rFonts w:hint="eastAsia"/>
                <w:b w:val="0"/>
                <w:bCs w:val="0"/>
                <w:color w:val="auto"/>
                <w:spacing w:val="0"/>
                <w:sz w:val="24"/>
                <w:highlight w:val="none"/>
                <w:lang w:val="en-US" w:eastAsia="zh-CN"/>
              </w:rPr>
              <w:t>，</w:t>
            </w:r>
            <w:r>
              <w:rPr>
                <w:rFonts w:hint="default"/>
                <w:b w:val="0"/>
                <w:bCs w:val="0"/>
                <w:color w:val="auto"/>
                <w:spacing w:val="0"/>
                <w:sz w:val="24"/>
                <w:highlight w:val="none"/>
                <w:lang w:val="en-US" w:eastAsia="zh-CN"/>
              </w:rPr>
              <w:t>氨氮排放浓度符合北京市《水污染物综合排放标准》（DB11/307-2013）中</w:t>
            </w:r>
            <w:r>
              <w:rPr>
                <w:rFonts w:hint="eastAsia"/>
                <w:b w:val="0"/>
                <w:bCs w:val="0"/>
                <w:color w:val="auto"/>
                <w:spacing w:val="0"/>
                <w:sz w:val="24"/>
                <w:highlight w:val="none"/>
                <w:lang w:val="en-US" w:eastAsia="zh-CN"/>
              </w:rPr>
              <w:t>“</w:t>
            </w:r>
            <w:r>
              <w:rPr>
                <w:rFonts w:hint="default"/>
                <w:b w:val="0"/>
                <w:bCs w:val="0"/>
                <w:color w:val="auto"/>
                <w:spacing w:val="0"/>
                <w:sz w:val="24"/>
                <w:highlight w:val="none"/>
                <w:lang w:val="en-US" w:eastAsia="zh-CN"/>
              </w:rPr>
              <w:t>表3排入公共污水处理系统的水污染物限值</w:t>
            </w:r>
            <w:r>
              <w:rPr>
                <w:rFonts w:hint="eastAsia"/>
                <w:b w:val="0"/>
                <w:bCs w:val="0"/>
                <w:color w:val="auto"/>
                <w:spacing w:val="0"/>
                <w:sz w:val="24"/>
                <w:highlight w:val="none"/>
                <w:lang w:val="en-US" w:eastAsia="zh-CN"/>
              </w:rPr>
              <w:t>”</w:t>
            </w:r>
            <w:r>
              <w:rPr>
                <w:rFonts w:hint="default"/>
                <w:b w:val="0"/>
                <w:bCs w:val="0"/>
                <w:color w:val="auto"/>
                <w:spacing w:val="0"/>
                <w:sz w:val="24"/>
                <w:highlight w:val="none"/>
                <w:lang w:val="en-US" w:eastAsia="zh-CN"/>
              </w:rPr>
              <w:t>。COD</w:t>
            </w:r>
            <w:r>
              <w:rPr>
                <w:rFonts w:hint="eastAsia"/>
                <w:b w:val="0"/>
                <w:bCs w:val="0"/>
                <w:color w:val="auto"/>
                <w:spacing w:val="0"/>
                <w:sz w:val="24"/>
                <w:highlight w:val="none"/>
                <w:lang w:val="en-US" w:eastAsia="zh-CN"/>
              </w:rPr>
              <w:t>cr</w:t>
            </w:r>
            <w:r>
              <w:rPr>
                <w:rFonts w:hint="default"/>
                <w:b w:val="0"/>
                <w:bCs w:val="0"/>
                <w:color w:val="auto"/>
                <w:spacing w:val="0"/>
                <w:sz w:val="24"/>
                <w:highlight w:val="none"/>
                <w:lang w:val="en-US" w:eastAsia="zh-CN"/>
              </w:rPr>
              <w:t>、BOD</w:t>
            </w:r>
            <w:r>
              <w:rPr>
                <w:rFonts w:hint="default"/>
                <w:b w:val="0"/>
                <w:bCs w:val="0"/>
                <w:color w:val="auto"/>
                <w:spacing w:val="0"/>
                <w:sz w:val="24"/>
                <w:highlight w:val="none"/>
                <w:vertAlign w:val="subscript"/>
                <w:lang w:val="en-US" w:eastAsia="zh-CN"/>
              </w:rPr>
              <w:t>5</w:t>
            </w:r>
            <w:r>
              <w:rPr>
                <w:rFonts w:hint="default"/>
                <w:b w:val="0"/>
                <w:bCs w:val="0"/>
                <w:color w:val="auto"/>
                <w:spacing w:val="0"/>
                <w:sz w:val="24"/>
                <w:highlight w:val="none"/>
                <w:lang w:val="en-US" w:eastAsia="zh-CN"/>
              </w:rPr>
              <w:t>、SS排放负荷符合《医疗机构水污染物排放标准》（GB18466-2005）中表2</w:t>
            </w:r>
            <w:r>
              <w:rPr>
                <w:rFonts w:hint="eastAsia"/>
                <w:b w:val="0"/>
                <w:bCs w:val="0"/>
                <w:color w:val="auto"/>
                <w:spacing w:val="0"/>
                <w:sz w:val="24"/>
                <w:highlight w:val="none"/>
                <w:lang w:val="en-US" w:eastAsia="zh-CN"/>
              </w:rPr>
              <w:t>“</w:t>
            </w:r>
            <w:r>
              <w:rPr>
                <w:rFonts w:hint="default"/>
                <w:b w:val="0"/>
                <w:bCs w:val="0"/>
                <w:color w:val="auto"/>
                <w:spacing w:val="0"/>
                <w:sz w:val="24"/>
                <w:highlight w:val="none"/>
                <w:lang w:val="en-US" w:eastAsia="zh-CN"/>
              </w:rPr>
              <w:t>预处理标准</w:t>
            </w:r>
            <w:r>
              <w:rPr>
                <w:rFonts w:hint="eastAsia"/>
                <w:b w:val="0"/>
                <w:bCs w:val="0"/>
                <w:color w:val="auto"/>
                <w:spacing w:val="0"/>
                <w:sz w:val="24"/>
                <w:highlight w:val="none"/>
                <w:lang w:val="en-US" w:eastAsia="zh-CN"/>
              </w:rPr>
              <w:t>”</w:t>
            </w:r>
            <w:r>
              <w:rPr>
                <w:rFonts w:hint="default"/>
                <w:b w:val="0"/>
                <w:bCs w:val="0"/>
                <w:color w:val="auto"/>
                <w:spacing w:val="0"/>
                <w:sz w:val="24"/>
                <w:highlight w:val="none"/>
                <w:lang w:val="en-US" w:eastAsia="zh-CN"/>
              </w:rPr>
              <w:t>要求。</w:t>
            </w:r>
          </w:p>
          <w:p w14:paraId="7B13C72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0"/>
                <w:sz w:val="24"/>
                <w:highlight w:val="none"/>
                <w:lang w:val="en-US" w:eastAsia="zh-CN"/>
              </w:rPr>
            </w:pPr>
            <w:r>
              <w:rPr>
                <w:rFonts w:hint="eastAsia"/>
                <w:b w:val="0"/>
                <w:bCs w:val="0"/>
                <w:color w:val="auto"/>
                <w:spacing w:val="0"/>
                <w:sz w:val="24"/>
                <w:highlight w:val="none"/>
                <w:lang w:val="en-US" w:eastAsia="zh-CN"/>
              </w:rPr>
              <w:t>（4）污水处理设施可行性分析</w:t>
            </w:r>
          </w:p>
          <w:p w14:paraId="38F4796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0"/>
                <w:sz w:val="24"/>
                <w:highlight w:val="none"/>
                <w:lang w:val="en-US" w:eastAsia="zh-CN"/>
              </w:rPr>
            </w:pPr>
            <w:r>
              <w:rPr>
                <w:rFonts w:hint="eastAsia"/>
                <w:b w:val="0"/>
                <w:bCs w:val="0"/>
                <w:color w:val="auto"/>
                <w:spacing w:val="0"/>
                <w:sz w:val="24"/>
                <w:highlight w:val="none"/>
                <w:lang w:val="en-US" w:eastAsia="zh-CN"/>
              </w:rPr>
              <w:t>①污水处理工艺</w:t>
            </w:r>
          </w:p>
          <w:p w14:paraId="1A317B1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0"/>
                <w:sz w:val="24"/>
                <w:highlight w:val="none"/>
                <w:lang w:val="en-US" w:eastAsia="zh-CN"/>
              </w:rPr>
            </w:pPr>
            <w:r>
              <w:rPr>
                <w:rFonts w:hint="eastAsia"/>
                <w:b w:val="0"/>
                <w:bCs w:val="0"/>
                <w:color w:val="auto"/>
                <w:spacing w:val="0"/>
                <w:sz w:val="24"/>
                <w:highlight w:val="none"/>
                <w:lang w:val="en-US" w:eastAsia="zh-CN"/>
              </w:rPr>
              <w:t>本项目污水处理工艺为“独立化粪池+格栅过滤+调节池+絮凝沉淀+消毒”，废水全部排入化粪池，再进入自建污水处理设施进行处理，项目排水量为6.18m</w:t>
            </w:r>
            <w:r>
              <w:rPr>
                <w:rFonts w:hint="eastAsia"/>
                <w:b w:val="0"/>
                <w:bCs w:val="0"/>
                <w:color w:val="auto"/>
                <w:spacing w:val="0"/>
                <w:sz w:val="24"/>
                <w:highlight w:val="none"/>
                <w:vertAlign w:val="superscript"/>
                <w:lang w:val="en-US" w:eastAsia="zh-CN"/>
              </w:rPr>
              <w:t>3</w:t>
            </w:r>
            <w:r>
              <w:rPr>
                <w:rFonts w:hint="eastAsia"/>
                <w:b w:val="0"/>
                <w:bCs w:val="0"/>
                <w:color w:val="auto"/>
                <w:spacing w:val="0"/>
                <w:sz w:val="24"/>
                <w:highlight w:val="none"/>
                <w:lang w:val="en-US" w:eastAsia="zh-CN"/>
              </w:rPr>
              <w:t>/d，新建化粪池有效容积为7m</w:t>
            </w:r>
            <w:r>
              <w:rPr>
                <w:rFonts w:hint="eastAsia"/>
                <w:b w:val="0"/>
                <w:bCs w:val="0"/>
                <w:color w:val="auto"/>
                <w:spacing w:val="0"/>
                <w:sz w:val="24"/>
                <w:highlight w:val="none"/>
                <w:vertAlign w:val="superscript"/>
                <w:lang w:val="en-US" w:eastAsia="zh-CN"/>
              </w:rPr>
              <w:t>3</w:t>
            </w:r>
            <w:r>
              <w:rPr>
                <w:rFonts w:hint="eastAsia"/>
                <w:b w:val="0"/>
                <w:bCs w:val="0"/>
                <w:color w:val="auto"/>
                <w:spacing w:val="0"/>
                <w:sz w:val="24"/>
                <w:highlight w:val="none"/>
                <w:lang w:val="en-US" w:eastAsia="zh-CN"/>
              </w:rPr>
              <w:t>，根据《医疗机构污水处理工程技术标准》（GB51459-2024）中要求：“非传染病医疗机构污水化粪池停留时间宜为12h~24h，清掏周期宜为90d~180d。”本项目为中医院，化粪池满足医疗机构污水停留时间；污水处理设施设计日处理量7m3/d，污水处理设施设计处理能力符合《医院污水处理工程技术规范》（HJ2029-2013）中“医院污水处理工程设计水量应在实测或测算的基础上留有设计余量”的要求。</w:t>
            </w:r>
          </w:p>
          <w:p w14:paraId="595383F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0"/>
                <w:sz w:val="24"/>
                <w:highlight w:val="none"/>
                <w:lang w:val="en-US" w:eastAsia="zh-CN"/>
              </w:rPr>
            </w:pPr>
            <w:r>
              <w:rPr>
                <w:rFonts w:hint="eastAsia"/>
                <w:b w:val="0"/>
                <w:bCs w:val="0"/>
                <w:color w:val="auto"/>
                <w:spacing w:val="0"/>
                <w:sz w:val="24"/>
                <w:highlight w:val="none"/>
                <w:lang w:val="en-US" w:eastAsia="zh-CN"/>
              </w:rPr>
              <w:t>工艺流程见下图。</w:t>
            </w:r>
          </w:p>
          <w:p w14:paraId="6D43FBD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b w:val="0"/>
                <w:bCs w:val="0"/>
                <w:color w:val="auto"/>
                <w:spacing w:val="0"/>
                <w:sz w:val="24"/>
                <w:highlight w:val="none"/>
                <w:lang w:val="en-US" w:eastAsia="zh-CN"/>
              </w:rPr>
            </w:pPr>
            <w:r>
              <w:rPr>
                <w:rFonts w:hint="default"/>
              </w:rPr>
              <w:drawing>
                <wp:inline distT="0" distB="0" distL="114300" distR="114300">
                  <wp:extent cx="5395595" cy="949325"/>
                  <wp:effectExtent l="0" t="0" r="0" b="0"/>
                  <wp:docPr id="1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3"/>
                          <pic:cNvPicPr>
                            <a:picLocks noChangeAspect="1"/>
                          </pic:cNvPicPr>
                        </pic:nvPicPr>
                        <pic:blipFill>
                          <a:blip r:embed="rId23"/>
                          <a:stretch>
                            <a:fillRect/>
                          </a:stretch>
                        </pic:blipFill>
                        <pic:spPr>
                          <a:xfrm>
                            <a:off x="0" y="0"/>
                            <a:ext cx="5395595" cy="949325"/>
                          </a:xfrm>
                          <a:prstGeom prst="rect">
                            <a:avLst/>
                          </a:prstGeom>
                          <a:noFill/>
                          <a:ln>
                            <a:noFill/>
                          </a:ln>
                        </pic:spPr>
                      </pic:pic>
                    </a:graphicData>
                  </a:graphic>
                </wp:inline>
              </w:drawing>
            </w:r>
          </w:p>
          <w:p w14:paraId="4CD33DF4">
            <w:pPr>
              <w:pStyle w:val="31"/>
              <w:keepNext w:val="0"/>
              <w:keepLines w:val="0"/>
              <w:suppressLineNumbers w:val="0"/>
              <w:bidi w:val="0"/>
              <w:spacing w:before="0" w:beforeAutospacing="0" w:after="0" w:afterAutospacing="0"/>
              <w:ind w:left="0" w:right="0"/>
              <w:rPr>
                <w:rFonts w:hint="default"/>
                <w:lang w:val="en-US" w:eastAsia="zh-CN"/>
              </w:rPr>
            </w:pPr>
            <w:r>
              <w:rPr>
                <w:rFonts w:hint="eastAsia"/>
                <w:lang w:val="en-US" w:eastAsia="zh-CN"/>
              </w:rPr>
              <w:t>图4-1 污水处理工艺流程图</w:t>
            </w:r>
          </w:p>
          <w:p w14:paraId="72743D5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0"/>
                <w:sz w:val="24"/>
                <w:highlight w:val="none"/>
                <w:lang w:val="en-US" w:eastAsia="zh-CN"/>
              </w:rPr>
            </w:pPr>
            <w:r>
              <w:rPr>
                <w:rFonts w:hint="eastAsia"/>
                <w:b w:val="0"/>
                <w:bCs w:val="0"/>
                <w:color w:val="auto"/>
                <w:spacing w:val="0"/>
                <w:sz w:val="24"/>
                <w:highlight w:val="none"/>
                <w:lang w:val="en-US" w:eastAsia="zh-CN"/>
              </w:rPr>
              <w:t>②技术可行性分析</w:t>
            </w:r>
          </w:p>
          <w:p w14:paraId="3D360C1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0"/>
                <w:sz w:val="24"/>
                <w:highlight w:val="none"/>
                <w:lang w:val="en-US" w:eastAsia="zh-CN"/>
              </w:rPr>
            </w:pPr>
            <w:r>
              <w:rPr>
                <w:rFonts w:hint="eastAsia"/>
                <w:b w:val="0"/>
                <w:bCs w:val="0"/>
                <w:color w:val="auto"/>
                <w:spacing w:val="0"/>
                <w:sz w:val="24"/>
                <w:highlight w:val="none"/>
                <w:lang w:val="en-US" w:eastAsia="zh-CN"/>
              </w:rPr>
              <w:t>本项目医疗污水经独立化粪池+格栅去除大的漂浮物后，进入调节池进行均质，然后经泵打入絮凝池，加入聚合氯化铝（PAC）絮凝后进入沉淀池进行沉淀分离，由有资质单位进行清运。絮凝池上清液进入清水池，经次氯酸钠消毒后排出通过市政管网排至清河再生水厂。</w:t>
            </w:r>
          </w:p>
          <w:p w14:paraId="60A79CD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0"/>
                <w:sz w:val="24"/>
                <w:highlight w:val="none"/>
                <w:lang w:val="en-US" w:eastAsia="zh-CN"/>
              </w:rPr>
            </w:pPr>
            <w:r>
              <w:rPr>
                <w:rFonts w:hint="eastAsia"/>
                <w:b w:val="0"/>
                <w:bCs w:val="0"/>
                <w:color w:val="auto"/>
                <w:spacing w:val="0"/>
                <w:sz w:val="24"/>
                <w:highlight w:val="none"/>
                <w:lang w:val="en-US" w:eastAsia="zh-CN"/>
              </w:rPr>
              <w:t>根据《排污许可证申请与核发技术规范 医疗机构》中废气废水治理可行技术参考表中的“表A.2医疗机构排污单位污水治理可行技术参照表”，本项目采用的污水处理工艺属于“一级强化处理+消毒工艺”，为可行技术。</w:t>
            </w:r>
          </w:p>
          <w:p w14:paraId="59F6E69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0"/>
                <w:sz w:val="24"/>
                <w:highlight w:val="none"/>
                <w:lang w:val="en-US" w:eastAsia="zh-CN"/>
              </w:rPr>
            </w:pPr>
            <w:r>
              <w:rPr>
                <w:rFonts w:hint="eastAsia"/>
                <w:b w:val="0"/>
                <w:bCs w:val="0"/>
                <w:color w:val="auto"/>
                <w:spacing w:val="0"/>
                <w:sz w:val="24"/>
                <w:highlight w:val="none"/>
                <w:lang w:val="en-US" w:eastAsia="zh-CN"/>
              </w:rPr>
              <w:t>（5）废水排放口基本信息表</w:t>
            </w:r>
          </w:p>
          <w:p w14:paraId="4417A8A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0"/>
                <w:sz w:val="24"/>
                <w:highlight w:val="none"/>
                <w:lang w:val="en-US" w:eastAsia="zh-CN"/>
              </w:rPr>
            </w:pPr>
            <w:r>
              <w:rPr>
                <w:rFonts w:hint="eastAsia"/>
                <w:b w:val="0"/>
                <w:bCs w:val="0"/>
                <w:color w:val="auto"/>
                <w:spacing w:val="0"/>
                <w:sz w:val="24"/>
                <w:highlight w:val="none"/>
                <w:lang w:val="en-US" w:eastAsia="zh-CN"/>
              </w:rPr>
              <w:t>本项目废水类别、污染物及污染治理设施信息详见下表。</w:t>
            </w:r>
          </w:p>
          <w:p w14:paraId="133C6D9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b w:val="0"/>
                <w:bCs w:val="0"/>
                <w:color w:val="auto"/>
                <w:spacing w:val="0"/>
                <w:sz w:val="24"/>
                <w:highlight w:val="none"/>
                <w:lang w:val="en-US" w:eastAsia="zh-CN"/>
              </w:rPr>
            </w:pPr>
            <w:r>
              <w:rPr>
                <w:rFonts w:hint="eastAsia"/>
                <w:b/>
                <w:bCs/>
                <w:color w:val="auto"/>
                <w:spacing w:val="0"/>
                <w:sz w:val="21"/>
                <w:szCs w:val="21"/>
                <w:highlight w:val="none"/>
                <w:lang w:val="en-US" w:eastAsia="zh-CN"/>
              </w:rPr>
              <w:t>表4-7 项目废水类别、污染物及污染治理设施信息表</w:t>
            </w:r>
          </w:p>
          <w:tbl>
            <w:tblPr>
              <w:tblStyle w:val="13"/>
              <w:tblW w:w="5000" w:type="pct"/>
              <w:jc w:val="center"/>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32"/>
              <w:gridCol w:w="671"/>
              <w:gridCol w:w="858"/>
              <w:gridCol w:w="858"/>
              <w:gridCol w:w="976"/>
              <w:gridCol w:w="624"/>
              <w:gridCol w:w="889"/>
              <w:gridCol w:w="614"/>
              <w:gridCol w:w="590"/>
              <w:gridCol w:w="697"/>
              <w:gridCol w:w="1305"/>
            </w:tblGrid>
            <w:tr w14:paraId="69ABC8BF">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5" w:type="dxa"/>
                  <w:vMerge w:val="restart"/>
                  <w:tcBorders>
                    <w:tl2br w:val="nil"/>
                    <w:tr2bl w:val="nil"/>
                  </w:tcBorders>
                  <w:vAlign w:val="center"/>
                </w:tcPr>
                <w:p w14:paraId="773D036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序号</w:t>
                  </w:r>
                </w:p>
              </w:tc>
              <w:tc>
                <w:tcPr>
                  <w:tcW w:w="678" w:type="dxa"/>
                  <w:vMerge w:val="restart"/>
                  <w:tcBorders>
                    <w:tl2br w:val="nil"/>
                    <w:tr2bl w:val="nil"/>
                  </w:tcBorders>
                  <w:vAlign w:val="center"/>
                </w:tcPr>
                <w:p w14:paraId="43E9F7A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废水类别</w:t>
                  </w:r>
                </w:p>
              </w:tc>
              <w:tc>
                <w:tcPr>
                  <w:tcW w:w="868" w:type="dxa"/>
                  <w:vMerge w:val="restart"/>
                  <w:tcBorders>
                    <w:tl2br w:val="nil"/>
                    <w:tr2bl w:val="nil"/>
                  </w:tcBorders>
                  <w:vAlign w:val="center"/>
                </w:tcPr>
                <w:p w14:paraId="54C1227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污染物种类</w:t>
                  </w:r>
                </w:p>
              </w:tc>
              <w:tc>
                <w:tcPr>
                  <w:tcW w:w="868" w:type="dxa"/>
                  <w:vMerge w:val="restart"/>
                  <w:tcBorders>
                    <w:tl2br w:val="nil"/>
                    <w:tr2bl w:val="nil"/>
                  </w:tcBorders>
                  <w:vAlign w:val="center"/>
                </w:tcPr>
                <w:p w14:paraId="574DBA3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排放去向</w:t>
                  </w:r>
                </w:p>
              </w:tc>
              <w:tc>
                <w:tcPr>
                  <w:tcW w:w="988" w:type="dxa"/>
                  <w:vMerge w:val="restart"/>
                  <w:tcBorders>
                    <w:tl2br w:val="nil"/>
                    <w:tr2bl w:val="nil"/>
                  </w:tcBorders>
                  <w:vAlign w:val="center"/>
                </w:tcPr>
                <w:p w14:paraId="7ED101D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排放规律</w:t>
                  </w:r>
                </w:p>
              </w:tc>
              <w:tc>
                <w:tcPr>
                  <w:tcW w:w="2149" w:type="dxa"/>
                  <w:gridSpan w:val="3"/>
                  <w:tcBorders>
                    <w:tl2br w:val="nil"/>
                    <w:tr2bl w:val="nil"/>
                  </w:tcBorders>
                  <w:vAlign w:val="center"/>
                </w:tcPr>
                <w:p w14:paraId="19AC363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污染治理设施</w:t>
                  </w:r>
                </w:p>
              </w:tc>
              <w:tc>
                <w:tcPr>
                  <w:tcW w:w="596" w:type="dxa"/>
                  <w:vMerge w:val="restart"/>
                  <w:tcBorders>
                    <w:tl2br w:val="nil"/>
                    <w:tr2bl w:val="nil"/>
                  </w:tcBorders>
                  <w:vAlign w:val="center"/>
                </w:tcPr>
                <w:p w14:paraId="71B134B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排放口编号</w:t>
                  </w:r>
                </w:p>
              </w:tc>
              <w:tc>
                <w:tcPr>
                  <w:tcW w:w="705" w:type="dxa"/>
                  <w:vMerge w:val="restart"/>
                  <w:tcBorders>
                    <w:tl2br w:val="nil"/>
                    <w:tr2bl w:val="nil"/>
                  </w:tcBorders>
                  <w:vAlign w:val="center"/>
                </w:tcPr>
                <w:p w14:paraId="16E0402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排放口设置是否符合要求</w:t>
                  </w:r>
                </w:p>
              </w:tc>
              <w:tc>
                <w:tcPr>
                  <w:tcW w:w="1323" w:type="dxa"/>
                  <w:vMerge w:val="restart"/>
                  <w:tcBorders>
                    <w:tl2br w:val="nil"/>
                    <w:tr2bl w:val="nil"/>
                  </w:tcBorders>
                  <w:vAlign w:val="center"/>
                </w:tcPr>
                <w:p w14:paraId="4E4A6C0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排放口类型</w:t>
                  </w:r>
                </w:p>
              </w:tc>
            </w:tr>
            <w:tr w14:paraId="1CC98911">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5" w:type="dxa"/>
                  <w:vMerge w:val="continue"/>
                  <w:tcBorders>
                    <w:tl2br w:val="nil"/>
                    <w:tr2bl w:val="nil"/>
                  </w:tcBorders>
                  <w:vAlign w:val="center"/>
                </w:tcPr>
                <w:p w14:paraId="305EC82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s="Times New Roman"/>
                      <w:color w:val="auto"/>
                      <w:sz w:val="18"/>
                      <w:szCs w:val="18"/>
                      <w:highlight w:val="none"/>
                      <w:vertAlign w:val="baseline"/>
                      <w:lang w:val="en-US" w:eastAsia="zh-CN"/>
                    </w:rPr>
                  </w:pPr>
                </w:p>
              </w:tc>
              <w:tc>
                <w:tcPr>
                  <w:tcW w:w="678" w:type="dxa"/>
                  <w:vMerge w:val="continue"/>
                  <w:tcBorders>
                    <w:tl2br w:val="nil"/>
                    <w:tr2bl w:val="nil"/>
                  </w:tcBorders>
                  <w:vAlign w:val="center"/>
                </w:tcPr>
                <w:p w14:paraId="699CB2C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s="Times New Roman"/>
                      <w:color w:val="auto"/>
                      <w:sz w:val="18"/>
                      <w:szCs w:val="18"/>
                      <w:highlight w:val="none"/>
                      <w:vertAlign w:val="baseline"/>
                      <w:lang w:val="en-US" w:eastAsia="zh-CN"/>
                    </w:rPr>
                  </w:pPr>
                </w:p>
              </w:tc>
              <w:tc>
                <w:tcPr>
                  <w:tcW w:w="868" w:type="dxa"/>
                  <w:vMerge w:val="continue"/>
                  <w:tcBorders>
                    <w:tl2br w:val="nil"/>
                    <w:tr2bl w:val="nil"/>
                  </w:tcBorders>
                  <w:vAlign w:val="center"/>
                </w:tcPr>
                <w:p w14:paraId="02CE2AA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s="Times New Roman"/>
                      <w:color w:val="auto"/>
                      <w:sz w:val="18"/>
                      <w:szCs w:val="18"/>
                      <w:highlight w:val="none"/>
                      <w:vertAlign w:val="baseline"/>
                      <w:lang w:val="en-US" w:eastAsia="zh-CN"/>
                    </w:rPr>
                  </w:pPr>
                </w:p>
              </w:tc>
              <w:tc>
                <w:tcPr>
                  <w:tcW w:w="868" w:type="dxa"/>
                  <w:vMerge w:val="continue"/>
                  <w:tcBorders>
                    <w:tl2br w:val="nil"/>
                    <w:tr2bl w:val="nil"/>
                  </w:tcBorders>
                  <w:vAlign w:val="center"/>
                </w:tcPr>
                <w:p w14:paraId="6E4FFAF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s="Times New Roman"/>
                      <w:color w:val="auto"/>
                      <w:sz w:val="18"/>
                      <w:szCs w:val="18"/>
                      <w:highlight w:val="none"/>
                      <w:vertAlign w:val="baseline"/>
                      <w:lang w:val="en-US" w:eastAsia="zh-CN"/>
                    </w:rPr>
                  </w:pPr>
                </w:p>
              </w:tc>
              <w:tc>
                <w:tcPr>
                  <w:tcW w:w="988" w:type="dxa"/>
                  <w:vMerge w:val="continue"/>
                  <w:tcBorders>
                    <w:tl2br w:val="nil"/>
                    <w:tr2bl w:val="nil"/>
                  </w:tcBorders>
                  <w:vAlign w:val="center"/>
                </w:tcPr>
                <w:p w14:paraId="3A30238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s="Times New Roman"/>
                      <w:color w:val="auto"/>
                      <w:sz w:val="18"/>
                      <w:szCs w:val="18"/>
                      <w:highlight w:val="none"/>
                      <w:vertAlign w:val="baseline"/>
                      <w:lang w:val="en-US" w:eastAsia="zh-CN"/>
                    </w:rPr>
                  </w:pPr>
                </w:p>
              </w:tc>
              <w:tc>
                <w:tcPr>
                  <w:tcW w:w="630" w:type="dxa"/>
                  <w:tcBorders>
                    <w:tl2br w:val="nil"/>
                    <w:tr2bl w:val="nil"/>
                  </w:tcBorders>
                  <w:vAlign w:val="center"/>
                </w:tcPr>
                <w:p w14:paraId="15AF8B0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污染治理设施编号</w:t>
                  </w:r>
                </w:p>
              </w:tc>
              <w:tc>
                <w:tcPr>
                  <w:tcW w:w="899" w:type="dxa"/>
                  <w:tcBorders>
                    <w:tl2br w:val="nil"/>
                    <w:tr2bl w:val="nil"/>
                  </w:tcBorders>
                  <w:vAlign w:val="center"/>
                </w:tcPr>
                <w:p w14:paraId="1009B69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污染治理设施名称</w:t>
                  </w:r>
                </w:p>
              </w:tc>
              <w:tc>
                <w:tcPr>
                  <w:tcW w:w="620" w:type="dxa"/>
                  <w:tcBorders>
                    <w:tl2br w:val="nil"/>
                    <w:tr2bl w:val="nil"/>
                  </w:tcBorders>
                  <w:vAlign w:val="center"/>
                </w:tcPr>
                <w:p w14:paraId="4A0ED8C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污染治理设施工艺</w:t>
                  </w:r>
                </w:p>
              </w:tc>
              <w:tc>
                <w:tcPr>
                  <w:tcW w:w="596" w:type="dxa"/>
                  <w:vMerge w:val="continue"/>
                  <w:tcBorders>
                    <w:tl2br w:val="nil"/>
                    <w:tr2bl w:val="nil"/>
                  </w:tcBorders>
                  <w:vAlign w:val="center"/>
                </w:tcPr>
                <w:p w14:paraId="685373E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s="Times New Roman"/>
                      <w:color w:val="auto"/>
                      <w:sz w:val="18"/>
                      <w:szCs w:val="18"/>
                      <w:highlight w:val="none"/>
                      <w:vertAlign w:val="baseline"/>
                      <w:lang w:val="en-US" w:eastAsia="zh-CN"/>
                    </w:rPr>
                  </w:pPr>
                </w:p>
              </w:tc>
              <w:tc>
                <w:tcPr>
                  <w:tcW w:w="705" w:type="dxa"/>
                  <w:vMerge w:val="continue"/>
                  <w:tcBorders>
                    <w:tl2br w:val="nil"/>
                    <w:tr2bl w:val="nil"/>
                  </w:tcBorders>
                  <w:vAlign w:val="center"/>
                </w:tcPr>
                <w:p w14:paraId="5187D63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s="Times New Roman"/>
                      <w:color w:val="auto"/>
                      <w:sz w:val="18"/>
                      <w:szCs w:val="18"/>
                      <w:highlight w:val="none"/>
                      <w:vertAlign w:val="baseline"/>
                      <w:lang w:val="en-US" w:eastAsia="zh-CN"/>
                    </w:rPr>
                  </w:pPr>
                </w:p>
              </w:tc>
              <w:tc>
                <w:tcPr>
                  <w:tcW w:w="1323" w:type="dxa"/>
                  <w:vMerge w:val="continue"/>
                  <w:tcBorders>
                    <w:tl2br w:val="nil"/>
                    <w:tr2bl w:val="nil"/>
                  </w:tcBorders>
                  <w:vAlign w:val="center"/>
                </w:tcPr>
                <w:p w14:paraId="0816696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s="Times New Roman"/>
                      <w:color w:val="auto"/>
                      <w:sz w:val="18"/>
                      <w:szCs w:val="18"/>
                      <w:highlight w:val="none"/>
                      <w:vertAlign w:val="baseline"/>
                      <w:lang w:val="en-US" w:eastAsia="zh-CN"/>
                    </w:rPr>
                  </w:pPr>
                </w:p>
              </w:tc>
            </w:tr>
            <w:tr w14:paraId="26E17DC1">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5" w:type="dxa"/>
                  <w:tcBorders>
                    <w:tl2br w:val="nil"/>
                    <w:tr2bl w:val="nil"/>
                  </w:tcBorders>
                  <w:vAlign w:val="center"/>
                </w:tcPr>
                <w:p w14:paraId="2091111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1</w:t>
                  </w:r>
                </w:p>
              </w:tc>
              <w:tc>
                <w:tcPr>
                  <w:tcW w:w="678" w:type="dxa"/>
                  <w:tcBorders>
                    <w:tl2br w:val="nil"/>
                    <w:tr2bl w:val="nil"/>
                  </w:tcBorders>
                  <w:vAlign w:val="center"/>
                </w:tcPr>
                <w:p w14:paraId="2B524F0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医疗废水</w:t>
                  </w:r>
                </w:p>
              </w:tc>
              <w:tc>
                <w:tcPr>
                  <w:tcW w:w="868" w:type="dxa"/>
                  <w:tcBorders>
                    <w:tl2br w:val="nil"/>
                    <w:tr2bl w:val="nil"/>
                  </w:tcBorders>
                  <w:vAlign w:val="center"/>
                </w:tcPr>
                <w:p w14:paraId="1BE4E9C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粪大肠菌群数、COD、BOD</w:t>
                  </w:r>
                  <w:r>
                    <w:rPr>
                      <w:rFonts w:hint="eastAsia" w:cs="Times New Roman"/>
                      <w:color w:val="auto"/>
                      <w:sz w:val="18"/>
                      <w:szCs w:val="18"/>
                      <w:highlight w:val="none"/>
                      <w:vertAlign w:val="subscript"/>
                      <w:lang w:val="en-US" w:eastAsia="zh-CN"/>
                    </w:rPr>
                    <w:t>5</w:t>
                  </w:r>
                  <w:r>
                    <w:rPr>
                      <w:rFonts w:hint="eastAsia" w:cs="Times New Roman"/>
                      <w:color w:val="auto"/>
                      <w:sz w:val="18"/>
                      <w:szCs w:val="18"/>
                      <w:highlight w:val="none"/>
                      <w:vertAlign w:val="baseline"/>
                      <w:lang w:val="en-US" w:eastAsia="zh-CN"/>
                    </w:rPr>
                    <w:t>、NH</w:t>
                  </w:r>
                  <w:r>
                    <w:rPr>
                      <w:rFonts w:hint="eastAsia" w:cs="Times New Roman"/>
                      <w:color w:val="auto"/>
                      <w:sz w:val="18"/>
                      <w:szCs w:val="18"/>
                      <w:highlight w:val="none"/>
                      <w:vertAlign w:val="subscript"/>
                      <w:lang w:val="en-US" w:eastAsia="zh-CN"/>
                    </w:rPr>
                    <w:t>3</w:t>
                  </w:r>
                  <w:r>
                    <w:rPr>
                      <w:rFonts w:hint="eastAsia" w:cs="Times New Roman"/>
                      <w:color w:val="auto"/>
                      <w:sz w:val="18"/>
                      <w:szCs w:val="18"/>
                      <w:highlight w:val="none"/>
                      <w:vertAlign w:val="baseline"/>
                      <w:lang w:val="en-US" w:eastAsia="zh-CN"/>
                    </w:rPr>
                    <w:t>-N、pH值、SS、总余氯</w:t>
                  </w:r>
                </w:p>
              </w:tc>
              <w:tc>
                <w:tcPr>
                  <w:tcW w:w="868" w:type="dxa"/>
                  <w:tcBorders>
                    <w:tl2br w:val="nil"/>
                    <w:tr2bl w:val="nil"/>
                  </w:tcBorders>
                  <w:vAlign w:val="center"/>
                </w:tcPr>
                <w:p w14:paraId="0A5CB6D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经市政管网排入清河再生水厂</w:t>
                  </w:r>
                </w:p>
              </w:tc>
              <w:tc>
                <w:tcPr>
                  <w:tcW w:w="988" w:type="dxa"/>
                  <w:tcBorders>
                    <w:tl2br w:val="nil"/>
                    <w:tr2bl w:val="nil"/>
                  </w:tcBorders>
                  <w:vAlign w:val="center"/>
                </w:tcPr>
                <w:p w14:paraId="07E0622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间断排放，排放期间流量不稳定且无规律，但不属于冲击型排放</w:t>
                  </w:r>
                </w:p>
              </w:tc>
              <w:tc>
                <w:tcPr>
                  <w:tcW w:w="630" w:type="dxa"/>
                  <w:tcBorders>
                    <w:tl2br w:val="nil"/>
                    <w:tr2bl w:val="nil"/>
                  </w:tcBorders>
                  <w:vAlign w:val="center"/>
                </w:tcPr>
                <w:p w14:paraId="0950B65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w:t>
                  </w:r>
                </w:p>
              </w:tc>
              <w:tc>
                <w:tcPr>
                  <w:tcW w:w="899" w:type="dxa"/>
                  <w:tcBorders>
                    <w:tl2br w:val="nil"/>
                    <w:tr2bl w:val="nil"/>
                  </w:tcBorders>
                  <w:vAlign w:val="center"/>
                </w:tcPr>
                <w:p w14:paraId="5F270E3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化粪池+污水处理（格栅+调节+絮凝沉淀+消毒）</w:t>
                  </w:r>
                </w:p>
              </w:tc>
              <w:tc>
                <w:tcPr>
                  <w:tcW w:w="620" w:type="dxa"/>
                  <w:tcBorders>
                    <w:tl2br w:val="nil"/>
                    <w:tr2bl w:val="nil"/>
                  </w:tcBorders>
                  <w:vAlign w:val="center"/>
                </w:tcPr>
                <w:p w14:paraId="3AB9441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一级强化</w:t>
                  </w:r>
                </w:p>
              </w:tc>
              <w:tc>
                <w:tcPr>
                  <w:tcW w:w="596" w:type="dxa"/>
                  <w:tcBorders>
                    <w:tl2br w:val="nil"/>
                    <w:tr2bl w:val="nil"/>
                  </w:tcBorders>
                  <w:vAlign w:val="center"/>
                </w:tcPr>
                <w:p w14:paraId="306EC8A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DW</w:t>
                  </w:r>
                </w:p>
                <w:p w14:paraId="5483BB8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001</w:t>
                  </w:r>
                </w:p>
              </w:tc>
              <w:tc>
                <w:tcPr>
                  <w:tcW w:w="705" w:type="dxa"/>
                  <w:tcBorders>
                    <w:tl2br w:val="nil"/>
                    <w:tr2bl w:val="nil"/>
                  </w:tcBorders>
                  <w:vAlign w:val="center"/>
                </w:tcPr>
                <w:p w14:paraId="6DD7A23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sym w:font="Wingdings" w:char="00FE"/>
                  </w:r>
                  <w:r>
                    <w:rPr>
                      <w:rFonts w:hint="eastAsia" w:cs="Times New Roman"/>
                      <w:color w:val="auto"/>
                      <w:sz w:val="18"/>
                      <w:szCs w:val="18"/>
                      <w:highlight w:val="none"/>
                      <w:vertAlign w:val="baseline"/>
                      <w:lang w:val="en-US" w:eastAsia="zh-CN"/>
                    </w:rPr>
                    <w:t>是</w:t>
                  </w:r>
                </w:p>
                <w:p w14:paraId="1A78AC5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sym w:font="Wingdings" w:char="00A8"/>
                  </w:r>
                  <w:r>
                    <w:rPr>
                      <w:rFonts w:hint="eastAsia" w:cs="Times New Roman"/>
                      <w:color w:val="auto"/>
                      <w:sz w:val="18"/>
                      <w:szCs w:val="18"/>
                      <w:highlight w:val="none"/>
                      <w:vertAlign w:val="baseline"/>
                      <w:lang w:val="en-US" w:eastAsia="zh-CN"/>
                    </w:rPr>
                    <w:t>否</w:t>
                  </w:r>
                </w:p>
              </w:tc>
              <w:tc>
                <w:tcPr>
                  <w:tcW w:w="1323" w:type="dxa"/>
                  <w:tcBorders>
                    <w:tl2br w:val="nil"/>
                    <w:tr2bl w:val="nil"/>
                  </w:tcBorders>
                  <w:vAlign w:val="center"/>
                </w:tcPr>
                <w:p w14:paraId="0CABFB2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sym w:font="Wingdings" w:char="00FE"/>
                  </w:r>
                  <w:r>
                    <w:rPr>
                      <w:rFonts w:hint="eastAsia" w:cs="Times New Roman"/>
                      <w:color w:val="auto"/>
                      <w:sz w:val="18"/>
                      <w:szCs w:val="18"/>
                      <w:highlight w:val="none"/>
                      <w:vertAlign w:val="baseline"/>
                      <w:lang w:val="en-US" w:eastAsia="zh-CN"/>
                    </w:rPr>
                    <w:t>企业总排口</w:t>
                  </w:r>
                </w:p>
                <w:p w14:paraId="349B051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sym w:font="Wingdings" w:char="00A8"/>
                  </w:r>
                  <w:r>
                    <w:rPr>
                      <w:rFonts w:hint="eastAsia" w:cs="Times New Roman"/>
                      <w:color w:val="auto"/>
                      <w:sz w:val="18"/>
                      <w:szCs w:val="18"/>
                      <w:highlight w:val="none"/>
                      <w:vertAlign w:val="baseline"/>
                      <w:lang w:val="en-US" w:eastAsia="zh-CN"/>
                    </w:rPr>
                    <w:t>雨水排放口</w:t>
                  </w:r>
                </w:p>
                <w:p w14:paraId="14DEB07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sym w:font="Wingdings" w:char="00A8"/>
                  </w:r>
                  <w:r>
                    <w:rPr>
                      <w:rFonts w:hint="eastAsia" w:cs="Times New Roman"/>
                      <w:color w:val="auto"/>
                      <w:sz w:val="18"/>
                      <w:szCs w:val="18"/>
                      <w:highlight w:val="none"/>
                      <w:vertAlign w:val="baseline"/>
                      <w:lang w:val="en-US" w:eastAsia="zh-CN"/>
                    </w:rPr>
                    <w:t>清净下水排放口</w:t>
                  </w:r>
                </w:p>
                <w:p w14:paraId="771C611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sym w:font="Wingdings" w:char="00A8"/>
                  </w:r>
                  <w:r>
                    <w:rPr>
                      <w:rFonts w:hint="eastAsia" w:cs="Times New Roman"/>
                      <w:color w:val="auto"/>
                      <w:sz w:val="18"/>
                      <w:szCs w:val="18"/>
                      <w:highlight w:val="none"/>
                      <w:vertAlign w:val="baseline"/>
                      <w:lang w:val="en-US" w:eastAsia="zh-CN"/>
                    </w:rPr>
                    <w:t>温排水排放口</w:t>
                  </w:r>
                </w:p>
                <w:p w14:paraId="446274E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sym w:font="Wingdings" w:char="00A8"/>
                  </w:r>
                  <w:r>
                    <w:rPr>
                      <w:rFonts w:hint="eastAsia" w:cs="Times New Roman"/>
                      <w:color w:val="auto"/>
                      <w:sz w:val="18"/>
                      <w:szCs w:val="18"/>
                      <w:highlight w:val="none"/>
                      <w:vertAlign w:val="baseline"/>
                      <w:lang w:val="en-US" w:eastAsia="zh-CN"/>
                    </w:rPr>
                    <w:t>车间或车间处理设施排放</w:t>
                  </w:r>
                </w:p>
              </w:tc>
            </w:tr>
          </w:tbl>
          <w:p w14:paraId="35DDE89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0"/>
                <w:sz w:val="24"/>
                <w:highlight w:val="none"/>
                <w:lang w:val="en-US" w:eastAsia="zh-CN"/>
              </w:rPr>
            </w:pPr>
            <w:r>
              <w:rPr>
                <w:rFonts w:hint="eastAsia"/>
                <w:b w:val="0"/>
                <w:bCs w:val="0"/>
                <w:color w:val="auto"/>
                <w:spacing w:val="0"/>
                <w:sz w:val="24"/>
                <w:highlight w:val="none"/>
                <w:lang w:val="en-US" w:eastAsia="zh-CN"/>
              </w:rPr>
              <w:t>废水间接排放口基本情况详见下表。</w:t>
            </w:r>
          </w:p>
          <w:p w14:paraId="4940332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b w:val="0"/>
                <w:bCs w:val="0"/>
                <w:color w:val="auto"/>
                <w:spacing w:val="-10"/>
                <w:sz w:val="24"/>
                <w:highlight w:val="none"/>
                <w:lang w:val="en-US" w:eastAsia="zh-CN"/>
              </w:rPr>
            </w:pPr>
            <w:r>
              <w:rPr>
                <w:rFonts w:hint="eastAsia"/>
                <w:b/>
                <w:bCs/>
                <w:color w:val="auto"/>
                <w:spacing w:val="0"/>
                <w:sz w:val="21"/>
                <w:szCs w:val="21"/>
                <w:highlight w:val="none"/>
                <w:lang w:val="en-US" w:eastAsia="zh-CN"/>
              </w:rPr>
              <w:t>表4-8 废水间接排放口基本情况表</w:t>
            </w:r>
          </w:p>
          <w:tbl>
            <w:tblPr>
              <w:tblStyle w:val="13"/>
              <w:tblW w:w="4999" w:type="pct"/>
              <w:jc w:val="center"/>
              <w:tblBorders>
                <w:top w:val="single" w:color="auto" w:sz="8" w:space="0"/>
                <w:left w:val="none" w:color="auto" w:sz="0" w:space="0"/>
                <w:bottom w:val="single" w:color="auto" w:sz="8"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
            <w:tblGrid>
              <w:gridCol w:w="427"/>
              <w:gridCol w:w="595"/>
              <w:gridCol w:w="1096"/>
              <w:gridCol w:w="993"/>
              <w:gridCol w:w="609"/>
              <w:gridCol w:w="842"/>
              <w:gridCol w:w="659"/>
              <w:gridCol w:w="783"/>
              <w:gridCol w:w="620"/>
              <w:gridCol w:w="735"/>
              <w:gridCol w:w="1153"/>
            </w:tblGrid>
            <w:tr w14:paraId="31B33A63">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427" w:type="dxa"/>
                  <w:vMerge w:val="restart"/>
                  <w:tcBorders>
                    <w:tl2br w:val="nil"/>
                    <w:tr2bl w:val="nil"/>
                  </w:tcBorders>
                  <w:vAlign w:val="center"/>
                </w:tcPr>
                <w:p w14:paraId="4FB778F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序号</w:t>
                  </w:r>
                </w:p>
              </w:tc>
              <w:tc>
                <w:tcPr>
                  <w:tcW w:w="595" w:type="dxa"/>
                  <w:vMerge w:val="restart"/>
                  <w:tcBorders>
                    <w:tl2br w:val="nil"/>
                    <w:tr2bl w:val="nil"/>
                  </w:tcBorders>
                  <w:vAlign w:val="center"/>
                </w:tcPr>
                <w:p w14:paraId="577C35C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排放口编号</w:t>
                  </w:r>
                </w:p>
              </w:tc>
              <w:tc>
                <w:tcPr>
                  <w:tcW w:w="2089" w:type="dxa"/>
                  <w:gridSpan w:val="2"/>
                  <w:tcBorders>
                    <w:tl2br w:val="nil"/>
                    <w:tr2bl w:val="nil"/>
                  </w:tcBorders>
                  <w:vAlign w:val="center"/>
                </w:tcPr>
                <w:p w14:paraId="68D2800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排放口地理坐标</w:t>
                  </w:r>
                </w:p>
              </w:tc>
              <w:tc>
                <w:tcPr>
                  <w:tcW w:w="609" w:type="dxa"/>
                  <w:vMerge w:val="restart"/>
                  <w:tcBorders>
                    <w:tl2br w:val="nil"/>
                    <w:tr2bl w:val="nil"/>
                  </w:tcBorders>
                  <w:vAlign w:val="center"/>
                </w:tcPr>
                <w:p w14:paraId="2FB7178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排放口类型</w:t>
                  </w:r>
                </w:p>
              </w:tc>
              <w:tc>
                <w:tcPr>
                  <w:tcW w:w="842" w:type="dxa"/>
                  <w:vMerge w:val="restart"/>
                  <w:tcBorders>
                    <w:tl2br w:val="nil"/>
                    <w:tr2bl w:val="nil"/>
                  </w:tcBorders>
                  <w:vAlign w:val="center"/>
                </w:tcPr>
                <w:p w14:paraId="3F14478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废水排放量t/a</w:t>
                  </w:r>
                </w:p>
              </w:tc>
              <w:tc>
                <w:tcPr>
                  <w:tcW w:w="659" w:type="dxa"/>
                  <w:vMerge w:val="restart"/>
                  <w:tcBorders>
                    <w:tl2br w:val="nil"/>
                    <w:tr2bl w:val="nil"/>
                  </w:tcBorders>
                  <w:vAlign w:val="center"/>
                </w:tcPr>
                <w:p w14:paraId="12FBB3B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排放去向</w:t>
                  </w:r>
                </w:p>
              </w:tc>
              <w:tc>
                <w:tcPr>
                  <w:tcW w:w="783" w:type="dxa"/>
                  <w:vMerge w:val="restart"/>
                  <w:tcBorders>
                    <w:tl2br w:val="nil"/>
                    <w:tr2bl w:val="nil"/>
                  </w:tcBorders>
                  <w:vAlign w:val="center"/>
                </w:tcPr>
                <w:p w14:paraId="5E61C12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排放规律</w:t>
                  </w:r>
                </w:p>
              </w:tc>
              <w:tc>
                <w:tcPr>
                  <w:tcW w:w="2508" w:type="dxa"/>
                  <w:gridSpan w:val="3"/>
                  <w:tcBorders>
                    <w:tl2br w:val="nil"/>
                    <w:tr2bl w:val="nil"/>
                  </w:tcBorders>
                  <w:vAlign w:val="center"/>
                </w:tcPr>
                <w:p w14:paraId="5063ED9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收纳污水处理厂信息</w:t>
                  </w:r>
                </w:p>
              </w:tc>
            </w:tr>
            <w:tr w14:paraId="1F9A9396">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427" w:type="dxa"/>
                  <w:vMerge w:val="continue"/>
                  <w:tcBorders>
                    <w:tl2br w:val="nil"/>
                    <w:tr2bl w:val="nil"/>
                  </w:tcBorders>
                  <w:vAlign w:val="center"/>
                </w:tcPr>
                <w:p w14:paraId="54B61E8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s="Times New Roman"/>
                      <w:color w:val="auto"/>
                      <w:sz w:val="18"/>
                      <w:szCs w:val="18"/>
                      <w:highlight w:val="none"/>
                      <w:vertAlign w:val="baseline"/>
                      <w:lang w:val="en-US" w:eastAsia="zh-CN"/>
                    </w:rPr>
                  </w:pPr>
                </w:p>
              </w:tc>
              <w:tc>
                <w:tcPr>
                  <w:tcW w:w="595" w:type="dxa"/>
                  <w:vMerge w:val="continue"/>
                  <w:tcBorders>
                    <w:tl2br w:val="nil"/>
                    <w:tr2bl w:val="nil"/>
                  </w:tcBorders>
                  <w:vAlign w:val="center"/>
                </w:tcPr>
                <w:p w14:paraId="6D6095F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s="Times New Roman"/>
                      <w:color w:val="auto"/>
                      <w:sz w:val="18"/>
                      <w:szCs w:val="18"/>
                      <w:highlight w:val="none"/>
                      <w:vertAlign w:val="baseline"/>
                      <w:lang w:val="en-US" w:eastAsia="zh-CN"/>
                    </w:rPr>
                  </w:pPr>
                </w:p>
              </w:tc>
              <w:tc>
                <w:tcPr>
                  <w:tcW w:w="1096" w:type="dxa"/>
                  <w:tcBorders>
                    <w:tl2br w:val="nil"/>
                    <w:tr2bl w:val="nil"/>
                  </w:tcBorders>
                  <w:vAlign w:val="center"/>
                </w:tcPr>
                <w:p w14:paraId="2063AA8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经度</w:t>
                  </w:r>
                </w:p>
              </w:tc>
              <w:tc>
                <w:tcPr>
                  <w:tcW w:w="993" w:type="dxa"/>
                  <w:tcBorders>
                    <w:tl2br w:val="nil"/>
                    <w:tr2bl w:val="nil"/>
                  </w:tcBorders>
                  <w:vAlign w:val="center"/>
                </w:tcPr>
                <w:p w14:paraId="481ECE0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纬度</w:t>
                  </w:r>
                </w:p>
              </w:tc>
              <w:tc>
                <w:tcPr>
                  <w:tcW w:w="609" w:type="dxa"/>
                  <w:vMerge w:val="continue"/>
                  <w:tcBorders>
                    <w:tl2br w:val="nil"/>
                    <w:tr2bl w:val="nil"/>
                  </w:tcBorders>
                  <w:vAlign w:val="center"/>
                </w:tcPr>
                <w:p w14:paraId="102242F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s="Times New Roman"/>
                      <w:color w:val="auto"/>
                      <w:sz w:val="18"/>
                      <w:szCs w:val="18"/>
                      <w:highlight w:val="none"/>
                      <w:vertAlign w:val="baseline"/>
                      <w:lang w:val="en-US" w:eastAsia="zh-CN"/>
                    </w:rPr>
                  </w:pPr>
                </w:p>
              </w:tc>
              <w:tc>
                <w:tcPr>
                  <w:tcW w:w="842" w:type="dxa"/>
                  <w:vMerge w:val="continue"/>
                  <w:tcBorders>
                    <w:tl2br w:val="nil"/>
                    <w:tr2bl w:val="nil"/>
                  </w:tcBorders>
                  <w:vAlign w:val="center"/>
                </w:tcPr>
                <w:p w14:paraId="1795162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auto"/>
                      <w:sz w:val="18"/>
                      <w:szCs w:val="18"/>
                      <w:highlight w:val="none"/>
                      <w:vertAlign w:val="baseline"/>
                      <w:lang w:val="en-US" w:eastAsia="zh-CN"/>
                    </w:rPr>
                  </w:pPr>
                </w:p>
              </w:tc>
              <w:tc>
                <w:tcPr>
                  <w:tcW w:w="659" w:type="dxa"/>
                  <w:vMerge w:val="continue"/>
                  <w:tcBorders>
                    <w:tl2br w:val="nil"/>
                    <w:tr2bl w:val="nil"/>
                  </w:tcBorders>
                  <w:vAlign w:val="center"/>
                </w:tcPr>
                <w:p w14:paraId="715C8F1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auto"/>
                      <w:sz w:val="18"/>
                      <w:szCs w:val="18"/>
                      <w:highlight w:val="none"/>
                      <w:vertAlign w:val="baseline"/>
                      <w:lang w:val="en-US" w:eastAsia="zh-CN"/>
                    </w:rPr>
                  </w:pPr>
                </w:p>
              </w:tc>
              <w:tc>
                <w:tcPr>
                  <w:tcW w:w="783" w:type="dxa"/>
                  <w:vMerge w:val="continue"/>
                  <w:tcBorders>
                    <w:tl2br w:val="nil"/>
                    <w:tr2bl w:val="nil"/>
                  </w:tcBorders>
                  <w:vAlign w:val="center"/>
                </w:tcPr>
                <w:p w14:paraId="3E4FA5D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auto"/>
                      <w:sz w:val="18"/>
                      <w:szCs w:val="18"/>
                      <w:highlight w:val="none"/>
                      <w:vertAlign w:val="baseline"/>
                      <w:lang w:val="en-US" w:eastAsia="zh-CN"/>
                    </w:rPr>
                  </w:pPr>
                </w:p>
              </w:tc>
              <w:tc>
                <w:tcPr>
                  <w:tcW w:w="620" w:type="dxa"/>
                  <w:tcBorders>
                    <w:tl2br w:val="nil"/>
                    <w:tr2bl w:val="nil"/>
                  </w:tcBorders>
                  <w:vAlign w:val="center"/>
                </w:tcPr>
                <w:p w14:paraId="3274229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名称</w:t>
                  </w:r>
                </w:p>
              </w:tc>
              <w:tc>
                <w:tcPr>
                  <w:tcW w:w="735" w:type="dxa"/>
                  <w:tcBorders>
                    <w:tl2br w:val="nil"/>
                    <w:tr2bl w:val="nil"/>
                  </w:tcBorders>
                  <w:vAlign w:val="center"/>
                </w:tcPr>
                <w:p w14:paraId="2CA2560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污染物种类</w:t>
                  </w:r>
                </w:p>
              </w:tc>
              <w:tc>
                <w:tcPr>
                  <w:tcW w:w="1153" w:type="dxa"/>
                  <w:tcBorders>
                    <w:tl2br w:val="nil"/>
                    <w:tr2bl w:val="nil"/>
                  </w:tcBorders>
                  <w:vAlign w:val="center"/>
                </w:tcPr>
                <w:p w14:paraId="701ED13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国家或地方污染物排放标准浓度限值/（mg/L）</w:t>
                  </w:r>
                </w:p>
              </w:tc>
            </w:tr>
            <w:tr w14:paraId="49281D1B">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427" w:type="dxa"/>
                  <w:tcBorders>
                    <w:tl2br w:val="nil"/>
                    <w:tr2bl w:val="nil"/>
                  </w:tcBorders>
                  <w:vAlign w:val="center"/>
                </w:tcPr>
                <w:p w14:paraId="321A2C7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1</w:t>
                  </w:r>
                </w:p>
              </w:tc>
              <w:tc>
                <w:tcPr>
                  <w:tcW w:w="595" w:type="dxa"/>
                  <w:tcBorders>
                    <w:tl2br w:val="nil"/>
                    <w:tr2bl w:val="nil"/>
                  </w:tcBorders>
                  <w:vAlign w:val="center"/>
                </w:tcPr>
                <w:p w14:paraId="7A7CC52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DW001</w:t>
                  </w:r>
                </w:p>
              </w:tc>
              <w:tc>
                <w:tcPr>
                  <w:tcW w:w="1096" w:type="dxa"/>
                  <w:tcBorders>
                    <w:tl2br w:val="nil"/>
                    <w:tr2bl w:val="nil"/>
                  </w:tcBorders>
                  <w:vAlign w:val="center"/>
                </w:tcPr>
                <w:p w14:paraId="1BED161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116°21′50.989″</w:t>
                  </w:r>
                </w:p>
              </w:tc>
              <w:tc>
                <w:tcPr>
                  <w:tcW w:w="993" w:type="dxa"/>
                  <w:tcBorders>
                    <w:tl2br w:val="nil"/>
                    <w:tr2bl w:val="nil"/>
                  </w:tcBorders>
                  <w:vAlign w:val="center"/>
                </w:tcPr>
                <w:p w14:paraId="1A806ED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40°1′59.624″</w:t>
                  </w:r>
                </w:p>
              </w:tc>
              <w:tc>
                <w:tcPr>
                  <w:tcW w:w="609" w:type="dxa"/>
                  <w:tcBorders>
                    <w:tl2br w:val="nil"/>
                    <w:tr2bl w:val="nil"/>
                  </w:tcBorders>
                  <w:vAlign w:val="center"/>
                </w:tcPr>
                <w:p w14:paraId="2481A50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一般排放口</w:t>
                  </w:r>
                </w:p>
              </w:tc>
              <w:tc>
                <w:tcPr>
                  <w:tcW w:w="842" w:type="dxa"/>
                  <w:tcBorders>
                    <w:tl2br w:val="nil"/>
                    <w:tr2bl w:val="nil"/>
                  </w:tcBorders>
                  <w:vAlign w:val="center"/>
                </w:tcPr>
                <w:p w14:paraId="451C32E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2250.60</w:t>
                  </w:r>
                </w:p>
              </w:tc>
              <w:tc>
                <w:tcPr>
                  <w:tcW w:w="659" w:type="dxa"/>
                  <w:tcBorders>
                    <w:tl2br w:val="nil"/>
                    <w:tr2bl w:val="nil"/>
                  </w:tcBorders>
                  <w:vAlign w:val="center"/>
                </w:tcPr>
                <w:p w14:paraId="5594A6D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清河再生水厂</w:t>
                  </w:r>
                </w:p>
              </w:tc>
              <w:tc>
                <w:tcPr>
                  <w:tcW w:w="783" w:type="dxa"/>
                  <w:tcBorders>
                    <w:tl2br w:val="nil"/>
                    <w:tr2bl w:val="nil"/>
                  </w:tcBorders>
                  <w:vAlign w:val="center"/>
                </w:tcPr>
                <w:p w14:paraId="5A2007D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间断排放，排放期间流量不稳定且无规律，但不属于冲击型排放</w:t>
                  </w:r>
                </w:p>
              </w:tc>
              <w:tc>
                <w:tcPr>
                  <w:tcW w:w="620" w:type="dxa"/>
                  <w:tcBorders>
                    <w:tl2br w:val="nil"/>
                    <w:tr2bl w:val="nil"/>
                  </w:tcBorders>
                  <w:vAlign w:val="center"/>
                </w:tcPr>
                <w:p w14:paraId="2264812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清河再生水厂</w:t>
                  </w:r>
                </w:p>
              </w:tc>
              <w:tc>
                <w:tcPr>
                  <w:tcW w:w="735" w:type="dxa"/>
                  <w:tcBorders>
                    <w:tl2br w:val="nil"/>
                    <w:tr2bl w:val="nil"/>
                  </w:tcBorders>
                  <w:vAlign w:val="center"/>
                </w:tcPr>
                <w:p w14:paraId="46FC3D9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pH值、COD、BOD</w:t>
                  </w:r>
                  <w:r>
                    <w:rPr>
                      <w:rFonts w:hint="eastAsia" w:cs="Times New Roman"/>
                      <w:color w:val="auto"/>
                      <w:sz w:val="18"/>
                      <w:szCs w:val="18"/>
                      <w:highlight w:val="none"/>
                      <w:vertAlign w:val="subscript"/>
                      <w:lang w:val="en-US" w:eastAsia="zh-CN"/>
                    </w:rPr>
                    <w:t>5</w:t>
                  </w:r>
                  <w:r>
                    <w:rPr>
                      <w:rFonts w:hint="eastAsia" w:cs="Times New Roman"/>
                      <w:color w:val="auto"/>
                      <w:sz w:val="18"/>
                      <w:szCs w:val="18"/>
                      <w:highlight w:val="none"/>
                      <w:vertAlign w:val="baseline"/>
                      <w:lang w:val="en-US" w:eastAsia="zh-CN"/>
                    </w:rPr>
                    <w:t>、SS、氨氮、粪大肠菌群等</w:t>
                  </w:r>
                </w:p>
              </w:tc>
              <w:tc>
                <w:tcPr>
                  <w:tcW w:w="1153" w:type="dxa"/>
                  <w:tcBorders>
                    <w:tl2br w:val="nil"/>
                    <w:tr2bl w:val="nil"/>
                  </w:tcBorders>
                  <w:vAlign w:val="center"/>
                </w:tcPr>
                <w:p w14:paraId="6CAE774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pH值：6-9（无量纲）</w:t>
                  </w:r>
                </w:p>
                <w:p w14:paraId="631022C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default"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COD：60</w:t>
                  </w:r>
                </w:p>
                <w:p w14:paraId="2EBA799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default"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BOD</w:t>
                  </w:r>
                  <w:r>
                    <w:rPr>
                      <w:rFonts w:hint="eastAsia" w:cs="Times New Roman"/>
                      <w:color w:val="auto"/>
                      <w:sz w:val="18"/>
                      <w:szCs w:val="18"/>
                      <w:highlight w:val="none"/>
                      <w:vertAlign w:val="subscript"/>
                      <w:lang w:val="en-US" w:eastAsia="zh-CN"/>
                    </w:rPr>
                    <w:t>5</w:t>
                  </w:r>
                  <w:r>
                    <w:rPr>
                      <w:rFonts w:hint="eastAsia" w:cs="Times New Roman"/>
                      <w:color w:val="auto"/>
                      <w:sz w:val="18"/>
                      <w:szCs w:val="18"/>
                      <w:highlight w:val="none"/>
                      <w:vertAlign w:val="baseline"/>
                      <w:lang w:val="en-US" w:eastAsia="zh-CN"/>
                    </w:rPr>
                    <w:t>：20</w:t>
                  </w:r>
                </w:p>
                <w:p w14:paraId="1891FFD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default"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SS：20</w:t>
                  </w:r>
                </w:p>
                <w:p w14:paraId="4EAFFE8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default"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氨氮：8（15）</w:t>
                  </w:r>
                </w:p>
                <w:p w14:paraId="0A1479B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default"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总氮：20</w:t>
                  </w:r>
                </w:p>
                <w:p w14:paraId="6A8B919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default"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总磷：1.0</w:t>
                  </w:r>
                </w:p>
              </w:tc>
            </w:tr>
          </w:tbl>
          <w:p w14:paraId="001DD2A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0"/>
                <w:sz w:val="24"/>
                <w:highlight w:val="none"/>
                <w:lang w:val="en-US" w:eastAsia="zh-CN"/>
              </w:rPr>
            </w:pPr>
            <w:r>
              <w:rPr>
                <w:rFonts w:hint="eastAsia"/>
                <w:b w:val="0"/>
                <w:bCs w:val="0"/>
                <w:color w:val="auto"/>
                <w:spacing w:val="0"/>
                <w:sz w:val="24"/>
                <w:highlight w:val="none"/>
                <w:lang w:val="en-US" w:eastAsia="zh-CN"/>
              </w:rPr>
              <w:t>（6）废水排放去向合理性分析</w:t>
            </w:r>
          </w:p>
          <w:p w14:paraId="3D0D117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10"/>
                <w:sz w:val="24"/>
                <w:highlight w:val="none"/>
                <w:lang w:val="en-US" w:eastAsia="zh-CN"/>
              </w:rPr>
            </w:pPr>
            <w:r>
              <w:rPr>
                <w:rFonts w:hint="eastAsia"/>
                <w:b w:val="0"/>
                <w:bCs w:val="0"/>
                <w:color w:val="auto"/>
                <w:spacing w:val="0"/>
                <w:sz w:val="24"/>
                <w:highlight w:val="none"/>
                <w:lang w:val="en-US" w:eastAsia="zh-CN"/>
              </w:rPr>
              <w:t>本项目产生的废水包括门诊楼门诊患者、住院病房、医务人员产生的医疗污水、生活污水和卫生清洁排水，均视为医疗污水，废水经“新建独立化粪池+污水处理设施”处理后由大厦污水管道排放至市政管网，最终排至清河再生水厂。</w:t>
            </w:r>
          </w:p>
          <w:p w14:paraId="276EC2C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0"/>
                <w:sz w:val="24"/>
                <w:highlight w:val="none"/>
                <w:lang w:val="en-US" w:eastAsia="zh-CN"/>
              </w:rPr>
            </w:pPr>
            <w:r>
              <w:rPr>
                <w:rFonts w:hint="eastAsia"/>
                <w:b w:val="0"/>
                <w:bCs w:val="0"/>
                <w:color w:val="auto"/>
                <w:spacing w:val="0"/>
                <w:sz w:val="24"/>
                <w:highlight w:val="none"/>
                <w:lang w:val="en-US" w:eastAsia="zh-CN"/>
              </w:rPr>
              <w:t>北京北排水环境发展有限公司清河再生水厂位于北京市海淀区清河镇，占地面积40公顷，处理规模为55万m</w:t>
            </w:r>
            <w:r>
              <w:rPr>
                <w:rFonts w:hint="eastAsia"/>
                <w:b w:val="0"/>
                <w:bCs w:val="0"/>
                <w:color w:val="auto"/>
                <w:spacing w:val="0"/>
                <w:sz w:val="24"/>
                <w:highlight w:val="none"/>
                <w:vertAlign w:val="superscript"/>
                <w:lang w:val="en-US" w:eastAsia="zh-CN"/>
              </w:rPr>
              <w:t>3</w:t>
            </w:r>
            <w:r>
              <w:rPr>
                <w:rFonts w:hint="eastAsia"/>
                <w:b w:val="0"/>
                <w:bCs w:val="0"/>
                <w:color w:val="auto"/>
                <w:spacing w:val="0"/>
                <w:sz w:val="24"/>
                <w:highlight w:val="none"/>
                <w:lang w:val="en-US" w:eastAsia="zh-CN"/>
              </w:rPr>
              <w:t>/d，其中，一、二期处理规模40万m</w:t>
            </w:r>
            <w:r>
              <w:rPr>
                <w:rFonts w:hint="eastAsia"/>
                <w:b w:val="0"/>
                <w:bCs w:val="0"/>
                <w:color w:val="auto"/>
                <w:spacing w:val="0"/>
                <w:sz w:val="24"/>
                <w:highlight w:val="none"/>
                <w:vertAlign w:val="superscript"/>
                <w:lang w:val="en-US" w:eastAsia="zh-CN"/>
              </w:rPr>
              <w:t>3</w:t>
            </w:r>
            <w:r>
              <w:rPr>
                <w:rFonts w:hint="eastAsia"/>
                <w:b w:val="0"/>
                <w:bCs w:val="0"/>
                <w:color w:val="auto"/>
                <w:spacing w:val="0"/>
                <w:sz w:val="24"/>
                <w:highlight w:val="none"/>
                <w:lang w:val="en-US" w:eastAsia="zh-CN"/>
              </w:rPr>
              <w:t>/d，三期处理规模15万m</w:t>
            </w:r>
            <w:r>
              <w:rPr>
                <w:rFonts w:hint="eastAsia"/>
                <w:b w:val="0"/>
                <w:bCs w:val="0"/>
                <w:color w:val="auto"/>
                <w:spacing w:val="0"/>
                <w:sz w:val="24"/>
                <w:highlight w:val="none"/>
                <w:vertAlign w:val="superscript"/>
                <w:lang w:val="en-US" w:eastAsia="zh-CN"/>
              </w:rPr>
              <w:t>3</w:t>
            </w:r>
            <w:r>
              <w:rPr>
                <w:rFonts w:hint="eastAsia"/>
                <w:b w:val="0"/>
                <w:bCs w:val="0"/>
                <w:color w:val="auto"/>
                <w:spacing w:val="0"/>
                <w:sz w:val="24"/>
                <w:highlight w:val="none"/>
                <w:lang w:val="en-US" w:eastAsia="zh-CN"/>
              </w:rPr>
              <w:t>/d。采用“预处理+A</w:t>
            </w:r>
            <w:r>
              <w:rPr>
                <w:rFonts w:hint="eastAsia"/>
                <w:b w:val="0"/>
                <w:bCs w:val="0"/>
                <w:color w:val="auto"/>
                <w:spacing w:val="0"/>
                <w:sz w:val="24"/>
                <w:highlight w:val="none"/>
                <w:vertAlign w:val="superscript"/>
                <w:lang w:val="en-US" w:eastAsia="zh-CN"/>
              </w:rPr>
              <w:t>2</w:t>
            </w:r>
            <w:r>
              <w:rPr>
                <w:rFonts w:hint="eastAsia"/>
                <w:b w:val="0"/>
                <w:bCs w:val="0"/>
                <w:color w:val="auto"/>
                <w:spacing w:val="0"/>
                <w:sz w:val="24"/>
                <w:highlight w:val="none"/>
                <w:lang w:val="en-US" w:eastAsia="zh-CN"/>
              </w:rPr>
              <w:t>/O+MBR”处理工艺。根据北京市水务局2024年3月4日公开的《2023年1-12月城镇重要大中型污水处理设施运行情况》，清河再生水厂1-12月设计处理能力为20075万立方米，1-12月实际处理量为18291万立方米，运行负荷率91.11%，剩余处理量为1784万立方米，约4.89万m</w:t>
            </w:r>
            <w:r>
              <w:rPr>
                <w:rFonts w:hint="eastAsia"/>
                <w:b w:val="0"/>
                <w:bCs w:val="0"/>
                <w:color w:val="auto"/>
                <w:spacing w:val="0"/>
                <w:sz w:val="24"/>
                <w:highlight w:val="none"/>
                <w:vertAlign w:val="superscript"/>
                <w:lang w:val="en-US" w:eastAsia="zh-CN"/>
              </w:rPr>
              <w:t>3</w:t>
            </w:r>
            <w:r>
              <w:rPr>
                <w:rFonts w:hint="eastAsia"/>
                <w:b w:val="0"/>
                <w:bCs w:val="0"/>
                <w:color w:val="auto"/>
                <w:spacing w:val="0"/>
                <w:sz w:val="24"/>
                <w:highlight w:val="none"/>
                <w:lang w:val="en-US" w:eastAsia="zh-CN"/>
              </w:rPr>
              <w:t>/d。根据北京北排水环境发展有限公司清河再生水厂在全国排污许可证管理信息平台公开的《2024年第02季度季报表》，废水污染物无超标，可知本项目经北京北排水环境发展有限公司清河再生水厂进一步处理后可稳定达标排放，出水水质能够达到北京市《城镇污水处理厂水污染物排放标准》（DB11/890-2012）中的B标准要求。</w:t>
            </w:r>
          </w:p>
          <w:p w14:paraId="018625A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0"/>
                <w:sz w:val="24"/>
                <w:highlight w:val="none"/>
                <w:lang w:val="en-US" w:eastAsia="zh-CN"/>
              </w:rPr>
            </w:pPr>
            <w:r>
              <w:rPr>
                <w:rFonts w:hint="eastAsia"/>
                <w:b w:val="0"/>
                <w:bCs w:val="0"/>
                <w:color w:val="auto"/>
                <w:spacing w:val="0"/>
                <w:sz w:val="24"/>
                <w:highlight w:val="none"/>
                <w:lang w:val="en-US" w:eastAsia="zh-CN"/>
              </w:rPr>
              <w:t>本项目综合污水排放量约为6.18m</w:t>
            </w:r>
            <w:r>
              <w:rPr>
                <w:rFonts w:hint="eastAsia"/>
                <w:b w:val="0"/>
                <w:bCs w:val="0"/>
                <w:color w:val="auto"/>
                <w:spacing w:val="0"/>
                <w:sz w:val="24"/>
                <w:highlight w:val="none"/>
                <w:vertAlign w:val="superscript"/>
                <w:lang w:val="en-US" w:eastAsia="zh-CN"/>
              </w:rPr>
              <w:t>3</w:t>
            </w:r>
            <w:r>
              <w:rPr>
                <w:rFonts w:hint="eastAsia"/>
                <w:b w:val="0"/>
                <w:bCs w:val="0"/>
                <w:color w:val="auto"/>
                <w:spacing w:val="0"/>
                <w:sz w:val="24"/>
                <w:highlight w:val="none"/>
                <w:lang w:val="en-US" w:eastAsia="zh-CN"/>
              </w:rPr>
              <w:t>/d，远低于北京北排水环境发展有限公司清河再生水厂的剩余负荷，不会对北京北排水环境发展有限公司清河再生水厂的处理能力和处理效果造成冲击，从项目排水量和排水水质上分析，本项目废水排入北京北排水环境发展有限公司清河再生水厂是可行的。</w:t>
            </w:r>
          </w:p>
          <w:p w14:paraId="29BD4A2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0"/>
                <w:sz w:val="24"/>
                <w:highlight w:val="none"/>
                <w:lang w:val="en-US" w:eastAsia="zh-CN"/>
              </w:rPr>
            </w:pPr>
            <w:r>
              <w:rPr>
                <w:rFonts w:hint="eastAsia"/>
                <w:b w:val="0"/>
                <w:bCs w:val="0"/>
                <w:color w:val="auto"/>
                <w:spacing w:val="0"/>
                <w:sz w:val="24"/>
                <w:highlight w:val="none"/>
                <w:lang w:val="en-US" w:eastAsia="zh-CN"/>
              </w:rPr>
              <w:t>（7）废水排放口监测计划</w:t>
            </w:r>
          </w:p>
          <w:p w14:paraId="07558D2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0"/>
                <w:sz w:val="24"/>
                <w:highlight w:val="none"/>
                <w:lang w:val="en-US" w:eastAsia="zh-CN"/>
              </w:rPr>
            </w:pPr>
            <w:r>
              <w:rPr>
                <w:rFonts w:hint="eastAsia"/>
                <w:b w:val="0"/>
                <w:bCs w:val="0"/>
                <w:color w:val="auto"/>
                <w:spacing w:val="0"/>
                <w:sz w:val="24"/>
                <w:highlight w:val="none"/>
                <w:lang w:val="en-US" w:eastAsia="zh-CN"/>
              </w:rPr>
              <w:t>按照《排污单位自行监测技术指南 总则》（HJ819-2017）、《排污许可证申请与核发技术规范 医疗机构》（HJ1105-2020）、《建设项目环境影响评价技术指南医疗机构》（DB11/T1927-2021）及《医疗机构水污染物排放标准》（GB18466-2005）中要求，医院应开展自行监测，结合具体情况，可委托其他监测机构代其开展自行监测，排污单位对委托监测的数据负责。本项目废水自行监测要求见下表。</w:t>
            </w:r>
          </w:p>
          <w:p w14:paraId="62373E5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b/>
                <w:bCs/>
                <w:color w:val="auto"/>
                <w:spacing w:val="-10"/>
                <w:sz w:val="21"/>
                <w:szCs w:val="21"/>
                <w:highlight w:val="none"/>
                <w:lang w:val="en-US" w:eastAsia="zh-CN"/>
              </w:rPr>
            </w:pPr>
            <w:r>
              <w:rPr>
                <w:rFonts w:hint="eastAsia"/>
                <w:b/>
                <w:bCs/>
                <w:color w:val="auto"/>
                <w:spacing w:val="-10"/>
                <w:sz w:val="21"/>
                <w:szCs w:val="21"/>
                <w:highlight w:val="none"/>
                <w:lang w:val="en-US" w:eastAsia="zh-CN"/>
              </w:rPr>
              <w:t>表4-9 项目废水监测计划</w:t>
            </w:r>
          </w:p>
          <w:tbl>
            <w:tblPr>
              <w:tblStyle w:val="13"/>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22"/>
              <w:gridCol w:w="1770"/>
              <w:gridCol w:w="1305"/>
              <w:gridCol w:w="3015"/>
              <w:gridCol w:w="1101"/>
            </w:tblGrid>
            <w:tr w14:paraId="5C89CAD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22" w:type="dxa"/>
                  <w:tcBorders>
                    <w:tl2br w:val="nil"/>
                    <w:tr2bl w:val="nil"/>
                  </w:tcBorders>
                  <w:vAlign w:val="center"/>
                </w:tcPr>
                <w:p w14:paraId="4B35275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0"/>
                      <w:sz w:val="21"/>
                      <w:szCs w:val="21"/>
                      <w:highlight w:val="none"/>
                      <w:vertAlign w:val="baseline"/>
                      <w:lang w:val="en-US" w:eastAsia="zh-CN"/>
                    </w:rPr>
                  </w:pPr>
                  <w:r>
                    <w:rPr>
                      <w:rFonts w:hint="eastAsia"/>
                      <w:b/>
                      <w:bCs/>
                      <w:color w:val="auto"/>
                      <w:spacing w:val="0"/>
                      <w:sz w:val="21"/>
                      <w:szCs w:val="21"/>
                      <w:highlight w:val="none"/>
                      <w:vertAlign w:val="baseline"/>
                      <w:lang w:val="en-US" w:eastAsia="zh-CN"/>
                    </w:rPr>
                    <w:t>监测点</w:t>
                  </w:r>
                </w:p>
              </w:tc>
              <w:tc>
                <w:tcPr>
                  <w:tcW w:w="1770" w:type="dxa"/>
                  <w:tcBorders>
                    <w:tl2br w:val="nil"/>
                    <w:tr2bl w:val="nil"/>
                  </w:tcBorders>
                  <w:vAlign w:val="center"/>
                </w:tcPr>
                <w:p w14:paraId="000E771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0"/>
                      <w:sz w:val="21"/>
                      <w:szCs w:val="21"/>
                      <w:highlight w:val="none"/>
                      <w:vertAlign w:val="baseline"/>
                      <w:lang w:val="en-US" w:eastAsia="zh-CN"/>
                    </w:rPr>
                  </w:pPr>
                  <w:r>
                    <w:rPr>
                      <w:rFonts w:hint="eastAsia"/>
                      <w:b/>
                      <w:bCs/>
                      <w:color w:val="auto"/>
                      <w:spacing w:val="0"/>
                      <w:sz w:val="21"/>
                      <w:szCs w:val="21"/>
                      <w:highlight w:val="none"/>
                      <w:vertAlign w:val="baseline"/>
                      <w:lang w:val="en-US" w:eastAsia="zh-CN"/>
                    </w:rPr>
                    <w:t>监测项目</w:t>
                  </w:r>
                </w:p>
              </w:tc>
              <w:tc>
                <w:tcPr>
                  <w:tcW w:w="1305" w:type="dxa"/>
                  <w:tcBorders>
                    <w:tl2br w:val="nil"/>
                    <w:tr2bl w:val="nil"/>
                  </w:tcBorders>
                  <w:vAlign w:val="center"/>
                </w:tcPr>
                <w:p w14:paraId="2DCBA47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0"/>
                      <w:sz w:val="21"/>
                      <w:szCs w:val="21"/>
                      <w:highlight w:val="none"/>
                      <w:vertAlign w:val="baseline"/>
                      <w:lang w:val="en-US" w:eastAsia="zh-CN"/>
                    </w:rPr>
                  </w:pPr>
                  <w:r>
                    <w:rPr>
                      <w:rFonts w:hint="eastAsia"/>
                      <w:b/>
                      <w:bCs/>
                      <w:color w:val="auto"/>
                      <w:spacing w:val="0"/>
                      <w:sz w:val="21"/>
                      <w:szCs w:val="21"/>
                      <w:highlight w:val="none"/>
                      <w:vertAlign w:val="baseline"/>
                      <w:lang w:val="en-US" w:eastAsia="zh-CN"/>
                    </w:rPr>
                    <w:t>监测频次</w:t>
                  </w:r>
                </w:p>
              </w:tc>
              <w:tc>
                <w:tcPr>
                  <w:tcW w:w="3015" w:type="dxa"/>
                  <w:tcBorders>
                    <w:tl2br w:val="nil"/>
                    <w:tr2bl w:val="nil"/>
                  </w:tcBorders>
                  <w:vAlign w:val="center"/>
                </w:tcPr>
                <w:p w14:paraId="0BCDF91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0"/>
                      <w:sz w:val="21"/>
                      <w:szCs w:val="21"/>
                      <w:highlight w:val="none"/>
                      <w:vertAlign w:val="baseline"/>
                      <w:lang w:val="en-US" w:eastAsia="zh-CN"/>
                    </w:rPr>
                  </w:pPr>
                  <w:r>
                    <w:rPr>
                      <w:rFonts w:hint="eastAsia"/>
                      <w:b/>
                      <w:bCs/>
                      <w:color w:val="auto"/>
                      <w:spacing w:val="0"/>
                      <w:sz w:val="21"/>
                      <w:szCs w:val="21"/>
                      <w:highlight w:val="none"/>
                      <w:vertAlign w:val="baseline"/>
                      <w:lang w:val="en-US" w:eastAsia="zh-CN"/>
                    </w:rPr>
                    <w:t>执行标准</w:t>
                  </w:r>
                </w:p>
              </w:tc>
              <w:tc>
                <w:tcPr>
                  <w:tcW w:w="1101" w:type="dxa"/>
                  <w:tcBorders>
                    <w:tl2br w:val="nil"/>
                    <w:tr2bl w:val="nil"/>
                  </w:tcBorders>
                  <w:vAlign w:val="center"/>
                </w:tcPr>
                <w:p w14:paraId="218156B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0"/>
                      <w:sz w:val="21"/>
                      <w:szCs w:val="21"/>
                      <w:highlight w:val="none"/>
                      <w:vertAlign w:val="baseline"/>
                      <w:lang w:val="en-US" w:eastAsia="zh-CN"/>
                    </w:rPr>
                  </w:pPr>
                  <w:r>
                    <w:rPr>
                      <w:rFonts w:hint="eastAsia"/>
                      <w:b/>
                      <w:bCs/>
                      <w:color w:val="auto"/>
                      <w:spacing w:val="0"/>
                      <w:sz w:val="21"/>
                      <w:szCs w:val="21"/>
                      <w:highlight w:val="none"/>
                      <w:vertAlign w:val="baseline"/>
                      <w:lang w:val="en-US" w:eastAsia="zh-CN"/>
                    </w:rPr>
                    <w:t>备注</w:t>
                  </w:r>
                </w:p>
              </w:tc>
            </w:tr>
            <w:tr w14:paraId="0E01032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22" w:type="dxa"/>
                  <w:vMerge w:val="restart"/>
                  <w:tcBorders>
                    <w:tl2br w:val="nil"/>
                    <w:tr2bl w:val="nil"/>
                  </w:tcBorders>
                  <w:vAlign w:val="center"/>
                </w:tcPr>
                <w:p w14:paraId="342BC0D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废水总排口DA001</w:t>
                  </w:r>
                </w:p>
              </w:tc>
              <w:tc>
                <w:tcPr>
                  <w:tcW w:w="1770" w:type="dxa"/>
                  <w:tcBorders>
                    <w:tl2br w:val="nil"/>
                    <w:tr2bl w:val="nil"/>
                  </w:tcBorders>
                  <w:vAlign w:val="center"/>
                </w:tcPr>
                <w:p w14:paraId="6A56C22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流量</w:t>
                  </w:r>
                </w:p>
              </w:tc>
              <w:tc>
                <w:tcPr>
                  <w:tcW w:w="1305" w:type="dxa"/>
                  <w:tcBorders>
                    <w:tl2br w:val="nil"/>
                    <w:tr2bl w:val="nil"/>
                  </w:tcBorders>
                  <w:vAlign w:val="center"/>
                </w:tcPr>
                <w:p w14:paraId="70628F6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自动监测</w:t>
                  </w:r>
                </w:p>
              </w:tc>
              <w:tc>
                <w:tcPr>
                  <w:tcW w:w="3015" w:type="dxa"/>
                  <w:tcBorders>
                    <w:tl2br w:val="nil"/>
                    <w:tr2bl w:val="nil"/>
                  </w:tcBorders>
                  <w:vAlign w:val="center"/>
                </w:tcPr>
                <w:p w14:paraId="3B9B886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w:t>
                  </w:r>
                </w:p>
              </w:tc>
              <w:tc>
                <w:tcPr>
                  <w:tcW w:w="1101" w:type="dxa"/>
                  <w:tcBorders>
                    <w:tl2br w:val="nil"/>
                    <w:tr2bl w:val="nil"/>
                  </w:tcBorders>
                  <w:vAlign w:val="center"/>
                </w:tcPr>
                <w:p w14:paraId="71A4BFC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建设单位</w:t>
                  </w:r>
                </w:p>
              </w:tc>
            </w:tr>
            <w:tr w14:paraId="625BE45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22" w:type="dxa"/>
                  <w:vMerge w:val="continue"/>
                  <w:tcBorders>
                    <w:tl2br w:val="nil"/>
                    <w:tr2bl w:val="nil"/>
                  </w:tcBorders>
                  <w:vAlign w:val="center"/>
                </w:tcPr>
                <w:p w14:paraId="727BE87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p>
              </w:tc>
              <w:tc>
                <w:tcPr>
                  <w:tcW w:w="1770" w:type="dxa"/>
                  <w:tcBorders>
                    <w:tl2br w:val="nil"/>
                    <w:tr2bl w:val="nil"/>
                  </w:tcBorders>
                  <w:vAlign w:val="center"/>
                </w:tcPr>
                <w:p w14:paraId="169EC94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pH值</w:t>
                  </w:r>
                </w:p>
              </w:tc>
              <w:tc>
                <w:tcPr>
                  <w:tcW w:w="1305" w:type="dxa"/>
                  <w:tcBorders>
                    <w:tl2br w:val="nil"/>
                    <w:tr2bl w:val="nil"/>
                  </w:tcBorders>
                  <w:vAlign w:val="center"/>
                </w:tcPr>
                <w:p w14:paraId="35456BF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1次/12h</w:t>
                  </w:r>
                </w:p>
              </w:tc>
              <w:tc>
                <w:tcPr>
                  <w:tcW w:w="3015" w:type="dxa"/>
                  <w:vMerge w:val="restart"/>
                  <w:tcBorders>
                    <w:tl2br w:val="nil"/>
                    <w:tr2bl w:val="nil"/>
                  </w:tcBorders>
                  <w:vAlign w:val="center"/>
                </w:tcPr>
                <w:p w14:paraId="744DD48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default"/>
                      <w:b w:val="0"/>
                      <w:bCs w:val="0"/>
                      <w:color w:val="auto"/>
                      <w:spacing w:val="0"/>
                      <w:sz w:val="21"/>
                      <w:szCs w:val="21"/>
                      <w:highlight w:val="none"/>
                      <w:vertAlign w:val="baseline"/>
                      <w:lang w:val="en-US" w:eastAsia="zh-CN"/>
                    </w:rPr>
                    <w:t>《医疗机构水污染物排放标准》（GB18466-2005）</w:t>
                  </w:r>
                  <w:r>
                    <w:rPr>
                      <w:rFonts w:hint="eastAsia"/>
                      <w:b w:val="0"/>
                      <w:bCs w:val="0"/>
                      <w:color w:val="auto"/>
                      <w:spacing w:val="0"/>
                      <w:sz w:val="21"/>
                      <w:szCs w:val="21"/>
                      <w:highlight w:val="none"/>
                      <w:vertAlign w:val="baseline"/>
                      <w:lang w:val="en-US" w:eastAsia="zh-CN"/>
                    </w:rPr>
                    <w:t>中“表2 综合医疗机构和其他医疗机构水污染物排放限值（日均值）”中“预处理标准”限值</w:t>
                  </w:r>
                </w:p>
              </w:tc>
              <w:tc>
                <w:tcPr>
                  <w:tcW w:w="1101" w:type="dxa"/>
                  <w:vMerge w:val="restart"/>
                  <w:tcBorders>
                    <w:tl2br w:val="nil"/>
                    <w:tr2bl w:val="nil"/>
                  </w:tcBorders>
                  <w:vAlign w:val="center"/>
                </w:tcPr>
                <w:p w14:paraId="3AE461A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委托有资质监测单位</w:t>
                  </w:r>
                </w:p>
              </w:tc>
            </w:tr>
            <w:tr w14:paraId="7B77DFB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22" w:type="dxa"/>
                  <w:vMerge w:val="continue"/>
                  <w:tcBorders>
                    <w:tl2br w:val="nil"/>
                    <w:tr2bl w:val="nil"/>
                  </w:tcBorders>
                  <w:vAlign w:val="center"/>
                </w:tcPr>
                <w:p w14:paraId="4D7EE03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p>
              </w:tc>
              <w:tc>
                <w:tcPr>
                  <w:tcW w:w="1770" w:type="dxa"/>
                  <w:tcBorders>
                    <w:tl2br w:val="nil"/>
                    <w:tr2bl w:val="nil"/>
                  </w:tcBorders>
                  <w:vAlign w:val="center"/>
                </w:tcPr>
                <w:p w14:paraId="4328C14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CODcr、SS</w:t>
                  </w:r>
                </w:p>
              </w:tc>
              <w:tc>
                <w:tcPr>
                  <w:tcW w:w="1305" w:type="dxa"/>
                  <w:tcBorders>
                    <w:tl2br w:val="nil"/>
                    <w:tr2bl w:val="nil"/>
                  </w:tcBorders>
                  <w:vAlign w:val="center"/>
                </w:tcPr>
                <w:p w14:paraId="4A7458C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1次/周</w:t>
                  </w:r>
                </w:p>
              </w:tc>
              <w:tc>
                <w:tcPr>
                  <w:tcW w:w="3015" w:type="dxa"/>
                  <w:vMerge w:val="continue"/>
                  <w:tcBorders>
                    <w:tl2br w:val="nil"/>
                    <w:tr2bl w:val="nil"/>
                  </w:tcBorders>
                  <w:vAlign w:val="center"/>
                </w:tcPr>
                <w:p w14:paraId="3860D0A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p>
              </w:tc>
              <w:tc>
                <w:tcPr>
                  <w:tcW w:w="1101" w:type="dxa"/>
                  <w:vMerge w:val="continue"/>
                  <w:tcBorders>
                    <w:tl2br w:val="nil"/>
                    <w:tr2bl w:val="nil"/>
                  </w:tcBorders>
                  <w:vAlign w:val="center"/>
                </w:tcPr>
                <w:p w14:paraId="7A8C18B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p>
              </w:tc>
            </w:tr>
            <w:tr w14:paraId="49D8CAF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22" w:type="dxa"/>
                  <w:vMerge w:val="continue"/>
                  <w:tcBorders>
                    <w:tl2br w:val="nil"/>
                    <w:tr2bl w:val="nil"/>
                  </w:tcBorders>
                  <w:vAlign w:val="center"/>
                </w:tcPr>
                <w:p w14:paraId="0265B66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p>
              </w:tc>
              <w:tc>
                <w:tcPr>
                  <w:tcW w:w="1770" w:type="dxa"/>
                  <w:tcBorders>
                    <w:tl2br w:val="nil"/>
                    <w:tr2bl w:val="nil"/>
                  </w:tcBorders>
                  <w:vAlign w:val="center"/>
                </w:tcPr>
                <w:p w14:paraId="0B1798A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粪大肠菌群数</w:t>
                  </w:r>
                </w:p>
              </w:tc>
              <w:tc>
                <w:tcPr>
                  <w:tcW w:w="1305" w:type="dxa"/>
                  <w:tcBorders>
                    <w:tl2br w:val="nil"/>
                    <w:tr2bl w:val="nil"/>
                  </w:tcBorders>
                  <w:vAlign w:val="center"/>
                </w:tcPr>
                <w:p w14:paraId="26521EC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1次/月</w:t>
                  </w:r>
                </w:p>
              </w:tc>
              <w:tc>
                <w:tcPr>
                  <w:tcW w:w="3015" w:type="dxa"/>
                  <w:vMerge w:val="continue"/>
                  <w:tcBorders>
                    <w:tl2br w:val="nil"/>
                    <w:tr2bl w:val="nil"/>
                  </w:tcBorders>
                  <w:vAlign w:val="center"/>
                </w:tcPr>
                <w:p w14:paraId="4C0ABCC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p>
              </w:tc>
              <w:tc>
                <w:tcPr>
                  <w:tcW w:w="1101" w:type="dxa"/>
                  <w:vMerge w:val="continue"/>
                  <w:tcBorders>
                    <w:tl2br w:val="nil"/>
                    <w:tr2bl w:val="nil"/>
                  </w:tcBorders>
                  <w:vAlign w:val="center"/>
                </w:tcPr>
                <w:p w14:paraId="5CD2540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p>
              </w:tc>
            </w:tr>
            <w:tr w14:paraId="63D5F04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22" w:type="dxa"/>
                  <w:vMerge w:val="continue"/>
                  <w:tcBorders>
                    <w:tl2br w:val="nil"/>
                    <w:tr2bl w:val="nil"/>
                  </w:tcBorders>
                  <w:vAlign w:val="center"/>
                </w:tcPr>
                <w:p w14:paraId="57656CA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p>
              </w:tc>
              <w:tc>
                <w:tcPr>
                  <w:tcW w:w="1770" w:type="dxa"/>
                  <w:tcBorders>
                    <w:tl2br w:val="nil"/>
                    <w:tr2bl w:val="nil"/>
                  </w:tcBorders>
                  <w:vAlign w:val="center"/>
                </w:tcPr>
                <w:p w14:paraId="300F5F3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BOD</w:t>
                  </w:r>
                  <w:r>
                    <w:rPr>
                      <w:rFonts w:hint="eastAsia"/>
                      <w:b w:val="0"/>
                      <w:bCs w:val="0"/>
                      <w:color w:val="auto"/>
                      <w:spacing w:val="0"/>
                      <w:sz w:val="21"/>
                      <w:szCs w:val="21"/>
                      <w:highlight w:val="none"/>
                      <w:vertAlign w:val="subscript"/>
                      <w:lang w:val="en-US" w:eastAsia="zh-CN"/>
                    </w:rPr>
                    <w:t>5</w:t>
                  </w:r>
                </w:p>
              </w:tc>
              <w:tc>
                <w:tcPr>
                  <w:tcW w:w="1305" w:type="dxa"/>
                  <w:tcBorders>
                    <w:tl2br w:val="nil"/>
                    <w:tr2bl w:val="nil"/>
                  </w:tcBorders>
                  <w:vAlign w:val="center"/>
                </w:tcPr>
                <w:p w14:paraId="29BA20A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1次/季度</w:t>
                  </w:r>
                </w:p>
              </w:tc>
              <w:tc>
                <w:tcPr>
                  <w:tcW w:w="3015" w:type="dxa"/>
                  <w:vMerge w:val="continue"/>
                  <w:tcBorders>
                    <w:tl2br w:val="nil"/>
                    <w:tr2bl w:val="nil"/>
                  </w:tcBorders>
                  <w:vAlign w:val="center"/>
                </w:tcPr>
                <w:p w14:paraId="605CBC3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p>
              </w:tc>
              <w:tc>
                <w:tcPr>
                  <w:tcW w:w="1101" w:type="dxa"/>
                  <w:vMerge w:val="continue"/>
                  <w:tcBorders>
                    <w:tl2br w:val="nil"/>
                    <w:tr2bl w:val="nil"/>
                  </w:tcBorders>
                  <w:vAlign w:val="center"/>
                </w:tcPr>
                <w:p w14:paraId="33961E9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p>
              </w:tc>
            </w:tr>
            <w:tr w14:paraId="2D262AC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22" w:type="dxa"/>
                  <w:vMerge w:val="continue"/>
                  <w:tcBorders>
                    <w:tl2br w:val="nil"/>
                    <w:tr2bl w:val="nil"/>
                  </w:tcBorders>
                  <w:vAlign w:val="center"/>
                </w:tcPr>
                <w:p w14:paraId="062AFE3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p>
              </w:tc>
              <w:tc>
                <w:tcPr>
                  <w:tcW w:w="1770" w:type="dxa"/>
                  <w:tcBorders>
                    <w:tl2br w:val="nil"/>
                    <w:tr2bl w:val="nil"/>
                  </w:tcBorders>
                  <w:vAlign w:val="center"/>
                </w:tcPr>
                <w:p w14:paraId="5E57360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总余氯</w:t>
                  </w:r>
                </w:p>
              </w:tc>
              <w:tc>
                <w:tcPr>
                  <w:tcW w:w="1305" w:type="dxa"/>
                  <w:tcBorders>
                    <w:tl2br w:val="nil"/>
                    <w:tr2bl w:val="nil"/>
                  </w:tcBorders>
                  <w:vAlign w:val="center"/>
                </w:tcPr>
                <w:p w14:paraId="500314B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1次/季度</w:t>
                  </w:r>
                </w:p>
              </w:tc>
              <w:tc>
                <w:tcPr>
                  <w:tcW w:w="3015" w:type="dxa"/>
                  <w:vMerge w:val="continue"/>
                  <w:tcBorders>
                    <w:tl2br w:val="nil"/>
                    <w:tr2bl w:val="nil"/>
                  </w:tcBorders>
                  <w:vAlign w:val="center"/>
                </w:tcPr>
                <w:p w14:paraId="7A6A89D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p>
              </w:tc>
              <w:tc>
                <w:tcPr>
                  <w:tcW w:w="1101" w:type="dxa"/>
                  <w:vMerge w:val="continue"/>
                  <w:tcBorders>
                    <w:tl2br w:val="nil"/>
                    <w:tr2bl w:val="nil"/>
                  </w:tcBorders>
                  <w:vAlign w:val="center"/>
                </w:tcPr>
                <w:p w14:paraId="0717D77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p>
              </w:tc>
            </w:tr>
            <w:tr w14:paraId="5DE41F6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22" w:type="dxa"/>
                  <w:vMerge w:val="continue"/>
                  <w:tcBorders>
                    <w:tl2br w:val="nil"/>
                    <w:tr2bl w:val="nil"/>
                  </w:tcBorders>
                  <w:vAlign w:val="center"/>
                </w:tcPr>
                <w:p w14:paraId="7944F26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p>
              </w:tc>
              <w:tc>
                <w:tcPr>
                  <w:tcW w:w="1770" w:type="dxa"/>
                  <w:tcBorders>
                    <w:tl2br w:val="nil"/>
                    <w:tr2bl w:val="nil"/>
                  </w:tcBorders>
                  <w:vAlign w:val="center"/>
                </w:tcPr>
                <w:p w14:paraId="4C0B50E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氨氮</w:t>
                  </w:r>
                </w:p>
              </w:tc>
              <w:tc>
                <w:tcPr>
                  <w:tcW w:w="1305" w:type="dxa"/>
                  <w:tcBorders>
                    <w:tl2br w:val="nil"/>
                    <w:tr2bl w:val="nil"/>
                  </w:tcBorders>
                  <w:vAlign w:val="center"/>
                </w:tcPr>
                <w:p w14:paraId="4E17232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1次/季度</w:t>
                  </w:r>
                </w:p>
              </w:tc>
              <w:tc>
                <w:tcPr>
                  <w:tcW w:w="3015" w:type="dxa"/>
                  <w:tcBorders>
                    <w:tl2br w:val="nil"/>
                    <w:tr2bl w:val="nil"/>
                  </w:tcBorders>
                  <w:vAlign w:val="center"/>
                </w:tcPr>
                <w:p w14:paraId="50BB599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北京市《水污染综合排放标准》（DB11/307-2013）中“表3 排入公共污水处理系统的水污染物排放限值”</w:t>
                  </w:r>
                </w:p>
              </w:tc>
              <w:tc>
                <w:tcPr>
                  <w:tcW w:w="1101" w:type="dxa"/>
                  <w:vMerge w:val="continue"/>
                  <w:tcBorders>
                    <w:tl2br w:val="nil"/>
                    <w:tr2bl w:val="nil"/>
                  </w:tcBorders>
                  <w:vAlign w:val="center"/>
                </w:tcPr>
                <w:p w14:paraId="12D951A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color w:val="auto"/>
                      <w:spacing w:val="0"/>
                      <w:sz w:val="21"/>
                      <w:szCs w:val="21"/>
                      <w:highlight w:val="none"/>
                      <w:vertAlign w:val="baseline"/>
                      <w:lang w:val="en-US" w:eastAsia="zh-CN"/>
                    </w:rPr>
                  </w:pPr>
                </w:p>
              </w:tc>
            </w:tr>
            <w:tr w14:paraId="15C58DB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22" w:type="dxa"/>
                  <w:tcBorders>
                    <w:tl2br w:val="nil"/>
                    <w:tr2bl w:val="nil"/>
                  </w:tcBorders>
                  <w:vAlign w:val="center"/>
                </w:tcPr>
                <w:p w14:paraId="029B26C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化粪池、污水处理设施</w:t>
                  </w:r>
                </w:p>
              </w:tc>
              <w:tc>
                <w:tcPr>
                  <w:tcW w:w="1770" w:type="dxa"/>
                  <w:tcBorders>
                    <w:tl2br w:val="nil"/>
                    <w:tr2bl w:val="nil"/>
                  </w:tcBorders>
                  <w:vAlign w:val="center"/>
                </w:tcPr>
                <w:p w14:paraId="326F09F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粪大肠菌群数、蛔虫卵死亡率</w:t>
                  </w:r>
                </w:p>
              </w:tc>
              <w:tc>
                <w:tcPr>
                  <w:tcW w:w="1305" w:type="dxa"/>
                  <w:tcBorders>
                    <w:tl2br w:val="nil"/>
                    <w:tr2bl w:val="nil"/>
                  </w:tcBorders>
                  <w:vAlign w:val="center"/>
                </w:tcPr>
                <w:p w14:paraId="2DDF40A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污泥清掏前</w:t>
                  </w:r>
                </w:p>
              </w:tc>
              <w:tc>
                <w:tcPr>
                  <w:tcW w:w="3015" w:type="dxa"/>
                  <w:tcBorders>
                    <w:tl2br w:val="nil"/>
                    <w:tr2bl w:val="nil"/>
                  </w:tcBorders>
                  <w:vAlign w:val="center"/>
                </w:tcPr>
                <w:p w14:paraId="7A1653D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color w:val="auto"/>
                      <w:spacing w:val="0"/>
                      <w:sz w:val="21"/>
                      <w:szCs w:val="21"/>
                      <w:highlight w:val="none"/>
                      <w:vertAlign w:val="baseline"/>
                      <w:lang w:val="en-US" w:eastAsia="zh-CN"/>
                    </w:rPr>
                  </w:pPr>
                  <w:r>
                    <w:rPr>
                      <w:rFonts w:hint="default"/>
                      <w:b w:val="0"/>
                      <w:bCs w:val="0"/>
                      <w:color w:val="auto"/>
                      <w:spacing w:val="0"/>
                      <w:sz w:val="21"/>
                      <w:szCs w:val="21"/>
                      <w:highlight w:val="none"/>
                      <w:vertAlign w:val="baseline"/>
                      <w:lang w:val="en-US" w:eastAsia="zh-CN"/>
                    </w:rPr>
                    <w:t>《医疗机构水污染物排放标准》（GB18466-2005）</w:t>
                  </w:r>
                </w:p>
              </w:tc>
              <w:tc>
                <w:tcPr>
                  <w:tcW w:w="1101" w:type="dxa"/>
                  <w:vMerge w:val="continue"/>
                  <w:tcBorders>
                    <w:tl2br w:val="nil"/>
                    <w:tr2bl w:val="nil"/>
                  </w:tcBorders>
                  <w:vAlign w:val="center"/>
                </w:tcPr>
                <w:p w14:paraId="5B0751B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color w:val="auto"/>
                      <w:spacing w:val="0"/>
                      <w:sz w:val="21"/>
                      <w:szCs w:val="21"/>
                      <w:highlight w:val="none"/>
                      <w:vertAlign w:val="baseline"/>
                      <w:lang w:val="en-US" w:eastAsia="zh-CN"/>
                    </w:rPr>
                  </w:pPr>
                </w:p>
              </w:tc>
            </w:tr>
          </w:tbl>
          <w:p w14:paraId="1344EBD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rPr>
                <w:rFonts w:hint="default"/>
                <w:b w:val="0"/>
                <w:bCs w:val="0"/>
                <w:color w:val="auto"/>
                <w:spacing w:val="0"/>
                <w:sz w:val="24"/>
                <w:highlight w:val="yellow"/>
                <w:lang w:val="en-US" w:eastAsia="zh-CN"/>
              </w:rPr>
            </w:pPr>
            <w:r>
              <w:rPr>
                <w:rFonts w:hint="eastAsia"/>
                <w:b/>
                <w:bCs/>
                <w:color w:val="auto"/>
                <w:spacing w:val="0"/>
                <w:sz w:val="24"/>
                <w:highlight w:val="none"/>
                <w:lang w:val="en-US" w:eastAsia="zh-CN"/>
              </w:rPr>
              <w:t>3、噪声环境影响分析</w:t>
            </w:r>
          </w:p>
          <w:p w14:paraId="3B97AE1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0"/>
                <w:sz w:val="24"/>
                <w:highlight w:val="none"/>
                <w:lang w:val="en-US" w:eastAsia="zh-CN"/>
              </w:rPr>
            </w:pPr>
            <w:r>
              <w:rPr>
                <w:rFonts w:hint="eastAsia"/>
                <w:b w:val="0"/>
                <w:bCs w:val="0"/>
                <w:color w:val="auto"/>
                <w:spacing w:val="0"/>
                <w:sz w:val="24"/>
                <w:highlight w:val="none"/>
                <w:lang w:val="en-US" w:eastAsia="zh-CN"/>
              </w:rPr>
              <w:t>（1）噪声源强及防治措施</w:t>
            </w:r>
          </w:p>
          <w:p w14:paraId="6922399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0"/>
                <w:sz w:val="24"/>
                <w:highlight w:val="none"/>
                <w:lang w:val="en-US" w:eastAsia="zh-CN"/>
              </w:rPr>
            </w:pPr>
            <w:r>
              <w:rPr>
                <w:rFonts w:hint="eastAsia"/>
                <w:b w:val="0"/>
                <w:bCs w:val="0"/>
                <w:color w:val="auto"/>
                <w:spacing w:val="0"/>
                <w:sz w:val="24"/>
                <w:highlight w:val="none"/>
                <w:lang w:val="en-US" w:eastAsia="zh-CN"/>
              </w:rPr>
              <w:t>本项目诊疗设备噪声源强较小，运营期噪声设备源主要为污水处理设施配套的水泵以及空调外挂机运行过程产生的噪声。为减少设备噪声对周围声环境的影响，对噪声源采取的措施包括：优先选择低噪声生产设备，并加强设备的维护和管理；噪声设备合理布局；诊疗设备、污水消毒设施均安装在室内；墙体采用吸音棉等墙体隔声措施；窗户均设置双层隔音玻璃，运营期间关闭门窗。</w:t>
            </w:r>
          </w:p>
          <w:p w14:paraId="2C77926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0"/>
                <w:sz w:val="24"/>
                <w:highlight w:val="none"/>
                <w:lang w:val="en-US" w:eastAsia="zh-CN"/>
              </w:rPr>
            </w:pPr>
            <w:r>
              <w:rPr>
                <w:rFonts w:hint="eastAsia"/>
                <w:b w:val="0"/>
                <w:bCs w:val="0"/>
                <w:color w:val="auto"/>
                <w:spacing w:val="0"/>
                <w:sz w:val="24"/>
                <w:highlight w:val="none"/>
                <w:lang w:val="en-US" w:eastAsia="zh-CN"/>
              </w:rPr>
              <w:t>本项目主要噪声源及源强见下表。</w:t>
            </w:r>
          </w:p>
          <w:p w14:paraId="3936A7F0">
            <w:pPr>
              <w:pStyle w:val="31"/>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表4-10 主要设备噪声源强</w:t>
            </w:r>
          </w:p>
          <w:tbl>
            <w:tblPr>
              <w:tblStyle w:val="13"/>
              <w:tblW w:w="8514"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62"/>
              <w:gridCol w:w="1503"/>
              <w:gridCol w:w="1530"/>
              <w:gridCol w:w="772"/>
              <w:gridCol w:w="971"/>
              <w:gridCol w:w="1146"/>
              <w:gridCol w:w="923"/>
              <w:gridCol w:w="1107"/>
            </w:tblGrid>
            <w:tr w14:paraId="388E248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2" w:type="dxa"/>
                  <w:tcBorders>
                    <w:tl2br w:val="nil"/>
                    <w:tr2bl w:val="nil"/>
                  </w:tcBorders>
                  <w:vAlign w:val="center"/>
                </w:tcPr>
                <w:p w14:paraId="0F900A1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序号</w:t>
                  </w:r>
                </w:p>
              </w:tc>
              <w:tc>
                <w:tcPr>
                  <w:tcW w:w="1503" w:type="dxa"/>
                  <w:tcBorders>
                    <w:tl2br w:val="nil"/>
                    <w:tr2bl w:val="nil"/>
                  </w:tcBorders>
                  <w:vAlign w:val="center"/>
                </w:tcPr>
                <w:p w14:paraId="2112E10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噪声源</w:t>
                  </w:r>
                </w:p>
              </w:tc>
              <w:tc>
                <w:tcPr>
                  <w:tcW w:w="1530" w:type="dxa"/>
                  <w:tcBorders>
                    <w:tl2br w:val="nil"/>
                    <w:tr2bl w:val="nil"/>
                  </w:tcBorders>
                  <w:vAlign w:val="center"/>
                </w:tcPr>
                <w:p w14:paraId="3991241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位置</w:t>
                  </w:r>
                </w:p>
              </w:tc>
              <w:tc>
                <w:tcPr>
                  <w:tcW w:w="772" w:type="dxa"/>
                  <w:tcBorders>
                    <w:tl2br w:val="nil"/>
                    <w:tr2bl w:val="nil"/>
                  </w:tcBorders>
                  <w:vAlign w:val="center"/>
                </w:tcPr>
                <w:p w14:paraId="1F3ABDB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数量（台）</w:t>
                  </w:r>
                </w:p>
              </w:tc>
              <w:tc>
                <w:tcPr>
                  <w:tcW w:w="971" w:type="dxa"/>
                  <w:tcBorders>
                    <w:tl2br w:val="nil"/>
                    <w:tr2bl w:val="nil"/>
                  </w:tcBorders>
                  <w:vAlign w:val="center"/>
                </w:tcPr>
                <w:p w14:paraId="5CC43F5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单台产生强度dB(A)</w:t>
                  </w:r>
                </w:p>
              </w:tc>
              <w:tc>
                <w:tcPr>
                  <w:tcW w:w="1146" w:type="dxa"/>
                  <w:tcBorders>
                    <w:tl2br w:val="nil"/>
                    <w:tr2bl w:val="nil"/>
                  </w:tcBorders>
                  <w:vAlign w:val="center"/>
                </w:tcPr>
                <w:p w14:paraId="24E1E75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降噪</w:t>
                  </w:r>
                </w:p>
                <w:p w14:paraId="6B2B027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措施</w:t>
                  </w:r>
                </w:p>
              </w:tc>
              <w:tc>
                <w:tcPr>
                  <w:tcW w:w="923" w:type="dxa"/>
                  <w:tcBorders>
                    <w:tl2br w:val="nil"/>
                    <w:tr2bl w:val="nil"/>
                  </w:tcBorders>
                  <w:vAlign w:val="center"/>
                </w:tcPr>
                <w:p w14:paraId="1502E2A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单台排放强度dB(A)</w:t>
                  </w:r>
                </w:p>
              </w:tc>
              <w:tc>
                <w:tcPr>
                  <w:tcW w:w="1107" w:type="dxa"/>
                  <w:tcBorders>
                    <w:tl2br w:val="nil"/>
                    <w:tr2bl w:val="nil"/>
                  </w:tcBorders>
                  <w:vAlign w:val="center"/>
                </w:tcPr>
                <w:p w14:paraId="61EAEAF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持续</w:t>
                  </w:r>
                </w:p>
                <w:p w14:paraId="5FA0B64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时间</w:t>
                  </w:r>
                </w:p>
              </w:tc>
            </w:tr>
            <w:tr w14:paraId="5321F06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2" w:type="dxa"/>
                  <w:tcBorders>
                    <w:tl2br w:val="nil"/>
                    <w:tr2bl w:val="nil"/>
                  </w:tcBorders>
                  <w:shd w:val="clear" w:color="auto" w:fill="auto"/>
                  <w:vAlign w:val="center"/>
                </w:tcPr>
                <w:p w14:paraId="3C581B9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w:t>
                  </w:r>
                </w:p>
              </w:tc>
              <w:tc>
                <w:tcPr>
                  <w:tcW w:w="1503" w:type="dxa"/>
                  <w:tcBorders>
                    <w:tl2br w:val="nil"/>
                    <w:tr2bl w:val="nil"/>
                  </w:tcBorders>
                  <w:vAlign w:val="center"/>
                </w:tcPr>
                <w:p w14:paraId="1F2856A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水处理加药泵</w:t>
                  </w:r>
                </w:p>
              </w:tc>
              <w:tc>
                <w:tcPr>
                  <w:tcW w:w="1530" w:type="dxa"/>
                  <w:tcBorders>
                    <w:tl2br w:val="nil"/>
                    <w:tr2bl w:val="nil"/>
                  </w:tcBorders>
                  <w:vAlign w:val="center"/>
                </w:tcPr>
                <w:p w14:paraId="63AAA17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设备机房</w:t>
                  </w:r>
                </w:p>
              </w:tc>
              <w:tc>
                <w:tcPr>
                  <w:tcW w:w="772" w:type="dxa"/>
                  <w:tcBorders>
                    <w:tl2br w:val="nil"/>
                    <w:tr2bl w:val="nil"/>
                  </w:tcBorders>
                  <w:vAlign w:val="center"/>
                </w:tcPr>
                <w:p w14:paraId="18551A4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w:t>
                  </w:r>
                </w:p>
              </w:tc>
              <w:tc>
                <w:tcPr>
                  <w:tcW w:w="971" w:type="dxa"/>
                  <w:tcBorders>
                    <w:tl2br w:val="nil"/>
                    <w:tr2bl w:val="nil"/>
                  </w:tcBorders>
                  <w:vAlign w:val="center"/>
                </w:tcPr>
                <w:p w14:paraId="6B63494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70</w:t>
                  </w:r>
                </w:p>
              </w:tc>
              <w:tc>
                <w:tcPr>
                  <w:tcW w:w="1146" w:type="dxa"/>
                  <w:vMerge w:val="restart"/>
                  <w:tcBorders>
                    <w:tl2br w:val="nil"/>
                    <w:tr2bl w:val="nil"/>
                  </w:tcBorders>
                  <w:vAlign w:val="center"/>
                </w:tcPr>
                <w:p w14:paraId="5188625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sz w:val="21"/>
                      <w:szCs w:val="21"/>
                      <w:vertAlign w:val="baseline"/>
                      <w:lang w:val="en-US" w:eastAsia="zh-CN"/>
                    </w:rPr>
                  </w:pPr>
                  <w:r>
                    <w:rPr>
                      <w:rFonts w:hint="default"/>
                      <w:sz w:val="21"/>
                      <w:szCs w:val="21"/>
                      <w:vertAlign w:val="baseline"/>
                      <w:lang w:val="en-US" w:eastAsia="zh-CN"/>
                    </w:rPr>
                    <w:t>选用低噪声设备、基础减振</w:t>
                  </w:r>
                </w:p>
              </w:tc>
              <w:tc>
                <w:tcPr>
                  <w:tcW w:w="923" w:type="dxa"/>
                  <w:tcBorders>
                    <w:tl2br w:val="nil"/>
                    <w:tr2bl w:val="nil"/>
                  </w:tcBorders>
                  <w:vAlign w:val="center"/>
                </w:tcPr>
                <w:p w14:paraId="37D07BA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50</w:t>
                  </w:r>
                </w:p>
              </w:tc>
              <w:tc>
                <w:tcPr>
                  <w:tcW w:w="1107" w:type="dxa"/>
                  <w:tcBorders>
                    <w:tl2br w:val="nil"/>
                    <w:tr2bl w:val="nil"/>
                  </w:tcBorders>
                  <w:vAlign w:val="center"/>
                </w:tcPr>
                <w:p w14:paraId="30B9F4D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1h/d</w:t>
                  </w:r>
                </w:p>
                <w:p w14:paraId="635247A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365d/a</w:t>
                  </w:r>
                </w:p>
              </w:tc>
            </w:tr>
            <w:tr w14:paraId="3FE69B3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2" w:type="dxa"/>
                  <w:tcBorders>
                    <w:tl2br w:val="nil"/>
                    <w:tr2bl w:val="nil"/>
                  </w:tcBorders>
                  <w:shd w:val="clear" w:color="auto" w:fill="auto"/>
                  <w:vAlign w:val="center"/>
                </w:tcPr>
                <w:p w14:paraId="1E27C44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w:t>
                  </w:r>
                </w:p>
              </w:tc>
              <w:tc>
                <w:tcPr>
                  <w:tcW w:w="1503" w:type="dxa"/>
                  <w:tcBorders>
                    <w:tl2br w:val="nil"/>
                    <w:tr2bl w:val="nil"/>
                  </w:tcBorders>
                  <w:vAlign w:val="center"/>
                </w:tcPr>
                <w:p w14:paraId="732DEC3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污水处理设施</w:t>
                  </w:r>
                </w:p>
              </w:tc>
              <w:tc>
                <w:tcPr>
                  <w:tcW w:w="1530" w:type="dxa"/>
                  <w:tcBorders>
                    <w:tl2br w:val="nil"/>
                    <w:tr2bl w:val="nil"/>
                  </w:tcBorders>
                  <w:vAlign w:val="center"/>
                </w:tcPr>
                <w:p w14:paraId="3383EDD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医院南侧地下</w:t>
                  </w:r>
                </w:p>
              </w:tc>
              <w:tc>
                <w:tcPr>
                  <w:tcW w:w="772" w:type="dxa"/>
                  <w:tcBorders>
                    <w:tl2br w:val="nil"/>
                    <w:tr2bl w:val="nil"/>
                  </w:tcBorders>
                  <w:vAlign w:val="center"/>
                </w:tcPr>
                <w:p w14:paraId="09B17D1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w:t>
                  </w:r>
                </w:p>
              </w:tc>
              <w:tc>
                <w:tcPr>
                  <w:tcW w:w="971" w:type="dxa"/>
                  <w:tcBorders>
                    <w:tl2br w:val="nil"/>
                    <w:tr2bl w:val="nil"/>
                  </w:tcBorders>
                  <w:vAlign w:val="center"/>
                </w:tcPr>
                <w:p w14:paraId="7D95E3E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70</w:t>
                  </w:r>
                </w:p>
              </w:tc>
              <w:tc>
                <w:tcPr>
                  <w:tcW w:w="1146" w:type="dxa"/>
                  <w:vMerge w:val="continue"/>
                  <w:tcBorders>
                    <w:tl2br w:val="nil"/>
                    <w:tr2bl w:val="nil"/>
                  </w:tcBorders>
                  <w:vAlign w:val="center"/>
                </w:tcPr>
                <w:p w14:paraId="226B57E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sz w:val="21"/>
                      <w:szCs w:val="21"/>
                      <w:vertAlign w:val="baseline"/>
                      <w:lang w:val="en-US" w:eastAsia="zh-CN"/>
                    </w:rPr>
                  </w:pPr>
                </w:p>
              </w:tc>
              <w:tc>
                <w:tcPr>
                  <w:tcW w:w="923" w:type="dxa"/>
                  <w:tcBorders>
                    <w:tl2br w:val="nil"/>
                    <w:tr2bl w:val="nil"/>
                  </w:tcBorders>
                  <w:vAlign w:val="center"/>
                </w:tcPr>
                <w:p w14:paraId="6DC7C1E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50</w:t>
                  </w:r>
                </w:p>
              </w:tc>
              <w:tc>
                <w:tcPr>
                  <w:tcW w:w="1107" w:type="dxa"/>
                  <w:tcBorders>
                    <w:tl2br w:val="nil"/>
                    <w:tr2bl w:val="nil"/>
                  </w:tcBorders>
                  <w:vAlign w:val="center"/>
                </w:tcPr>
                <w:p w14:paraId="72676BB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24h/d</w:t>
                  </w:r>
                </w:p>
                <w:p w14:paraId="2DC90D1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365d/a</w:t>
                  </w:r>
                </w:p>
              </w:tc>
            </w:tr>
            <w:tr w14:paraId="30B80A9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2" w:type="dxa"/>
                  <w:tcBorders>
                    <w:tl2br w:val="nil"/>
                    <w:tr2bl w:val="nil"/>
                  </w:tcBorders>
                  <w:shd w:val="clear" w:color="auto" w:fill="auto"/>
                  <w:vAlign w:val="center"/>
                </w:tcPr>
                <w:p w14:paraId="5A633DD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w:t>
                  </w:r>
                </w:p>
              </w:tc>
              <w:tc>
                <w:tcPr>
                  <w:tcW w:w="1503" w:type="dxa"/>
                  <w:tcBorders>
                    <w:tl2br w:val="nil"/>
                    <w:tr2bl w:val="nil"/>
                  </w:tcBorders>
                  <w:vAlign w:val="center"/>
                </w:tcPr>
                <w:p w14:paraId="52B93A5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单体空调外机</w:t>
                  </w:r>
                </w:p>
              </w:tc>
              <w:tc>
                <w:tcPr>
                  <w:tcW w:w="1530" w:type="dxa"/>
                  <w:tcBorders>
                    <w:tl2br w:val="nil"/>
                    <w:tr2bl w:val="nil"/>
                  </w:tcBorders>
                  <w:vAlign w:val="center"/>
                </w:tcPr>
                <w:p w14:paraId="36E816A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医院北侧楼外</w:t>
                  </w:r>
                </w:p>
              </w:tc>
              <w:tc>
                <w:tcPr>
                  <w:tcW w:w="772" w:type="dxa"/>
                  <w:tcBorders>
                    <w:tl2br w:val="nil"/>
                    <w:tr2bl w:val="nil"/>
                  </w:tcBorders>
                  <w:vAlign w:val="center"/>
                </w:tcPr>
                <w:p w14:paraId="0179AA8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1</w:t>
                  </w:r>
                </w:p>
              </w:tc>
              <w:tc>
                <w:tcPr>
                  <w:tcW w:w="971" w:type="dxa"/>
                  <w:tcBorders>
                    <w:tl2br w:val="nil"/>
                    <w:tr2bl w:val="nil"/>
                  </w:tcBorders>
                  <w:vAlign w:val="center"/>
                </w:tcPr>
                <w:p w14:paraId="4C38712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65</w:t>
                  </w:r>
                </w:p>
              </w:tc>
              <w:tc>
                <w:tcPr>
                  <w:tcW w:w="1146" w:type="dxa"/>
                  <w:vMerge w:val="continue"/>
                  <w:tcBorders>
                    <w:tl2br w:val="nil"/>
                    <w:tr2bl w:val="nil"/>
                  </w:tcBorders>
                  <w:vAlign w:val="center"/>
                </w:tcPr>
                <w:p w14:paraId="76782D5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sz w:val="21"/>
                      <w:szCs w:val="21"/>
                      <w:vertAlign w:val="baseline"/>
                      <w:lang w:val="en-US" w:eastAsia="zh-CN"/>
                    </w:rPr>
                  </w:pPr>
                </w:p>
              </w:tc>
              <w:tc>
                <w:tcPr>
                  <w:tcW w:w="923" w:type="dxa"/>
                  <w:tcBorders>
                    <w:tl2br w:val="nil"/>
                    <w:tr2bl w:val="nil"/>
                  </w:tcBorders>
                  <w:vAlign w:val="center"/>
                </w:tcPr>
                <w:p w14:paraId="0FD029D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45</w:t>
                  </w:r>
                </w:p>
              </w:tc>
              <w:tc>
                <w:tcPr>
                  <w:tcW w:w="1107" w:type="dxa"/>
                  <w:tcBorders>
                    <w:tl2br w:val="nil"/>
                    <w:tr2bl w:val="nil"/>
                  </w:tcBorders>
                  <w:vAlign w:val="center"/>
                </w:tcPr>
                <w:p w14:paraId="2499111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24h/d</w:t>
                  </w:r>
                </w:p>
                <w:p w14:paraId="684ED0E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90d/a</w:t>
                  </w:r>
                </w:p>
              </w:tc>
            </w:tr>
            <w:tr w14:paraId="0540522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14" w:type="dxa"/>
                  <w:gridSpan w:val="8"/>
                  <w:vAlign w:val="center"/>
                </w:tcPr>
                <w:p w14:paraId="4C61B69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default"/>
                      <w:sz w:val="21"/>
                      <w:szCs w:val="21"/>
                      <w:vertAlign w:val="baseline"/>
                      <w:lang w:val="en-US" w:eastAsia="zh-CN"/>
                    </w:rPr>
                  </w:pPr>
                  <w:r>
                    <w:rPr>
                      <w:rFonts w:hint="eastAsia"/>
                      <w:sz w:val="21"/>
                      <w:szCs w:val="21"/>
                      <w:vertAlign w:val="baseline"/>
                      <w:lang w:val="en-US" w:eastAsia="zh-CN"/>
                    </w:rPr>
                    <w:t>注：本项目无夜间运行</w:t>
                  </w:r>
                </w:p>
              </w:tc>
            </w:tr>
          </w:tbl>
          <w:p w14:paraId="69C6B59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0"/>
                <w:sz w:val="24"/>
                <w:highlight w:val="none"/>
                <w:lang w:val="en-US" w:eastAsia="zh-CN"/>
              </w:rPr>
            </w:pPr>
            <w:r>
              <w:rPr>
                <w:rFonts w:hint="eastAsia"/>
                <w:b w:val="0"/>
                <w:bCs w:val="0"/>
                <w:color w:val="auto"/>
                <w:spacing w:val="0"/>
                <w:sz w:val="24"/>
                <w:highlight w:val="none"/>
                <w:lang w:val="en-US" w:eastAsia="zh-CN"/>
              </w:rPr>
              <w:t>（2）预测模式及结果分析</w:t>
            </w:r>
          </w:p>
          <w:p w14:paraId="55A433A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0"/>
                <w:sz w:val="24"/>
                <w:highlight w:val="none"/>
                <w:lang w:val="en-US" w:eastAsia="zh-CN"/>
              </w:rPr>
            </w:pPr>
            <w:r>
              <w:rPr>
                <w:rFonts w:hint="eastAsia"/>
                <w:b w:val="0"/>
                <w:bCs w:val="0"/>
                <w:color w:val="auto"/>
                <w:spacing w:val="0"/>
                <w:sz w:val="24"/>
                <w:highlight w:val="none"/>
                <w:lang w:val="en-US" w:eastAsia="zh-CN"/>
              </w:rPr>
              <w:t>本项目噪声预测采用《环境影响评价技术导则 声环境》（HJ2.4-2.21）中推荐的预测模式：</w:t>
            </w:r>
          </w:p>
          <w:p w14:paraId="5B68C14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0"/>
                <w:sz w:val="24"/>
                <w:highlight w:val="none"/>
                <w:lang w:val="en-US" w:eastAsia="zh-CN"/>
              </w:rPr>
            </w:pPr>
            <w:r>
              <w:rPr>
                <w:rFonts w:hint="eastAsia"/>
                <w:b w:val="0"/>
                <w:bCs w:val="0"/>
                <w:color w:val="auto"/>
                <w:spacing w:val="0"/>
                <w:sz w:val="24"/>
                <w:highlight w:val="none"/>
                <w:lang w:val="en-US" w:eastAsia="zh-CN"/>
              </w:rPr>
              <w:t>①室内声源等效室外声源声功率级</w:t>
            </w:r>
          </w:p>
          <w:p w14:paraId="1580222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eastAsia="宋体"/>
                <w:b w:val="0"/>
                <w:bCs w:val="0"/>
                <w:color w:val="auto"/>
                <w:spacing w:val="0"/>
                <w:sz w:val="24"/>
                <w:highlight w:val="none"/>
                <w:lang w:val="en-US" w:eastAsia="zh-CN"/>
              </w:rPr>
            </w:pPr>
            <m:oMathPara>
              <m:oMath>
                <m:sSub>
                  <m:sSubPr>
                    <m:ctrlPr>
                      <w:rPr>
                        <w:rFonts w:hint="default" w:ascii="Cambria Math" w:hAnsi="Cambria Math"/>
                        <w:bCs w:val="0"/>
                        <w:i/>
                        <w:color w:val="auto"/>
                        <w:spacing w:val="0"/>
                        <w:sz w:val="24"/>
                        <w:highlight w:val="none"/>
                        <w:lang w:val="en-US"/>
                      </w:rPr>
                    </m:ctrlPr>
                  </m:sSubPr>
                  <m:e>
                    <m:r>
                      <m:rPr/>
                      <w:rPr>
                        <w:rFonts w:hint="default" w:ascii="Cambria Math" w:hAnsi="Cambria Math"/>
                        <w:color w:val="auto"/>
                        <w:spacing w:val="0"/>
                        <w:sz w:val="24"/>
                        <w:highlight w:val="none"/>
                        <w:lang w:val="en-US" w:eastAsia="zh-CN"/>
                      </w:rPr>
                      <m:t>L</m:t>
                    </m:r>
                    <m:ctrlPr>
                      <w:rPr>
                        <w:rFonts w:hint="default" w:ascii="Cambria Math" w:hAnsi="Cambria Math"/>
                        <w:bCs w:val="0"/>
                        <w:i/>
                        <w:color w:val="auto"/>
                        <w:spacing w:val="0"/>
                        <w:sz w:val="24"/>
                        <w:highlight w:val="none"/>
                        <w:lang w:val="en-US"/>
                      </w:rPr>
                    </m:ctrlPr>
                  </m:e>
                  <m:sub>
                    <m:r>
                      <m:rPr/>
                      <w:rPr>
                        <w:rFonts w:hint="default" w:ascii="Cambria Math" w:hAnsi="Cambria Math"/>
                        <w:color w:val="auto"/>
                        <w:spacing w:val="0"/>
                        <w:sz w:val="24"/>
                        <w:highlight w:val="none"/>
                        <w:lang w:val="en-US" w:eastAsia="zh-CN"/>
                      </w:rPr>
                      <m:t>p2</m:t>
                    </m:r>
                    <m:ctrlPr>
                      <w:rPr>
                        <w:rFonts w:hint="default" w:ascii="Cambria Math" w:hAnsi="Cambria Math"/>
                        <w:bCs w:val="0"/>
                        <w:i/>
                        <w:color w:val="auto"/>
                        <w:spacing w:val="0"/>
                        <w:sz w:val="24"/>
                        <w:highlight w:val="none"/>
                        <w:lang w:val="en-US"/>
                      </w:rPr>
                    </m:ctrlPr>
                  </m:sub>
                </m:sSub>
                <m:r>
                  <m:rPr/>
                  <w:rPr>
                    <w:rFonts w:hint="default" w:ascii="Cambria Math" w:hAnsi="Cambria Math"/>
                    <w:color w:val="auto"/>
                    <w:spacing w:val="0"/>
                    <w:sz w:val="24"/>
                    <w:highlight w:val="none"/>
                    <w:lang w:val="en-US" w:eastAsia="zh-CN"/>
                  </w:rPr>
                  <m:t>=</m:t>
                </m:r>
                <m:sSub>
                  <m:sSubPr>
                    <m:ctrlPr>
                      <w:rPr>
                        <w:rFonts w:hint="default" w:ascii="Cambria Math" w:hAnsi="Cambria Math"/>
                        <w:bCs w:val="0"/>
                        <w:i/>
                        <w:color w:val="auto"/>
                        <w:spacing w:val="0"/>
                        <w:sz w:val="24"/>
                        <w:highlight w:val="none"/>
                        <w:lang w:val="en-US" w:eastAsia="zh-CN"/>
                      </w:rPr>
                    </m:ctrlPr>
                  </m:sSubPr>
                  <m:e>
                    <m:r>
                      <m:rPr/>
                      <w:rPr>
                        <w:rFonts w:hint="default" w:ascii="Cambria Math" w:hAnsi="Cambria Math"/>
                        <w:color w:val="auto"/>
                        <w:spacing w:val="0"/>
                        <w:sz w:val="24"/>
                        <w:highlight w:val="none"/>
                        <w:lang w:val="en-US" w:eastAsia="zh-CN"/>
                      </w:rPr>
                      <m:t>L</m:t>
                    </m:r>
                    <m:ctrlPr>
                      <w:rPr>
                        <w:rFonts w:hint="default" w:ascii="Cambria Math" w:hAnsi="Cambria Math"/>
                        <w:bCs w:val="0"/>
                        <w:i/>
                        <w:color w:val="auto"/>
                        <w:spacing w:val="0"/>
                        <w:sz w:val="24"/>
                        <w:highlight w:val="none"/>
                        <w:lang w:val="en-US" w:eastAsia="zh-CN"/>
                      </w:rPr>
                    </m:ctrlPr>
                  </m:e>
                  <m:sub>
                    <m:r>
                      <m:rPr/>
                      <w:rPr>
                        <w:rFonts w:hint="default" w:ascii="Cambria Math" w:hAnsi="Cambria Math"/>
                        <w:color w:val="auto"/>
                        <w:spacing w:val="0"/>
                        <w:sz w:val="24"/>
                        <w:highlight w:val="none"/>
                        <w:lang w:val="en-US" w:eastAsia="zh-CN"/>
                      </w:rPr>
                      <m:t>p1</m:t>
                    </m:r>
                    <m:ctrlPr>
                      <w:rPr>
                        <w:rFonts w:hint="default" w:ascii="Cambria Math" w:hAnsi="Cambria Math"/>
                        <w:bCs w:val="0"/>
                        <w:i/>
                        <w:color w:val="auto"/>
                        <w:spacing w:val="0"/>
                        <w:sz w:val="24"/>
                        <w:highlight w:val="none"/>
                        <w:lang w:val="en-US" w:eastAsia="zh-CN"/>
                      </w:rPr>
                    </m:ctrlPr>
                  </m:sub>
                </m:sSub>
                <m:r>
                  <m:rPr/>
                  <w:rPr>
                    <w:rFonts w:hint="default" w:ascii="Cambria Math" w:hAnsi="Cambria Math"/>
                    <w:color w:val="auto"/>
                    <w:spacing w:val="0"/>
                    <w:sz w:val="24"/>
                    <w:highlight w:val="none"/>
                    <w:lang w:val="en-US" w:eastAsia="zh-CN"/>
                  </w:rPr>
                  <m:t>−</m:t>
                </m:r>
                <m:d>
                  <m:dPr>
                    <m:ctrlPr>
                      <w:rPr>
                        <w:rFonts w:hint="default" w:ascii="Cambria Math" w:hAnsi="Cambria Math"/>
                        <w:bCs w:val="0"/>
                        <w:i/>
                        <w:color w:val="auto"/>
                        <w:spacing w:val="0"/>
                        <w:sz w:val="24"/>
                        <w:highlight w:val="none"/>
                        <w:lang w:val="en-US" w:eastAsia="zh-CN"/>
                      </w:rPr>
                    </m:ctrlPr>
                  </m:dPr>
                  <m:e>
                    <m:r>
                      <m:rPr/>
                      <w:rPr>
                        <w:rFonts w:hint="default" w:ascii="Cambria Math" w:hAnsi="Cambria Math"/>
                        <w:color w:val="auto"/>
                        <w:spacing w:val="0"/>
                        <w:sz w:val="24"/>
                        <w:highlight w:val="none"/>
                        <w:lang w:val="en-US" w:eastAsia="zh-CN"/>
                      </w:rPr>
                      <m:t>TL+6</m:t>
                    </m:r>
                    <m:ctrlPr>
                      <w:rPr>
                        <w:rFonts w:hint="default" w:ascii="Cambria Math" w:hAnsi="Cambria Math"/>
                        <w:bCs w:val="0"/>
                        <w:i/>
                        <w:color w:val="auto"/>
                        <w:spacing w:val="0"/>
                        <w:sz w:val="24"/>
                        <w:highlight w:val="none"/>
                        <w:lang w:val="en-US" w:eastAsia="zh-CN"/>
                      </w:rPr>
                    </m:ctrlPr>
                  </m:e>
                </m:d>
              </m:oMath>
            </m:oMathPara>
          </w:p>
          <w:p w14:paraId="7D2B601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10"/>
                <w:sz w:val="24"/>
                <w:highlight w:val="none"/>
                <w:lang w:val="en-US" w:eastAsia="zh-CN"/>
              </w:rPr>
            </w:pPr>
            <w:r>
              <w:rPr>
                <w:rFonts w:hint="eastAsia"/>
                <w:b w:val="0"/>
                <w:bCs w:val="0"/>
                <w:color w:val="auto"/>
                <w:spacing w:val="0"/>
                <w:sz w:val="24"/>
                <w:highlight w:val="none"/>
                <w:lang w:val="en-US" w:eastAsia="zh-CN"/>
              </w:rPr>
              <w:t>式中：</w:t>
            </w:r>
          </w:p>
          <w:p w14:paraId="35C2609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0"/>
                <w:sz w:val="24"/>
                <w:highlight w:val="none"/>
                <w:vertAlign w:val="baseline"/>
                <w:lang w:val="en-US" w:eastAsia="zh-CN"/>
              </w:rPr>
            </w:pPr>
            <w:r>
              <w:rPr>
                <w:rFonts w:hint="eastAsia"/>
                <w:b w:val="0"/>
                <w:bCs w:val="0"/>
                <w:color w:val="auto"/>
                <w:spacing w:val="0"/>
                <w:sz w:val="24"/>
                <w:highlight w:val="none"/>
                <w:lang w:val="en-US" w:eastAsia="zh-CN"/>
              </w:rPr>
              <w:t>L</w:t>
            </w:r>
            <w:r>
              <w:rPr>
                <w:rFonts w:hint="eastAsia"/>
                <w:b w:val="0"/>
                <w:bCs w:val="0"/>
                <w:color w:val="auto"/>
                <w:spacing w:val="0"/>
                <w:sz w:val="24"/>
                <w:highlight w:val="none"/>
                <w:vertAlign w:val="subscript"/>
                <w:lang w:val="en-US" w:eastAsia="zh-CN"/>
              </w:rPr>
              <w:t>p1</w:t>
            </w:r>
            <w:r>
              <w:rPr>
                <w:rFonts w:hint="eastAsia"/>
                <w:b w:val="0"/>
                <w:bCs w:val="0"/>
                <w:color w:val="auto"/>
                <w:spacing w:val="0"/>
                <w:sz w:val="24"/>
                <w:highlight w:val="none"/>
                <w:vertAlign w:val="baseline"/>
                <w:lang w:val="en-US" w:eastAsia="zh-CN"/>
              </w:rPr>
              <w:t>—靠近开口处室内某倍频带的声压级，dB；</w:t>
            </w:r>
          </w:p>
          <w:p w14:paraId="6265672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0"/>
                <w:sz w:val="24"/>
                <w:highlight w:val="none"/>
                <w:vertAlign w:val="baseline"/>
                <w:lang w:val="en-US" w:eastAsia="zh-CN"/>
              </w:rPr>
            </w:pPr>
            <w:r>
              <w:rPr>
                <w:rFonts w:hint="eastAsia"/>
                <w:b w:val="0"/>
                <w:bCs w:val="0"/>
                <w:color w:val="auto"/>
                <w:spacing w:val="0"/>
                <w:sz w:val="24"/>
                <w:highlight w:val="none"/>
                <w:vertAlign w:val="baseline"/>
                <w:lang w:val="en-US" w:eastAsia="zh-CN"/>
              </w:rPr>
              <w:t>L</w:t>
            </w:r>
            <w:r>
              <w:rPr>
                <w:rFonts w:hint="eastAsia"/>
                <w:b w:val="0"/>
                <w:bCs w:val="0"/>
                <w:color w:val="auto"/>
                <w:spacing w:val="0"/>
                <w:sz w:val="24"/>
                <w:highlight w:val="none"/>
                <w:vertAlign w:val="subscript"/>
                <w:lang w:val="en-US" w:eastAsia="zh-CN"/>
              </w:rPr>
              <w:t>p2</w:t>
            </w:r>
            <w:r>
              <w:rPr>
                <w:rFonts w:hint="eastAsia"/>
                <w:b w:val="0"/>
                <w:bCs w:val="0"/>
                <w:color w:val="auto"/>
                <w:spacing w:val="0"/>
                <w:sz w:val="24"/>
                <w:highlight w:val="none"/>
                <w:vertAlign w:val="baseline"/>
                <w:lang w:val="en-US" w:eastAsia="zh-CN"/>
              </w:rPr>
              <w:t>—靠近开口处室外某倍频带的声压级，dB；</w:t>
            </w:r>
          </w:p>
          <w:p w14:paraId="317C77B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0"/>
                <w:sz w:val="24"/>
                <w:highlight w:val="none"/>
                <w:lang w:val="en-US" w:eastAsia="zh-CN"/>
              </w:rPr>
            </w:pPr>
            <w:r>
              <w:rPr>
                <w:rFonts w:hint="eastAsia"/>
                <w:b w:val="0"/>
                <w:bCs w:val="0"/>
                <w:color w:val="auto"/>
                <w:spacing w:val="0"/>
                <w:sz w:val="24"/>
                <w:highlight w:val="none"/>
                <w:lang w:val="en-US" w:eastAsia="zh-CN"/>
              </w:rPr>
              <w:t>TL—隔墙（或窗户）</w:t>
            </w:r>
            <w:r>
              <w:rPr>
                <w:rFonts w:hint="eastAsia"/>
                <w:b w:val="0"/>
                <w:bCs w:val="0"/>
                <w:color w:val="auto"/>
                <w:spacing w:val="0"/>
                <w:sz w:val="24"/>
                <w:highlight w:val="none"/>
                <w:vertAlign w:val="baseline"/>
                <w:lang w:val="en-US" w:eastAsia="zh-CN"/>
              </w:rPr>
              <w:t>倍频带的隔声量，dB。</w:t>
            </w:r>
          </w:p>
          <w:p w14:paraId="368258B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0"/>
                <w:sz w:val="24"/>
                <w:highlight w:val="none"/>
                <w:lang w:val="en-US" w:eastAsia="zh-CN"/>
              </w:rPr>
            </w:pPr>
            <w:r>
              <w:rPr>
                <w:rFonts w:hint="default"/>
                <w:b w:val="0"/>
                <w:bCs w:val="0"/>
                <w:color w:val="auto"/>
                <w:spacing w:val="0"/>
                <w:sz w:val="24"/>
                <w:highlight w:val="none"/>
                <w:lang w:val="en-US" w:eastAsia="zh-CN"/>
              </w:rPr>
              <w:t>②</w:t>
            </w:r>
            <w:r>
              <w:rPr>
                <w:rFonts w:hint="eastAsia"/>
                <w:b w:val="0"/>
                <w:bCs w:val="0"/>
                <w:color w:val="auto"/>
                <w:spacing w:val="0"/>
                <w:sz w:val="24"/>
                <w:highlight w:val="none"/>
                <w:lang w:val="en-US" w:eastAsia="zh-CN"/>
              </w:rPr>
              <w:t>点声源对预测点（厂界处）产生的贡献值</w:t>
            </w:r>
          </w:p>
          <w:p w14:paraId="206D31A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0"/>
                <w:sz w:val="24"/>
                <w:highlight w:val="none"/>
                <w:lang w:val="en-US" w:eastAsia="zh-CN"/>
              </w:rPr>
            </w:pPr>
            <m:oMathPara>
              <m:oMath>
                <m:sSub>
                  <m:sSubPr>
                    <m:ctrlPr>
                      <w:rPr>
                        <w:rFonts w:hint="default" w:ascii="Cambria Math" w:hAnsi="Cambria Math" w:cs="Times New Roman"/>
                        <w:b w:val="0"/>
                        <w:i w:val="0"/>
                        <w:color w:val="auto"/>
                        <w:spacing w:val="0"/>
                        <w:kern w:val="2"/>
                        <w:sz w:val="24"/>
                        <w:szCs w:val="24"/>
                        <w:highlight w:val="none"/>
                        <w:lang w:val="en-US" w:eastAsia="zh-CN" w:bidi="ar-SA"/>
                      </w:rPr>
                    </m:ctrlPr>
                  </m:sSubPr>
                  <m:e>
                    <m:r>
                      <m:rPr>
                        <m:sty m:val="p"/>
                      </m:rPr>
                      <w:rPr>
                        <w:rFonts w:hint="default" w:ascii="Cambria Math" w:hAnsi="Cambria Math" w:cs="Times New Roman"/>
                        <w:color w:val="auto"/>
                        <w:spacing w:val="0"/>
                        <w:kern w:val="2"/>
                        <w:sz w:val="24"/>
                        <w:szCs w:val="24"/>
                        <w:highlight w:val="none"/>
                        <w:lang w:val="en-US" w:eastAsia="zh-CN" w:bidi="ar-SA"/>
                      </w:rPr>
                      <m:t>L</m:t>
                    </m:r>
                    <m:ctrlPr>
                      <w:rPr>
                        <w:rFonts w:hint="default" w:ascii="Cambria Math" w:hAnsi="Cambria Math" w:cs="Times New Roman"/>
                        <w:b w:val="0"/>
                        <w:i w:val="0"/>
                        <w:color w:val="auto"/>
                        <w:spacing w:val="0"/>
                        <w:kern w:val="2"/>
                        <w:sz w:val="24"/>
                        <w:szCs w:val="24"/>
                        <w:highlight w:val="none"/>
                        <w:lang w:val="en-US" w:eastAsia="zh-CN" w:bidi="ar-SA"/>
                      </w:rPr>
                    </m:ctrlPr>
                  </m:e>
                  <m:sub>
                    <m:r>
                      <m:rPr>
                        <m:sty m:val="p"/>
                      </m:rPr>
                      <w:rPr>
                        <w:rFonts w:hint="default" w:ascii="Cambria Math" w:hAnsi="Cambria Math" w:cs="Times New Roman"/>
                        <w:color w:val="auto"/>
                        <w:spacing w:val="0"/>
                        <w:kern w:val="2"/>
                        <w:sz w:val="24"/>
                        <w:szCs w:val="24"/>
                        <w:highlight w:val="none"/>
                        <w:lang w:val="en-US" w:eastAsia="zh-CN" w:bidi="ar-SA"/>
                      </w:rPr>
                      <m:t>eqg</m:t>
                    </m:r>
                    <m:ctrlPr>
                      <w:rPr>
                        <w:rFonts w:hint="default" w:ascii="Cambria Math" w:hAnsi="Cambria Math" w:cs="Times New Roman"/>
                        <w:b w:val="0"/>
                        <w:i w:val="0"/>
                        <w:color w:val="auto"/>
                        <w:spacing w:val="0"/>
                        <w:kern w:val="2"/>
                        <w:sz w:val="24"/>
                        <w:szCs w:val="24"/>
                        <w:highlight w:val="none"/>
                        <w:lang w:val="en-US" w:eastAsia="zh-CN" w:bidi="ar-SA"/>
                      </w:rPr>
                    </m:ctrlPr>
                  </m:sub>
                </m:sSub>
                <m:r>
                  <m:rPr>
                    <m:sty m:val="p"/>
                  </m:rPr>
                  <w:rPr>
                    <w:rFonts w:hint="default" w:ascii="Cambria Math" w:hAnsi="Cambria Math" w:cs="Times New Roman"/>
                    <w:color w:val="auto"/>
                    <w:spacing w:val="0"/>
                    <w:kern w:val="2"/>
                    <w:sz w:val="24"/>
                    <w:szCs w:val="24"/>
                    <w:highlight w:val="none"/>
                    <w:lang w:val="en-US" w:eastAsia="zh-CN" w:bidi="ar-SA"/>
                  </w:rPr>
                  <m:t>=10</m:t>
                </m:r>
                <m:func>
                  <m:funcPr>
                    <m:ctrlPr>
                      <w:rPr>
                        <w:rFonts w:hint="default" w:ascii="Cambria Math" w:hAnsi="Cambria Math" w:cs="Times New Roman"/>
                        <w:b w:val="0"/>
                        <w:bCs w:val="0"/>
                        <w:color w:val="auto"/>
                        <w:spacing w:val="0"/>
                        <w:kern w:val="2"/>
                        <w:sz w:val="24"/>
                        <w:szCs w:val="24"/>
                        <w:highlight w:val="none"/>
                        <w:lang w:val="en-US" w:eastAsia="zh-CN" w:bidi="ar-SA"/>
                      </w:rPr>
                    </m:ctrlPr>
                  </m:funcPr>
                  <m:fName>
                    <m:r>
                      <m:rPr>
                        <m:sty m:val="p"/>
                      </m:rPr>
                      <w:rPr>
                        <w:rFonts w:hint="default" w:ascii="Cambria Math" w:hAnsi="Cambria Math" w:cs="Times New Roman"/>
                        <w:color w:val="auto"/>
                        <w:spacing w:val="0"/>
                        <w:kern w:val="2"/>
                        <w:sz w:val="24"/>
                        <w:szCs w:val="24"/>
                        <w:highlight w:val="none"/>
                        <w:lang w:val="en-US" w:bidi="ar-SA"/>
                      </w:rPr>
                      <m:t>lg</m:t>
                    </m:r>
                    <m:ctrlPr>
                      <w:rPr>
                        <w:rFonts w:hint="default" w:ascii="Cambria Math" w:hAnsi="Cambria Math" w:cs="Times New Roman"/>
                        <w:b w:val="0"/>
                        <w:bCs w:val="0"/>
                        <w:color w:val="auto"/>
                        <w:spacing w:val="0"/>
                        <w:kern w:val="2"/>
                        <w:sz w:val="24"/>
                        <w:szCs w:val="24"/>
                        <w:highlight w:val="none"/>
                        <w:lang w:val="en-US" w:eastAsia="zh-CN" w:bidi="ar-SA"/>
                      </w:rPr>
                    </m:ctrlPr>
                  </m:fName>
                  <m:e>
                    <m:d>
                      <m:dPr>
                        <m:begChr m:val="["/>
                        <m:endChr m:val="]"/>
                        <m:ctrlPr>
                          <w:rPr>
                            <w:rFonts w:hint="default" w:ascii="Cambria Math" w:hAnsi="Cambria Math" w:cs="Times New Roman"/>
                            <w:b w:val="0"/>
                            <w:bCs w:val="0"/>
                            <w:color w:val="auto"/>
                            <w:spacing w:val="0"/>
                            <w:kern w:val="2"/>
                            <w:sz w:val="24"/>
                            <w:szCs w:val="24"/>
                            <w:highlight w:val="none"/>
                            <w:lang w:val="en-US" w:eastAsia="zh-CN" w:bidi="ar-SA"/>
                          </w:rPr>
                        </m:ctrlPr>
                      </m:dPr>
                      <m:e>
                        <m:f>
                          <m:fPr>
                            <m:ctrlPr>
                              <w:rPr>
                                <w:rFonts w:hint="default" w:ascii="Cambria Math" w:hAnsi="Cambria Math" w:cs="Times New Roman"/>
                                <w:b w:val="0"/>
                                <w:bCs w:val="0"/>
                                <w:color w:val="auto"/>
                                <w:spacing w:val="0"/>
                                <w:kern w:val="2"/>
                                <w:sz w:val="24"/>
                                <w:szCs w:val="24"/>
                                <w:highlight w:val="none"/>
                                <w:lang w:val="en-US" w:eastAsia="zh-CN" w:bidi="ar-SA"/>
                              </w:rPr>
                            </m:ctrlPr>
                          </m:fPr>
                          <m:num>
                            <m:r>
                              <m:rPr>
                                <m:sty m:val="p"/>
                              </m:rPr>
                              <w:rPr>
                                <w:rFonts w:hint="default" w:ascii="Cambria Math" w:hAnsi="Cambria Math" w:cs="Times New Roman"/>
                                <w:color w:val="auto"/>
                                <w:spacing w:val="0"/>
                                <w:kern w:val="2"/>
                                <w:sz w:val="24"/>
                                <w:szCs w:val="24"/>
                                <w:highlight w:val="none"/>
                                <w:lang w:val="en-US" w:eastAsia="zh-CN" w:bidi="ar-SA"/>
                              </w:rPr>
                              <m:t>1</m:t>
                            </m:r>
                            <m:ctrlPr>
                              <w:rPr>
                                <w:rFonts w:hint="default" w:ascii="Cambria Math" w:hAnsi="Cambria Math" w:cs="Times New Roman"/>
                                <w:b w:val="0"/>
                                <w:bCs w:val="0"/>
                                <w:color w:val="auto"/>
                                <w:spacing w:val="0"/>
                                <w:kern w:val="2"/>
                                <w:sz w:val="24"/>
                                <w:szCs w:val="24"/>
                                <w:highlight w:val="none"/>
                                <w:lang w:val="en-US" w:eastAsia="zh-CN" w:bidi="ar-SA"/>
                              </w:rPr>
                            </m:ctrlPr>
                          </m:num>
                          <m:den>
                            <m:r>
                              <m:rPr>
                                <m:sty m:val="p"/>
                              </m:rPr>
                              <w:rPr>
                                <w:rFonts w:hint="default" w:ascii="Cambria Math" w:hAnsi="Cambria Math" w:cs="Times New Roman"/>
                                <w:color w:val="auto"/>
                                <w:spacing w:val="0"/>
                                <w:kern w:val="2"/>
                                <w:sz w:val="24"/>
                                <w:szCs w:val="24"/>
                                <w:highlight w:val="none"/>
                                <w:lang w:val="en-US" w:eastAsia="zh-CN" w:bidi="ar-SA"/>
                              </w:rPr>
                              <m:t>T</m:t>
                            </m:r>
                            <m:ctrlPr>
                              <w:rPr>
                                <w:rFonts w:hint="default" w:ascii="Cambria Math" w:hAnsi="Cambria Math" w:cs="Times New Roman"/>
                                <w:b w:val="0"/>
                                <w:bCs w:val="0"/>
                                <w:color w:val="auto"/>
                                <w:spacing w:val="0"/>
                                <w:kern w:val="2"/>
                                <w:sz w:val="24"/>
                                <w:szCs w:val="24"/>
                                <w:highlight w:val="none"/>
                                <w:lang w:val="en-US" w:eastAsia="zh-CN" w:bidi="ar-SA"/>
                              </w:rPr>
                            </m:ctrlPr>
                          </m:den>
                        </m:f>
                        <m:d>
                          <m:dPr>
                            <m:ctrlPr>
                              <w:rPr>
                                <w:rFonts w:hint="default" w:ascii="Cambria Math" w:hAnsi="Cambria Math" w:cs="Times New Roman"/>
                                <w:b w:val="0"/>
                                <w:bCs w:val="0"/>
                                <w:color w:val="auto"/>
                                <w:spacing w:val="0"/>
                                <w:kern w:val="2"/>
                                <w:sz w:val="24"/>
                                <w:szCs w:val="24"/>
                                <w:highlight w:val="none"/>
                                <w:lang w:val="en-US" w:eastAsia="zh-CN" w:bidi="ar-SA"/>
                              </w:rPr>
                            </m:ctrlPr>
                          </m:dPr>
                          <m:e>
                            <m:nary>
                              <m:naryPr>
                                <m:chr m:val="∑"/>
                                <m:limLoc m:val="undOvr"/>
                                <m:ctrlPr>
                                  <w:rPr>
                                    <w:rFonts w:hint="default" w:ascii="Cambria Math" w:hAnsi="Cambria Math" w:cs="Times New Roman"/>
                                    <w:b w:val="0"/>
                                    <w:bCs w:val="0"/>
                                    <w:color w:val="auto"/>
                                    <w:spacing w:val="0"/>
                                    <w:kern w:val="2"/>
                                    <w:sz w:val="24"/>
                                    <w:szCs w:val="24"/>
                                    <w:highlight w:val="none"/>
                                    <w:lang w:val="en-US" w:eastAsia="zh-CN" w:bidi="ar-SA"/>
                                  </w:rPr>
                                </m:ctrlPr>
                              </m:naryPr>
                              <m:sub>
                                <m:r>
                                  <m:rPr>
                                    <m:sty m:val="p"/>
                                  </m:rPr>
                                  <w:rPr>
                                    <w:rFonts w:hint="default" w:ascii="Cambria Math" w:hAnsi="Cambria Math" w:cs="Times New Roman"/>
                                    <w:color w:val="auto"/>
                                    <w:spacing w:val="0"/>
                                    <w:kern w:val="2"/>
                                    <w:sz w:val="24"/>
                                    <w:szCs w:val="24"/>
                                    <w:highlight w:val="none"/>
                                    <w:lang w:val="en-US" w:eastAsia="zh-CN" w:bidi="ar-SA"/>
                                  </w:rPr>
                                  <m:t>i=1</m:t>
                                </m:r>
                                <m:ctrlPr>
                                  <w:rPr>
                                    <w:rFonts w:hint="default" w:ascii="Cambria Math" w:hAnsi="Cambria Math" w:cs="Times New Roman"/>
                                    <w:b w:val="0"/>
                                    <w:bCs w:val="0"/>
                                    <w:color w:val="auto"/>
                                    <w:spacing w:val="0"/>
                                    <w:kern w:val="2"/>
                                    <w:sz w:val="24"/>
                                    <w:szCs w:val="24"/>
                                    <w:highlight w:val="none"/>
                                    <w:lang w:val="en-US" w:eastAsia="zh-CN" w:bidi="ar-SA"/>
                                  </w:rPr>
                                </m:ctrlPr>
                              </m:sub>
                              <m:sup>
                                <m:r>
                                  <m:rPr>
                                    <m:sty m:val="p"/>
                                  </m:rPr>
                                  <w:rPr>
                                    <w:rFonts w:hint="default" w:ascii="Cambria Math" w:hAnsi="Cambria Math" w:cs="Times New Roman"/>
                                    <w:color w:val="auto"/>
                                    <w:spacing w:val="0"/>
                                    <w:kern w:val="2"/>
                                    <w:sz w:val="24"/>
                                    <w:szCs w:val="24"/>
                                    <w:highlight w:val="none"/>
                                    <w:lang w:val="en-US" w:eastAsia="zh-CN" w:bidi="ar-SA"/>
                                  </w:rPr>
                                  <m:t>N</m:t>
                                </m:r>
                                <m:ctrlPr>
                                  <w:rPr>
                                    <w:rFonts w:hint="default" w:ascii="Cambria Math" w:hAnsi="Cambria Math" w:cs="Times New Roman"/>
                                    <w:b w:val="0"/>
                                    <w:bCs w:val="0"/>
                                    <w:color w:val="auto"/>
                                    <w:spacing w:val="0"/>
                                    <w:kern w:val="2"/>
                                    <w:sz w:val="24"/>
                                    <w:szCs w:val="24"/>
                                    <w:highlight w:val="none"/>
                                    <w:lang w:val="en-US" w:eastAsia="zh-CN" w:bidi="ar-SA"/>
                                  </w:rPr>
                                </m:ctrlPr>
                              </m:sup>
                              <m:e>
                                <m:sSub>
                                  <m:sSubPr>
                                    <m:ctrlPr>
                                      <w:rPr>
                                        <w:rFonts w:hint="default" w:ascii="Cambria Math" w:hAnsi="Cambria Math" w:cs="Times New Roman"/>
                                        <w:b w:val="0"/>
                                        <w:bCs w:val="0"/>
                                        <w:color w:val="auto"/>
                                        <w:spacing w:val="0"/>
                                        <w:kern w:val="2"/>
                                        <w:sz w:val="24"/>
                                        <w:szCs w:val="24"/>
                                        <w:highlight w:val="none"/>
                                        <w:lang w:val="en-US" w:eastAsia="zh-CN" w:bidi="ar-SA"/>
                                      </w:rPr>
                                    </m:ctrlPr>
                                  </m:sSubPr>
                                  <m:e>
                                    <m:r>
                                      <m:rPr>
                                        <m:sty m:val="p"/>
                                      </m:rPr>
                                      <w:rPr>
                                        <w:rFonts w:hint="default" w:ascii="Cambria Math" w:hAnsi="Cambria Math" w:cs="Times New Roman"/>
                                        <w:color w:val="auto"/>
                                        <w:spacing w:val="0"/>
                                        <w:kern w:val="2"/>
                                        <w:sz w:val="24"/>
                                        <w:szCs w:val="24"/>
                                        <w:highlight w:val="none"/>
                                        <w:lang w:val="en-US" w:eastAsia="zh-CN" w:bidi="ar-SA"/>
                                      </w:rPr>
                                      <m:t>t</m:t>
                                    </m:r>
                                    <m:ctrlPr>
                                      <w:rPr>
                                        <w:rFonts w:hint="default" w:ascii="Cambria Math" w:hAnsi="Cambria Math" w:cs="Times New Roman"/>
                                        <w:b w:val="0"/>
                                        <w:bCs w:val="0"/>
                                        <w:color w:val="auto"/>
                                        <w:spacing w:val="0"/>
                                        <w:kern w:val="2"/>
                                        <w:sz w:val="24"/>
                                        <w:szCs w:val="24"/>
                                        <w:highlight w:val="none"/>
                                        <w:lang w:val="en-US" w:eastAsia="zh-CN" w:bidi="ar-SA"/>
                                      </w:rPr>
                                    </m:ctrlPr>
                                  </m:e>
                                  <m:sub>
                                    <m:r>
                                      <m:rPr>
                                        <m:sty m:val="p"/>
                                      </m:rPr>
                                      <w:rPr>
                                        <w:rFonts w:hint="default" w:ascii="Cambria Math" w:hAnsi="Cambria Math" w:cs="Times New Roman"/>
                                        <w:color w:val="auto"/>
                                        <w:spacing w:val="0"/>
                                        <w:kern w:val="2"/>
                                        <w:sz w:val="24"/>
                                        <w:szCs w:val="24"/>
                                        <w:highlight w:val="none"/>
                                        <w:lang w:val="en-US" w:eastAsia="zh-CN" w:bidi="ar-SA"/>
                                      </w:rPr>
                                      <m:t>i</m:t>
                                    </m:r>
                                    <m:ctrlPr>
                                      <w:rPr>
                                        <w:rFonts w:hint="default" w:ascii="Cambria Math" w:hAnsi="Cambria Math" w:cs="Times New Roman"/>
                                        <w:b w:val="0"/>
                                        <w:bCs w:val="0"/>
                                        <w:color w:val="auto"/>
                                        <w:spacing w:val="0"/>
                                        <w:kern w:val="2"/>
                                        <w:sz w:val="24"/>
                                        <w:szCs w:val="24"/>
                                        <w:highlight w:val="none"/>
                                        <w:lang w:val="en-US" w:eastAsia="zh-CN" w:bidi="ar-SA"/>
                                      </w:rPr>
                                    </m:ctrlPr>
                                  </m:sub>
                                </m:sSub>
                                <m:sSup>
                                  <m:sSupPr>
                                    <m:ctrlPr>
                                      <w:rPr>
                                        <w:rFonts w:hint="default" w:ascii="Cambria Math" w:hAnsi="Cambria Math" w:cs="Times New Roman"/>
                                        <w:b w:val="0"/>
                                        <w:bCs w:val="0"/>
                                        <w:color w:val="auto"/>
                                        <w:spacing w:val="0"/>
                                        <w:kern w:val="2"/>
                                        <w:sz w:val="24"/>
                                        <w:szCs w:val="24"/>
                                        <w:highlight w:val="none"/>
                                        <w:lang w:val="en-US" w:eastAsia="zh-CN" w:bidi="ar-SA"/>
                                      </w:rPr>
                                    </m:ctrlPr>
                                  </m:sSupPr>
                                  <m:e>
                                    <m:r>
                                      <m:rPr>
                                        <m:sty m:val="p"/>
                                      </m:rPr>
                                      <w:rPr>
                                        <w:rFonts w:hint="default" w:ascii="Cambria Math" w:hAnsi="Cambria Math" w:cs="Times New Roman"/>
                                        <w:color w:val="auto"/>
                                        <w:spacing w:val="0"/>
                                        <w:kern w:val="2"/>
                                        <w:sz w:val="24"/>
                                        <w:szCs w:val="24"/>
                                        <w:highlight w:val="none"/>
                                        <w:lang w:val="en-US" w:eastAsia="zh-CN" w:bidi="ar-SA"/>
                                      </w:rPr>
                                      <m:t>10</m:t>
                                    </m:r>
                                    <m:ctrlPr>
                                      <w:rPr>
                                        <w:rFonts w:hint="default" w:ascii="Cambria Math" w:hAnsi="Cambria Math" w:cs="Times New Roman"/>
                                        <w:b w:val="0"/>
                                        <w:bCs w:val="0"/>
                                        <w:color w:val="auto"/>
                                        <w:spacing w:val="0"/>
                                        <w:kern w:val="2"/>
                                        <w:sz w:val="24"/>
                                        <w:szCs w:val="24"/>
                                        <w:highlight w:val="none"/>
                                        <w:lang w:val="en-US" w:eastAsia="zh-CN" w:bidi="ar-SA"/>
                                      </w:rPr>
                                    </m:ctrlPr>
                                  </m:e>
                                  <m:sup>
                                    <m:r>
                                      <m:rPr>
                                        <m:sty m:val="p"/>
                                      </m:rPr>
                                      <w:rPr>
                                        <w:rFonts w:hint="default" w:ascii="Cambria Math" w:hAnsi="Cambria Math" w:cs="Times New Roman"/>
                                        <w:color w:val="auto"/>
                                        <w:spacing w:val="0"/>
                                        <w:kern w:val="2"/>
                                        <w:sz w:val="24"/>
                                        <w:szCs w:val="24"/>
                                        <w:highlight w:val="none"/>
                                        <w:lang w:val="en-US" w:eastAsia="zh-CN" w:bidi="ar-SA"/>
                                      </w:rPr>
                                      <m:t>0.1</m:t>
                                    </m:r>
                                    <m:sSub>
                                      <m:sSubPr>
                                        <m:ctrlPr>
                                          <w:rPr>
                                            <w:rFonts w:hint="default" w:ascii="Cambria Math" w:hAnsi="Cambria Math" w:cs="Times New Roman"/>
                                            <w:b w:val="0"/>
                                            <w:bCs w:val="0"/>
                                            <w:color w:val="auto"/>
                                            <w:spacing w:val="0"/>
                                            <w:kern w:val="2"/>
                                            <w:sz w:val="24"/>
                                            <w:szCs w:val="24"/>
                                            <w:highlight w:val="none"/>
                                            <w:lang w:val="en-US" w:eastAsia="zh-CN" w:bidi="ar-SA"/>
                                          </w:rPr>
                                        </m:ctrlPr>
                                      </m:sSubPr>
                                      <m:e>
                                        <m:r>
                                          <m:rPr>
                                            <m:sty m:val="p"/>
                                          </m:rPr>
                                          <w:rPr>
                                            <w:rFonts w:hint="default" w:ascii="Cambria Math" w:hAnsi="Cambria Math" w:cs="Times New Roman"/>
                                            <w:color w:val="auto"/>
                                            <w:spacing w:val="0"/>
                                            <w:kern w:val="2"/>
                                            <w:sz w:val="24"/>
                                            <w:szCs w:val="24"/>
                                            <w:highlight w:val="none"/>
                                            <w:lang w:val="en-US" w:eastAsia="zh-CN" w:bidi="ar-SA"/>
                                          </w:rPr>
                                          <m:t>L</m:t>
                                        </m:r>
                                        <m:ctrlPr>
                                          <w:rPr>
                                            <w:rFonts w:hint="default" w:ascii="Cambria Math" w:hAnsi="Cambria Math" w:cs="Times New Roman"/>
                                            <w:b w:val="0"/>
                                            <w:bCs w:val="0"/>
                                            <w:color w:val="auto"/>
                                            <w:spacing w:val="0"/>
                                            <w:kern w:val="2"/>
                                            <w:sz w:val="24"/>
                                            <w:szCs w:val="24"/>
                                            <w:highlight w:val="none"/>
                                            <w:lang w:val="en-US" w:eastAsia="zh-CN" w:bidi="ar-SA"/>
                                          </w:rPr>
                                        </m:ctrlPr>
                                      </m:e>
                                      <m:sub>
                                        <m:r>
                                          <m:rPr>
                                            <m:sty m:val="p"/>
                                          </m:rPr>
                                          <w:rPr>
                                            <w:rFonts w:hint="default" w:ascii="Cambria Math" w:hAnsi="Cambria Math" w:cs="Times New Roman"/>
                                            <w:color w:val="auto"/>
                                            <w:spacing w:val="0"/>
                                            <w:kern w:val="2"/>
                                            <w:sz w:val="24"/>
                                            <w:szCs w:val="24"/>
                                            <w:highlight w:val="none"/>
                                            <w:lang w:val="en-US" w:eastAsia="zh-CN" w:bidi="ar-SA"/>
                                          </w:rPr>
                                          <m:t>Ai</m:t>
                                        </m:r>
                                        <m:ctrlPr>
                                          <w:rPr>
                                            <w:rFonts w:hint="default" w:ascii="Cambria Math" w:hAnsi="Cambria Math" w:cs="Times New Roman"/>
                                            <w:b w:val="0"/>
                                            <w:bCs w:val="0"/>
                                            <w:color w:val="auto"/>
                                            <w:spacing w:val="0"/>
                                            <w:kern w:val="2"/>
                                            <w:sz w:val="24"/>
                                            <w:szCs w:val="24"/>
                                            <w:highlight w:val="none"/>
                                            <w:lang w:val="en-US" w:eastAsia="zh-CN" w:bidi="ar-SA"/>
                                          </w:rPr>
                                        </m:ctrlPr>
                                      </m:sub>
                                    </m:sSub>
                                    <m:ctrlPr>
                                      <w:rPr>
                                        <w:rFonts w:hint="default" w:ascii="Cambria Math" w:hAnsi="Cambria Math" w:cs="Times New Roman"/>
                                        <w:b w:val="0"/>
                                        <w:bCs w:val="0"/>
                                        <w:color w:val="auto"/>
                                        <w:spacing w:val="0"/>
                                        <w:kern w:val="2"/>
                                        <w:sz w:val="24"/>
                                        <w:szCs w:val="24"/>
                                        <w:highlight w:val="none"/>
                                        <w:lang w:val="en-US" w:eastAsia="zh-CN" w:bidi="ar-SA"/>
                                      </w:rPr>
                                    </m:ctrlPr>
                                  </m:sup>
                                </m:sSup>
                                <m:ctrlPr>
                                  <w:rPr>
                                    <w:rFonts w:hint="default" w:ascii="Cambria Math" w:hAnsi="Cambria Math" w:cs="Times New Roman"/>
                                    <w:b w:val="0"/>
                                    <w:bCs w:val="0"/>
                                    <w:color w:val="auto"/>
                                    <w:spacing w:val="0"/>
                                    <w:kern w:val="2"/>
                                    <w:sz w:val="24"/>
                                    <w:szCs w:val="24"/>
                                    <w:highlight w:val="none"/>
                                    <w:lang w:val="en-US" w:eastAsia="zh-CN" w:bidi="ar-SA"/>
                                  </w:rPr>
                                </m:ctrlPr>
                              </m:e>
                            </m:nary>
                            <m:r>
                              <m:rPr>
                                <m:sty m:val="p"/>
                              </m:rPr>
                              <w:rPr>
                                <w:rFonts w:hint="default" w:ascii="Cambria Math" w:hAnsi="Cambria Math" w:cs="Times New Roman"/>
                                <w:color w:val="auto"/>
                                <w:spacing w:val="0"/>
                                <w:kern w:val="2"/>
                                <w:sz w:val="24"/>
                                <w:szCs w:val="24"/>
                                <w:highlight w:val="none"/>
                                <w:lang w:val="en-US" w:eastAsia="zh-CN" w:bidi="ar-SA"/>
                              </w:rPr>
                              <m:t>+</m:t>
                            </m:r>
                            <m:nary>
                              <m:naryPr>
                                <m:chr m:val="∑"/>
                                <m:limLoc m:val="undOvr"/>
                                <m:ctrlPr>
                                  <w:rPr>
                                    <w:rFonts w:hint="default" w:ascii="Cambria Math" w:hAnsi="Cambria Math" w:cs="Times New Roman"/>
                                    <w:b w:val="0"/>
                                    <w:bCs w:val="0"/>
                                    <w:color w:val="auto"/>
                                    <w:spacing w:val="0"/>
                                    <w:kern w:val="2"/>
                                    <w:sz w:val="24"/>
                                    <w:szCs w:val="24"/>
                                    <w:highlight w:val="none"/>
                                    <w:lang w:val="en-US" w:eastAsia="zh-CN" w:bidi="ar-SA"/>
                                  </w:rPr>
                                </m:ctrlPr>
                              </m:naryPr>
                              <m:sub>
                                <m:r>
                                  <m:rPr>
                                    <m:sty m:val="p"/>
                                  </m:rPr>
                                  <w:rPr>
                                    <w:rFonts w:hint="default" w:ascii="Cambria Math" w:hAnsi="Cambria Math" w:cs="Times New Roman"/>
                                    <w:color w:val="auto"/>
                                    <w:spacing w:val="0"/>
                                    <w:kern w:val="2"/>
                                    <w:sz w:val="24"/>
                                    <w:szCs w:val="24"/>
                                    <w:highlight w:val="none"/>
                                    <w:lang w:val="en-US" w:eastAsia="zh-CN" w:bidi="ar-SA"/>
                                  </w:rPr>
                                  <m:t>j=1</m:t>
                                </m:r>
                                <m:ctrlPr>
                                  <w:rPr>
                                    <w:rFonts w:hint="default" w:ascii="Cambria Math" w:hAnsi="Cambria Math" w:cs="Times New Roman"/>
                                    <w:b w:val="0"/>
                                    <w:bCs w:val="0"/>
                                    <w:color w:val="auto"/>
                                    <w:spacing w:val="0"/>
                                    <w:kern w:val="2"/>
                                    <w:sz w:val="24"/>
                                    <w:szCs w:val="24"/>
                                    <w:highlight w:val="none"/>
                                    <w:lang w:val="en-US" w:eastAsia="zh-CN" w:bidi="ar-SA"/>
                                  </w:rPr>
                                </m:ctrlPr>
                              </m:sub>
                              <m:sup>
                                <m:r>
                                  <m:rPr>
                                    <m:sty m:val="p"/>
                                  </m:rPr>
                                  <w:rPr>
                                    <w:rFonts w:hint="default" w:ascii="Cambria Math" w:hAnsi="Cambria Math" w:cs="Times New Roman"/>
                                    <w:color w:val="auto"/>
                                    <w:spacing w:val="0"/>
                                    <w:kern w:val="2"/>
                                    <w:sz w:val="24"/>
                                    <w:szCs w:val="24"/>
                                    <w:highlight w:val="none"/>
                                    <w:lang w:val="en-US" w:eastAsia="zh-CN" w:bidi="ar-SA"/>
                                  </w:rPr>
                                  <m:t>M</m:t>
                                </m:r>
                                <m:ctrlPr>
                                  <w:rPr>
                                    <w:rFonts w:hint="default" w:ascii="Cambria Math" w:hAnsi="Cambria Math" w:cs="Times New Roman"/>
                                    <w:b w:val="0"/>
                                    <w:bCs w:val="0"/>
                                    <w:color w:val="auto"/>
                                    <w:spacing w:val="0"/>
                                    <w:kern w:val="2"/>
                                    <w:sz w:val="24"/>
                                    <w:szCs w:val="24"/>
                                    <w:highlight w:val="none"/>
                                    <w:lang w:val="en-US" w:eastAsia="zh-CN" w:bidi="ar-SA"/>
                                  </w:rPr>
                                </m:ctrlPr>
                              </m:sup>
                              <m:e>
                                <m:sSub>
                                  <m:sSubPr>
                                    <m:ctrlPr>
                                      <w:rPr>
                                        <w:rFonts w:hint="default" w:ascii="Cambria Math" w:hAnsi="Cambria Math" w:cs="Times New Roman"/>
                                        <w:b w:val="0"/>
                                        <w:bCs w:val="0"/>
                                        <w:color w:val="auto"/>
                                        <w:spacing w:val="0"/>
                                        <w:kern w:val="2"/>
                                        <w:sz w:val="24"/>
                                        <w:szCs w:val="24"/>
                                        <w:highlight w:val="none"/>
                                        <w:lang w:val="en-US" w:eastAsia="zh-CN" w:bidi="ar-SA"/>
                                      </w:rPr>
                                    </m:ctrlPr>
                                  </m:sSubPr>
                                  <m:e>
                                    <m:r>
                                      <m:rPr>
                                        <m:sty m:val="p"/>
                                      </m:rPr>
                                      <w:rPr>
                                        <w:rFonts w:hint="default" w:ascii="Cambria Math" w:hAnsi="Cambria Math" w:cs="Times New Roman"/>
                                        <w:color w:val="auto"/>
                                        <w:spacing w:val="0"/>
                                        <w:kern w:val="2"/>
                                        <w:sz w:val="24"/>
                                        <w:szCs w:val="24"/>
                                        <w:highlight w:val="none"/>
                                        <w:lang w:val="en-US" w:eastAsia="zh-CN" w:bidi="ar-SA"/>
                                      </w:rPr>
                                      <m:t>t</m:t>
                                    </m:r>
                                    <m:ctrlPr>
                                      <w:rPr>
                                        <w:rFonts w:hint="default" w:ascii="Cambria Math" w:hAnsi="Cambria Math" w:cs="Times New Roman"/>
                                        <w:b w:val="0"/>
                                        <w:bCs w:val="0"/>
                                        <w:color w:val="auto"/>
                                        <w:spacing w:val="0"/>
                                        <w:kern w:val="2"/>
                                        <w:sz w:val="24"/>
                                        <w:szCs w:val="24"/>
                                        <w:highlight w:val="none"/>
                                        <w:lang w:val="en-US" w:eastAsia="zh-CN" w:bidi="ar-SA"/>
                                      </w:rPr>
                                    </m:ctrlPr>
                                  </m:e>
                                  <m:sub>
                                    <m:r>
                                      <m:rPr>
                                        <m:sty m:val="p"/>
                                      </m:rPr>
                                      <w:rPr>
                                        <w:rFonts w:hint="default" w:ascii="Cambria Math" w:hAnsi="Cambria Math" w:cs="Times New Roman"/>
                                        <w:color w:val="auto"/>
                                        <w:spacing w:val="0"/>
                                        <w:kern w:val="2"/>
                                        <w:sz w:val="24"/>
                                        <w:szCs w:val="24"/>
                                        <w:highlight w:val="none"/>
                                        <w:lang w:val="en-US" w:eastAsia="zh-CN" w:bidi="ar-SA"/>
                                      </w:rPr>
                                      <m:t>j</m:t>
                                    </m:r>
                                    <m:ctrlPr>
                                      <w:rPr>
                                        <w:rFonts w:hint="default" w:ascii="Cambria Math" w:hAnsi="Cambria Math" w:cs="Times New Roman"/>
                                        <w:b w:val="0"/>
                                        <w:bCs w:val="0"/>
                                        <w:color w:val="auto"/>
                                        <w:spacing w:val="0"/>
                                        <w:kern w:val="2"/>
                                        <w:sz w:val="24"/>
                                        <w:szCs w:val="24"/>
                                        <w:highlight w:val="none"/>
                                        <w:lang w:val="en-US" w:eastAsia="zh-CN" w:bidi="ar-SA"/>
                                      </w:rPr>
                                    </m:ctrlPr>
                                  </m:sub>
                                </m:sSub>
                                <m:ctrlPr>
                                  <w:rPr>
                                    <w:rFonts w:hint="default" w:ascii="Cambria Math" w:hAnsi="Cambria Math" w:cs="Times New Roman"/>
                                    <w:b w:val="0"/>
                                    <w:bCs w:val="0"/>
                                    <w:color w:val="auto"/>
                                    <w:spacing w:val="0"/>
                                    <w:kern w:val="2"/>
                                    <w:sz w:val="24"/>
                                    <w:szCs w:val="24"/>
                                    <w:highlight w:val="none"/>
                                    <w:lang w:val="en-US" w:eastAsia="zh-CN" w:bidi="ar-SA"/>
                                  </w:rPr>
                                </m:ctrlPr>
                              </m:e>
                            </m:nary>
                            <m:sSup>
                              <m:sSupPr>
                                <m:ctrlPr>
                                  <w:rPr>
                                    <w:rFonts w:hint="default" w:ascii="Cambria Math" w:hAnsi="Cambria Math" w:cs="Times New Roman"/>
                                    <w:b w:val="0"/>
                                    <w:bCs w:val="0"/>
                                    <w:color w:val="auto"/>
                                    <w:spacing w:val="0"/>
                                    <w:kern w:val="2"/>
                                    <w:sz w:val="24"/>
                                    <w:szCs w:val="24"/>
                                    <w:highlight w:val="none"/>
                                    <w:lang w:val="en-US" w:eastAsia="zh-CN" w:bidi="ar-SA"/>
                                  </w:rPr>
                                </m:ctrlPr>
                              </m:sSupPr>
                              <m:e>
                                <m:r>
                                  <m:rPr>
                                    <m:sty m:val="p"/>
                                  </m:rPr>
                                  <w:rPr>
                                    <w:rFonts w:hint="default" w:ascii="Cambria Math" w:hAnsi="Cambria Math" w:cs="Times New Roman"/>
                                    <w:color w:val="auto"/>
                                    <w:spacing w:val="0"/>
                                    <w:kern w:val="2"/>
                                    <w:sz w:val="24"/>
                                    <w:szCs w:val="24"/>
                                    <w:highlight w:val="none"/>
                                    <w:lang w:val="en-US" w:eastAsia="zh-CN" w:bidi="ar-SA"/>
                                  </w:rPr>
                                  <m:t>10</m:t>
                                </m:r>
                                <m:ctrlPr>
                                  <w:rPr>
                                    <w:rFonts w:hint="default" w:ascii="Cambria Math" w:hAnsi="Cambria Math" w:cs="Times New Roman"/>
                                    <w:b w:val="0"/>
                                    <w:bCs w:val="0"/>
                                    <w:color w:val="auto"/>
                                    <w:spacing w:val="0"/>
                                    <w:kern w:val="2"/>
                                    <w:sz w:val="24"/>
                                    <w:szCs w:val="24"/>
                                    <w:highlight w:val="none"/>
                                    <w:lang w:val="en-US" w:eastAsia="zh-CN" w:bidi="ar-SA"/>
                                  </w:rPr>
                                </m:ctrlPr>
                              </m:e>
                              <m:sup>
                                <m:sSub>
                                  <m:sSubPr>
                                    <m:ctrlPr>
                                      <w:rPr>
                                        <w:rFonts w:hint="default" w:ascii="Cambria Math" w:hAnsi="Cambria Math" w:cs="Times New Roman"/>
                                        <w:b w:val="0"/>
                                        <w:bCs w:val="0"/>
                                        <w:color w:val="auto"/>
                                        <w:spacing w:val="0"/>
                                        <w:kern w:val="2"/>
                                        <w:sz w:val="24"/>
                                        <w:szCs w:val="24"/>
                                        <w:highlight w:val="none"/>
                                        <w:lang w:val="en-US" w:eastAsia="zh-CN" w:bidi="ar-SA"/>
                                      </w:rPr>
                                    </m:ctrlPr>
                                  </m:sSubPr>
                                  <m:e>
                                    <m:r>
                                      <m:rPr>
                                        <m:sty m:val="p"/>
                                      </m:rPr>
                                      <w:rPr>
                                        <w:rFonts w:hint="default" w:ascii="Cambria Math" w:hAnsi="Cambria Math" w:cs="Times New Roman"/>
                                        <w:color w:val="auto"/>
                                        <w:spacing w:val="0"/>
                                        <w:kern w:val="2"/>
                                        <w:sz w:val="24"/>
                                        <w:szCs w:val="24"/>
                                        <w:highlight w:val="none"/>
                                        <w:lang w:val="en-US" w:eastAsia="zh-CN" w:bidi="ar-SA"/>
                                      </w:rPr>
                                      <m:t>0.1L</m:t>
                                    </m:r>
                                    <m:ctrlPr>
                                      <w:rPr>
                                        <w:rFonts w:hint="default" w:ascii="Cambria Math" w:hAnsi="Cambria Math" w:cs="Times New Roman"/>
                                        <w:b w:val="0"/>
                                        <w:bCs w:val="0"/>
                                        <w:color w:val="auto"/>
                                        <w:spacing w:val="0"/>
                                        <w:kern w:val="2"/>
                                        <w:sz w:val="24"/>
                                        <w:szCs w:val="24"/>
                                        <w:highlight w:val="none"/>
                                        <w:lang w:val="en-US" w:eastAsia="zh-CN" w:bidi="ar-SA"/>
                                      </w:rPr>
                                    </m:ctrlPr>
                                  </m:e>
                                  <m:sub>
                                    <m:r>
                                      <m:rPr>
                                        <m:sty m:val="p"/>
                                      </m:rPr>
                                      <w:rPr>
                                        <w:rFonts w:hint="default" w:ascii="Cambria Math" w:hAnsi="Cambria Math" w:cs="Times New Roman"/>
                                        <w:color w:val="auto"/>
                                        <w:spacing w:val="0"/>
                                        <w:kern w:val="2"/>
                                        <w:sz w:val="24"/>
                                        <w:szCs w:val="24"/>
                                        <w:highlight w:val="none"/>
                                        <w:lang w:val="en-US" w:eastAsia="zh-CN" w:bidi="ar-SA"/>
                                      </w:rPr>
                                      <m:t>Aj</m:t>
                                    </m:r>
                                    <m:ctrlPr>
                                      <w:rPr>
                                        <w:rFonts w:hint="default" w:ascii="Cambria Math" w:hAnsi="Cambria Math" w:cs="Times New Roman"/>
                                        <w:b w:val="0"/>
                                        <w:bCs w:val="0"/>
                                        <w:color w:val="auto"/>
                                        <w:spacing w:val="0"/>
                                        <w:kern w:val="2"/>
                                        <w:sz w:val="24"/>
                                        <w:szCs w:val="24"/>
                                        <w:highlight w:val="none"/>
                                        <w:lang w:val="en-US" w:eastAsia="zh-CN" w:bidi="ar-SA"/>
                                      </w:rPr>
                                    </m:ctrlPr>
                                  </m:sub>
                                </m:sSub>
                                <m:ctrlPr>
                                  <w:rPr>
                                    <w:rFonts w:hint="default" w:ascii="Cambria Math" w:hAnsi="Cambria Math" w:cs="Times New Roman"/>
                                    <w:b w:val="0"/>
                                    <w:bCs w:val="0"/>
                                    <w:color w:val="auto"/>
                                    <w:spacing w:val="0"/>
                                    <w:kern w:val="2"/>
                                    <w:sz w:val="24"/>
                                    <w:szCs w:val="24"/>
                                    <w:highlight w:val="none"/>
                                    <w:lang w:val="en-US" w:eastAsia="zh-CN" w:bidi="ar-SA"/>
                                  </w:rPr>
                                </m:ctrlPr>
                              </m:sup>
                            </m:sSup>
                            <m:ctrlPr>
                              <w:rPr>
                                <w:rFonts w:hint="default" w:ascii="Cambria Math" w:hAnsi="Cambria Math" w:cs="Times New Roman"/>
                                <w:b w:val="0"/>
                                <w:bCs w:val="0"/>
                                <w:color w:val="auto"/>
                                <w:spacing w:val="0"/>
                                <w:kern w:val="2"/>
                                <w:sz w:val="24"/>
                                <w:szCs w:val="24"/>
                                <w:highlight w:val="none"/>
                                <w:lang w:val="en-US" w:eastAsia="zh-CN" w:bidi="ar-SA"/>
                              </w:rPr>
                            </m:ctrlPr>
                          </m:e>
                        </m:d>
                        <m:ctrlPr>
                          <w:rPr>
                            <w:rFonts w:hint="default" w:ascii="Cambria Math" w:hAnsi="Cambria Math" w:cs="Times New Roman"/>
                            <w:b w:val="0"/>
                            <w:bCs w:val="0"/>
                            <w:color w:val="auto"/>
                            <w:spacing w:val="0"/>
                            <w:kern w:val="2"/>
                            <w:sz w:val="24"/>
                            <w:szCs w:val="24"/>
                            <w:highlight w:val="none"/>
                            <w:lang w:val="en-US" w:eastAsia="zh-CN" w:bidi="ar-SA"/>
                          </w:rPr>
                        </m:ctrlPr>
                      </m:e>
                    </m:d>
                    <m:ctrlPr>
                      <w:rPr>
                        <w:rFonts w:hint="default" w:ascii="Cambria Math" w:hAnsi="Cambria Math" w:cs="Times New Roman"/>
                        <w:b w:val="0"/>
                        <w:bCs w:val="0"/>
                        <w:color w:val="auto"/>
                        <w:spacing w:val="0"/>
                        <w:kern w:val="2"/>
                        <w:sz w:val="24"/>
                        <w:szCs w:val="24"/>
                        <w:highlight w:val="none"/>
                        <w:lang w:val="en-US" w:eastAsia="zh-CN" w:bidi="ar-SA"/>
                      </w:rPr>
                    </m:ctrlPr>
                  </m:e>
                </m:func>
              </m:oMath>
            </m:oMathPara>
          </w:p>
          <w:p w14:paraId="412FC49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10"/>
                <w:sz w:val="24"/>
                <w:highlight w:val="none"/>
                <w:lang w:val="en-US" w:eastAsia="zh-CN"/>
              </w:rPr>
            </w:pPr>
            <w:r>
              <w:rPr>
                <w:rFonts w:hint="eastAsia"/>
                <w:b w:val="0"/>
                <w:bCs w:val="0"/>
                <w:color w:val="auto"/>
                <w:spacing w:val="0"/>
                <w:sz w:val="24"/>
                <w:highlight w:val="none"/>
                <w:lang w:val="en-US" w:eastAsia="zh-CN"/>
              </w:rPr>
              <w:t>式中：</w:t>
            </w:r>
          </w:p>
          <w:p w14:paraId="43759C8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0"/>
                <w:sz w:val="24"/>
                <w:highlight w:val="none"/>
                <w:vertAlign w:val="baseline"/>
                <w:lang w:val="en-US" w:eastAsia="zh-CN"/>
              </w:rPr>
            </w:pPr>
            <w:r>
              <w:rPr>
                <w:rFonts w:hint="eastAsia"/>
                <w:b w:val="0"/>
                <w:bCs w:val="0"/>
                <w:color w:val="auto"/>
                <w:spacing w:val="0"/>
                <w:sz w:val="24"/>
                <w:highlight w:val="none"/>
                <w:lang w:val="en-US" w:eastAsia="zh-CN"/>
              </w:rPr>
              <w:t>L</w:t>
            </w:r>
            <w:r>
              <w:rPr>
                <w:rFonts w:hint="eastAsia"/>
                <w:b w:val="0"/>
                <w:bCs w:val="0"/>
                <w:color w:val="auto"/>
                <w:spacing w:val="0"/>
                <w:sz w:val="24"/>
                <w:highlight w:val="none"/>
                <w:vertAlign w:val="subscript"/>
                <w:lang w:val="en-US" w:eastAsia="zh-CN"/>
              </w:rPr>
              <w:t>eqg</w:t>
            </w:r>
            <w:r>
              <w:rPr>
                <w:rFonts w:hint="eastAsia"/>
                <w:b w:val="0"/>
                <w:bCs w:val="0"/>
                <w:color w:val="auto"/>
                <w:spacing w:val="0"/>
                <w:sz w:val="24"/>
                <w:highlight w:val="none"/>
                <w:vertAlign w:val="baseline"/>
                <w:lang w:val="en-US" w:eastAsia="zh-CN"/>
              </w:rPr>
              <w:t>—建设项目声源在预测点产生的噪声贡献值，dB；</w:t>
            </w:r>
          </w:p>
          <w:p w14:paraId="5843A4F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0"/>
                <w:sz w:val="24"/>
                <w:highlight w:val="none"/>
                <w:vertAlign w:val="baseline"/>
                <w:lang w:val="en-US" w:eastAsia="zh-CN"/>
              </w:rPr>
            </w:pPr>
            <w:r>
              <w:rPr>
                <w:rFonts w:hint="eastAsia"/>
                <w:b w:val="0"/>
                <w:bCs w:val="0"/>
                <w:color w:val="auto"/>
                <w:spacing w:val="0"/>
                <w:sz w:val="24"/>
                <w:highlight w:val="none"/>
                <w:vertAlign w:val="baseline"/>
                <w:lang w:val="en-US" w:eastAsia="zh-CN"/>
              </w:rPr>
              <w:t>T—用于计算等效声级的时间，s；</w:t>
            </w:r>
          </w:p>
          <w:p w14:paraId="22C573C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0"/>
                <w:sz w:val="24"/>
                <w:highlight w:val="none"/>
                <w:lang w:val="en-US" w:eastAsia="zh-CN"/>
              </w:rPr>
            </w:pPr>
            <w:r>
              <w:rPr>
                <w:rFonts w:hint="eastAsia"/>
                <w:b w:val="0"/>
                <w:bCs w:val="0"/>
                <w:color w:val="auto"/>
                <w:spacing w:val="0"/>
                <w:sz w:val="24"/>
                <w:highlight w:val="none"/>
                <w:lang w:val="en-US" w:eastAsia="zh-CN"/>
              </w:rPr>
              <w:t>N—室外声源个数；</w:t>
            </w:r>
          </w:p>
          <w:p w14:paraId="1E91948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0"/>
                <w:sz w:val="24"/>
                <w:highlight w:val="none"/>
                <w:vertAlign w:val="baseline"/>
                <w:lang w:val="en-US" w:eastAsia="zh-CN"/>
              </w:rPr>
            </w:pPr>
            <w:r>
              <w:rPr>
                <w:rFonts w:hint="eastAsia"/>
                <w:b w:val="0"/>
                <w:bCs w:val="0"/>
                <w:color w:val="auto"/>
                <w:spacing w:val="0"/>
                <w:sz w:val="24"/>
                <w:highlight w:val="none"/>
                <w:lang w:val="en-US" w:eastAsia="zh-CN"/>
              </w:rPr>
              <w:t>t</w:t>
            </w:r>
            <w:r>
              <w:rPr>
                <w:rFonts w:hint="eastAsia"/>
                <w:b w:val="0"/>
                <w:bCs w:val="0"/>
                <w:color w:val="auto"/>
                <w:spacing w:val="0"/>
                <w:sz w:val="24"/>
                <w:highlight w:val="none"/>
                <w:vertAlign w:val="subscript"/>
                <w:lang w:val="en-US" w:eastAsia="zh-CN"/>
              </w:rPr>
              <w:t>i</w:t>
            </w:r>
            <w:r>
              <w:rPr>
                <w:rFonts w:hint="eastAsia"/>
                <w:b w:val="0"/>
                <w:bCs w:val="0"/>
                <w:color w:val="auto"/>
                <w:spacing w:val="0"/>
                <w:sz w:val="24"/>
                <w:highlight w:val="none"/>
                <w:vertAlign w:val="baseline"/>
                <w:lang w:val="en-US" w:eastAsia="zh-CN"/>
              </w:rPr>
              <w:t>—在T时间内i声源工作时间，s；</w:t>
            </w:r>
          </w:p>
          <w:p w14:paraId="55A21C1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0"/>
                <w:sz w:val="24"/>
                <w:highlight w:val="none"/>
                <w:vertAlign w:val="baseline"/>
                <w:lang w:val="en-US" w:eastAsia="zh-CN"/>
              </w:rPr>
            </w:pPr>
            <w:r>
              <w:rPr>
                <w:rFonts w:hint="eastAsia"/>
                <w:b w:val="0"/>
                <w:bCs w:val="0"/>
                <w:color w:val="auto"/>
                <w:spacing w:val="0"/>
                <w:sz w:val="24"/>
                <w:highlight w:val="none"/>
                <w:lang w:val="en-US" w:eastAsia="zh-CN"/>
              </w:rPr>
              <w:t>M—等效室外声源个数；</w:t>
            </w:r>
          </w:p>
          <w:p w14:paraId="74F4950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0"/>
                <w:sz w:val="24"/>
                <w:highlight w:val="none"/>
                <w:vertAlign w:val="baseline"/>
                <w:lang w:val="en-US" w:eastAsia="zh-CN"/>
              </w:rPr>
            </w:pPr>
            <w:r>
              <w:rPr>
                <w:rFonts w:hint="eastAsia"/>
                <w:b w:val="0"/>
                <w:bCs w:val="0"/>
                <w:color w:val="auto"/>
                <w:spacing w:val="0"/>
                <w:sz w:val="24"/>
                <w:highlight w:val="none"/>
                <w:vertAlign w:val="baseline"/>
                <w:lang w:val="en-US" w:eastAsia="zh-CN"/>
              </w:rPr>
              <w:t>t</w:t>
            </w:r>
            <w:r>
              <w:rPr>
                <w:rFonts w:hint="eastAsia"/>
                <w:b w:val="0"/>
                <w:bCs w:val="0"/>
                <w:color w:val="auto"/>
                <w:spacing w:val="0"/>
                <w:sz w:val="24"/>
                <w:highlight w:val="none"/>
                <w:vertAlign w:val="subscript"/>
                <w:lang w:val="en-US" w:eastAsia="zh-CN"/>
              </w:rPr>
              <w:t>j</w:t>
            </w:r>
            <w:r>
              <w:rPr>
                <w:rFonts w:hint="eastAsia"/>
                <w:b w:val="0"/>
                <w:bCs w:val="0"/>
                <w:color w:val="auto"/>
                <w:spacing w:val="0"/>
                <w:sz w:val="24"/>
                <w:highlight w:val="none"/>
                <w:vertAlign w:val="baseline"/>
                <w:lang w:val="en-US" w:eastAsia="zh-CN"/>
              </w:rPr>
              <w:t>—在T时间内j声源工作时间，s。</w:t>
            </w:r>
          </w:p>
          <w:p w14:paraId="75D6C30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0"/>
                <w:sz w:val="24"/>
                <w:highlight w:val="none"/>
                <w:lang w:val="en-US" w:eastAsia="zh-CN"/>
              </w:rPr>
            </w:pPr>
            <w:r>
              <w:rPr>
                <w:rFonts w:hint="default"/>
                <w:b w:val="0"/>
                <w:bCs w:val="0"/>
                <w:color w:val="auto"/>
                <w:spacing w:val="0"/>
                <w:sz w:val="24"/>
                <w:highlight w:val="none"/>
                <w:lang w:val="en-US" w:eastAsia="zh-CN"/>
              </w:rPr>
              <w:t>③</w:t>
            </w:r>
            <w:r>
              <w:rPr>
                <w:rFonts w:hint="eastAsia"/>
                <w:b w:val="0"/>
                <w:bCs w:val="0"/>
                <w:color w:val="auto"/>
                <w:spacing w:val="0"/>
                <w:sz w:val="24"/>
                <w:highlight w:val="none"/>
                <w:lang w:val="en-US" w:eastAsia="zh-CN"/>
              </w:rPr>
              <w:t>点声源距离衰减</w:t>
            </w:r>
          </w:p>
          <w:p w14:paraId="592C434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eastAsia="宋体"/>
                <w:b w:val="0"/>
                <w:bCs w:val="0"/>
                <w:color w:val="auto"/>
                <w:spacing w:val="0"/>
                <w:sz w:val="24"/>
                <w:highlight w:val="none"/>
                <w:lang w:val="en-US" w:eastAsia="zh-CN"/>
              </w:rPr>
            </w:pPr>
            <m:oMathPara>
              <m:oMath>
                <m:sSub>
                  <m:sSubPr>
                    <m:ctrlPr>
                      <w:rPr>
                        <w:rFonts w:hint="default" w:ascii="Cambria Math" w:hAnsi="Cambria Math"/>
                        <w:bCs w:val="0"/>
                        <w:i/>
                        <w:color w:val="auto"/>
                        <w:spacing w:val="0"/>
                        <w:sz w:val="24"/>
                        <w:highlight w:val="none"/>
                        <w:lang w:val="en-US"/>
                      </w:rPr>
                    </m:ctrlPr>
                  </m:sSubPr>
                  <m:e>
                    <m:r>
                      <m:rPr/>
                      <w:rPr>
                        <w:rFonts w:hint="default" w:ascii="Cambria Math" w:hAnsi="Cambria Math"/>
                        <w:color w:val="auto"/>
                        <w:spacing w:val="0"/>
                        <w:sz w:val="24"/>
                        <w:highlight w:val="none"/>
                        <w:lang w:val="en-US" w:eastAsia="zh-CN"/>
                      </w:rPr>
                      <m:t>L</m:t>
                    </m:r>
                    <m:ctrlPr>
                      <w:rPr>
                        <w:rFonts w:hint="default" w:ascii="Cambria Math" w:hAnsi="Cambria Math"/>
                        <w:bCs w:val="0"/>
                        <w:i/>
                        <w:color w:val="auto"/>
                        <w:spacing w:val="0"/>
                        <w:sz w:val="24"/>
                        <w:highlight w:val="none"/>
                        <w:lang w:val="en-US"/>
                      </w:rPr>
                    </m:ctrlPr>
                  </m:e>
                  <m:sub>
                    <m:r>
                      <m:rPr/>
                      <w:rPr>
                        <w:rFonts w:hint="default" w:ascii="Cambria Math" w:hAnsi="Cambria Math"/>
                        <w:color w:val="auto"/>
                        <w:spacing w:val="0"/>
                        <w:sz w:val="24"/>
                        <w:highlight w:val="none"/>
                        <w:lang w:val="en-US" w:eastAsia="zh-CN"/>
                      </w:rPr>
                      <m:t>p</m:t>
                    </m:r>
                    <m:ctrlPr>
                      <w:rPr>
                        <w:rFonts w:hint="default" w:ascii="Cambria Math" w:hAnsi="Cambria Math"/>
                        <w:bCs w:val="0"/>
                        <w:i/>
                        <w:color w:val="auto"/>
                        <w:spacing w:val="0"/>
                        <w:sz w:val="24"/>
                        <w:highlight w:val="none"/>
                        <w:lang w:val="en-US"/>
                      </w:rPr>
                    </m:ctrlPr>
                  </m:sub>
                </m:sSub>
                <m:d>
                  <m:dPr>
                    <m:ctrlPr>
                      <w:rPr>
                        <w:rFonts w:hint="default" w:ascii="Cambria Math" w:hAnsi="Cambria Math"/>
                        <w:bCs w:val="0"/>
                        <w:i/>
                        <w:color w:val="auto"/>
                        <w:spacing w:val="0"/>
                        <w:sz w:val="24"/>
                        <w:highlight w:val="none"/>
                        <w:lang w:val="en-US"/>
                      </w:rPr>
                    </m:ctrlPr>
                  </m:dPr>
                  <m:e>
                    <m:r>
                      <m:rPr/>
                      <w:rPr>
                        <w:rFonts w:hint="default" w:ascii="Cambria Math" w:hAnsi="Cambria Math"/>
                        <w:color w:val="auto"/>
                        <w:spacing w:val="0"/>
                        <w:sz w:val="24"/>
                        <w:highlight w:val="none"/>
                        <w:lang w:val="en-US" w:eastAsia="zh-CN"/>
                      </w:rPr>
                      <m:t>r</m:t>
                    </m:r>
                    <m:ctrlPr>
                      <w:rPr>
                        <w:rFonts w:hint="default" w:ascii="Cambria Math" w:hAnsi="Cambria Math"/>
                        <w:bCs w:val="0"/>
                        <w:i/>
                        <w:color w:val="auto"/>
                        <w:spacing w:val="0"/>
                        <w:sz w:val="24"/>
                        <w:highlight w:val="none"/>
                        <w:lang w:val="en-US"/>
                      </w:rPr>
                    </m:ctrlPr>
                  </m:e>
                </m:d>
                <m:r>
                  <m:rPr/>
                  <w:rPr>
                    <w:rFonts w:hint="default" w:ascii="Cambria Math" w:hAnsi="Cambria Math"/>
                    <w:color w:val="auto"/>
                    <w:spacing w:val="0"/>
                    <w:sz w:val="24"/>
                    <w:highlight w:val="none"/>
                    <w:lang w:val="en-US" w:eastAsia="zh-CN"/>
                  </w:rPr>
                  <m:t>=</m:t>
                </m:r>
                <m:sSub>
                  <m:sSubPr>
                    <m:ctrlPr>
                      <w:rPr>
                        <w:rFonts w:hint="default" w:ascii="Cambria Math" w:hAnsi="Cambria Math"/>
                        <w:bCs w:val="0"/>
                        <w:i/>
                        <w:color w:val="auto"/>
                        <w:spacing w:val="0"/>
                        <w:sz w:val="24"/>
                        <w:highlight w:val="none"/>
                        <w:lang w:val="en-US" w:eastAsia="zh-CN"/>
                      </w:rPr>
                    </m:ctrlPr>
                  </m:sSubPr>
                  <m:e>
                    <m:r>
                      <m:rPr/>
                      <w:rPr>
                        <w:rFonts w:hint="default" w:ascii="Cambria Math" w:hAnsi="Cambria Math"/>
                        <w:color w:val="auto"/>
                        <w:spacing w:val="0"/>
                        <w:sz w:val="24"/>
                        <w:highlight w:val="none"/>
                        <w:lang w:val="en-US" w:eastAsia="zh-CN"/>
                      </w:rPr>
                      <m:t>L</m:t>
                    </m:r>
                    <m:ctrlPr>
                      <w:rPr>
                        <w:rFonts w:hint="default" w:ascii="Cambria Math" w:hAnsi="Cambria Math"/>
                        <w:bCs w:val="0"/>
                        <w:i/>
                        <w:color w:val="auto"/>
                        <w:spacing w:val="0"/>
                        <w:sz w:val="24"/>
                        <w:highlight w:val="none"/>
                        <w:lang w:val="en-US" w:eastAsia="zh-CN"/>
                      </w:rPr>
                    </m:ctrlPr>
                  </m:e>
                  <m:sub>
                    <m:r>
                      <m:rPr/>
                      <w:rPr>
                        <w:rFonts w:hint="default" w:ascii="Cambria Math" w:hAnsi="Cambria Math"/>
                        <w:color w:val="auto"/>
                        <w:spacing w:val="0"/>
                        <w:sz w:val="24"/>
                        <w:highlight w:val="none"/>
                        <w:lang w:val="en-US" w:eastAsia="zh-CN"/>
                      </w:rPr>
                      <m:t>p</m:t>
                    </m:r>
                    <m:ctrlPr>
                      <w:rPr>
                        <w:rFonts w:hint="default" w:ascii="Cambria Math" w:hAnsi="Cambria Math"/>
                        <w:bCs w:val="0"/>
                        <w:i/>
                        <w:color w:val="auto"/>
                        <w:spacing w:val="0"/>
                        <w:sz w:val="24"/>
                        <w:highlight w:val="none"/>
                        <w:lang w:val="en-US" w:eastAsia="zh-CN"/>
                      </w:rPr>
                    </m:ctrlPr>
                  </m:sub>
                </m:sSub>
                <m:d>
                  <m:dPr>
                    <m:ctrlPr>
                      <w:rPr>
                        <w:rFonts w:hint="default" w:ascii="Cambria Math" w:hAnsi="Cambria Math"/>
                        <w:bCs w:val="0"/>
                        <w:i/>
                        <w:color w:val="auto"/>
                        <w:spacing w:val="0"/>
                        <w:sz w:val="24"/>
                        <w:highlight w:val="none"/>
                        <w:lang w:val="en-US" w:eastAsia="zh-CN"/>
                      </w:rPr>
                    </m:ctrlPr>
                  </m:dPr>
                  <m:e>
                    <m:sSub>
                      <m:sSubPr>
                        <m:ctrlPr>
                          <w:rPr>
                            <w:rFonts w:hint="default" w:ascii="Cambria Math" w:hAnsi="Cambria Math"/>
                            <w:bCs w:val="0"/>
                            <w:i/>
                            <w:color w:val="auto"/>
                            <w:spacing w:val="0"/>
                            <w:sz w:val="24"/>
                            <w:highlight w:val="none"/>
                            <w:lang w:val="en-US" w:eastAsia="zh-CN"/>
                          </w:rPr>
                        </m:ctrlPr>
                      </m:sSubPr>
                      <m:e>
                        <m:r>
                          <m:rPr/>
                          <w:rPr>
                            <w:rFonts w:hint="default" w:ascii="Cambria Math" w:hAnsi="Cambria Math"/>
                            <w:color w:val="auto"/>
                            <w:spacing w:val="0"/>
                            <w:sz w:val="24"/>
                            <w:highlight w:val="none"/>
                            <w:lang w:val="en-US" w:eastAsia="zh-CN"/>
                          </w:rPr>
                          <m:t>r</m:t>
                        </m:r>
                        <m:ctrlPr>
                          <w:rPr>
                            <w:rFonts w:hint="default" w:ascii="Cambria Math" w:hAnsi="Cambria Math"/>
                            <w:bCs w:val="0"/>
                            <w:i/>
                            <w:color w:val="auto"/>
                            <w:spacing w:val="0"/>
                            <w:sz w:val="24"/>
                            <w:highlight w:val="none"/>
                            <w:lang w:val="en-US" w:eastAsia="zh-CN"/>
                          </w:rPr>
                        </m:ctrlPr>
                      </m:e>
                      <m:sub>
                        <m:r>
                          <m:rPr/>
                          <w:rPr>
                            <w:rFonts w:hint="default" w:ascii="Cambria Math" w:hAnsi="Cambria Math"/>
                            <w:color w:val="auto"/>
                            <w:spacing w:val="0"/>
                            <w:sz w:val="24"/>
                            <w:highlight w:val="none"/>
                            <w:lang w:val="en-US" w:eastAsia="zh-CN"/>
                          </w:rPr>
                          <m:t>0</m:t>
                        </m:r>
                        <m:ctrlPr>
                          <w:rPr>
                            <w:rFonts w:hint="default" w:ascii="Cambria Math" w:hAnsi="Cambria Math"/>
                            <w:bCs w:val="0"/>
                            <w:i/>
                            <w:color w:val="auto"/>
                            <w:spacing w:val="0"/>
                            <w:sz w:val="24"/>
                            <w:highlight w:val="none"/>
                            <w:lang w:val="en-US" w:eastAsia="zh-CN"/>
                          </w:rPr>
                        </m:ctrlPr>
                      </m:sub>
                    </m:sSub>
                    <m:ctrlPr>
                      <w:rPr>
                        <w:rFonts w:hint="default" w:ascii="Cambria Math" w:hAnsi="Cambria Math"/>
                        <w:bCs w:val="0"/>
                        <w:i/>
                        <w:color w:val="auto"/>
                        <w:spacing w:val="0"/>
                        <w:sz w:val="24"/>
                        <w:highlight w:val="none"/>
                        <w:lang w:val="en-US" w:eastAsia="zh-CN"/>
                      </w:rPr>
                    </m:ctrlPr>
                  </m:e>
                </m:d>
                <m:r>
                  <m:rPr/>
                  <w:rPr>
                    <w:rFonts w:hint="default" w:ascii="Cambria Math" w:hAnsi="Cambria Math"/>
                    <w:color w:val="auto"/>
                    <w:spacing w:val="0"/>
                    <w:sz w:val="24"/>
                    <w:highlight w:val="none"/>
                    <w:lang w:val="en-US" w:eastAsia="zh-CN"/>
                  </w:rPr>
                  <m:t>−20</m:t>
                </m:r>
                <m:func>
                  <m:funcPr>
                    <m:ctrlPr>
                      <w:rPr>
                        <w:rFonts w:hint="default" w:ascii="Cambria Math" w:hAnsi="Cambria Math"/>
                        <w:bCs w:val="0"/>
                        <w:color w:val="auto"/>
                        <w:spacing w:val="0"/>
                        <w:sz w:val="24"/>
                        <w:highlight w:val="none"/>
                        <w:lang w:val="en-US" w:eastAsia="zh-CN"/>
                      </w:rPr>
                    </m:ctrlPr>
                  </m:funcPr>
                  <m:fName>
                    <m:r>
                      <m:rPr>
                        <m:sty m:val="p"/>
                      </m:rPr>
                      <w:rPr>
                        <w:rFonts w:hint="default" w:ascii="Cambria Math" w:hAnsi="Cambria Math"/>
                        <w:color w:val="auto"/>
                        <w:spacing w:val="0"/>
                        <w:sz w:val="24"/>
                        <w:highlight w:val="none"/>
                        <w:lang w:val="en-US"/>
                      </w:rPr>
                      <m:t>lg</m:t>
                    </m:r>
                    <m:ctrlPr>
                      <w:rPr>
                        <w:rFonts w:hint="default" w:ascii="Cambria Math" w:hAnsi="Cambria Math"/>
                        <w:bCs w:val="0"/>
                        <w:i/>
                        <w:color w:val="auto"/>
                        <w:spacing w:val="0"/>
                        <w:sz w:val="24"/>
                        <w:highlight w:val="none"/>
                        <w:lang w:val="en-US" w:eastAsia="zh-CN"/>
                      </w:rPr>
                    </m:ctrlPr>
                  </m:fName>
                  <m:e>
                    <m:d>
                      <m:dPr>
                        <m:ctrlPr>
                          <w:rPr>
                            <w:rFonts w:hint="default" w:ascii="Cambria Math" w:hAnsi="Cambria Math"/>
                            <w:bCs w:val="0"/>
                            <w:i/>
                            <w:color w:val="auto"/>
                            <w:spacing w:val="0"/>
                            <w:sz w:val="24"/>
                            <w:highlight w:val="none"/>
                            <w:lang w:val="en-US" w:eastAsia="zh-CN"/>
                          </w:rPr>
                        </m:ctrlPr>
                      </m:dPr>
                      <m:e>
                        <m:f>
                          <m:fPr>
                            <m:ctrlPr>
                              <w:rPr>
                                <w:rFonts w:hint="default" w:ascii="Cambria Math" w:hAnsi="Cambria Math"/>
                                <w:bCs w:val="0"/>
                                <w:i/>
                                <w:color w:val="auto"/>
                                <w:spacing w:val="0"/>
                                <w:sz w:val="24"/>
                                <w:highlight w:val="none"/>
                                <w:lang w:val="en-US" w:eastAsia="zh-CN"/>
                              </w:rPr>
                            </m:ctrlPr>
                          </m:fPr>
                          <m:num>
                            <m:r>
                              <m:rPr/>
                              <w:rPr>
                                <w:rFonts w:hint="default" w:ascii="Cambria Math" w:hAnsi="Cambria Math"/>
                                <w:color w:val="auto"/>
                                <w:spacing w:val="0"/>
                                <w:sz w:val="24"/>
                                <w:highlight w:val="none"/>
                                <w:lang w:val="en-US" w:eastAsia="zh-CN"/>
                              </w:rPr>
                              <m:t>r</m:t>
                            </m:r>
                            <m:ctrlPr>
                              <w:rPr>
                                <w:rFonts w:hint="default" w:ascii="Cambria Math" w:hAnsi="Cambria Math"/>
                                <w:bCs w:val="0"/>
                                <w:i/>
                                <w:color w:val="auto"/>
                                <w:spacing w:val="0"/>
                                <w:sz w:val="24"/>
                                <w:highlight w:val="none"/>
                                <w:lang w:val="en-US" w:eastAsia="zh-CN"/>
                              </w:rPr>
                            </m:ctrlPr>
                          </m:num>
                          <m:den>
                            <m:sSub>
                              <m:sSubPr>
                                <m:ctrlPr>
                                  <w:rPr>
                                    <w:rFonts w:hint="default" w:ascii="Cambria Math" w:hAnsi="Cambria Math"/>
                                    <w:bCs w:val="0"/>
                                    <w:i/>
                                    <w:color w:val="auto"/>
                                    <w:spacing w:val="0"/>
                                    <w:sz w:val="24"/>
                                    <w:highlight w:val="none"/>
                                    <w:lang w:val="en-US" w:eastAsia="zh-CN"/>
                                  </w:rPr>
                                </m:ctrlPr>
                              </m:sSubPr>
                              <m:e>
                                <m:r>
                                  <m:rPr/>
                                  <w:rPr>
                                    <w:rFonts w:hint="default" w:ascii="Cambria Math" w:hAnsi="Cambria Math"/>
                                    <w:color w:val="auto"/>
                                    <w:spacing w:val="0"/>
                                    <w:sz w:val="24"/>
                                    <w:highlight w:val="none"/>
                                    <w:lang w:val="en-US" w:eastAsia="zh-CN"/>
                                  </w:rPr>
                                  <m:t>r</m:t>
                                </m:r>
                                <m:ctrlPr>
                                  <w:rPr>
                                    <w:rFonts w:hint="default" w:ascii="Cambria Math" w:hAnsi="Cambria Math"/>
                                    <w:bCs w:val="0"/>
                                    <w:i/>
                                    <w:color w:val="auto"/>
                                    <w:spacing w:val="0"/>
                                    <w:sz w:val="24"/>
                                    <w:highlight w:val="none"/>
                                    <w:lang w:val="en-US" w:eastAsia="zh-CN"/>
                                  </w:rPr>
                                </m:ctrlPr>
                              </m:e>
                              <m:sub>
                                <m:r>
                                  <m:rPr/>
                                  <w:rPr>
                                    <w:rFonts w:hint="default" w:ascii="Cambria Math" w:hAnsi="Cambria Math"/>
                                    <w:color w:val="auto"/>
                                    <w:spacing w:val="0"/>
                                    <w:sz w:val="24"/>
                                    <w:highlight w:val="none"/>
                                    <w:lang w:val="en-US" w:eastAsia="zh-CN"/>
                                  </w:rPr>
                                  <m:t>0</m:t>
                                </m:r>
                                <m:ctrlPr>
                                  <w:rPr>
                                    <w:rFonts w:hint="default" w:ascii="Cambria Math" w:hAnsi="Cambria Math"/>
                                    <w:bCs w:val="0"/>
                                    <w:i/>
                                    <w:color w:val="auto"/>
                                    <w:spacing w:val="0"/>
                                    <w:sz w:val="24"/>
                                    <w:highlight w:val="none"/>
                                    <w:lang w:val="en-US" w:eastAsia="zh-CN"/>
                                  </w:rPr>
                                </m:ctrlPr>
                              </m:sub>
                            </m:sSub>
                            <m:ctrlPr>
                              <w:rPr>
                                <w:rFonts w:hint="default" w:ascii="Cambria Math" w:hAnsi="Cambria Math"/>
                                <w:bCs w:val="0"/>
                                <w:i/>
                                <w:color w:val="auto"/>
                                <w:spacing w:val="0"/>
                                <w:sz w:val="24"/>
                                <w:highlight w:val="none"/>
                                <w:lang w:val="en-US" w:eastAsia="zh-CN"/>
                              </w:rPr>
                            </m:ctrlPr>
                          </m:den>
                        </m:f>
                        <m:ctrlPr>
                          <w:rPr>
                            <w:rFonts w:hint="default" w:ascii="Cambria Math" w:hAnsi="Cambria Math"/>
                            <w:bCs w:val="0"/>
                            <w:i/>
                            <w:color w:val="auto"/>
                            <w:spacing w:val="0"/>
                            <w:sz w:val="24"/>
                            <w:highlight w:val="none"/>
                            <w:lang w:val="en-US" w:eastAsia="zh-CN"/>
                          </w:rPr>
                        </m:ctrlPr>
                      </m:e>
                    </m:d>
                    <m:ctrlPr>
                      <w:rPr>
                        <w:rFonts w:hint="default" w:ascii="Cambria Math" w:hAnsi="Cambria Math"/>
                        <w:bCs w:val="0"/>
                        <w:i/>
                        <w:color w:val="auto"/>
                        <w:spacing w:val="0"/>
                        <w:sz w:val="24"/>
                        <w:highlight w:val="none"/>
                        <w:lang w:val="en-US" w:eastAsia="zh-CN"/>
                      </w:rPr>
                    </m:ctrlPr>
                  </m:e>
                </m:func>
              </m:oMath>
            </m:oMathPara>
          </w:p>
          <w:p w14:paraId="48101CB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0"/>
                <w:sz w:val="24"/>
                <w:highlight w:val="none"/>
                <w:lang w:val="en-US" w:eastAsia="zh-CN"/>
              </w:rPr>
            </w:pPr>
            <w:r>
              <w:rPr>
                <w:rFonts w:hint="eastAsia"/>
                <w:b w:val="0"/>
                <w:bCs w:val="0"/>
                <w:color w:val="auto"/>
                <w:spacing w:val="0"/>
                <w:sz w:val="24"/>
                <w:highlight w:val="none"/>
                <w:lang w:val="en-US" w:eastAsia="zh-CN"/>
              </w:rPr>
              <w:t>式中：</w:t>
            </w:r>
          </w:p>
          <w:p w14:paraId="277EB04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0"/>
                <w:sz w:val="24"/>
                <w:highlight w:val="none"/>
                <w:vertAlign w:val="baseline"/>
                <w:lang w:val="en-US" w:eastAsia="zh-CN"/>
              </w:rPr>
            </w:pPr>
            <w:r>
              <w:rPr>
                <w:rFonts w:hint="eastAsia"/>
                <w:b w:val="0"/>
                <w:bCs w:val="0"/>
                <w:color w:val="auto"/>
                <w:spacing w:val="0"/>
                <w:sz w:val="24"/>
                <w:highlight w:val="none"/>
                <w:lang w:val="en-US" w:eastAsia="zh-CN"/>
              </w:rPr>
              <w:t>L</w:t>
            </w:r>
            <w:r>
              <w:rPr>
                <w:rFonts w:hint="eastAsia"/>
                <w:b w:val="0"/>
                <w:bCs w:val="0"/>
                <w:color w:val="auto"/>
                <w:spacing w:val="0"/>
                <w:sz w:val="24"/>
                <w:highlight w:val="none"/>
                <w:vertAlign w:val="subscript"/>
                <w:lang w:val="en-US" w:eastAsia="zh-CN"/>
              </w:rPr>
              <w:t>p</w:t>
            </w:r>
            <w:r>
              <w:rPr>
                <w:rFonts w:hint="eastAsia"/>
                <w:b w:val="0"/>
                <w:bCs w:val="0"/>
                <w:color w:val="auto"/>
                <w:spacing w:val="0"/>
                <w:sz w:val="24"/>
                <w:highlight w:val="none"/>
                <w:vertAlign w:val="baseline"/>
                <w:lang w:val="en-US" w:eastAsia="zh-CN"/>
              </w:rPr>
              <w:t>(r)—距声源r处（厂界处）的A声级，dB(A)；</w:t>
            </w:r>
          </w:p>
          <w:p w14:paraId="7D14840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0"/>
                <w:sz w:val="24"/>
                <w:highlight w:val="none"/>
                <w:vertAlign w:val="baseline"/>
                <w:lang w:val="en-US" w:eastAsia="zh-CN"/>
              </w:rPr>
            </w:pPr>
            <w:r>
              <w:rPr>
                <w:rFonts w:hint="eastAsia"/>
                <w:b w:val="0"/>
                <w:bCs w:val="0"/>
                <w:color w:val="auto"/>
                <w:spacing w:val="0"/>
                <w:sz w:val="24"/>
                <w:highlight w:val="none"/>
                <w:vertAlign w:val="baseline"/>
                <w:lang w:val="en-US" w:eastAsia="zh-CN"/>
              </w:rPr>
              <w:t>L</w:t>
            </w:r>
            <w:r>
              <w:rPr>
                <w:rFonts w:hint="eastAsia"/>
                <w:b w:val="0"/>
                <w:bCs w:val="0"/>
                <w:color w:val="auto"/>
                <w:spacing w:val="0"/>
                <w:sz w:val="24"/>
                <w:highlight w:val="none"/>
                <w:vertAlign w:val="subscript"/>
                <w:lang w:val="en-US" w:eastAsia="zh-CN"/>
              </w:rPr>
              <w:t>p</w:t>
            </w:r>
            <w:r>
              <w:rPr>
                <w:rFonts w:hint="eastAsia"/>
                <w:b w:val="0"/>
                <w:bCs w:val="0"/>
                <w:color w:val="auto"/>
                <w:spacing w:val="0"/>
                <w:sz w:val="24"/>
                <w:highlight w:val="none"/>
                <w:vertAlign w:val="baseline"/>
                <w:lang w:val="en-US" w:eastAsia="zh-CN"/>
              </w:rPr>
              <w:t>(r</w:t>
            </w:r>
            <w:r>
              <w:rPr>
                <w:rFonts w:hint="eastAsia"/>
                <w:b w:val="0"/>
                <w:bCs w:val="0"/>
                <w:color w:val="auto"/>
                <w:spacing w:val="0"/>
                <w:sz w:val="24"/>
                <w:highlight w:val="none"/>
                <w:vertAlign w:val="subscript"/>
                <w:lang w:val="en-US" w:eastAsia="zh-CN"/>
              </w:rPr>
              <w:t>0</w:t>
            </w:r>
            <w:r>
              <w:rPr>
                <w:rFonts w:hint="eastAsia"/>
                <w:b w:val="0"/>
                <w:bCs w:val="0"/>
                <w:color w:val="auto"/>
                <w:spacing w:val="0"/>
                <w:sz w:val="24"/>
                <w:highlight w:val="none"/>
                <w:vertAlign w:val="baseline"/>
                <w:lang w:val="en-US" w:eastAsia="zh-CN"/>
              </w:rPr>
              <w:t>)—距参考位置r</w:t>
            </w:r>
            <w:r>
              <w:rPr>
                <w:rFonts w:hint="eastAsia"/>
                <w:b w:val="0"/>
                <w:bCs w:val="0"/>
                <w:color w:val="auto"/>
                <w:spacing w:val="0"/>
                <w:sz w:val="24"/>
                <w:highlight w:val="none"/>
                <w:vertAlign w:val="subscript"/>
                <w:lang w:val="en-US" w:eastAsia="zh-CN"/>
              </w:rPr>
              <w:t>0</w:t>
            </w:r>
            <w:r>
              <w:rPr>
                <w:rFonts w:hint="eastAsia"/>
                <w:b w:val="0"/>
                <w:bCs w:val="0"/>
                <w:color w:val="auto"/>
                <w:spacing w:val="0"/>
                <w:sz w:val="24"/>
                <w:highlight w:val="none"/>
                <w:vertAlign w:val="baseline"/>
                <w:lang w:val="en-US" w:eastAsia="zh-CN"/>
              </w:rPr>
              <w:t>处（声源）的A声级，dB(A)；</w:t>
            </w:r>
          </w:p>
          <w:p w14:paraId="4A8AF2D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0"/>
                <w:sz w:val="24"/>
                <w:highlight w:val="none"/>
                <w:vertAlign w:val="baseline"/>
                <w:lang w:val="en-US" w:eastAsia="zh-CN"/>
              </w:rPr>
            </w:pPr>
            <w:r>
              <w:rPr>
                <w:rFonts w:hint="eastAsia"/>
                <w:b w:val="0"/>
                <w:bCs w:val="0"/>
                <w:color w:val="auto"/>
                <w:spacing w:val="0"/>
                <w:sz w:val="24"/>
                <w:highlight w:val="none"/>
                <w:vertAlign w:val="baseline"/>
                <w:lang w:val="en-US" w:eastAsia="zh-CN"/>
              </w:rPr>
              <w:t>r—预测点距声源的距离；</w:t>
            </w:r>
          </w:p>
          <w:p w14:paraId="113FA34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0"/>
                <w:sz w:val="24"/>
                <w:highlight w:val="none"/>
                <w:lang w:val="en-US" w:eastAsia="zh-CN"/>
              </w:rPr>
            </w:pPr>
            <w:r>
              <w:rPr>
                <w:rFonts w:hint="eastAsia"/>
                <w:b w:val="0"/>
                <w:bCs w:val="0"/>
                <w:color w:val="auto"/>
                <w:spacing w:val="0"/>
                <w:sz w:val="24"/>
                <w:highlight w:val="none"/>
                <w:vertAlign w:val="baseline"/>
                <w:lang w:val="en-US" w:eastAsia="zh-CN"/>
              </w:rPr>
              <w:t>r</w:t>
            </w:r>
            <w:r>
              <w:rPr>
                <w:rFonts w:hint="eastAsia"/>
                <w:b w:val="0"/>
                <w:bCs w:val="0"/>
                <w:color w:val="auto"/>
                <w:spacing w:val="0"/>
                <w:sz w:val="24"/>
                <w:highlight w:val="none"/>
                <w:vertAlign w:val="subscript"/>
                <w:lang w:val="en-US" w:eastAsia="zh-CN"/>
              </w:rPr>
              <w:t>0</w:t>
            </w:r>
            <w:r>
              <w:rPr>
                <w:rFonts w:hint="eastAsia"/>
                <w:b w:val="0"/>
                <w:bCs w:val="0"/>
                <w:color w:val="auto"/>
                <w:spacing w:val="0"/>
                <w:sz w:val="24"/>
                <w:highlight w:val="none"/>
                <w:vertAlign w:val="baseline"/>
                <w:lang w:val="en-US" w:eastAsia="zh-CN"/>
              </w:rPr>
              <w:t>—参考位置距声源的距离。</w:t>
            </w:r>
          </w:p>
          <w:p w14:paraId="3E55EDF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0"/>
                <w:sz w:val="24"/>
                <w:highlight w:val="none"/>
                <w:lang w:val="en-US" w:eastAsia="zh-CN"/>
              </w:rPr>
            </w:pPr>
            <w:r>
              <w:rPr>
                <w:rFonts w:hint="eastAsia"/>
                <w:b w:val="0"/>
                <w:bCs w:val="0"/>
                <w:color w:val="auto"/>
                <w:spacing w:val="0"/>
                <w:sz w:val="24"/>
                <w:highlight w:val="none"/>
                <w:lang w:val="en-US" w:eastAsia="zh-CN"/>
              </w:rPr>
              <w:t>（3）预测结果分析</w:t>
            </w:r>
          </w:p>
          <w:p w14:paraId="1D6C7FC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0"/>
                <w:sz w:val="24"/>
                <w:highlight w:val="none"/>
                <w:lang w:val="en-US" w:eastAsia="zh-CN"/>
              </w:rPr>
            </w:pPr>
            <w:r>
              <w:rPr>
                <w:rFonts w:hint="eastAsia"/>
                <w:b w:val="0"/>
                <w:bCs w:val="0"/>
                <w:color w:val="auto"/>
                <w:spacing w:val="0"/>
                <w:sz w:val="24"/>
                <w:highlight w:val="none"/>
                <w:lang w:val="en-US" w:eastAsia="zh-CN"/>
              </w:rPr>
              <w:t>本项目运营期间噪声预测结果如下。</w:t>
            </w:r>
          </w:p>
          <w:p w14:paraId="76AF7DB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b w:val="0"/>
                <w:bCs w:val="0"/>
                <w:color w:val="auto"/>
                <w:spacing w:val="-10"/>
                <w:sz w:val="24"/>
                <w:highlight w:val="none"/>
                <w:lang w:val="en-US" w:eastAsia="zh-CN"/>
              </w:rPr>
            </w:pPr>
            <w:r>
              <w:rPr>
                <w:rFonts w:hint="eastAsia"/>
                <w:b/>
                <w:bCs/>
                <w:color w:val="auto"/>
                <w:spacing w:val="-10"/>
                <w:sz w:val="21"/>
                <w:szCs w:val="21"/>
                <w:highlight w:val="none"/>
                <w:lang w:val="en-US" w:eastAsia="zh-CN"/>
              </w:rPr>
              <w:t>表4-11 项目厂界噪声预测结果一览表  单位：dB(A)</w:t>
            </w:r>
          </w:p>
          <w:tbl>
            <w:tblPr>
              <w:tblStyle w:val="13"/>
              <w:tblW w:w="8514"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30"/>
              <w:gridCol w:w="1425"/>
              <w:gridCol w:w="1312"/>
              <w:gridCol w:w="1312"/>
              <w:gridCol w:w="1312"/>
              <w:gridCol w:w="1314"/>
              <w:gridCol w:w="1109"/>
            </w:tblGrid>
            <w:tr w14:paraId="74FA635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0" w:type="dxa"/>
                  <w:vMerge w:val="restart"/>
                  <w:tcBorders>
                    <w:tl2br w:val="nil"/>
                    <w:tr2bl w:val="nil"/>
                  </w:tcBorders>
                  <w:vAlign w:val="center"/>
                </w:tcPr>
                <w:p w14:paraId="39DC246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sz w:val="21"/>
                      <w:szCs w:val="21"/>
                      <w:highlight w:val="none"/>
                      <w:vertAlign w:val="baseline"/>
                      <w:lang w:val="en-US" w:eastAsia="zh-CN"/>
                    </w:rPr>
                  </w:pPr>
                  <w:r>
                    <w:rPr>
                      <w:rFonts w:hint="eastAsia"/>
                      <w:b/>
                      <w:bCs/>
                      <w:sz w:val="21"/>
                      <w:szCs w:val="21"/>
                      <w:highlight w:val="none"/>
                      <w:vertAlign w:val="baseline"/>
                      <w:lang w:val="en-US" w:eastAsia="zh-CN"/>
                    </w:rPr>
                    <w:t>序号</w:t>
                  </w:r>
                </w:p>
              </w:tc>
              <w:tc>
                <w:tcPr>
                  <w:tcW w:w="1425" w:type="dxa"/>
                  <w:vMerge w:val="restart"/>
                  <w:tcBorders>
                    <w:tl2br w:val="nil"/>
                    <w:tr2bl w:val="nil"/>
                  </w:tcBorders>
                  <w:vAlign w:val="center"/>
                </w:tcPr>
                <w:p w14:paraId="6196393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sz w:val="21"/>
                      <w:szCs w:val="21"/>
                      <w:highlight w:val="none"/>
                      <w:vertAlign w:val="baseline"/>
                      <w:lang w:val="en-US" w:eastAsia="zh-CN"/>
                    </w:rPr>
                  </w:pPr>
                  <w:r>
                    <w:rPr>
                      <w:rFonts w:hint="eastAsia"/>
                      <w:b/>
                      <w:bCs/>
                      <w:sz w:val="21"/>
                      <w:szCs w:val="21"/>
                      <w:highlight w:val="none"/>
                      <w:vertAlign w:val="baseline"/>
                      <w:lang w:val="en-US" w:eastAsia="zh-CN"/>
                    </w:rPr>
                    <w:t>预测点位置</w:t>
                  </w:r>
                </w:p>
              </w:tc>
              <w:tc>
                <w:tcPr>
                  <w:tcW w:w="2624" w:type="dxa"/>
                  <w:gridSpan w:val="2"/>
                  <w:tcBorders>
                    <w:right w:val="single" w:color="auto" w:sz="4" w:space="0"/>
                    <w:tl2br w:val="nil"/>
                    <w:tr2bl w:val="nil"/>
                  </w:tcBorders>
                  <w:vAlign w:val="center"/>
                </w:tcPr>
                <w:p w14:paraId="13C1005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sz w:val="21"/>
                      <w:szCs w:val="21"/>
                      <w:highlight w:val="none"/>
                      <w:vertAlign w:val="baseline"/>
                      <w:lang w:val="en-US" w:eastAsia="zh-CN"/>
                    </w:rPr>
                  </w:pPr>
                  <w:r>
                    <w:rPr>
                      <w:rFonts w:hint="eastAsia"/>
                      <w:b/>
                      <w:bCs/>
                      <w:sz w:val="21"/>
                      <w:szCs w:val="21"/>
                      <w:highlight w:val="none"/>
                      <w:vertAlign w:val="baseline"/>
                      <w:lang w:val="en-US" w:eastAsia="zh-CN"/>
                    </w:rPr>
                    <w:t>贡献值dB</w:t>
                  </w:r>
                  <w:r>
                    <w:rPr>
                      <w:rFonts w:hint="default" w:ascii="Times New Roman" w:hAnsi="Times New Roman" w:eastAsia="宋体" w:cs="Times New Roman"/>
                      <w:b/>
                      <w:color w:val="auto"/>
                      <w:sz w:val="21"/>
                      <w:szCs w:val="21"/>
                    </w:rPr>
                    <w:t>(A)</w:t>
                  </w:r>
                </w:p>
              </w:tc>
              <w:tc>
                <w:tcPr>
                  <w:tcW w:w="2626" w:type="dxa"/>
                  <w:gridSpan w:val="2"/>
                  <w:tcBorders>
                    <w:right w:val="single" w:color="000000" w:sz="4" w:space="0"/>
                    <w:tl2br w:val="nil"/>
                    <w:tr2bl w:val="nil"/>
                  </w:tcBorders>
                  <w:vAlign w:val="center"/>
                </w:tcPr>
                <w:p w14:paraId="63C64A2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bCs/>
                      <w:sz w:val="21"/>
                      <w:szCs w:val="21"/>
                      <w:highlight w:val="none"/>
                      <w:vertAlign w:val="baseline"/>
                      <w:lang w:val="en-US" w:eastAsia="zh-CN"/>
                    </w:rPr>
                  </w:pPr>
                  <w:r>
                    <w:rPr>
                      <w:rFonts w:hint="eastAsia"/>
                      <w:b/>
                      <w:bCs/>
                      <w:sz w:val="21"/>
                      <w:szCs w:val="21"/>
                      <w:highlight w:val="none"/>
                      <w:vertAlign w:val="baseline"/>
                      <w:lang w:val="en-US" w:eastAsia="zh-CN"/>
                    </w:rPr>
                    <w:t>标准值dB</w:t>
                  </w:r>
                  <w:r>
                    <w:rPr>
                      <w:rFonts w:hint="default" w:ascii="Times New Roman" w:hAnsi="Times New Roman" w:eastAsia="宋体" w:cs="Times New Roman"/>
                      <w:b/>
                      <w:color w:val="auto"/>
                      <w:sz w:val="21"/>
                      <w:szCs w:val="21"/>
                    </w:rPr>
                    <w:t>(A)</w:t>
                  </w:r>
                </w:p>
              </w:tc>
              <w:tc>
                <w:tcPr>
                  <w:tcW w:w="1109" w:type="dxa"/>
                  <w:vMerge w:val="restart"/>
                  <w:tcBorders>
                    <w:left w:val="single" w:color="000000" w:sz="4" w:space="0"/>
                    <w:tl2br w:val="nil"/>
                    <w:tr2bl w:val="nil"/>
                  </w:tcBorders>
                  <w:vAlign w:val="center"/>
                </w:tcPr>
                <w:p w14:paraId="4701032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sz w:val="21"/>
                      <w:szCs w:val="21"/>
                      <w:highlight w:val="none"/>
                      <w:vertAlign w:val="baseline"/>
                      <w:lang w:val="en-US" w:eastAsia="zh-CN"/>
                    </w:rPr>
                  </w:pPr>
                  <w:r>
                    <w:rPr>
                      <w:rFonts w:hint="eastAsia"/>
                      <w:b/>
                      <w:bCs/>
                      <w:sz w:val="21"/>
                      <w:szCs w:val="21"/>
                      <w:highlight w:val="none"/>
                      <w:vertAlign w:val="baseline"/>
                      <w:lang w:val="en-US" w:eastAsia="zh-CN"/>
                    </w:rPr>
                    <w:t>达标情况</w:t>
                  </w:r>
                </w:p>
              </w:tc>
            </w:tr>
            <w:tr w14:paraId="385FAEE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0" w:type="dxa"/>
                  <w:vMerge w:val="continue"/>
                  <w:tcBorders>
                    <w:tl2br w:val="nil"/>
                    <w:tr2bl w:val="nil"/>
                  </w:tcBorders>
                  <w:vAlign w:val="center"/>
                </w:tcPr>
                <w:p w14:paraId="035CA5C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bCs/>
                      <w:sz w:val="21"/>
                      <w:szCs w:val="21"/>
                      <w:highlight w:val="none"/>
                      <w:vertAlign w:val="baseline"/>
                      <w:lang w:val="en-US" w:eastAsia="zh-CN"/>
                    </w:rPr>
                  </w:pPr>
                </w:p>
              </w:tc>
              <w:tc>
                <w:tcPr>
                  <w:tcW w:w="1425" w:type="dxa"/>
                  <w:vMerge w:val="continue"/>
                  <w:tcBorders>
                    <w:tl2br w:val="nil"/>
                    <w:tr2bl w:val="nil"/>
                  </w:tcBorders>
                  <w:vAlign w:val="center"/>
                </w:tcPr>
                <w:p w14:paraId="21CE5D2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bCs/>
                      <w:sz w:val="21"/>
                      <w:szCs w:val="21"/>
                      <w:highlight w:val="none"/>
                      <w:vertAlign w:val="baseline"/>
                      <w:lang w:val="en-US" w:eastAsia="zh-CN"/>
                    </w:rPr>
                  </w:pPr>
                </w:p>
              </w:tc>
              <w:tc>
                <w:tcPr>
                  <w:tcW w:w="1312" w:type="dxa"/>
                  <w:tcBorders>
                    <w:top w:val="single" w:color="auto" w:sz="4" w:space="0"/>
                    <w:right w:val="single" w:color="auto" w:sz="4" w:space="0"/>
                    <w:tl2br w:val="nil"/>
                    <w:tr2bl w:val="nil"/>
                  </w:tcBorders>
                  <w:vAlign w:val="center"/>
                </w:tcPr>
                <w:p w14:paraId="45C8C81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sz w:val="21"/>
                      <w:szCs w:val="21"/>
                      <w:highlight w:val="none"/>
                      <w:vertAlign w:val="baseline"/>
                      <w:lang w:val="en-US" w:eastAsia="zh-CN"/>
                    </w:rPr>
                  </w:pPr>
                  <w:r>
                    <w:rPr>
                      <w:rFonts w:hint="eastAsia"/>
                      <w:b/>
                      <w:bCs/>
                      <w:sz w:val="21"/>
                      <w:szCs w:val="21"/>
                      <w:highlight w:val="none"/>
                      <w:vertAlign w:val="baseline"/>
                      <w:lang w:val="en-US" w:eastAsia="zh-CN"/>
                    </w:rPr>
                    <w:t>昼间</w:t>
                  </w:r>
                </w:p>
              </w:tc>
              <w:tc>
                <w:tcPr>
                  <w:tcW w:w="1312" w:type="dxa"/>
                  <w:tcBorders>
                    <w:top w:val="single" w:color="auto" w:sz="4" w:space="0"/>
                    <w:right w:val="single" w:color="auto" w:sz="4" w:space="0"/>
                    <w:tl2br w:val="nil"/>
                    <w:tr2bl w:val="nil"/>
                  </w:tcBorders>
                  <w:vAlign w:val="center"/>
                </w:tcPr>
                <w:p w14:paraId="1D767AB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sz w:val="21"/>
                      <w:szCs w:val="21"/>
                      <w:highlight w:val="none"/>
                      <w:vertAlign w:val="baseline"/>
                      <w:lang w:val="en-US" w:eastAsia="zh-CN"/>
                    </w:rPr>
                  </w:pPr>
                  <w:r>
                    <w:rPr>
                      <w:rFonts w:hint="eastAsia"/>
                      <w:b/>
                      <w:bCs/>
                      <w:sz w:val="21"/>
                      <w:szCs w:val="21"/>
                      <w:highlight w:val="none"/>
                      <w:vertAlign w:val="baseline"/>
                      <w:lang w:val="en-US" w:eastAsia="zh-CN"/>
                    </w:rPr>
                    <w:t>夜间</w:t>
                  </w:r>
                </w:p>
              </w:tc>
              <w:tc>
                <w:tcPr>
                  <w:tcW w:w="1312" w:type="dxa"/>
                  <w:tcBorders>
                    <w:top w:val="single" w:color="auto" w:sz="4" w:space="0"/>
                    <w:right w:val="single" w:color="auto" w:sz="4" w:space="0"/>
                    <w:tl2br w:val="nil"/>
                    <w:tr2bl w:val="nil"/>
                  </w:tcBorders>
                  <w:vAlign w:val="center"/>
                </w:tcPr>
                <w:p w14:paraId="05EDDCF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sz w:val="21"/>
                      <w:szCs w:val="21"/>
                      <w:highlight w:val="none"/>
                      <w:vertAlign w:val="baseline"/>
                      <w:lang w:val="en-US" w:eastAsia="zh-CN"/>
                    </w:rPr>
                  </w:pPr>
                  <w:r>
                    <w:rPr>
                      <w:rFonts w:hint="eastAsia"/>
                      <w:b/>
                      <w:bCs/>
                      <w:sz w:val="21"/>
                      <w:szCs w:val="21"/>
                      <w:highlight w:val="none"/>
                      <w:vertAlign w:val="baseline"/>
                      <w:lang w:val="en-US" w:eastAsia="zh-CN"/>
                    </w:rPr>
                    <w:t>昼间</w:t>
                  </w:r>
                </w:p>
              </w:tc>
              <w:tc>
                <w:tcPr>
                  <w:tcW w:w="1314" w:type="dxa"/>
                  <w:tcBorders>
                    <w:top w:val="single" w:color="auto" w:sz="4" w:space="0"/>
                    <w:right w:val="single" w:color="000000" w:sz="4" w:space="0"/>
                    <w:tl2br w:val="nil"/>
                    <w:tr2bl w:val="nil"/>
                  </w:tcBorders>
                  <w:vAlign w:val="center"/>
                </w:tcPr>
                <w:p w14:paraId="70B9665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sz w:val="21"/>
                      <w:szCs w:val="21"/>
                      <w:highlight w:val="none"/>
                      <w:vertAlign w:val="baseline"/>
                      <w:lang w:val="en-US" w:eastAsia="zh-CN"/>
                    </w:rPr>
                  </w:pPr>
                  <w:r>
                    <w:rPr>
                      <w:rFonts w:hint="eastAsia"/>
                      <w:b/>
                      <w:bCs/>
                      <w:sz w:val="21"/>
                      <w:szCs w:val="21"/>
                      <w:highlight w:val="none"/>
                      <w:vertAlign w:val="baseline"/>
                      <w:lang w:val="en-US" w:eastAsia="zh-CN"/>
                    </w:rPr>
                    <w:t>夜间</w:t>
                  </w:r>
                </w:p>
              </w:tc>
              <w:tc>
                <w:tcPr>
                  <w:tcW w:w="1109" w:type="dxa"/>
                  <w:vMerge w:val="continue"/>
                  <w:tcBorders>
                    <w:left w:val="single" w:color="000000" w:sz="4" w:space="0"/>
                    <w:tl2br w:val="nil"/>
                    <w:tr2bl w:val="nil"/>
                  </w:tcBorders>
                  <w:vAlign w:val="center"/>
                </w:tcPr>
                <w:p w14:paraId="12AE619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bCs/>
                      <w:sz w:val="21"/>
                      <w:szCs w:val="21"/>
                      <w:highlight w:val="none"/>
                      <w:vertAlign w:val="baseline"/>
                      <w:lang w:val="en-US" w:eastAsia="zh-CN"/>
                    </w:rPr>
                  </w:pPr>
                </w:p>
              </w:tc>
            </w:tr>
            <w:tr w14:paraId="5134262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0" w:type="dxa"/>
                  <w:tcBorders>
                    <w:tl2br w:val="nil"/>
                    <w:tr2bl w:val="nil"/>
                  </w:tcBorders>
                  <w:vAlign w:val="center"/>
                </w:tcPr>
                <w:p w14:paraId="1918853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1</w:t>
                  </w:r>
                </w:p>
              </w:tc>
              <w:tc>
                <w:tcPr>
                  <w:tcW w:w="1425" w:type="dxa"/>
                  <w:tcBorders>
                    <w:tl2br w:val="nil"/>
                    <w:tr2bl w:val="nil"/>
                  </w:tcBorders>
                  <w:vAlign w:val="center"/>
                </w:tcPr>
                <w:p w14:paraId="10687BC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东厂界</w:t>
                  </w:r>
                </w:p>
              </w:tc>
              <w:tc>
                <w:tcPr>
                  <w:tcW w:w="1312" w:type="dxa"/>
                  <w:tcBorders>
                    <w:tl2br w:val="nil"/>
                    <w:tr2bl w:val="nil"/>
                  </w:tcBorders>
                  <w:shd w:val="clear" w:color="auto" w:fill="auto"/>
                  <w:vAlign w:val="center"/>
                </w:tcPr>
                <w:p w14:paraId="0896B6C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p>
              </w:tc>
              <w:tc>
                <w:tcPr>
                  <w:tcW w:w="1312" w:type="dxa"/>
                  <w:tcBorders>
                    <w:tl2br w:val="nil"/>
                    <w:tr2bl w:val="nil"/>
                  </w:tcBorders>
                  <w:shd w:val="clear" w:color="auto" w:fill="auto"/>
                  <w:vAlign w:val="center"/>
                </w:tcPr>
                <w:p w14:paraId="2210DF1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stheme="minorBidi"/>
                      <w:kern w:val="2"/>
                      <w:sz w:val="21"/>
                      <w:szCs w:val="21"/>
                      <w:vertAlign w:val="baseline"/>
                      <w:lang w:val="en-US" w:eastAsia="zh-CN" w:bidi="ar-SA"/>
                    </w:rPr>
                  </w:pPr>
                </w:p>
              </w:tc>
              <w:tc>
                <w:tcPr>
                  <w:tcW w:w="1312" w:type="dxa"/>
                  <w:tcBorders>
                    <w:right w:val="single" w:color="auto" w:sz="4" w:space="0"/>
                    <w:tl2br w:val="nil"/>
                    <w:tr2bl w:val="nil"/>
                  </w:tcBorders>
                  <w:shd w:val="clear" w:color="auto" w:fill="auto"/>
                  <w:vAlign w:val="center"/>
                </w:tcPr>
                <w:p w14:paraId="667B13F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p>
              </w:tc>
              <w:tc>
                <w:tcPr>
                  <w:tcW w:w="1314" w:type="dxa"/>
                  <w:tcBorders>
                    <w:right w:val="single" w:color="000000" w:sz="4" w:space="0"/>
                    <w:tl2br w:val="nil"/>
                    <w:tr2bl w:val="nil"/>
                  </w:tcBorders>
                  <w:shd w:val="clear" w:color="auto" w:fill="auto"/>
                  <w:vAlign w:val="center"/>
                </w:tcPr>
                <w:p w14:paraId="1A467D0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vertAlign w:val="baseline"/>
                      <w:lang w:val="en-US" w:eastAsia="zh-CN"/>
                    </w:rPr>
                  </w:pPr>
                </w:p>
              </w:tc>
              <w:tc>
                <w:tcPr>
                  <w:tcW w:w="1109" w:type="dxa"/>
                  <w:tcBorders>
                    <w:left w:val="single" w:color="000000" w:sz="4" w:space="0"/>
                    <w:tl2br w:val="nil"/>
                    <w:tr2bl w:val="nil"/>
                  </w:tcBorders>
                  <w:vAlign w:val="center"/>
                </w:tcPr>
                <w:p w14:paraId="43EE669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达标</w:t>
                  </w:r>
                </w:p>
              </w:tc>
            </w:tr>
            <w:tr w14:paraId="3A1B133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0" w:type="dxa"/>
                  <w:tcBorders>
                    <w:tl2br w:val="nil"/>
                    <w:tr2bl w:val="nil"/>
                  </w:tcBorders>
                  <w:vAlign w:val="center"/>
                </w:tcPr>
                <w:p w14:paraId="2CB7EB8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2</w:t>
                  </w:r>
                </w:p>
              </w:tc>
              <w:tc>
                <w:tcPr>
                  <w:tcW w:w="1425" w:type="dxa"/>
                  <w:tcBorders>
                    <w:tl2br w:val="nil"/>
                    <w:tr2bl w:val="nil"/>
                  </w:tcBorders>
                  <w:vAlign w:val="center"/>
                </w:tcPr>
                <w:p w14:paraId="25295F0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vertAlign w:val="baseline"/>
                      <w:lang w:val="en-US" w:eastAsia="zh-CN"/>
                    </w:rPr>
                  </w:pPr>
                  <w:r>
                    <w:rPr>
                      <w:rFonts w:hint="eastAsia"/>
                      <w:sz w:val="21"/>
                      <w:szCs w:val="21"/>
                      <w:highlight w:val="none"/>
                      <w:vertAlign w:val="baseline"/>
                      <w:lang w:val="en-US" w:eastAsia="zh-CN"/>
                    </w:rPr>
                    <w:t>北厂界</w:t>
                  </w:r>
                </w:p>
              </w:tc>
              <w:tc>
                <w:tcPr>
                  <w:tcW w:w="1312" w:type="dxa"/>
                  <w:tcBorders>
                    <w:tl2br w:val="nil"/>
                    <w:tr2bl w:val="nil"/>
                  </w:tcBorders>
                  <w:shd w:val="clear" w:color="auto" w:fill="auto"/>
                  <w:vAlign w:val="center"/>
                </w:tcPr>
                <w:p w14:paraId="043365E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p>
              </w:tc>
              <w:tc>
                <w:tcPr>
                  <w:tcW w:w="1312" w:type="dxa"/>
                  <w:tcBorders>
                    <w:tl2br w:val="nil"/>
                    <w:tr2bl w:val="nil"/>
                  </w:tcBorders>
                  <w:shd w:val="clear" w:color="auto" w:fill="auto"/>
                  <w:vAlign w:val="center"/>
                </w:tcPr>
                <w:p w14:paraId="77F4D3A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stheme="minorBidi"/>
                      <w:kern w:val="2"/>
                      <w:sz w:val="21"/>
                      <w:szCs w:val="21"/>
                      <w:vertAlign w:val="baseline"/>
                      <w:lang w:val="en-US" w:eastAsia="zh-CN" w:bidi="ar-SA"/>
                    </w:rPr>
                  </w:pPr>
                </w:p>
              </w:tc>
              <w:tc>
                <w:tcPr>
                  <w:tcW w:w="1312" w:type="dxa"/>
                  <w:tcBorders>
                    <w:right w:val="single" w:color="auto" w:sz="4" w:space="0"/>
                    <w:tl2br w:val="nil"/>
                    <w:tr2bl w:val="nil"/>
                  </w:tcBorders>
                  <w:shd w:val="clear" w:color="auto" w:fill="auto"/>
                  <w:vAlign w:val="center"/>
                </w:tcPr>
                <w:p w14:paraId="1D6DDC8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p>
              </w:tc>
              <w:tc>
                <w:tcPr>
                  <w:tcW w:w="1314" w:type="dxa"/>
                  <w:tcBorders>
                    <w:right w:val="single" w:color="000000" w:sz="4" w:space="0"/>
                    <w:tl2br w:val="nil"/>
                    <w:tr2bl w:val="nil"/>
                  </w:tcBorders>
                  <w:shd w:val="clear" w:color="auto" w:fill="auto"/>
                  <w:vAlign w:val="center"/>
                </w:tcPr>
                <w:p w14:paraId="24129FD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vertAlign w:val="baseline"/>
                      <w:lang w:val="en-US" w:eastAsia="zh-CN"/>
                    </w:rPr>
                  </w:pPr>
                </w:p>
              </w:tc>
              <w:tc>
                <w:tcPr>
                  <w:tcW w:w="1109" w:type="dxa"/>
                  <w:tcBorders>
                    <w:left w:val="single" w:color="000000" w:sz="4" w:space="0"/>
                    <w:tl2br w:val="nil"/>
                    <w:tr2bl w:val="nil"/>
                  </w:tcBorders>
                  <w:vAlign w:val="center"/>
                </w:tcPr>
                <w:p w14:paraId="5E77309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vertAlign w:val="baseline"/>
                      <w:lang w:val="en-US" w:eastAsia="zh-CN"/>
                    </w:rPr>
                  </w:pPr>
                  <w:r>
                    <w:rPr>
                      <w:rFonts w:hint="eastAsia"/>
                      <w:sz w:val="21"/>
                      <w:szCs w:val="21"/>
                      <w:highlight w:val="none"/>
                      <w:vertAlign w:val="baseline"/>
                      <w:lang w:val="en-US" w:eastAsia="zh-CN"/>
                    </w:rPr>
                    <w:t>达标</w:t>
                  </w:r>
                </w:p>
              </w:tc>
            </w:tr>
            <w:tr w14:paraId="2F6DF78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0" w:type="dxa"/>
                  <w:tcBorders>
                    <w:tl2br w:val="nil"/>
                    <w:tr2bl w:val="nil"/>
                  </w:tcBorders>
                  <w:vAlign w:val="center"/>
                </w:tcPr>
                <w:p w14:paraId="41E267B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3</w:t>
                  </w:r>
                </w:p>
              </w:tc>
              <w:tc>
                <w:tcPr>
                  <w:tcW w:w="1425" w:type="dxa"/>
                  <w:tcBorders>
                    <w:tl2br w:val="nil"/>
                    <w:tr2bl w:val="nil"/>
                  </w:tcBorders>
                  <w:vAlign w:val="center"/>
                </w:tcPr>
                <w:p w14:paraId="688DD1E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vertAlign w:val="baseline"/>
                      <w:lang w:val="en-US" w:eastAsia="zh-CN"/>
                    </w:rPr>
                  </w:pPr>
                  <w:r>
                    <w:rPr>
                      <w:rFonts w:hint="eastAsia"/>
                      <w:sz w:val="21"/>
                      <w:szCs w:val="21"/>
                      <w:highlight w:val="none"/>
                      <w:vertAlign w:val="baseline"/>
                      <w:lang w:val="en-US" w:eastAsia="zh-CN"/>
                    </w:rPr>
                    <w:t>西厂界</w:t>
                  </w:r>
                </w:p>
              </w:tc>
              <w:tc>
                <w:tcPr>
                  <w:tcW w:w="1312" w:type="dxa"/>
                  <w:tcBorders>
                    <w:tl2br w:val="nil"/>
                    <w:tr2bl w:val="nil"/>
                  </w:tcBorders>
                  <w:shd w:val="clear" w:color="auto" w:fill="auto"/>
                  <w:vAlign w:val="center"/>
                </w:tcPr>
                <w:p w14:paraId="050C9BE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p>
              </w:tc>
              <w:tc>
                <w:tcPr>
                  <w:tcW w:w="1312" w:type="dxa"/>
                  <w:tcBorders>
                    <w:tl2br w:val="nil"/>
                    <w:tr2bl w:val="nil"/>
                  </w:tcBorders>
                  <w:shd w:val="clear" w:color="auto" w:fill="auto"/>
                  <w:vAlign w:val="center"/>
                </w:tcPr>
                <w:p w14:paraId="01419C0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stheme="minorBidi"/>
                      <w:kern w:val="2"/>
                      <w:sz w:val="21"/>
                      <w:szCs w:val="21"/>
                      <w:vertAlign w:val="baseline"/>
                      <w:lang w:val="en-US" w:eastAsia="zh-CN" w:bidi="ar-SA"/>
                    </w:rPr>
                  </w:pPr>
                </w:p>
              </w:tc>
              <w:tc>
                <w:tcPr>
                  <w:tcW w:w="1312" w:type="dxa"/>
                  <w:tcBorders>
                    <w:right w:val="single" w:color="auto" w:sz="4" w:space="0"/>
                    <w:tl2br w:val="nil"/>
                    <w:tr2bl w:val="nil"/>
                  </w:tcBorders>
                  <w:shd w:val="clear" w:color="auto" w:fill="auto"/>
                  <w:vAlign w:val="center"/>
                </w:tcPr>
                <w:p w14:paraId="55C7A79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p>
              </w:tc>
              <w:tc>
                <w:tcPr>
                  <w:tcW w:w="1314" w:type="dxa"/>
                  <w:tcBorders>
                    <w:right w:val="single" w:color="000000" w:sz="4" w:space="0"/>
                    <w:tl2br w:val="nil"/>
                    <w:tr2bl w:val="nil"/>
                  </w:tcBorders>
                  <w:shd w:val="clear" w:color="auto" w:fill="auto"/>
                  <w:vAlign w:val="center"/>
                </w:tcPr>
                <w:p w14:paraId="4854A7D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vertAlign w:val="baseline"/>
                      <w:lang w:val="en-US" w:eastAsia="zh-CN"/>
                    </w:rPr>
                  </w:pPr>
                </w:p>
              </w:tc>
              <w:tc>
                <w:tcPr>
                  <w:tcW w:w="1109" w:type="dxa"/>
                  <w:tcBorders>
                    <w:left w:val="single" w:color="000000" w:sz="4" w:space="0"/>
                    <w:tl2br w:val="nil"/>
                    <w:tr2bl w:val="nil"/>
                  </w:tcBorders>
                  <w:vAlign w:val="center"/>
                </w:tcPr>
                <w:p w14:paraId="64B9FBE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vertAlign w:val="baseline"/>
                      <w:lang w:val="en-US" w:eastAsia="zh-CN"/>
                    </w:rPr>
                  </w:pPr>
                  <w:r>
                    <w:rPr>
                      <w:rFonts w:hint="eastAsia"/>
                      <w:sz w:val="21"/>
                      <w:szCs w:val="21"/>
                      <w:highlight w:val="none"/>
                      <w:vertAlign w:val="baseline"/>
                      <w:lang w:val="en-US" w:eastAsia="zh-CN"/>
                    </w:rPr>
                    <w:t>达标</w:t>
                  </w:r>
                </w:p>
              </w:tc>
            </w:tr>
            <w:tr w14:paraId="2A2FD41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0" w:type="dxa"/>
                  <w:tcBorders>
                    <w:tl2br w:val="nil"/>
                    <w:tr2bl w:val="nil"/>
                  </w:tcBorders>
                  <w:vAlign w:val="center"/>
                </w:tcPr>
                <w:p w14:paraId="57CC0C0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4</w:t>
                  </w:r>
                </w:p>
              </w:tc>
              <w:tc>
                <w:tcPr>
                  <w:tcW w:w="1425" w:type="dxa"/>
                  <w:tcBorders>
                    <w:tl2br w:val="nil"/>
                    <w:tr2bl w:val="nil"/>
                  </w:tcBorders>
                  <w:vAlign w:val="center"/>
                </w:tcPr>
                <w:p w14:paraId="155B01D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vertAlign w:val="baseline"/>
                      <w:lang w:val="en-US" w:eastAsia="zh-CN"/>
                    </w:rPr>
                  </w:pPr>
                  <w:r>
                    <w:rPr>
                      <w:rFonts w:hint="eastAsia"/>
                      <w:sz w:val="21"/>
                      <w:szCs w:val="21"/>
                      <w:highlight w:val="none"/>
                      <w:vertAlign w:val="baseline"/>
                      <w:lang w:val="en-US" w:eastAsia="zh-CN"/>
                    </w:rPr>
                    <w:t>南厂界</w:t>
                  </w:r>
                </w:p>
              </w:tc>
              <w:tc>
                <w:tcPr>
                  <w:tcW w:w="1312" w:type="dxa"/>
                  <w:tcBorders>
                    <w:tl2br w:val="nil"/>
                    <w:tr2bl w:val="nil"/>
                  </w:tcBorders>
                  <w:shd w:val="clear" w:color="auto" w:fill="auto"/>
                  <w:vAlign w:val="center"/>
                </w:tcPr>
                <w:p w14:paraId="5A603D3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p>
              </w:tc>
              <w:tc>
                <w:tcPr>
                  <w:tcW w:w="1312" w:type="dxa"/>
                  <w:tcBorders>
                    <w:tl2br w:val="nil"/>
                    <w:tr2bl w:val="nil"/>
                  </w:tcBorders>
                  <w:shd w:val="clear" w:color="auto" w:fill="auto"/>
                  <w:vAlign w:val="center"/>
                </w:tcPr>
                <w:p w14:paraId="46960E9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stheme="minorBidi"/>
                      <w:kern w:val="2"/>
                      <w:sz w:val="21"/>
                      <w:szCs w:val="21"/>
                      <w:vertAlign w:val="baseline"/>
                      <w:lang w:val="en-US" w:eastAsia="zh-CN" w:bidi="ar-SA"/>
                    </w:rPr>
                  </w:pPr>
                </w:p>
              </w:tc>
              <w:tc>
                <w:tcPr>
                  <w:tcW w:w="1312" w:type="dxa"/>
                  <w:tcBorders>
                    <w:right w:val="single" w:color="auto" w:sz="4" w:space="0"/>
                    <w:tl2br w:val="nil"/>
                    <w:tr2bl w:val="nil"/>
                  </w:tcBorders>
                  <w:shd w:val="clear" w:color="auto" w:fill="auto"/>
                  <w:vAlign w:val="center"/>
                </w:tcPr>
                <w:p w14:paraId="64488F6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p>
              </w:tc>
              <w:tc>
                <w:tcPr>
                  <w:tcW w:w="1314" w:type="dxa"/>
                  <w:tcBorders>
                    <w:right w:val="single" w:color="000000" w:sz="4" w:space="0"/>
                    <w:tl2br w:val="nil"/>
                    <w:tr2bl w:val="nil"/>
                  </w:tcBorders>
                  <w:shd w:val="clear" w:color="auto" w:fill="auto"/>
                  <w:vAlign w:val="center"/>
                </w:tcPr>
                <w:p w14:paraId="7E2B771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vertAlign w:val="baseline"/>
                      <w:lang w:val="en-US" w:eastAsia="zh-CN"/>
                    </w:rPr>
                  </w:pPr>
                </w:p>
              </w:tc>
              <w:tc>
                <w:tcPr>
                  <w:tcW w:w="1109" w:type="dxa"/>
                  <w:tcBorders>
                    <w:left w:val="single" w:color="000000" w:sz="4" w:space="0"/>
                    <w:tl2br w:val="nil"/>
                    <w:tr2bl w:val="nil"/>
                  </w:tcBorders>
                  <w:vAlign w:val="center"/>
                </w:tcPr>
                <w:p w14:paraId="16C5519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vertAlign w:val="baseline"/>
                      <w:lang w:val="en-US" w:eastAsia="zh-CN"/>
                    </w:rPr>
                  </w:pPr>
                  <w:r>
                    <w:rPr>
                      <w:rFonts w:hint="eastAsia"/>
                      <w:sz w:val="21"/>
                      <w:szCs w:val="21"/>
                      <w:highlight w:val="none"/>
                      <w:vertAlign w:val="baseline"/>
                      <w:lang w:val="en-US" w:eastAsia="zh-CN"/>
                    </w:rPr>
                    <w:t>达标</w:t>
                  </w:r>
                </w:p>
              </w:tc>
            </w:tr>
          </w:tbl>
          <w:p w14:paraId="6AFF594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b w:val="0"/>
                <w:bCs w:val="0"/>
                <w:color w:val="auto"/>
                <w:spacing w:val="-10"/>
                <w:sz w:val="24"/>
                <w:szCs w:val="24"/>
                <w:highlight w:val="none"/>
                <w:lang w:val="en-US" w:eastAsia="zh-CN"/>
              </w:rPr>
            </w:pPr>
            <w:r>
              <w:rPr>
                <w:rFonts w:hint="eastAsia"/>
                <w:b/>
                <w:bCs/>
                <w:color w:val="auto"/>
                <w:spacing w:val="-10"/>
                <w:sz w:val="21"/>
                <w:szCs w:val="21"/>
                <w:highlight w:val="none"/>
                <w:lang w:val="en-US" w:eastAsia="zh-CN"/>
              </w:rPr>
              <w:t>表4-12 项目敏感目标噪声预测结果一览表  单位：dB(A)</w:t>
            </w:r>
          </w:p>
          <w:tbl>
            <w:tblPr>
              <w:tblStyle w:val="12"/>
              <w:tblW w:w="8515"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85"/>
              <w:gridCol w:w="1155"/>
              <w:gridCol w:w="697"/>
              <w:gridCol w:w="697"/>
              <w:gridCol w:w="697"/>
              <w:gridCol w:w="697"/>
              <w:gridCol w:w="697"/>
              <w:gridCol w:w="697"/>
              <w:gridCol w:w="697"/>
              <w:gridCol w:w="697"/>
              <w:gridCol w:w="697"/>
              <w:gridCol w:w="702"/>
            </w:tblGrid>
            <w:tr w14:paraId="580F725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5" w:type="dxa"/>
                  <w:vMerge w:val="restart"/>
                  <w:tcBorders>
                    <w:tl2br w:val="nil"/>
                    <w:tr2bl w:val="nil"/>
                  </w:tcBorders>
                  <w:vAlign w:val="center"/>
                </w:tcPr>
                <w:p w14:paraId="7E2D2566">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
                      <w:color w:val="auto"/>
                      <w:sz w:val="21"/>
                      <w:szCs w:val="21"/>
                    </w:rPr>
                    <w:t>序号</w:t>
                  </w:r>
                </w:p>
              </w:tc>
              <w:tc>
                <w:tcPr>
                  <w:tcW w:w="1155" w:type="dxa"/>
                  <w:vMerge w:val="restart"/>
                  <w:tcBorders>
                    <w:tl2br w:val="nil"/>
                    <w:tr2bl w:val="nil"/>
                  </w:tcBorders>
                  <w:vAlign w:val="center"/>
                </w:tcPr>
                <w:p w14:paraId="6D8AD61D">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
                      <w:color w:val="auto"/>
                      <w:sz w:val="21"/>
                      <w:szCs w:val="21"/>
                    </w:rPr>
                    <w:t>声环境保护目标名称</w:t>
                  </w:r>
                </w:p>
              </w:tc>
              <w:tc>
                <w:tcPr>
                  <w:tcW w:w="1394" w:type="dxa"/>
                  <w:gridSpan w:val="2"/>
                  <w:tcBorders>
                    <w:tl2br w:val="nil"/>
                    <w:tr2bl w:val="nil"/>
                  </w:tcBorders>
                  <w:vAlign w:val="center"/>
                </w:tcPr>
                <w:p w14:paraId="318A1BB0">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
                      <w:color w:val="auto"/>
                      <w:sz w:val="21"/>
                      <w:szCs w:val="21"/>
                    </w:rPr>
                    <w:t>噪声现状值/dB(A)</w:t>
                  </w:r>
                </w:p>
              </w:tc>
              <w:tc>
                <w:tcPr>
                  <w:tcW w:w="1394" w:type="dxa"/>
                  <w:gridSpan w:val="2"/>
                  <w:tcBorders>
                    <w:tl2br w:val="nil"/>
                    <w:tr2bl w:val="nil"/>
                  </w:tcBorders>
                  <w:vAlign w:val="center"/>
                </w:tcPr>
                <w:p w14:paraId="1BF7239C">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
                      <w:color w:val="auto"/>
                      <w:sz w:val="21"/>
                      <w:szCs w:val="21"/>
                    </w:rPr>
                    <w:t>噪声标准/dB(A)</w:t>
                  </w:r>
                </w:p>
              </w:tc>
              <w:tc>
                <w:tcPr>
                  <w:tcW w:w="1394" w:type="dxa"/>
                  <w:gridSpan w:val="2"/>
                  <w:tcBorders>
                    <w:tl2br w:val="nil"/>
                    <w:tr2bl w:val="nil"/>
                  </w:tcBorders>
                  <w:vAlign w:val="center"/>
                </w:tcPr>
                <w:p w14:paraId="27C5609D">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
                      <w:color w:val="auto"/>
                      <w:sz w:val="21"/>
                      <w:szCs w:val="21"/>
                    </w:rPr>
                    <w:t>噪声贡献值/dB(A)</w:t>
                  </w:r>
                </w:p>
              </w:tc>
              <w:tc>
                <w:tcPr>
                  <w:tcW w:w="1394" w:type="dxa"/>
                  <w:gridSpan w:val="2"/>
                  <w:tcBorders>
                    <w:tl2br w:val="nil"/>
                    <w:tr2bl w:val="nil"/>
                  </w:tcBorders>
                  <w:vAlign w:val="center"/>
                </w:tcPr>
                <w:p w14:paraId="28582B1D">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
                      <w:color w:val="auto"/>
                      <w:sz w:val="21"/>
                      <w:szCs w:val="21"/>
                    </w:rPr>
                    <w:t>噪声预测值/dB(A)</w:t>
                  </w:r>
                </w:p>
              </w:tc>
              <w:tc>
                <w:tcPr>
                  <w:tcW w:w="1399" w:type="dxa"/>
                  <w:gridSpan w:val="2"/>
                  <w:tcBorders>
                    <w:tl2br w:val="nil"/>
                    <w:tr2bl w:val="nil"/>
                  </w:tcBorders>
                  <w:vAlign w:val="center"/>
                </w:tcPr>
                <w:p w14:paraId="0FDCEAFE">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
                      <w:color w:val="auto"/>
                      <w:sz w:val="21"/>
                      <w:szCs w:val="21"/>
                    </w:rPr>
                    <w:t>达标情况</w:t>
                  </w:r>
                </w:p>
              </w:tc>
            </w:tr>
            <w:tr w14:paraId="3376A40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5" w:type="dxa"/>
                  <w:vMerge w:val="continue"/>
                  <w:tcBorders>
                    <w:tl2br w:val="nil"/>
                    <w:tr2bl w:val="nil"/>
                  </w:tcBorders>
                  <w:shd w:val="clear" w:color="auto" w:fill="FFFFFF"/>
                  <w:vAlign w:val="center"/>
                </w:tcPr>
                <w:p w14:paraId="537962C6">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p>
              </w:tc>
              <w:tc>
                <w:tcPr>
                  <w:tcW w:w="1155" w:type="dxa"/>
                  <w:vMerge w:val="continue"/>
                  <w:tcBorders>
                    <w:tl2br w:val="nil"/>
                    <w:tr2bl w:val="nil"/>
                  </w:tcBorders>
                  <w:shd w:val="clear" w:color="auto" w:fill="FFFFFF"/>
                  <w:vAlign w:val="center"/>
                </w:tcPr>
                <w:p w14:paraId="0107756A">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p>
              </w:tc>
              <w:tc>
                <w:tcPr>
                  <w:tcW w:w="697" w:type="dxa"/>
                  <w:tcBorders>
                    <w:tl2br w:val="nil"/>
                    <w:tr2bl w:val="nil"/>
                  </w:tcBorders>
                  <w:shd w:val="clear" w:color="auto" w:fill="FFFFFF"/>
                  <w:vAlign w:val="center"/>
                </w:tcPr>
                <w:p w14:paraId="2CAF4405">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昼间</w:t>
                  </w:r>
                </w:p>
              </w:tc>
              <w:tc>
                <w:tcPr>
                  <w:tcW w:w="697" w:type="dxa"/>
                  <w:tcBorders>
                    <w:tl2br w:val="nil"/>
                    <w:tr2bl w:val="nil"/>
                  </w:tcBorders>
                  <w:shd w:val="clear" w:color="auto" w:fill="FFFFFF"/>
                  <w:vAlign w:val="center"/>
                </w:tcPr>
                <w:p w14:paraId="03D339F2">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夜间</w:t>
                  </w:r>
                </w:p>
              </w:tc>
              <w:tc>
                <w:tcPr>
                  <w:tcW w:w="697" w:type="dxa"/>
                  <w:tcBorders>
                    <w:tl2br w:val="nil"/>
                    <w:tr2bl w:val="nil"/>
                  </w:tcBorders>
                  <w:shd w:val="clear" w:color="auto" w:fill="FFFFFF"/>
                  <w:vAlign w:val="center"/>
                </w:tcPr>
                <w:p w14:paraId="5EBC18F6">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昼间</w:t>
                  </w:r>
                </w:p>
              </w:tc>
              <w:tc>
                <w:tcPr>
                  <w:tcW w:w="697" w:type="dxa"/>
                  <w:tcBorders>
                    <w:tl2br w:val="nil"/>
                    <w:tr2bl w:val="nil"/>
                  </w:tcBorders>
                  <w:shd w:val="clear" w:color="auto" w:fill="FFFFFF"/>
                  <w:vAlign w:val="center"/>
                </w:tcPr>
                <w:p w14:paraId="7C8F9687">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夜间</w:t>
                  </w:r>
                </w:p>
              </w:tc>
              <w:tc>
                <w:tcPr>
                  <w:tcW w:w="697" w:type="dxa"/>
                  <w:tcBorders>
                    <w:tl2br w:val="nil"/>
                    <w:tr2bl w:val="nil"/>
                  </w:tcBorders>
                  <w:shd w:val="clear" w:color="auto" w:fill="FFFFFF"/>
                  <w:vAlign w:val="center"/>
                </w:tcPr>
                <w:p w14:paraId="32991539">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昼间</w:t>
                  </w:r>
                </w:p>
              </w:tc>
              <w:tc>
                <w:tcPr>
                  <w:tcW w:w="697" w:type="dxa"/>
                  <w:tcBorders>
                    <w:tl2br w:val="nil"/>
                    <w:tr2bl w:val="nil"/>
                  </w:tcBorders>
                  <w:shd w:val="clear" w:color="auto" w:fill="FFFFFF"/>
                  <w:vAlign w:val="center"/>
                </w:tcPr>
                <w:p w14:paraId="400E2FE6">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夜间</w:t>
                  </w:r>
                </w:p>
              </w:tc>
              <w:tc>
                <w:tcPr>
                  <w:tcW w:w="697" w:type="dxa"/>
                  <w:tcBorders>
                    <w:tl2br w:val="nil"/>
                    <w:tr2bl w:val="nil"/>
                  </w:tcBorders>
                  <w:shd w:val="clear" w:color="auto" w:fill="FFFFFF"/>
                  <w:vAlign w:val="center"/>
                </w:tcPr>
                <w:p w14:paraId="226FFC24">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昼间</w:t>
                  </w:r>
                </w:p>
              </w:tc>
              <w:tc>
                <w:tcPr>
                  <w:tcW w:w="697" w:type="dxa"/>
                  <w:tcBorders>
                    <w:tl2br w:val="nil"/>
                    <w:tr2bl w:val="nil"/>
                  </w:tcBorders>
                  <w:shd w:val="clear" w:color="auto" w:fill="FFFFFF"/>
                  <w:vAlign w:val="center"/>
                </w:tcPr>
                <w:p w14:paraId="205D7372">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夜间</w:t>
                  </w:r>
                </w:p>
              </w:tc>
              <w:tc>
                <w:tcPr>
                  <w:tcW w:w="697" w:type="dxa"/>
                  <w:tcBorders>
                    <w:tl2br w:val="nil"/>
                    <w:tr2bl w:val="nil"/>
                  </w:tcBorders>
                  <w:shd w:val="clear" w:color="auto" w:fill="FFFFFF"/>
                  <w:vAlign w:val="center"/>
                </w:tcPr>
                <w:p w14:paraId="7C2385F6">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昼间</w:t>
                  </w:r>
                </w:p>
              </w:tc>
              <w:tc>
                <w:tcPr>
                  <w:tcW w:w="702" w:type="dxa"/>
                  <w:tcBorders>
                    <w:tl2br w:val="nil"/>
                    <w:tr2bl w:val="nil"/>
                  </w:tcBorders>
                  <w:shd w:val="clear" w:color="auto" w:fill="FFFFFF"/>
                  <w:vAlign w:val="center"/>
                </w:tcPr>
                <w:p w14:paraId="6B34650F">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夜间</w:t>
                  </w:r>
                </w:p>
              </w:tc>
            </w:tr>
            <w:tr w14:paraId="36F52C6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97" w:hRule="atLeast"/>
                <w:jc w:val="center"/>
              </w:trPr>
              <w:tc>
                <w:tcPr>
                  <w:tcW w:w="385" w:type="dxa"/>
                  <w:tcBorders>
                    <w:tl2br w:val="nil"/>
                    <w:tr2bl w:val="nil"/>
                  </w:tcBorders>
                  <w:shd w:val="clear" w:color="auto" w:fill="FFFFFF"/>
                  <w:vAlign w:val="center"/>
                </w:tcPr>
                <w:p w14:paraId="2368DCB2">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lang w:eastAsia="zh-CN"/>
                    </w:rPr>
                  </w:pPr>
                  <w:r>
                    <w:rPr>
                      <w:rFonts w:hint="eastAsia" w:cs="Times New Roman"/>
                      <w:color w:val="auto"/>
                      <w:sz w:val="21"/>
                      <w:szCs w:val="21"/>
                      <w:lang w:val="en-US" w:eastAsia="zh-CN"/>
                    </w:rPr>
                    <w:t>1</w:t>
                  </w:r>
                </w:p>
              </w:tc>
              <w:tc>
                <w:tcPr>
                  <w:tcW w:w="1155" w:type="dxa"/>
                  <w:tcBorders>
                    <w:tl2br w:val="nil"/>
                    <w:tr2bl w:val="nil"/>
                  </w:tcBorders>
                  <w:shd w:val="clear" w:color="auto" w:fill="FFFFFF"/>
                  <w:vAlign w:val="center"/>
                </w:tcPr>
                <w:p w14:paraId="7986202D">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697" w:type="dxa"/>
                  <w:tcBorders>
                    <w:tl2br w:val="nil"/>
                    <w:tr2bl w:val="nil"/>
                  </w:tcBorders>
                  <w:shd w:val="clear" w:color="auto" w:fill="FFFFFF"/>
                  <w:vAlign w:val="center"/>
                </w:tcPr>
                <w:p w14:paraId="52B4F73F">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697" w:type="dxa"/>
                  <w:tcBorders>
                    <w:tl2br w:val="nil"/>
                    <w:tr2bl w:val="nil"/>
                  </w:tcBorders>
                  <w:shd w:val="clear" w:color="auto" w:fill="FFFFFF"/>
                  <w:vAlign w:val="center"/>
                </w:tcPr>
                <w:p w14:paraId="550790AE">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697" w:type="dxa"/>
                  <w:tcBorders>
                    <w:tl2br w:val="nil"/>
                    <w:tr2bl w:val="nil"/>
                  </w:tcBorders>
                  <w:shd w:val="clear" w:color="auto" w:fill="FFFFFF"/>
                  <w:vAlign w:val="center"/>
                </w:tcPr>
                <w:p w14:paraId="205A273D">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697" w:type="dxa"/>
                  <w:tcBorders>
                    <w:tl2br w:val="nil"/>
                    <w:tr2bl w:val="nil"/>
                  </w:tcBorders>
                  <w:shd w:val="clear" w:color="auto" w:fill="FFFFFF"/>
                  <w:vAlign w:val="center"/>
                </w:tcPr>
                <w:p w14:paraId="43F66485">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697" w:type="dxa"/>
                  <w:tcBorders>
                    <w:tl2br w:val="nil"/>
                    <w:tr2bl w:val="nil"/>
                  </w:tcBorders>
                  <w:shd w:val="clear" w:color="auto" w:fill="FFFFFF"/>
                  <w:vAlign w:val="center"/>
                </w:tcPr>
                <w:p w14:paraId="73459B97">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697" w:type="dxa"/>
                  <w:tcBorders>
                    <w:tl2br w:val="nil"/>
                    <w:tr2bl w:val="nil"/>
                  </w:tcBorders>
                  <w:shd w:val="clear" w:color="auto" w:fill="FFFFFF"/>
                  <w:vAlign w:val="center"/>
                </w:tcPr>
                <w:p w14:paraId="3394955B">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697" w:type="dxa"/>
                  <w:tcBorders>
                    <w:tl2br w:val="nil"/>
                    <w:tr2bl w:val="nil"/>
                  </w:tcBorders>
                  <w:shd w:val="clear" w:color="auto" w:fill="FFFFFF"/>
                  <w:vAlign w:val="center"/>
                </w:tcPr>
                <w:p w14:paraId="3F5AB008">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697" w:type="dxa"/>
                  <w:tcBorders>
                    <w:tl2br w:val="nil"/>
                    <w:tr2bl w:val="nil"/>
                  </w:tcBorders>
                  <w:shd w:val="clear" w:color="auto" w:fill="FFFFFF"/>
                  <w:vAlign w:val="center"/>
                </w:tcPr>
                <w:p w14:paraId="7D9D039D">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697" w:type="dxa"/>
                  <w:tcBorders>
                    <w:tl2br w:val="nil"/>
                    <w:tr2bl w:val="nil"/>
                  </w:tcBorders>
                  <w:shd w:val="clear" w:color="auto" w:fill="FFFFFF"/>
                  <w:vAlign w:val="center"/>
                </w:tcPr>
                <w:p w14:paraId="1BA034EB">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c>
                <w:tcPr>
                  <w:tcW w:w="702" w:type="dxa"/>
                  <w:tcBorders>
                    <w:tl2br w:val="nil"/>
                    <w:tr2bl w:val="nil"/>
                  </w:tcBorders>
                  <w:shd w:val="clear" w:color="auto" w:fill="FFFFFF"/>
                  <w:vAlign w:val="center"/>
                </w:tcPr>
                <w:p w14:paraId="4F0A0E6F">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bl>
          <w:p w14:paraId="7810CD6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b w:val="0"/>
                <w:bCs w:val="0"/>
                <w:color w:val="auto"/>
                <w:spacing w:val="-10"/>
                <w:sz w:val="24"/>
                <w:highlight w:val="none"/>
                <w:lang w:val="en-US" w:eastAsia="zh-CN"/>
              </w:rPr>
            </w:pPr>
            <w:r>
              <w:rPr>
                <w:rFonts w:hint="eastAsia"/>
                <w:b/>
                <w:bCs/>
                <w:color w:val="auto"/>
                <w:spacing w:val="-10"/>
                <w:sz w:val="18"/>
                <w:szCs w:val="18"/>
                <w:highlight w:val="none"/>
                <w:lang w:val="en-US" w:eastAsia="zh-CN"/>
              </w:rPr>
              <w:t>注：本项目噪声现状值参考《槐西中医医院工业企业厂界环境噪声检测报告》（ZS2024071104）数据。</w:t>
            </w:r>
          </w:p>
          <w:p w14:paraId="4D2E03F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10"/>
                <w:sz w:val="24"/>
                <w:highlight w:val="none"/>
                <w:lang w:val="en-US" w:eastAsia="zh-CN"/>
              </w:rPr>
            </w:pPr>
            <w:r>
              <w:rPr>
                <w:rFonts w:hint="eastAsia"/>
                <w:b w:val="0"/>
                <w:bCs w:val="0"/>
                <w:color w:val="auto"/>
                <w:spacing w:val="0"/>
                <w:sz w:val="24"/>
                <w:highlight w:val="none"/>
                <w:lang w:val="en-US" w:eastAsia="zh-CN"/>
              </w:rPr>
              <w:t>由上表预测结果可知，本项目噪声在厂界及较近敏感目标处的贡献值很小，运营后医院厂界昼间和夜间噪声贡献值均可以满足</w:t>
            </w:r>
            <w:r>
              <w:rPr>
                <w:rFonts w:hint="default"/>
                <w:b w:val="0"/>
                <w:bCs w:val="0"/>
                <w:color w:val="auto"/>
                <w:spacing w:val="0"/>
                <w:sz w:val="24"/>
                <w:highlight w:val="none"/>
                <w:lang w:val="en-US" w:eastAsia="zh-CN"/>
              </w:rPr>
              <w:t>《工业企业厂界环境噪声排放标准》（GB12348-2008）中</w:t>
            </w:r>
            <w:r>
              <w:rPr>
                <w:rFonts w:hint="eastAsia"/>
                <w:b w:val="0"/>
                <w:bCs w:val="0"/>
                <w:color w:val="auto"/>
                <w:spacing w:val="0"/>
                <w:sz w:val="24"/>
                <w:highlight w:val="none"/>
                <w:lang w:val="en-US" w:eastAsia="zh-CN"/>
              </w:rPr>
              <w:t>1</w:t>
            </w:r>
            <w:r>
              <w:rPr>
                <w:rFonts w:hint="default"/>
                <w:b w:val="0"/>
                <w:bCs w:val="0"/>
                <w:color w:val="auto"/>
                <w:spacing w:val="0"/>
                <w:sz w:val="24"/>
                <w:highlight w:val="none"/>
                <w:lang w:val="en-US" w:eastAsia="zh-CN"/>
              </w:rPr>
              <w:t>类标准限值的要求</w:t>
            </w:r>
            <w:r>
              <w:rPr>
                <w:rFonts w:hint="eastAsia"/>
                <w:b w:val="0"/>
                <w:bCs w:val="0"/>
                <w:color w:val="auto"/>
                <w:spacing w:val="0"/>
                <w:sz w:val="24"/>
                <w:highlight w:val="none"/>
                <w:lang w:val="en-US" w:eastAsia="zh-CN"/>
              </w:rPr>
              <w:t>；声环境敏感点处昼间、夜间预测值能满足</w:t>
            </w:r>
            <w:r>
              <w:rPr>
                <w:rFonts w:hint="default"/>
                <w:b w:val="0"/>
                <w:bCs w:val="0"/>
                <w:color w:val="auto"/>
                <w:spacing w:val="0"/>
                <w:sz w:val="24"/>
                <w:highlight w:val="none"/>
                <w:lang w:val="en-US" w:eastAsia="zh-CN"/>
              </w:rPr>
              <w:t>《声环境质量标准》（GB3096-2008）</w:t>
            </w:r>
            <w:r>
              <w:rPr>
                <w:rFonts w:hint="eastAsia"/>
                <w:b w:val="0"/>
                <w:bCs w:val="0"/>
                <w:color w:val="auto"/>
                <w:spacing w:val="0"/>
                <w:sz w:val="24"/>
                <w:highlight w:val="none"/>
                <w:lang w:val="en-US" w:eastAsia="zh-CN"/>
              </w:rPr>
              <w:t>中相应的1类标准限值要求。</w:t>
            </w:r>
          </w:p>
          <w:p w14:paraId="47D114A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0"/>
                <w:sz w:val="24"/>
                <w:highlight w:val="none"/>
                <w:lang w:val="en-US" w:eastAsia="zh-CN"/>
              </w:rPr>
            </w:pPr>
            <w:r>
              <w:rPr>
                <w:rFonts w:hint="default"/>
                <w:b w:val="0"/>
                <w:bCs w:val="0"/>
                <w:color w:val="auto"/>
                <w:spacing w:val="0"/>
                <w:sz w:val="24"/>
                <w:highlight w:val="none"/>
                <w:lang w:val="en-US" w:eastAsia="zh-CN"/>
              </w:rPr>
              <w:t>（</w:t>
            </w:r>
            <w:r>
              <w:rPr>
                <w:rFonts w:hint="eastAsia"/>
                <w:b w:val="0"/>
                <w:bCs w:val="0"/>
                <w:color w:val="auto"/>
                <w:spacing w:val="0"/>
                <w:sz w:val="24"/>
                <w:highlight w:val="none"/>
                <w:lang w:val="en-US" w:eastAsia="zh-CN"/>
              </w:rPr>
              <w:t>4</w:t>
            </w:r>
            <w:r>
              <w:rPr>
                <w:rFonts w:hint="default"/>
                <w:b w:val="0"/>
                <w:bCs w:val="0"/>
                <w:color w:val="auto"/>
                <w:spacing w:val="0"/>
                <w:sz w:val="24"/>
                <w:highlight w:val="none"/>
                <w:lang w:val="en-US" w:eastAsia="zh-CN"/>
              </w:rPr>
              <w:t>）外部噪声</w:t>
            </w:r>
            <w:r>
              <w:rPr>
                <w:rFonts w:hint="eastAsia"/>
                <w:b w:val="0"/>
                <w:bCs w:val="0"/>
                <w:color w:val="auto"/>
                <w:spacing w:val="0"/>
                <w:sz w:val="24"/>
                <w:highlight w:val="none"/>
                <w:lang w:val="en-US" w:eastAsia="zh-CN"/>
              </w:rPr>
              <w:t>对本项目声环境</w:t>
            </w:r>
            <w:r>
              <w:rPr>
                <w:rFonts w:hint="default"/>
                <w:b w:val="0"/>
                <w:bCs w:val="0"/>
                <w:color w:val="auto"/>
                <w:spacing w:val="0"/>
                <w:sz w:val="24"/>
                <w:highlight w:val="none"/>
                <w:lang w:val="en-US" w:eastAsia="zh-CN"/>
              </w:rPr>
              <w:t>影响分析</w:t>
            </w:r>
          </w:p>
          <w:p w14:paraId="2FE2FB0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0"/>
                <w:sz w:val="24"/>
                <w:highlight w:val="none"/>
                <w:lang w:val="en-US" w:eastAsia="zh-CN"/>
              </w:rPr>
            </w:pPr>
            <w:r>
              <w:rPr>
                <w:rFonts w:hint="default"/>
                <w:b w:val="0"/>
                <w:bCs w:val="0"/>
                <w:color w:val="auto"/>
                <w:spacing w:val="0"/>
                <w:sz w:val="24"/>
                <w:highlight w:val="none"/>
                <w:lang w:val="en-US" w:eastAsia="zh-CN"/>
              </w:rPr>
              <w:t>本项目</w:t>
            </w:r>
            <w:r>
              <w:rPr>
                <w:rFonts w:hint="eastAsia"/>
                <w:b w:val="0"/>
                <w:bCs w:val="0"/>
                <w:color w:val="auto"/>
                <w:spacing w:val="0"/>
                <w:sz w:val="24"/>
                <w:highlight w:val="none"/>
                <w:lang w:val="en-US" w:eastAsia="zh-CN"/>
              </w:rPr>
              <w:t>为中医医院项目，</w:t>
            </w:r>
            <w:r>
              <w:rPr>
                <w:rFonts w:hint="default"/>
                <w:b w:val="0"/>
                <w:bCs w:val="0"/>
                <w:color w:val="auto"/>
                <w:spacing w:val="0"/>
                <w:sz w:val="24"/>
                <w:highlight w:val="none"/>
                <w:lang w:val="en-US" w:eastAsia="zh-CN"/>
              </w:rPr>
              <w:t>自身</w:t>
            </w:r>
            <w:r>
              <w:rPr>
                <w:rFonts w:hint="eastAsia"/>
                <w:b w:val="0"/>
                <w:bCs w:val="0"/>
                <w:color w:val="auto"/>
                <w:spacing w:val="0"/>
                <w:sz w:val="24"/>
                <w:highlight w:val="none"/>
                <w:lang w:val="en-US" w:eastAsia="zh-CN"/>
              </w:rPr>
              <w:t>即</w:t>
            </w:r>
            <w:r>
              <w:rPr>
                <w:rFonts w:hint="default"/>
                <w:b w:val="0"/>
                <w:bCs w:val="0"/>
                <w:color w:val="auto"/>
                <w:spacing w:val="0"/>
                <w:sz w:val="24"/>
                <w:highlight w:val="none"/>
                <w:lang w:val="en-US" w:eastAsia="zh-CN"/>
              </w:rPr>
              <w:t>为噪声敏感目标建设项目，根据现场踏勘，本项目周边无工业高噪声源，外界声源主要来自于项目周边道路交通噪声。由于医院各功能单元，如病房、医护人员休息室、各诊室等对声环境要求较高，项目租用的建筑在建造时考虑到外界噪声影响的问题，已对建筑墙体采用减噪材料（双层石膏板，硅酸钙板，岩棉等）进行建造。本项目窗户均安装使用三层隔声玻璃采光窗等措施，能够有效阻隔外界噪声对本项目的影响，符合《建筑环境通用规范》（GB55016-2021）中医院建筑主要房间室内允许噪声级的低限标准。</w:t>
            </w:r>
          </w:p>
          <w:p w14:paraId="7DF1CDC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0"/>
                <w:sz w:val="24"/>
                <w:highlight w:val="none"/>
                <w:lang w:val="en-US" w:eastAsia="zh-CN"/>
              </w:rPr>
            </w:pPr>
            <w:r>
              <w:rPr>
                <w:rFonts w:hint="eastAsia"/>
                <w:b w:val="0"/>
                <w:bCs w:val="0"/>
                <w:color w:val="auto"/>
                <w:spacing w:val="0"/>
                <w:sz w:val="24"/>
                <w:highlight w:val="none"/>
                <w:lang w:val="en-US" w:eastAsia="zh-CN"/>
              </w:rPr>
              <w:t>（5）监测计划</w:t>
            </w:r>
          </w:p>
          <w:p w14:paraId="6D18AC0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10"/>
                <w:sz w:val="24"/>
                <w:highlight w:val="none"/>
                <w:lang w:val="en-US" w:eastAsia="zh-CN"/>
              </w:rPr>
            </w:pPr>
            <w:r>
              <w:rPr>
                <w:rFonts w:hint="eastAsia"/>
                <w:b w:val="0"/>
                <w:bCs w:val="0"/>
                <w:color w:val="auto"/>
                <w:spacing w:val="0"/>
                <w:sz w:val="24"/>
                <w:highlight w:val="none"/>
                <w:lang w:val="en-US" w:eastAsia="zh-CN"/>
              </w:rPr>
              <w:t>运营期建设单位应根据《排污单位自行监测技术指南 总则》（HJ819-2017）中相关要求开展自主监测，本项目运营期</w:t>
            </w:r>
            <w:r>
              <w:rPr>
                <w:rFonts w:hint="default"/>
                <w:b w:val="0"/>
                <w:bCs w:val="0"/>
                <w:color w:val="auto"/>
                <w:spacing w:val="0"/>
                <w:sz w:val="24"/>
                <w:highlight w:val="none"/>
                <w:lang w:val="en-US" w:eastAsia="zh-CN"/>
              </w:rPr>
              <w:t>噪声监测计划见下表所示</w:t>
            </w:r>
            <w:r>
              <w:rPr>
                <w:rFonts w:hint="eastAsia"/>
                <w:b w:val="0"/>
                <w:bCs w:val="0"/>
                <w:color w:val="auto"/>
                <w:spacing w:val="0"/>
                <w:sz w:val="24"/>
                <w:highlight w:val="none"/>
                <w:lang w:val="en-US" w:eastAsia="zh-CN"/>
              </w:rPr>
              <w:t>。</w:t>
            </w:r>
          </w:p>
          <w:p w14:paraId="533805B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b w:val="0"/>
                <w:bCs w:val="0"/>
                <w:color w:val="auto"/>
                <w:spacing w:val="-10"/>
                <w:sz w:val="24"/>
                <w:highlight w:val="none"/>
                <w:lang w:val="en-US" w:eastAsia="zh-CN"/>
              </w:rPr>
            </w:pPr>
            <w:r>
              <w:rPr>
                <w:rFonts w:hint="eastAsia"/>
                <w:b/>
                <w:bCs/>
                <w:color w:val="auto"/>
                <w:spacing w:val="-10"/>
                <w:sz w:val="21"/>
                <w:szCs w:val="21"/>
                <w:highlight w:val="none"/>
                <w:lang w:val="en-US" w:eastAsia="zh-CN"/>
              </w:rPr>
              <w:t>表4-13 噪声监测计划</w:t>
            </w:r>
          </w:p>
          <w:tbl>
            <w:tblPr>
              <w:tblStyle w:val="12"/>
              <w:tblW w:w="8513" w:type="dxa"/>
              <w:jc w:val="center"/>
              <w:tblBorders>
                <w:top w:val="single" w:color="auto" w:sz="8" w:space="0"/>
                <w:left w:val="none" w:color="auto" w:sz="0" w:space="0"/>
                <w:bottom w:val="single" w:color="auto" w:sz="8"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
            <w:tblGrid>
              <w:gridCol w:w="1940"/>
              <w:gridCol w:w="1354"/>
              <w:gridCol w:w="1488"/>
              <w:gridCol w:w="3731"/>
            </w:tblGrid>
            <w:tr w14:paraId="39E3C3F1">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1940" w:type="dxa"/>
                  <w:tcBorders>
                    <w:tl2br w:val="nil"/>
                    <w:tr2bl w:val="nil"/>
                  </w:tcBorders>
                  <w:noWrap w:val="0"/>
                  <w:vAlign w:val="center"/>
                </w:tcPr>
                <w:p w14:paraId="154A42C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b/>
                      <w:bCs/>
                      <w:color w:val="auto"/>
                      <w:sz w:val="21"/>
                      <w:szCs w:val="21"/>
                      <w:highlight w:val="none"/>
                      <w:lang w:eastAsia="zh-CN"/>
                    </w:rPr>
                  </w:pPr>
                  <w:r>
                    <w:rPr>
                      <w:rFonts w:hint="eastAsia" w:cs="Times New Roman"/>
                      <w:b/>
                      <w:bCs/>
                      <w:color w:val="auto"/>
                      <w:sz w:val="21"/>
                      <w:szCs w:val="21"/>
                      <w:highlight w:val="none"/>
                      <w:lang w:val="en-US" w:eastAsia="zh-CN"/>
                    </w:rPr>
                    <w:t>监测</w:t>
                  </w:r>
                  <w:r>
                    <w:rPr>
                      <w:rFonts w:hint="default" w:ascii="Times New Roman" w:hAnsi="Times New Roman" w:eastAsia="宋体" w:cs="Times New Roman"/>
                      <w:b/>
                      <w:bCs/>
                      <w:color w:val="auto"/>
                      <w:sz w:val="21"/>
                      <w:szCs w:val="21"/>
                      <w:highlight w:val="none"/>
                      <w:lang w:eastAsia="zh-CN"/>
                    </w:rPr>
                    <w:t>位置</w:t>
                  </w:r>
                </w:p>
              </w:tc>
              <w:tc>
                <w:tcPr>
                  <w:tcW w:w="1354" w:type="dxa"/>
                  <w:tcBorders>
                    <w:tl2br w:val="nil"/>
                    <w:tr2bl w:val="nil"/>
                  </w:tcBorders>
                  <w:noWrap w:val="0"/>
                  <w:vAlign w:val="center"/>
                </w:tcPr>
                <w:p w14:paraId="034AD40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olor w:val="auto"/>
                      <w:sz w:val="21"/>
                      <w:szCs w:val="21"/>
                      <w:highlight w:val="none"/>
                    </w:rPr>
                    <w:t>监测</w:t>
                  </w:r>
                  <w:r>
                    <w:rPr>
                      <w:rFonts w:hint="default" w:ascii="Times New Roman" w:hAnsi="Times New Roman" w:eastAsia="宋体" w:cs="Times New Roman"/>
                      <w:b/>
                      <w:bCs/>
                      <w:color w:val="auto"/>
                      <w:sz w:val="21"/>
                      <w:szCs w:val="21"/>
                      <w:highlight w:val="none"/>
                      <w:lang w:eastAsia="zh-CN"/>
                    </w:rPr>
                    <w:t>因子</w:t>
                  </w:r>
                </w:p>
              </w:tc>
              <w:tc>
                <w:tcPr>
                  <w:tcW w:w="1488" w:type="dxa"/>
                  <w:tcBorders>
                    <w:tl2br w:val="nil"/>
                    <w:tr2bl w:val="nil"/>
                  </w:tcBorders>
                  <w:noWrap w:val="0"/>
                  <w:vAlign w:val="center"/>
                </w:tcPr>
                <w:p w14:paraId="48FCDE4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olor w:val="auto"/>
                      <w:sz w:val="21"/>
                      <w:szCs w:val="21"/>
                      <w:highlight w:val="none"/>
                      <w:lang w:eastAsia="zh-CN"/>
                    </w:rPr>
                    <w:t>检测频次</w:t>
                  </w:r>
                </w:p>
              </w:tc>
              <w:tc>
                <w:tcPr>
                  <w:tcW w:w="3731" w:type="dxa"/>
                  <w:tcBorders>
                    <w:right w:val="single" w:color="000000" w:sz="8" w:space="0"/>
                    <w:tl2br w:val="nil"/>
                    <w:tr2bl w:val="nil"/>
                  </w:tcBorders>
                  <w:noWrap w:val="0"/>
                  <w:vAlign w:val="center"/>
                </w:tcPr>
                <w:p w14:paraId="45A88AD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olor w:val="auto"/>
                      <w:spacing w:val="-10"/>
                      <w:sz w:val="21"/>
                      <w:szCs w:val="21"/>
                      <w:highlight w:val="none"/>
                      <w:lang w:eastAsia="zh-CN"/>
                    </w:rPr>
                    <w:t>执行标准</w:t>
                  </w:r>
                </w:p>
              </w:tc>
            </w:tr>
            <w:tr w14:paraId="7687EB68">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1940" w:type="dxa"/>
                  <w:tcBorders>
                    <w:tl2br w:val="nil"/>
                    <w:tr2bl w:val="nil"/>
                  </w:tcBorders>
                  <w:noWrap w:val="0"/>
                  <w:vAlign w:val="center"/>
                </w:tcPr>
                <w:p w14:paraId="673BDFD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val="en-US" w:eastAsia="zh-CN"/>
                    </w:rPr>
                    <w:t>南、北、西</w:t>
                  </w:r>
                  <w:r>
                    <w:rPr>
                      <w:rFonts w:hint="eastAsia" w:ascii="Times New Roman" w:hAnsi="Times New Roman" w:eastAsia="宋体" w:cs="Times New Roman"/>
                      <w:color w:val="auto"/>
                      <w:sz w:val="21"/>
                      <w:szCs w:val="21"/>
                      <w:highlight w:val="none"/>
                      <w:lang w:eastAsia="zh-CN"/>
                    </w:rPr>
                    <w:t>厂界</w:t>
                  </w:r>
                </w:p>
              </w:tc>
              <w:tc>
                <w:tcPr>
                  <w:tcW w:w="1354" w:type="dxa"/>
                  <w:tcBorders>
                    <w:tl2br w:val="nil"/>
                    <w:tr2bl w:val="nil"/>
                  </w:tcBorders>
                  <w:noWrap w:val="0"/>
                  <w:vAlign w:val="center"/>
                </w:tcPr>
                <w:p w14:paraId="7423D7E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等效连续A声级</w:t>
                  </w:r>
                </w:p>
              </w:tc>
              <w:tc>
                <w:tcPr>
                  <w:tcW w:w="1488" w:type="dxa"/>
                  <w:tcBorders>
                    <w:tl2br w:val="nil"/>
                    <w:tr2bl w:val="nil"/>
                  </w:tcBorders>
                  <w:noWrap w:val="0"/>
                  <w:vAlign w:val="center"/>
                </w:tcPr>
                <w:p w14:paraId="6C72BBD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val="en-US" w:eastAsia="zh-CN"/>
                    </w:rPr>
                    <w:t>1</w:t>
                  </w:r>
                  <w:r>
                    <w:rPr>
                      <w:rFonts w:hint="default" w:ascii="Times New Roman" w:hAnsi="Times New Roman" w:eastAsia="宋体" w:cs="Times New Roman"/>
                      <w:color w:val="auto"/>
                      <w:sz w:val="21"/>
                      <w:szCs w:val="21"/>
                      <w:highlight w:val="none"/>
                      <w:lang w:eastAsia="zh-CN"/>
                    </w:rPr>
                    <w:t>次</w:t>
                  </w:r>
                  <w:r>
                    <w:rPr>
                      <w:rFonts w:hint="eastAsia"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lang w:eastAsia="zh-CN"/>
                    </w:rPr>
                    <w:t>季度</w:t>
                  </w:r>
                </w:p>
              </w:tc>
              <w:tc>
                <w:tcPr>
                  <w:tcW w:w="3731" w:type="dxa"/>
                  <w:tcBorders>
                    <w:right w:val="single" w:color="000000" w:sz="8" w:space="0"/>
                    <w:tl2br w:val="nil"/>
                    <w:tr2bl w:val="nil"/>
                  </w:tcBorders>
                  <w:noWrap w:val="0"/>
                  <w:vAlign w:val="center"/>
                </w:tcPr>
                <w:p w14:paraId="1A9C831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color w:val="auto"/>
                      <w:sz w:val="21"/>
                      <w:szCs w:val="21"/>
                      <w:highlight w:val="none"/>
                      <w:lang w:val="en-US"/>
                    </w:rPr>
                  </w:pPr>
                  <w:r>
                    <w:rPr>
                      <w:rFonts w:hint="default" w:ascii="Times New Roman" w:hAnsi="Times New Roman" w:cs="Times New Roman"/>
                      <w:bCs/>
                      <w:color w:val="auto"/>
                      <w:sz w:val="21"/>
                      <w:szCs w:val="21"/>
                      <w:highlight w:val="none"/>
                    </w:rPr>
                    <w:t>《工业企业厂界环境噪声排放标准》</w:t>
                  </w:r>
                  <w:r>
                    <w:rPr>
                      <w:rFonts w:hint="default" w:ascii="Times New Roman" w:hAnsi="Times New Roman" w:eastAsia="宋体" w:cs="Times New Roman"/>
                      <w:color w:val="auto"/>
                      <w:sz w:val="21"/>
                      <w:szCs w:val="21"/>
                      <w:highlight w:val="none"/>
                    </w:rPr>
                    <w:t>(GB12348-2008)</w:t>
                  </w:r>
                  <w:r>
                    <w:rPr>
                      <w:rFonts w:hint="eastAsia" w:cs="Times New Roman"/>
                      <w:color w:val="auto"/>
                      <w:sz w:val="21"/>
                      <w:szCs w:val="21"/>
                      <w:highlight w:val="none"/>
                      <w:lang w:val="en-US" w:eastAsia="zh-CN"/>
                    </w:rPr>
                    <w:t>1</w:t>
                  </w:r>
                  <w:r>
                    <w:rPr>
                      <w:rFonts w:hint="default" w:ascii="Times New Roman" w:hAnsi="Times New Roman" w:cs="Times New Roman"/>
                      <w:color w:val="auto"/>
                      <w:sz w:val="21"/>
                      <w:szCs w:val="21"/>
                      <w:highlight w:val="none"/>
                      <w:lang w:val="en-US" w:eastAsia="zh-CN"/>
                    </w:rPr>
                    <w:t>类标准</w:t>
                  </w:r>
                </w:p>
              </w:tc>
            </w:tr>
            <w:tr w14:paraId="2A0E0E7F">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8513" w:type="dxa"/>
                  <w:gridSpan w:val="4"/>
                  <w:tcBorders>
                    <w:right w:val="single" w:color="000000" w:sz="8" w:space="0"/>
                    <w:tl2br w:val="nil"/>
                    <w:tr2bl w:val="nil"/>
                  </w:tcBorders>
                  <w:noWrap w:val="0"/>
                  <w:vAlign w:val="center"/>
                </w:tcPr>
                <w:p w14:paraId="5DD2F38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both"/>
                    <w:textAlignment w:val="auto"/>
                    <w:outlineLvl w:val="9"/>
                    <w:rPr>
                      <w:rFonts w:hint="default" w:ascii="Times New Roman" w:hAnsi="Times New Roman" w:eastAsia="宋体" w:cs="Times New Roman"/>
                      <w:bCs/>
                      <w:color w:val="auto"/>
                      <w:sz w:val="21"/>
                      <w:szCs w:val="21"/>
                      <w:highlight w:val="none"/>
                      <w:lang w:val="en-US" w:eastAsia="zh-CN"/>
                    </w:rPr>
                  </w:pPr>
                  <w:r>
                    <w:rPr>
                      <w:rFonts w:hint="eastAsia" w:cs="Times New Roman"/>
                      <w:bCs/>
                      <w:color w:val="auto"/>
                      <w:sz w:val="21"/>
                      <w:szCs w:val="21"/>
                      <w:highlight w:val="none"/>
                      <w:lang w:val="en-US" w:eastAsia="zh-CN"/>
                    </w:rPr>
                    <w:t>注：本项目东侧无室外厂界，东侧为商户。</w:t>
                  </w:r>
                </w:p>
              </w:tc>
            </w:tr>
          </w:tbl>
          <w:p w14:paraId="2844669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42" w:firstLineChars="200"/>
              <w:jc w:val="both"/>
              <w:textAlignment w:val="auto"/>
              <w:rPr>
                <w:rFonts w:hint="default"/>
                <w:b w:val="0"/>
                <w:bCs w:val="0"/>
                <w:color w:val="auto"/>
                <w:spacing w:val="-10"/>
                <w:sz w:val="24"/>
                <w:highlight w:val="none"/>
                <w:lang w:val="en-US" w:eastAsia="zh-CN"/>
              </w:rPr>
            </w:pPr>
            <w:r>
              <w:rPr>
                <w:rFonts w:hint="eastAsia"/>
                <w:b/>
                <w:bCs/>
                <w:color w:val="auto"/>
                <w:spacing w:val="-10"/>
                <w:sz w:val="24"/>
                <w:highlight w:val="none"/>
                <w:lang w:val="en-US" w:eastAsia="zh-CN"/>
              </w:rPr>
              <w:t>4、固体废物环境影响分析</w:t>
            </w:r>
          </w:p>
          <w:p w14:paraId="4790C9F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0"/>
                <w:sz w:val="24"/>
                <w:highlight w:val="none"/>
                <w:lang w:val="en-US" w:eastAsia="zh-CN"/>
              </w:rPr>
            </w:pPr>
            <w:r>
              <w:rPr>
                <w:rFonts w:hint="eastAsia"/>
                <w:b w:val="0"/>
                <w:bCs w:val="0"/>
                <w:color w:val="auto"/>
                <w:spacing w:val="0"/>
                <w:sz w:val="24"/>
                <w:highlight w:val="none"/>
                <w:lang w:val="en-US" w:eastAsia="zh-CN"/>
              </w:rPr>
              <w:t>本项目运营期产生的固体废物为危险废物（医疗废物、其他危险废物）和一般固体废物（生活垃圾和一般固体废物）。</w:t>
            </w:r>
          </w:p>
          <w:p w14:paraId="0E45B23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0"/>
                <w:sz w:val="24"/>
                <w:highlight w:val="none"/>
                <w:lang w:val="en-US" w:eastAsia="zh-CN"/>
              </w:rPr>
            </w:pPr>
            <w:r>
              <w:rPr>
                <w:rFonts w:hint="eastAsia"/>
                <w:b w:val="0"/>
                <w:bCs w:val="0"/>
                <w:color w:val="auto"/>
                <w:spacing w:val="0"/>
                <w:sz w:val="24"/>
                <w:highlight w:val="none"/>
                <w:lang w:val="en-US" w:eastAsia="zh-CN"/>
              </w:rPr>
              <w:t>（1）固体废物源强分析</w:t>
            </w:r>
          </w:p>
          <w:p w14:paraId="3F9C0A0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0"/>
                <w:sz w:val="24"/>
                <w:highlight w:val="none"/>
                <w:lang w:val="en-US" w:eastAsia="zh-CN"/>
              </w:rPr>
            </w:pPr>
            <w:r>
              <w:rPr>
                <w:rFonts w:hint="eastAsia"/>
                <w:b w:val="0"/>
                <w:bCs w:val="0"/>
                <w:color w:val="auto"/>
                <w:spacing w:val="0"/>
                <w:sz w:val="24"/>
                <w:highlight w:val="none"/>
                <w:lang w:val="en-US" w:eastAsia="zh-CN"/>
              </w:rPr>
              <w:t>1）危险废物</w:t>
            </w:r>
          </w:p>
          <w:p w14:paraId="20171A2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0"/>
                <w:sz w:val="24"/>
                <w:highlight w:val="none"/>
                <w:lang w:val="en-US" w:eastAsia="zh-CN"/>
              </w:rPr>
            </w:pPr>
            <w:r>
              <w:rPr>
                <w:rFonts w:hint="default"/>
                <w:b w:val="0"/>
                <w:bCs w:val="0"/>
                <w:color w:val="auto"/>
                <w:spacing w:val="0"/>
                <w:sz w:val="24"/>
                <w:highlight w:val="none"/>
                <w:lang w:val="en-US" w:eastAsia="zh-CN"/>
              </w:rPr>
              <w:t>①</w:t>
            </w:r>
            <w:r>
              <w:rPr>
                <w:rFonts w:hint="eastAsia"/>
                <w:b w:val="0"/>
                <w:bCs w:val="0"/>
                <w:color w:val="auto"/>
                <w:spacing w:val="0"/>
                <w:sz w:val="24"/>
                <w:highlight w:val="none"/>
                <w:lang w:val="en-US" w:eastAsia="zh-CN"/>
              </w:rPr>
              <w:t>医疗废物</w:t>
            </w:r>
          </w:p>
          <w:p w14:paraId="738E3F3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10"/>
                <w:sz w:val="24"/>
                <w:highlight w:val="none"/>
                <w:lang w:val="en-US" w:eastAsia="zh-CN"/>
              </w:rPr>
            </w:pPr>
            <w:r>
              <w:rPr>
                <w:rFonts w:hint="eastAsia"/>
                <w:b w:val="0"/>
                <w:bCs w:val="0"/>
                <w:color w:val="auto"/>
                <w:spacing w:val="0"/>
                <w:sz w:val="24"/>
                <w:highlight w:val="none"/>
                <w:lang w:val="en-US" w:eastAsia="zh-CN"/>
              </w:rPr>
              <w:t>根据《国家危险废物名录（2025年版）》，以及《医疗废物分类目录（2021年版）》（国卫医函[2021]238号，国家卫健委、国家生态环境部），项目运营期间产生医疗废物，医疗废物的具体分类详见下表所示。</w:t>
            </w:r>
          </w:p>
          <w:p w14:paraId="4A31F33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b w:val="0"/>
                <w:bCs w:val="0"/>
                <w:color w:val="auto"/>
                <w:spacing w:val="0"/>
                <w:sz w:val="24"/>
                <w:highlight w:val="none"/>
                <w:lang w:val="en-US" w:eastAsia="zh-CN"/>
              </w:rPr>
            </w:pPr>
            <w:r>
              <w:rPr>
                <w:rFonts w:hint="eastAsia"/>
                <w:b/>
                <w:bCs/>
                <w:color w:val="auto"/>
                <w:spacing w:val="0"/>
                <w:sz w:val="21"/>
                <w:szCs w:val="21"/>
                <w:highlight w:val="none"/>
                <w:lang w:val="en-US" w:eastAsia="zh-CN"/>
              </w:rPr>
              <w:t>表4-14 项目医疗废物产生种类一览表</w:t>
            </w:r>
          </w:p>
          <w:tbl>
            <w:tblPr>
              <w:tblStyle w:val="13"/>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99"/>
              <w:gridCol w:w="1313"/>
              <w:gridCol w:w="2272"/>
              <w:gridCol w:w="4229"/>
            </w:tblGrid>
            <w:tr w14:paraId="54C9710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9" w:type="dxa"/>
                  <w:tcBorders>
                    <w:tl2br w:val="nil"/>
                    <w:tr2bl w:val="nil"/>
                  </w:tcBorders>
                  <w:vAlign w:val="center"/>
                </w:tcPr>
                <w:p w14:paraId="3FDF0DB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0"/>
                      <w:sz w:val="21"/>
                      <w:szCs w:val="21"/>
                      <w:highlight w:val="none"/>
                      <w:vertAlign w:val="baseline"/>
                      <w:lang w:val="en-US" w:eastAsia="zh-CN"/>
                    </w:rPr>
                  </w:pPr>
                  <w:r>
                    <w:rPr>
                      <w:rFonts w:hint="eastAsia"/>
                      <w:b/>
                      <w:bCs/>
                      <w:color w:val="auto"/>
                      <w:spacing w:val="0"/>
                      <w:sz w:val="21"/>
                      <w:szCs w:val="21"/>
                      <w:highlight w:val="none"/>
                      <w:vertAlign w:val="baseline"/>
                      <w:lang w:val="en-US" w:eastAsia="zh-CN"/>
                    </w:rPr>
                    <w:t>编号</w:t>
                  </w:r>
                </w:p>
              </w:tc>
              <w:tc>
                <w:tcPr>
                  <w:tcW w:w="1313" w:type="dxa"/>
                  <w:tcBorders>
                    <w:tl2br w:val="nil"/>
                    <w:tr2bl w:val="nil"/>
                  </w:tcBorders>
                  <w:vAlign w:val="center"/>
                </w:tcPr>
                <w:p w14:paraId="6C74E19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0"/>
                      <w:sz w:val="21"/>
                      <w:szCs w:val="21"/>
                      <w:highlight w:val="none"/>
                      <w:vertAlign w:val="baseline"/>
                      <w:lang w:val="en-US" w:eastAsia="zh-CN"/>
                    </w:rPr>
                  </w:pPr>
                  <w:r>
                    <w:rPr>
                      <w:rFonts w:hint="eastAsia"/>
                      <w:b/>
                      <w:bCs/>
                      <w:color w:val="auto"/>
                      <w:spacing w:val="0"/>
                      <w:sz w:val="21"/>
                      <w:szCs w:val="21"/>
                      <w:highlight w:val="none"/>
                      <w:vertAlign w:val="baseline"/>
                      <w:lang w:val="en-US" w:eastAsia="zh-CN"/>
                    </w:rPr>
                    <w:t>类别</w:t>
                  </w:r>
                </w:p>
              </w:tc>
              <w:tc>
                <w:tcPr>
                  <w:tcW w:w="2272" w:type="dxa"/>
                  <w:tcBorders>
                    <w:tl2br w:val="nil"/>
                    <w:tr2bl w:val="nil"/>
                  </w:tcBorders>
                  <w:vAlign w:val="center"/>
                </w:tcPr>
                <w:p w14:paraId="2A1405B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0"/>
                      <w:sz w:val="21"/>
                      <w:szCs w:val="21"/>
                      <w:highlight w:val="none"/>
                      <w:vertAlign w:val="baseline"/>
                      <w:lang w:val="en-US" w:eastAsia="zh-CN"/>
                    </w:rPr>
                  </w:pPr>
                  <w:r>
                    <w:rPr>
                      <w:rFonts w:hint="eastAsia"/>
                      <w:b/>
                      <w:bCs/>
                      <w:color w:val="auto"/>
                      <w:spacing w:val="0"/>
                      <w:sz w:val="21"/>
                      <w:szCs w:val="21"/>
                      <w:highlight w:val="none"/>
                      <w:vertAlign w:val="baseline"/>
                      <w:lang w:val="en-US" w:eastAsia="zh-CN"/>
                    </w:rPr>
                    <w:t>特征</w:t>
                  </w:r>
                </w:p>
              </w:tc>
              <w:tc>
                <w:tcPr>
                  <w:tcW w:w="4229" w:type="dxa"/>
                  <w:tcBorders>
                    <w:tl2br w:val="nil"/>
                    <w:tr2bl w:val="nil"/>
                  </w:tcBorders>
                  <w:vAlign w:val="center"/>
                </w:tcPr>
                <w:p w14:paraId="3CB04D8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0"/>
                      <w:sz w:val="21"/>
                      <w:szCs w:val="21"/>
                      <w:highlight w:val="none"/>
                      <w:vertAlign w:val="baseline"/>
                      <w:lang w:val="en-US" w:eastAsia="zh-CN"/>
                    </w:rPr>
                  </w:pPr>
                  <w:r>
                    <w:rPr>
                      <w:rFonts w:hint="eastAsia"/>
                      <w:b/>
                      <w:bCs/>
                      <w:color w:val="auto"/>
                      <w:spacing w:val="0"/>
                      <w:sz w:val="21"/>
                      <w:szCs w:val="21"/>
                      <w:highlight w:val="none"/>
                      <w:vertAlign w:val="baseline"/>
                      <w:lang w:val="en-US" w:eastAsia="zh-CN"/>
                    </w:rPr>
                    <w:t>常见组分或废物名称</w:t>
                  </w:r>
                </w:p>
              </w:tc>
            </w:tr>
            <w:tr w14:paraId="682D96E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9" w:type="dxa"/>
                  <w:vMerge w:val="restart"/>
                  <w:tcBorders>
                    <w:tl2br w:val="nil"/>
                    <w:tr2bl w:val="nil"/>
                  </w:tcBorders>
                  <w:vAlign w:val="center"/>
                </w:tcPr>
                <w:p w14:paraId="018472D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1</w:t>
                  </w:r>
                </w:p>
              </w:tc>
              <w:tc>
                <w:tcPr>
                  <w:tcW w:w="1313" w:type="dxa"/>
                  <w:vMerge w:val="restart"/>
                  <w:tcBorders>
                    <w:tl2br w:val="nil"/>
                    <w:tr2bl w:val="nil"/>
                  </w:tcBorders>
                  <w:vAlign w:val="center"/>
                </w:tcPr>
                <w:p w14:paraId="20F68D0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感染性废物</w:t>
                  </w:r>
                </w:p>
              </w:tc>
              <w:tc>
                <w:tcPr>
                  <w:tcW w:w="2272" w:type="dxa"/>
                  <w:vMerge w:val="restart"/>
                  <w:tcBorders>
                    <w:tl2br w:val="nil"/>
                    <w:tr2bl w:val="nil"/>
                  </w:tcBorders>
                  <w:vAlign w:val="center"/>
                </w:tcPr>
                <w:p w14:paraId="63E6DBC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default"/>
                      <w:b w:val="0"/>
                      <w:bCs w:val="0"/>
                      <w:color w:val="auto"/>
                      <w:spacing w:val="0"/>
                      <w:sz w:val="21"/>
                      <w:szCs w:val="21"/>
                      <w:highlight w:val="none"/>
                      <w:vertAlign w:val="baseline"/>
                      <w:lang w:val="en-US" w:eastAsia="zh-CN"/>
                    </w:rPr>
                    <w:t>携带病原微生物具有引发感染性疾病传播危险的医疗废物</w:t>
                  </w:r>
                </w:p>
              </w:tc>
              <w:tc>
                <w:tcPr>
                  <w:tcW w:w="4229" w:type="dxa"/>
                  <w:tcBorders>
                    <w:tl2br w:val="nil"/>
                    <w:tr2bl w:val="nil"/>
                  </w:tcBorders>
                  <w:vAlign w:val="center"/>
                </w:tcPr>
                <w:p w14:paraId="713223D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被病人血液、体液、排泄物污染的物品</w:t>
                  </w:r>
                </w:p>
              </w:tc>
            </w:tr>
            <w:tr w14:paraId="577304A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9" w:type="dxa"/>
                  <w:vMerge w:val="continue"/>
                  <w:tcBorders>
                    <w:tl2br w:val="nil"/>
                    <w:tr2bl w:val="nil"/>
                  </w:tcBorders>
                  <w:vAlign w:val="center"/>
                </w:tcPr>
                <w:p w14:paraId="3F2876E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p>
              </w:tc>
              <w:tc>
                <w:tcPr>
                  <w:tcW w:w="1313" w:type="dxa"/>
                  <w:vMerge w:val="continue"/>
                  <w:tcBorders>
                    <w:tl2br w:val="nil"/>
                    <w:tr2bl w:val="nil"/>
                  </w:tcBorders>
                  <w:vAlign w:val="center"/>
                </w:tcPr>
                <w:p w14:paraId="721595F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p>
              </w:tc>
              <w:tc>
                <w:tcPr>
                  <w:tcW w:w="2272" w:type="dxa"/>
                  <w:vMerge w:val="continue"/>
                  <w:tcBorders>
                    <w:tl2br w:val="nil"/>
                    <w:tr2bl w:val="nil"/>
                  </w:tcBorders>
                  <w:vAlign w:val="center"/>
                </w:tcPr>
                <w:p w14:paraId="62A734E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p>
              </w:tc>
              <w:tc>
                <w:tcPr>
                  <w:tcW w:w="4229" w:type="dxa"/>
                  <w:tcBorders>
                    <w:tl2br w:val="nil"/>
                    <w:tr2bl w:val="nil"/>
                  </w:tcBorders>
                  <w:vAlign w:val="center"/>
                </w:tcPr>
                <w:p w14:paraId="0617752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废弃的血液、血清</w:t>
                  </w:r>
                </w:p>
              </w:tc>
            </w:tr>
            <w:tr w14:paraId="0C2476F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9" w:type="dxa"/>
                  <w:vMerge w:val="continue"/>
                  <w:tcBorders>
                    <w:tl2br w:val="nil"/>
                    <w:tr2bl w:val="nil"/>
                  </w:tcBorders>
                  <w:vAlign w:val="center"/>
                </w:tcPr>
                <w:p w14:paraId="08A1357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p>
              </w:tc>
              <w:tc>
                <w:tcPr>
                  <w:tcW w:w="1313" w:type="dxa"/>
                  <w:vMerge w:val="continue"/>
                  <w:tcBorders>
                    <w:tl2br w:val="nil"/>
                    <w:tr2bl w:val="nil"/>
                  </w:tcBorders>
                  <w:vAlign w:val="center"/>
                </w:tcPr>
                <w:p w14:paraId="64B23D8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p>
              </w:tc>
              <w:tc>
                <w:tcPr>
                  <w:tcW w:w="2272" w:type="dxa"/>
                  <w:vMerge w:val="continue"/>
                  <w:tcBorders>
                    <w:tl2br w:val="nil"/>
                    <w:tr2bl w:val="nil"/>
                  </w:tcBorders>
                  <w:vAlign w:val="center"/>
                </w:tcPr>
                <w:p w14:paraId="1BA0782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p>
              </w:tc>
              <w:tc>
                <w:tcPr>
                  <w:tcW w:w="4229" w:type="dxa"/>
                  <w:tcBorders>
                    <w:tl2br w:val="nil"/>
                    <w:tr2bl w:val="nil"/>
                  </w:tcBorders>
                  <w:vAlign w:val="center"/>
                </w:tcPr>
                <w:p w14:paraId="6814EEA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废弃的一次性医疗用品及一次性医疗器械</w:t>
                  </w:r>
                </w:p>
              </w:tc>
            </w:tr>
            <w:tr w14:paraId="7D913ED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9" w:type="dxa"/>
                  <w:vMerge w:val="restart"/>
                  <w:tcBorders>
                    <w:tl2br w:val="nil"/>
                    <w:tr2bl w:val="nil"/>
                  </w:tcBorders>
                  <w:vAlign w:val="center"/>
                </w:tcPr>
                <w:p w14:paraId="6C08E3A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2</w:t>
                  </w:r>
                </w:p>
              </w:tc>
              <w:tc>
                <w:tcPr>
                  <w:tcW w:w="1313" w:type="dxa"/>
                  <w:vMerge w:val="restart"/>
                  <w:tcBorders>
                    <w:tl2br w:val="nil"/>
                    <w:tr2bl w:val="nil"/>
                  </w:tcBorders>
                  <w:vAlign w:val="center"/>
                </w:tcPr>
                <w:p w14:paraId="3679A8D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损伤性废物</w:t>
                  </w:r>
                </w:p>
              </w:tc>
              <w:tc>
                <w:tcPr>
                  <w:tcW w:w="2272" w:type="dxa"/>
                  <w:vMerge w:val="restart"/>
                  <w:tcBorders>
                    <w:tl2br w:val="nil"/>
                    <w:tr2bl w:val="nil"/>
                  </w:tcBorders>
                  <w:vAlign w:val="center"/>
                </w:tcPr>
                <w:p w14:paraId="5D80911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default"/>
                      <w:b w:val="0"/>
                      <w:bCs w:val="0"/>
                      <w:color w:val="auto"/>
                      <w:spacing w:val="0"/>
                      <w:sz w:val="21"/>
                      <w:szCs w:val="21"/>
                      <w:highlight w:val="none"/>
                      <w:vertAlign w:val="baseline"/>
                      <w:lang w:val="en-US" w:eastAsia="zh-CN"/>
                    </w:rPr>
                    <w:t>能够刺伤或者割伤人体的废弃的医用锐器</w:t>
                  </w:r>
                </w:p>
              </w:tc>
              <w:tc>
                <w:tcPr>
                  <w:tcW w:w="4229" w:type="dxa"/>
                  <w:tcBorders>
                    <w:tl2br w:val="nil"/>
                    <w:tr2bl w:val="nil"/>
                  </w:tcBorders>
                  <w:vAlign w:val="center"/>
                </w:tcPr>
                <w:p w14:paraId="2FA15D8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医用针头、缝合针等</w:t>
                  </w:r>
                </w:p>
              </w:tc>
            </w:tr>
            <w:tr w14:paraId="4BB7B52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9" w:type="dxa"/>
                  <w:vMerge w:val="continue"/>
                  <w:tcBorders>
                    <w:tl2br w:val="nil"/>
                    <w:tr2bl w:val="nil"/>
                  </w:tcBorders>
                  <w:vAlign w:val="center"/>
                </w:tcPr>
                <w:p w14:paraId="75A32FF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p>
              </w:tc>
              <w:tc>
                <w:tcPr>
                  <w:tcW w:w="1313" w:type="dxa"/>
                  <w:vMerge w:val="continue"/>
                  <w:tcBorders>
                    <w:tl2br w:val="nil"/>
                    <w:tr2bl w:val="nil"/>
                  </w:tcBorders>
                  <w:vAlign w:val="center"/>
                </w:tcPr>
                <w:p w14:paraId="461CB82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p>
              </w:tc>
              <w:tc>
                <w:tcPr>
                  <w:tcW w:w="2272" w:type="dxa"/>
                  <w:vMerge w:val="continue"/>
                  <w:tcBorders>
                    <w:tl2br w:val="nil"/>
                    <w:tr2bl w:val="nil"/>
                  </w:tcBorders>
                  <w:vAlign w:val="center"/>
                </w:tcPr>
                <w:p w14:paraId="275F4A1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p>
              </w:tc>
              <w:tc>
                <w:tcPr>
                  <w:tcW w:w="4229" w:type="dxa"/>
                  <w:tcBorders>
                    <w:tl2br w:val="nil"/>
                    <w:tr2bl w:val="nil"/>
                  </w:tcBorders>
                  <w:vAlign w:val="center"/>
                </w:tcPr>
                <w:p w14:paraId="472134E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各类医用锐器</w:t>
                  </w:r>
                </w:p>
              </w:tc>
            </w:tr>
            <w:tr w14:paraId="531229F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9" w:type="dxa"/>
                  <w:vMerge w:val="continue"/>
                  <w:tcBorders>
                    <w:tl2br w:val="nil"/>
                    <w:tr2bl w:val="nil"/>
                  </w:tcBorders>
                  <w:vAlign w:val="center"/>
                </w:tcPr>
                <w:p w14:paraId="209B2A5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p>
              </w:tc>
              <w:tc>
                <w:tcPr>
                  <w:tcW w:w="1313" w:type="dxa"/>
                  <w:vMerge w:val="continue"/>
                  <w:tcBorders>
                    <w:tl2br w:val="nil"/>
                    <w:tr2bl w:val="nil"/>
                  </w:tcBorders>
                  <w:vAlign w:val="center"/>
                </w:tcPr>
                <w:p w14:paraId="636C033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p>
              </w:tc>
              <w:tc>
                <w:tcPr>
                  <w:tcW w:w="2272" w:type="dxa"/>
                  <w:vMerge w:val="continue"/>
                  <w:tcBorders>
                    <w:tl2br w:val="nil"/>
                    <w:tr2bl w:val="nil"/>
                  </w:tcBorders>
                  <w:vAlign w:val="center"/>
                </w:tcPr>
                <w:p w14:paraId="0E6CCAC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p>
              </w:tc>
              <w:tc>
                <w:tcPr>
                  <w:tcW w:w="4229" w:type="dxa"/>
                  <w:tcBorders>
                    <w:tl2br w:val="nil"/>
                    <w:tr2bl w:val="nil"/>
                  </w:tcBorders>
                  <w:vAlign w:val="center"/>
                </w:tcPr>
                <w:p w14:paraId="75DC062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载玻片、玻璃试管、玻璃安瓿等</w:t>
                  </w:r>
                </w:p>
              </w:tc>
            </w:tr>
            <w:tr w14:paraId="088F651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9" w:type="dxa"/>
                  <w:vMerge w:val="restart"/>
                  <w:tcBorders>
                    <w:tl2br w:val="nil"/>
                    <w:tr2bl w:val="nil"/>
                  </w:tcBorders>
                  <w:vAlign w:val="center"/>
                </w:tcPr>
                <w:p w14:paraId="13979B9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3</w:t>
                  </w:r>
                </w:p>
              </w:tc>
              <w:tc>
                <w:tcPr>
                  <w:tcW w:w="1313" w:type="dxa"/>
                  <w:vMerge w:val="restart"/>
                  <w:tcBorders>
                    <w:tl2br w:val="nil"/>
                    <w:tr2bl w:val="nil"/>
                  </w:tcBorders>
                  <w:vAlign w:val="center"/>
                </w:tcPr>
                <w:p w14:paraId="3457C45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药物性废物</w:t>
                  </w:r>
                </w:p>
              </w:tc>
              <w:tc>
                <w:tcPr>
                  <w:tcW w:w="2272" w:type="dxa"/>
                  <w:vMerge w:val="restart"/>
                  <w:tcBorders>
                    <w:tl2br w:val="nil"/>
                    <w:tr2bl w:val="nil"/>
                  </w:tcBorders>
                  <w:vAlign w:val="center"/>
                </w:tcPr>
                <w:p w14:paraId="3BFC298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default"/>
                      <w:b w:val="0"/>
                      <w:bCs w:val="0"/>
                      <w:color w:val="auto"/>
                      <w:spacing w:val="0"/>
                      <w:sz w:val="21"/>
                      <w:szCs w:val="21"/>
                      <w:highlight w:val="none"/>
                      <w:vertAlign w:val="baseline"/>
                      <w:lang w:val="en-US" w:eastAsia="zh-CN"/>
                    </w:rPr>
                    <w:t>过期、淘汰、变质或者被污染的废弃的药物</w:t>
                  </w:r>
                </w:p>
              </w:tc>
              <w:tc>
                <w:tcPr>
                  <w:tcW w:w="4229" w:type="dxa"/>
                  <w:tcBorders>
                    <w:tl2br w:val="nil"/>
                    <w:tr2bl w:val="nil"/>
                  </w:tcBorders>
                  <w:vAlign w:val="center"/>
                </w:tcPr>
                <w:p w14:paraId="013B83A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default"/>
                      <w:b w:val="0"/>
                      <w:bCs w:val="0"/>
                      <w:color w:val="auto"/>
                      <w:spacing w:val="0"/>
                      <w:sz w:val="21"/>
                      <w:szCs w:val="21"/>
                      <w:highlight w:val="none"/>
                      <w:vertAlign w:val="baseline"/>
                      <w:lang w:val="en-US" w:eastAsia="zh-CN"/>
                    </w:rPr>
                    <w:t>废弃的一般性药物</w:t>
                  </w:r>
                </w:p>
              </w:tc>
            </w:tr>
            <w:tr w14:paraId="4D491B6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9" w:type="dxa"/>
                  <w:vMerge w:val="continue"/>
                  <w:tcBorders>
                    <w:tl2br w:val="nil"/>
                    <w:tr2bl w:val="nil"/>
                  </w:tcBorders>
                  <w:vAlign w:val="center"/>
                </w:tcPr>
                <w:p w14:paraId="6B15AAD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p>
              </w:tc>
              <w:tc>
                <w:tcPr>
                  <w:tcW w:w="1313" w:type="dxa"/>
                  <w:vMerge w:val="continue"/>
                  <w:tcBorders>
                    <w:tl2br w:val="nil"/>
                    <w:tr2bl w:val="nil"/>
                  </w:tcBorders>
                  <w:vAlign w:val="center"/>
                </w:tcPr>
                <w:p w14:paraId="2817EC6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p>
              </w:tc>
              <w:tc>
                <w:tcPr>
                  <w:tcW w:w="2272" w:type="dxa"/>
                  <w:vMerge w:val="continue"/>
                  <w:tcBorders>
                    <w:tl2br w:val="nil"/>
                    <w:tr2bl w:val="nil"/>
                  </w:tcBorders>
                  <w:vAlign w:val="center"/>
                </w:tcPr>
                <w:p w14:paraId="5A242EB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p>
              </w:tc>
              <w:tc>
                <w:tcPr>
                  <w:tcW w:w="4229" w:type="dxa"/>
                  <w:tcBorders>
                    <w:tl2br w:val="nil"/>
                    <w:tr2bl w:val="nil"/>
                  </w:tcBorders>
                  <w:vAlign w:val="center"/>
                </w:tcPr>
                <w:p w14:paraId="160034D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default"/>
                      <w:b w:val="0"/>
                      <w:bCs w:val="0"/>
                      <w:color w:val="auto"/>
                      <w:spacing w:val="0"/>
                      <w:sz w:val="21"/>
                      <w:szCs w:val="21"/>
                      <w:highlight w:val="none"/>
                      <w:vertAlign w:val="baseline"/>
                      <w:lang w:val="en-US" w:eastAsia="zh-CN"/>
                    </w:rPr>
                    <w:t>废弃的疫苗和血液制品</w:t>
                  </w:r>
                </w:p>
              </w:tc>
            </w:tr>
            <w:tr w14:paraId="177ECC5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9" w:type="dxa"/>
                  <w:vMerge w:val="restart"/>
                  <w:tcBorders>
                    <w:tl2br w:val="nil"/>
                    <w:tr2bl w:val="nil"/>
                  </w:tcBorders>
                  <w:vAlign w:val="center"/>
                </w:tcPr>
                <w:p w14:paraId="4087A09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4</w:t>
                  </w:r>
                </w:p>
              </w:tc>
              <w:tc>
                <w:tcPr>
                  <w:tcW w:w="1313" w:type="dxa"/>
                  <w:vMerge w:val="restart"/>
                  <w:tcBorders>
                    <w:tl2br w:val="nil"/>
                    <w:tr2bl w:val="nil"/>
                  </w:tcBorders>
                  <w:vAlign w:val="center"/>
                </w:tcPr>
                <w:p w14:paraId="1C2D7EE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化学性废物</w:t>
                  </w:r>
                </w:p>
              </w:tc>
              <w:tc>
                <w:tcPr>
                  <w:tcW w:w="2272" w:type="dxa"/>
                  <w:vMerge w:val="restart"/>
                  <w:tcBorders>
                    <w:tl2br w:val="nil"/>
                    <w:tr2bl w:val="nil"/>
                  </w:tcBorders>
                  <w:vAlign w:val="center"/>
                </w:tcPr>
                <w:p w14:paraId="14BE04B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default"/>
                      <w:b w:val="0"/>
                      <w:bCs w:val="0"/>
                      <w:color w:val="auto"/>
                      <w:spacing w:val="0"/>
                      <w:sz w:val="21"/>
                      <w:szCs w:val="21"/>
                      <w:highlight w:val="none"/>
                      <w:vertAlign w:val="baseline"/>
                      <w:lang w:val="en-US" w:eastAsia="zh-CN"/>
                    </w:rPr>
                    <w:t>具有毒性、腐蚀性、易燃易爆性的废弃的化学物品</w:t>
                  </w:r>
                </w:p>
              </w:tc>
              <w:tc>
                <w:tcPr>
                  <w:tcW w:w="4229" w:type="dxa"/>
                  <w:tcBorders>
                    <w:tl2br w:val="nil"/>
                    <w:tr2bl w:val="nil"/>
                  </w:tcBorders>
                  <w:vAlign w:val="center"/>
                </w:tcPr>
                <w:p w14:paraId="1143B8C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default"/>
                      <w:b w:val="0"/>
                      <w:bCs w:val="0"/>
                      <w:color w:val="auto"/>
                      <w:spacing w:val="0"/>
                      <w:sz w:val="21"/>
                      <w:szCs w:val="21"/>
                      <w:highlight w:val="none"/>
                      <w:vertAlign w:val="baseline"/>
                      <w:lang w:val="en-US" w:eastAsia="zh-CN"/>
                    </w:rPr>
                    <w:t>废化学试剂</w:t>
                  </w:r>
                </w:p>
              </w:tc>
            </w:tr>
            <w:tr w14:paraId="4AFDA6F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9" w:type="dxa"/>
                  <w:vMerge w:val="continue"/>
                  <w:tcBorders>
                    <w:tl2br w:val="nil"/>
                    <w:tr2bl w:val="nil"/>
                  </w:tcBorders>
                  <w:vAlign w:val="center"/>
                </w:tcPr>
                <w:p w14:paraId="718A8BD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p>
              </w:tc>
              <w:tc>
                <w:tcPr>
                  <w:tcW w:w="1313" w:type="dxa"/>
                  <w:vMerge w:val="continue"/>
                  <w:tcBorders>
                    <w:tl2br w:val="nil"/>
                    <w:tr2bl w:val="nil"/>
                  </w:tcBorders>
                  <w:vAlign w:val="center"/>
                </w:tcPr>
                <w:p w14:paraId="6EDD4D5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p>
              </w:tc>
              <w:tc>
                <w:tcPr>
                  <w:tcW w:w="2272" w:type="dxa"/>
                  <w:vMerge w:val="continue"/>
                  <w:tcBorders>
                    <w:tl2br w:val="nil"/>
                    <w:tr2bl w:val="nil"/>
                  </w:tcBorders>
                  <w:vAlign w:val="center"/>
                </w:tcPr>
                <w:p w14:paraId="6C6C314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p>
              </w:tc>
              <w:tc>
                <w:tcPr>
                  <w:tcW w:w="4229" w:type="dxa"/>
                  <w:tcBorders>
                    <w:tl2br w:val="nil"/>
                    <w:tr2bl w:val="nil"/>
                  </w:tcBorders>
                  <w:vAlign w:val="center"/>
                </w:tcPr>
                <w:p w14:paraId="10E4DA9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default"/>
                      <w:b w:val="0"/>
                      <w:bCs w:val="0"/>
                      <w:color w:val="auto"/>
                      <w:spacing w:val="0"/>
                      <w:sz w:val="21"/>
                      <w:szCs w:val="21"/>
                      <w:highlight w:val="none"/>
                      <w:vertAlign w:val="baseline"/>
                      <w:lang w:val="en-US" w:eastAsia="zh-CN"/>
                    </w:rPr>
                    <w:t>废血压计、体温计等</w:t>
                  </w:r>
                </w:p>
              </w:tc>
            </w:tr>
          </w:tbl>
          <w:p w14:paraId="511EB5D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0"/>
                <w:sz w:val="24"/>
                <w:highlight w:val="none"/>
                <w:lang w:val="en-US" w:eastAsia="zh-CN"/>
              </w:rPr>
            </w:pPr>
            <w:r>
              <w:rPr>
                <w:rFonts w:hint="default"/>
                <w:b w:val="0"/>
                <w:bCs w:val="0"/>
                <w:color w:val="auto"/>
                <w:spacing w:val="0"/>
                <w:sz w:val="24"/>
                <w:highlight w:val="none"/>
                <w:lang w:val="en-US" w:eastAsia="zh-CN"/>
              </w:rPr>
              <w:t>依据《第一次全国污染源普查城镇生活源产排污系数手册》及《医疗废物排放统计变量的选择及排放系数的确定》中的相关数据进行核算</w:t>
            </w:r>
            <w:r>
              <w:rPr>
                <w:rFonts w:hint="eastAsia"/>
                <w:b w:val="0"/>
                <w:bCs w:val="0"/>
                <w:color w:val="auto"/>
                <w:spacing w:val="0"/>
                <w:sz w:val="24"/>
                <w:highlight w:val="none"/>
                <w:lang w:val="en-US" w:eastAsia="zh-CN"/>
              </w:rPr>
              <w:t>。</w:t>
            </w:r>
          </w:p>
          <w:p w14:paraId="75B4797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b w:val="0"/>
                <w:bCs w:val="0"/>
                <w:color w:val="auto"/>
                <w:spacing w:val="-10"/>
                <w:sz w:val="24"/>
                <w:highlight w:val="none"/>
                <w:lang w:val="en-US" w:eastAsia="zh-CN"/>
              </w:rPr>
            </w:pPr>
            <w:r>
              <w:rPr>
                <w:rFonts w:hint="eastAsia"/>
                <w:b/>
                <w:bCs/>
                <w:color w:val="auto"/>
                <w:spacing w:val="0"/>
                <w:sz w:val="21"/>
                <w:szCs w:val="21"/>
                <w:highlight w:val="none"/>
                <w:lang w:val="en-US" w:eastAsia="zh-CN"/>
              </w:rPr>
              <w:t>表4-15 医院运行医疗废物（HW01）产生一览表</w:t>
            </w:r>
          </w:p>
          <w:tbl>
            <w:tblPr>
              <w:tblStyle w:val="13"/>
              <w:tblW w:w="8515"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30"/>
              <w:gridCol w:w="1500"/>
              <w:gridCol w:w="930"/>
              <w:gridCol w:w="2348"/>
              <w:gridCol w:w="1245"/>
              <w:gridCol w:w="1762"/>
            </w:tblGrid>
            <w:tr w14:paraId="4D527A3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0" w:type="dxa"/>
                  <w:tcBorders>
                    <w:tl2br w:val="nil"/>
                    <w:tr2bl w:val="nil"/>
                  </w:tcBorders>
                  <w:vAlign w:val="center"/>
                </w:tcPr>
                <w:p w14:paraId="7E3D0B1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0"/>
                      <w:sz w:val="21"/>
                      <w:szCs w:val="21"/>
                      <w:highlight w:val="none"/>
                      <w:vertAlign w:val="baseline"/>
                      <w:lang w:val="en-US" w:eastAsia="zh-CN"/>
                    </w:rPr>
                  </w:pPr>
                  <w:r>
                    <w:rPr>
                      <w:rFonts w:hint="eastAsia"/>
                      <w:b/>
                      <w:bCs/>
                      <w:color w:val="auto"/>
                      <w:spacing w:val="0"/>
                      <w:sz w:val="21"/>
                      <w:szCs w:val="21"/>
                      <w:highlight w:val="none"/>
                      <w:vertAlign w:val="baseline"/>
                      <w:lang w:val="en-US" w:eastAsia="zh-CN"/>
                    </w:rPr>
                    <w:t>项目</w:t>
                  </w:r>
                </w:p>
              </w:tc>
              <w:tc>
                <w:tcPr>
                  <w:tcW w:w="1500" w:type="dxa"/>
                  <w:tcBorders>
                    <w:tl2br w:val="nil"/>
                    <w:tr2bl w:val="nil"/>
                  </w:tcBorders>
                  <w:vAlign w:val="center"/>
                </w:tcPr>
                <w:p w14:paraId="406D54B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0"/>
                      <w:sz w:val="21"/>
                      <w:szCs w:val="21"/>
                      <w:highlight w:val="none"/>
                      <w:vertAlign w:val="baseline"/>
                      <w:lang w:val="en-US" w:eastAsia="zh-CN"/>
                    </w:rPr>
                  </w:pPr>
                  <w:r>
                    <w:rPr>
                      <w:rFonts w:hint="eastAsia"/>
                      <w:b/>
                      <w:bCs/>
                      <w:color w:val="auto"/>
                      <w:spacing w:val="0"/>
                      <w:sz w:val="21"/>
                      <w:szCs w:val="21"/>
                      <w:highlight w:val="none"/>
                      <w:vertAlign w:val="baseline"/>
                      <w:lang w:val="en-US" w:eastAsia="zh-CN"/>
                    </w:rPr>
                    <w:t>危险废物类别</w:t>
                  </w:r>
                </w:p>
              </w:tc>
              <w:tc>
                <w:tcPr>
                  <w:tcW w:w="930" w:type="dxa"/>
                  <w:tcBorders>
                    <w:tl2br w:val="nil"/>
                    <w:tr2bl w:val="nil"/>
                  </w:tcBorders>
                  <w:vAlign w:val="center"/>
                </w:tcPr>
                <w:p w14:paraId="26EB148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0"/>
                      <w:sz w:val="21"/>
                      <w:szCs w:val="21"/>
                      <w:highlight w:val="none"/>
                      <w:vertAlign w:val="baseline"/>
                      <w:lang w:val="en-US" w:eastAsia="zh-CN"/>
                    </w:rPr>
                  </w:pPr>
                  <w:r>
                    <w:rPr>
                      <w:rFonts w:hint="eastAsia"/>
                      <w:b/>
                      <w:bCs/>
                      <w:color w:val="auto"/>
                      <w:spacing w:val="0"/>
                      <w:sz w:val="21"/>
                      <w:szCs w:val="21"/>
                      <w:highlight w:val="none"/>
                      <w:vertAlign w:val="baseline"/>
                      <w:lang w:val="en-US" w:eastAsia="zh-CN"/>
                    </w:rPr>
                    <w:t>来源</w:t>
                  </w:r>
                </w:p>
              </w:tc>
              <w:tc>
                <w:tcPr>
                  <w:tcW w:w="2348" w:type="dxa"/>
                  <w:tcBorders>
                    <w:tl2br w:val="nil"/>
                    <w:tr2bl w:val="nil"/>
                  </w:tcBorders>
                  <w:vAlign w:val="center"/>
                </w:tcPr>
                <w:p w14:paraId="08C0408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0"/>
                      <w:sz w:val="21"/>
                      <w:szCs w:val="21"/>
                      <w:highlight w:val="none"/>
                      <w:vertAlign w:val="baseline"/>
                      <w:lang w:val="en-US" w:eastAsia="zh-CN"/>
                    </w:rPr>
                  </w:pPr>
                  <w:r>
                    <w:rPr>
                      <w:rFonts w:hint="eastAsia"/>
                      <w:b/>
                      <w:bCs/>
                      <w:color w:val="auto"/>
                      <w:spacing w:val="0"/>
                      <w:sz w:val="21"/>
                      <w:szCs w:val="21"/>
                      <w:highlight w:val="none"/>
                      <w:vertAlign w:val="baseline"/>
                      <w:lang w:val="en-US" w:eastAsia="zh-CN"/>
                    </w:rPr>
                    <w:t>估算标准</w:t>
                  </w:r>
                </w:p>
              </w:tc>
              <w:tc>
                <w:tcPr>
                  <w:tcW w:w="1245" w:type="dxa"/>
                  <w:tcBorders>
                    <w:tl2br w:val="nil"/>
                    <w:tr2bl w:val="nil"/>
                  </w:tcBorders>
                  <w:vAlign w:val="center"/>
                </w:tcPr>
                <w:p w14:paraId="080945E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0"/>
                      <w:sz w:val="21"/>
                      <w:szCs w:val="21"/>
                      <w:highlight w:val="none"/>
                      <w:vertAlign w:val="baseline"/>
                      <w:lang w:val="en-US" w:eastAsia="zh-CN"/>
                    </w:rPr>
                  </w:pPr>
                  <w:r>
                    <w:rPr>
                      <w:rFonts w:hint="eastAsia"/>
                      <w:b/>
                      <w:bCs/>
                      <w:color w:val="auto"/>
                      <w:spacing w:val="0"/>
                      <w:sz w:val="21"/>
                      <w:szCs w:val="21"/>
                      <w:highlight w:val="none"/>
                      <w:vertAlign w:val="baseline"/>
                      <w:lang w:val="en-US" w:eastAsia="zh-CN"/>
                    </w:rPr>
                    <w:t>规模</w:t>
                  </w:r>
                </w:p>
              </w:tc>
              <w:tc>
                <w:tcPr>
                  <w:tcW w:w="1762" w:type="dxa"/>
                  <w:tcBorders>
                    <w:tl2br w:val="nil"/>
                    <w:tr2bl w:val="nil"/>
                  </w:tcBorders>
                  <w:vAlign w:val="center"/>
                </w:tcPr>
                <w:p w14:paraId="0EA8C44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0"/>
                      <w:sz w:val="21"/>
                      <w:szCs w:val="21"/>
                      <w:highlight w:val="none"/>
                      <w:vertAlign w:val="baseline"/>
                      <w:lang w:val="en-US" w:eastAsia="zh-CN"/>
                    </w:rPr>
                  </w:pPr>
                  <w:r>
                    <w:rPr>
                      <w:rFonts w:hint="eastAsia"/>
                      <w:b/>
                      <w:bCs/>
                      <w:color w:val="auto"/>
                      <w:spacing w:val="0"/>
                      <w:sz w:val="21"/>
                      <w:szCs w:val="21"/>
                      <w:highlight w:val="none"/>
                      <w:vertAlign w:val="baseline"/>
                      <w:lang w:val="en-US" w:eastAsia="zh-CN"/>
                    </w:rPr>
                    <w:t>产生量</w:t>
                  </w:r>
                </w:p>
              </w:tc>
            </w:tr>
            <w:tr w14:paraId="753CFDE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0" w:type="dxa"/>
                  <w:vMerge w:val="restart"/>
                  <w:tcBorders>
                    <w:tl2br w:val="nil"/>
                    <w:tr2bl w:val="nil"/>
                  </w:tcBorders>
                  <w:vAlign w:val="center"/>
                </w:tcPr>
                <w:p w14:paraId="126282D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医疗废物</w:t>
                  </w:r>
                </w:p>
              </w:tc>
              <w:tc>
                <w:tcPr>
                  <w:tcW w:w="1500" w:type="dxa"/>
                  <w:vMerge w:val="restart"/>
                  <w:tcBorders>
                    <w:tl2br w:val="nil"/>
                    <w:tr2bl w:val="nil"/>
                  </w:tcBorders>
                  <w:vAlign w:val="center"/>
                </w:tcPr>
                <w:p w14:paraId="2B8B3A7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HW01</w:t>
                  </w:r>
                </w:p>
              </w:tc>
              <w:tc>
                <w:tcPr>
                  <w:tcW w:w="930" w:type="dxa"/>
                  <w:tcBorders>
                    <w:tl2br w:val="nil"/>
                    <w:tr2bl w:val="nil"/>
                  </w:tcBorders>
                  <w:vAlign w:val="center"/>
                </w:tcPr>
                <w:p w14:paraId="024C45D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病房</w:t>
                  </w:r>
                </w:p>
              </w:tc>
              <w:tc>
                <w:tcPr>
                  <w:tcW w:w="2348" w:type="dxa"/>
                  <w:tcBorders>
                    <w:tl2br w:val="nil"/>
                    <w:tr2bl w:val="nil"/>
                  </w:tcBorders>
                  <w:vAlign w:val="center"/>
                </w:tcPr>
                <w:p w14:paraId="48AB3FA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住院病人0.39kg/床</w:t>
                  </w:r>
                  <w:r>
                    <w:rPr>
                      <w:rFonts w:hint="default" w:ascii="Times New Roman" w:hAnsi="Times New Roman" w:cs="Times New Roman"/>
                      <w:b w:val="0"/>
                      <w:bCs w:val="0"/>
                      <w:color w:val="auto"/>
                      <w:spacing w:val="0"/>
                      <w:sz w:val="21"/>
                      <w:szCs w:val="21"/>
                      <w:highlight w:val="none"/>
                      <w:vertAlign w:val="baseline"/>
                      <w:lang w:val="en-US" w:eastAsia="zh-CN"/>
                    </w:rPr>
                    <w:t>·</w:t>
                  </w:r>
                  <w:r>
                    <w:rPr>
                      <w:rFonts w:hint="eastAsia"/>
                      <w:b w:val="0"/>
                      <w:bCs w:val="0"/>
                      <w:color w:val="auto"/>
                      <w:spacing w:val="0"/>
                      <w:sz w:val="21"/>
                      <w:szCs w:val="21"/>
                      <w:highlight w:val="none"/>
                      <w:vertAlign w:val="baseline"/>
                      <w:lang w:val="en-US" w:eastAsia="zh-CN"/>
                    </w:rPr>
                    <w:t>d</w:t>
                  </w:r>
                </w:p>
              </w:tc>
              <w:tc>
                <w:tcPr>
                  <w:tcW w:w="1245" w:type="dxa"/>
                  <w:tcBorders>
                    <w:tl2br w:val="nil"/>
                    <w:tr2bl w:val="nil"/>
                  </w:tcBorders>
                  <w:vAlign w:val="center"/>
                </w:tcPr>
                <w:p w14:paraId="346F7B6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20床</w:t>
                  </w:r>
                </w:p>
              </w:tc>
              <w:tc>
                <w:tcPr>
                  <w:tcW w:w="1762" w:type="dxa"/>
                  <w:tcBorders>
                    <w:tl2br w:val="nil"/>
                    <w:tr2bl w:val="nil"/>
                  </w:tcBorders>
                  <w:vAlign w:val="center"/>
                </w:tcPr>
                <w:p w14:paraId="1C3097D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2.847t/a</w:t>
                  </w:r>
                </w:p>
              </w:tc>
            </w:tr>
            <w:tr w14:paraId="07B1FA9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0" w:type="dxa"/>
                  <w:vMerge w:val="continue"/>
                  <w:tcBorders>
                    <w:tl2br w:val="nil"/>
                    <w:tr2bl w:val="nil"/>
                  </w:tcBorders>
                  <w:vAlign w:val="center"/>
                </w:tcPr>
                <w:p w14:paraId="507BA7A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p>
              </w:tc>
              <w:tc>
                <w:tcPr>
                  <w:tcW w:w="1500" w:type="dxa"/>
                  <w:vMerge w:val="continue"/>
                  <w:tcBorders>
                    <w:tl2br w:val="nil"/>
                    <w:tr2bl w:val="nil"/>
                  </w:tcBorders>
                  <w:vAlign w:val="center"/>
                </w:tcPr>
                <w:p w14:paraId="7C52BBE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p>
              </w:tc>
              <w:tc>
                <w:tcPr>
                  <w:tcW w:w="930" w:type="dxa"/>
                  <w:tcBorders>
                    <w:tl2br w:val="nil"/>
                    <w:tr2bl w:val="nil"/>
                  </w:tcBorders>
                  <w:vAlign w:val="center"/>
                </w:tcPr>
                <w:p w14:paraId="6A941A0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门诊</w:t>
                  </w:r>
                </w:p>
              </w:tc>
              <w:tc>
                <w:tcPr>
                  <w:tcW w:w="2348" w:type="dxa"/>
                  <w:tcBorders>
                    <w:tl2br w:val="nil"/>
                    <w:tr2bl w:val="nil"/>
                  </w:tcBorders>
                  <w:vAlign w:val="center"/>
                </w:tcPr>
                <w:p w14:paraId="590C35D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门诊病人0.055kg/人次</w:t>
                  </w:r>
                </w:p>
              </w:tc>
              <w:tc>
                <w:tcPr>
                  <w:tcW w:w="1245" w:type="dxa"/>
                  <w:tcBorders>
                    <w:tl2br w:val="nil"/>
                    <w:tr2bl w:val="nil"/>
                  </w:tcBorders>
                  <w:vAlign w:val="center"/>
                </w:tcPr>
                <w:p w14:paraId="463D361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60人次/d</w:t>
                  </w:r>
                </w:p>
              </w:tc>
              <w:tc>
                <w:tcPr>
                  <w:tcW w:w="1762" w:type="dxa"/>
                  <w:tcBorders>
                    <w:tl2br w:val="nil"/>
                    <w:tr2bl w:val="nil"/>
                  </w:tcBorders>
                  <w:vAlign w:val="center"/>
                </w:tcPr>
                <w:p w14:paraId="7266FBD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1.205t/a</w:t>
                  </w:r>
                </w:p>
              </w:tc>
            </w:tr>
            <w:tr w14:paraId="26791F8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0" w:type="dxa"/>
                  <w:vMerge w:val="continue"/>
                  <w:tcBorders>
                    <w:tl2br w:val="nil"/>
                    <w:tr2bl w:val="nil"/>
                  </w:tcBorders>
                  <w:vAlign w:val="center"/>
                </w:tcPr>
                <w:p w14:paraId="7F591DD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p>
              </w:tc>
              <w:tc>
                <w:tcPr>
                  <w:tcW w:w="1500" w:type="dxa"/>
                  <w:vMerge w:val="continue"/>
                  <w:tcBorders>
                    <w:tl2br w:val="nil"/>
                    <w:tr2bl w:val="nil"/>
                  </w:tcBorders>
                  <w:vAlign w:val="center"/>
                </w:tcPr>
                <w:p w14:paraId="0DA08BC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p>
              </w:tc>
              <w:tc>
                <w:tcPr>
                  <w:tcW w:w="4523" w:type="dxa"/>
                  <w:gridSpan w:val="3"/>
                  <w:tcBorders>
                    <w:tl2br w:val="nil"/>
                    <w:tr2bl w:val="nil"/>
                  </w:tcBorders>
                  <w:vAlign w:val="center"/>
                </w:tcPr>
                <w:p w14:paraId="410373A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合计</w:t>
                  </w:r>
                </w:p>
              </w:tc>
              <w:tc>
                <w:tcPr>
                  <w:tcW w:w="1762" w:type="dxa"/>
                  <w:tcBorders>
                    <w:tl2br w:val="nil"/>
                    <w:tr2bl w:val="nil"/>
                  </w:tcBorders>
                  <w:vAlign w:val="center"/>
                </w:tcPr>
                <w:p w14:paraId="603B90F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4.052t/a</w:t>
                  </w:r>
                </w:p>
              </w:tc>
            </w:tr>
          </w:tbl>
          <w:p w14:paraId="28D96F9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0"/>
                <w:sz w:val="24"/>
                <w:highlight w:val="none"/>
                <w:lang w:val="en-US" w:eastAsia="zh-CN"/>
              </w:rPr>
            </w:pPr>
            <w:r>
              <w:rPr>
                <w:rFonts w:hint="default"/>
                <w:b w:val="0"/>
                <w:bCs w:val="0"/>
                <w:color w:val="auto"/>
                <w:spacing w:val="0"/>
                <w:sz w:val="24"/>
                <w:highlight w:val="none"/>
                <w:lang w:val="en-US" w:eastAsia="zh-CN"/>
              </w:rPr>
              <w:t>②</w:t>
            </w:r>
            <w:r>
              <w:rPr>
                <w:rFonts w:hint="eastAsia"/>
                <w:b w:val="0"/>
                <w:bCs w:val="0"/>
                <w:color w:val="auto"/>
                <w:spacing w:val="0"/>
                <w:sz w:val="24"/>
                <w:highlight w:val="none"/>
                <w:lang w:val="en-US" w:eastAsia="zh-CN"/>
              </w:rPr>
              <w:t>其他危险废物</w:t>
            </w:r>
          </w:p>
          <w:p w14:paraId="1B4FA3C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0"/>
                <w:sz w:val="24"/>
                <w:highlight w:val="none"/>
                <w:lang w:val="en-US" w:eastAsia="zh-CN"/>
              </w:rPr>
            </w:pPr>
            <w:r>
              <w:rPr>
                <w:rFonts w:hint="eastAsia"/>
                <w:b w:val="0"/>
                <w:bCs w:val="0"/>
                <w:color w:val="auto"/>
                <w:spacing w:val="0"/>
                <w:sz w:val="24"/>
                <w:highlight w:val="none"/>
                <w:lang w:val="en-US" w:eastAsia="zh-CN"/>
              </w:rPr>
              <w:t>A污泥、栅渣</w:t>
            </w:r>
          </w:p>
          <w:p w14:paraId="3ADD35B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0"/>
                <w:sz w:val="24"/>
                <w:highlight w:val="none"/>
                <w:lang w:val="en-US" w:eastAsia="zh-CN"/>
              </w:rPr>
            </w:pPr>
            <w:r>
              <w:rPr>
                <w:rFonts w:hint="default"/>
                <w:b w:val="0"/>
                <w:bCs w:val="0"/>
                <w:color w:val="auto"/>
                <w:spacing w:val="0"/>
                <w:sz w:val="24"/>
                <w:highlight w:val="none"/>
                <w:lang w:val="en-US" w:eastAsia="zh-CN"/>
              </w:rPr>
              <w:t>根据《医疗机构水污染物排放标准》（GB18466-2005）中有关污泥控制与处置的规定：栅渣、化粪池和</w:t>
            </w:r>
            <w:r>
              <w:rPr>
                <w:rFonts w:hint="eastAsia"/>
                <w:b w:val="0"/>
                <w:bCs w:val="0"/>
                <w:color w:val="auto"/>
                <w:spacing w:val="0"/>
                <w:sz w:val="24"/>
                <w:highlight w:val="none"/>
                <w:lang w:val="en-US" w:eastAsia="zh-CN"/>
              </w:rPr>
              <w:t>污水处理设施</w:t>
            </w:r>
            <w:r>
              <w:rPr>
                <w:rFonts w:hint="default"/>
                <w:b w:val="0"/>
                <w:bCs w:val="0"/>
                <w:color w:val="auto"/>
                <w:spacing w:val="0"/>
                <w:sz w:val="24"/>
                <w:highlight w:val="none"/>
                <w:lang w:val="en-US" w:eastAsia="zh-CN"/>
              </w:rPr>
              <w:t>污泥属危险废物，应按危险废物进行处理和处置。本次评价化粪池污泥、</w:t>
            </w:r>
            <w:r>
              <w:rPr>
                <w:rFonts w:hint="eastAsia"/>
                <w:b w:val="0"/>
                <w:bCs w:val="0"/>
                <w:color w:val="auto"/>
                <w:spacing w:val="0"/>
                <w:sz w:val="24"/>
                <w:highlight w:val="none"/>
                <w:lang w:val="en-US" w:eastAsia="zh-CN"/>
              </w:rPr>
              <w:t>污水处理设施</w:t>
            </w:r>
            <w:r>
              <w:rPr>
                <w:rFonts w:hint="default"/>
                <w:b w:val="0"/>
                <w:bCs w:val="0"/>
                <w:color w:val="auto"/>
                <w:spacing w:val="0"/>
                <w:sz w:val="24"/>
                <w:highlight w:val="none"/>
                <w:lang w:val="en-US" w:eastAsia="zh-CN"/>
              </w:rPr>
              <w:t>栅渣及污泥源强通过系数法核算。</w:t>
            </w:r>
          </w:p>
          <w:p w14:paraId="273CE3F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0"/>
                <w:sz w:val="24"/>
                <w:highlight w:val="none"/>
                <w:lang w:val="en-US" w:eastAsia="zh-CN"/>
              </w:rPr>
            </w:pPr>
            <w:r>
              <w:rPr>
                <w:rFonts w:hint="eastAsia"/>
                <w:b w:val="0"/>
                <w:bCs w:val="0"/>
                <w:color w:val="auto"/>
                <w:spacing w:val="0"/>
                <w:sz w:val="24"/>
                <w:highlight w:val="none"/>
                <w:lang w:val="en-US" w:eastAsia="zh-CN"/>
              </w:rPr>
              <w:t>a化粪池污泥</w:t>
            </w:r>
          </w:p>
          <w:p w14:paraId="5535823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0"/>
                <w:sz w:val="24"/>
                <w:highlight w:val="none"/>
                <w:lang w:val="en-US" w:eastAsia="zh-CN"/>
              </w:rPr>
            </w:pPr>
            <w:r>
              <w:rPr>
                <w:rFonts w:hint="eastAsia"/>
                <w:b w:val="0"/>
                <w:bCs w:val="0"/>
                <w:color w:val="auto"/>
                <w:spacing w:val="0"/>
                <w:sz w:val="24"/>
                <w:highlight w:val="none"/>
                <w:lang w:val="en-US" w:eastAsia="zh-CN"/>
              </w:rPr>
              <w:t>在医疗污水处理过程中，污水中所含的80%以上的病菌和90%以上的寄生虫卵被集中在污泥中，化粪池污泥产生量根据《医院污水处理技术指南》（环发[2003]197号）核算，化粪池污泥（含水率约95%）产生量按0.15kg/人</w:t>
            </w:r>
            <w:r>
              <w:rPr>
                <w:rFonts w:hint="default" w:ascii="Times New Roman" w:hAnsi="Times New Roman" w:cs="Times New Roman"/>
                <w:b w:val="0"/>
                <w:bCs w:val="0"/>
                <w:color w:val="auto"/>
                <w:spacing w:val="0"/>
                <w:sz w:val="24"/>
                <w:highlight w:val="none"/>
                <w:lang w:val="en-US" w:eastAsia="zh-CN"/>
              </w:rPr>
              <w:t>·</w:t>
            </w:r>
            <w:r>
              <w:rPr>
                <w:rFonts w:hint="eastAsia"/>
                <w:b w:val="0"/>
                <w:bCs w:val="0"/>
                <w:color w:val="auto"/>
                <w:spacing w:val="0"/>
                <w:sz w:val="24"/>
                <w:highlight w:val="none"/>
                <w:lang w:val="en-US" w:eastAsia="zh-CN"/>
              </w:rPr>
              <w:t>d计算，本项目医务人员、行政后勤人员及就诊、住院病人总数约100人，因此，化粪池污泥产生量约为0.015t/d（5.475t/a）。本项目化粪池定期（每月）由资质单位清掏转运。</w:t>
            </w:r>
          </w:p>
          <w:p w14:paraId="799ECF3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0"/>
                <w:sz w:val="24"/>
                <w:highlight w:val="none"/>
                <w:lang w:val="en-US" w:eastAsia="zh-CN"/>
              </w:rPr>
            </w:pPr>
            <w:r>
              <w:rPr>
                <w:rFonts w:hint="eastAsia"/>
                <w:b w:val="0"/>
                <w:bCs w:val="0"/>
                <w:color w:val="auto"/>
                <w:spacing w:val="0"/>
                <w:sz w:val="24"/>
                <w:highlight w:val="none"/>
                <w:lang w:val="en-US" w:eastAsia="zh-CN"/>
              </w:rPr>
              <w:t>b污水处理设施栅渣</w:t>
            </w:r>
          </w:p>
          <w:p w14:paraId="4652EF4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0"/>
                <w:sz w:val="24"/>
                <w:highlight w:val="none"/>
                <w:lang w:val="en-US" w:eastAsia="zh-CN"/>
              </w:rPr>
            </w:pPr>
            <w:r>
              <w:rPr>
                <w:rFonts w:hint="eastAsia"/>
                <w:b w:val="0"/>
                <w:bCs w:val="0"/>
                <w:color w:val="auto"/>
                <w:spacing w:val="0"/>
                <w:sz w:val="24"/>
                <w:highlight w:val="none"/>
                <w:lang w:val="en-US" w:eastAsia="zh-CN"/>
              </w:rPr>
              <w:t>栅渣属于危险废物（HW49其他危险废物）。项目格栅间隙为3mm，根据《给水排水设计手册》第5册《城镇排水》中格栅的设计数据显示，栅渣量与删条间隙的经验数据为格栅间隙1.5~10mm时，栅渣量（含水率90%）为0.12~0.15m</w:t>
            </w:r>
            <w:r>
              <w:rPr>
                <w:rFonts w:hint="eastAsia"/>
                <w:b w:val="0"/>
                <w:bCs w:val="0"/>
                <w:color w:val="auto"/>
                <w:spacing w:val="0"/>
                <w:sz w:val="24"/>
                <w:highlight w:val="none"/>
                <w:vertAlign w:val="superscript"/>
                <w:lang w:val="en-US" w:eastAsia="zh-CN"/>
              </w:rPr>
              <w:t>3</w:t>
            </w:r>
            <w:r>
              <w:rPr>
                <w:rFonts w:hint="eastAsia"/>
                <w:b w:val="0"/>
                <w:bCs w:val="0"/>
                <w:color w:val="auto"/>
                <w:spacing w:val="0"/>
                <w:sz w:val="24"/>
                <w:highlight w:val="none"/>
                <w:lang w:val="en-US" w:eastAsia="zh-CN"/>
              </w:rPr>
              <w:t>栅渣/10</w:t>
            </w:r>
            <w:r>
              <w:rPr>
                <w:rFonts w:hint="eastAsia"/>
                <w:b w:val="0"/>
                <w:bCs w:val="0"/>
                <w:color w:val="auto"/>
                <w:spacing w:val="0"/>
                <w:sz w:val="24"/>
                <w:highlight w:val="none"/>
                <w:vertAlign w:val="superscript"/>
                <w:lang w:val="en-US" w:eastAsia="zh-CN"/>
              </w:rPr>
              <w:t>3</w:t>
            </w:r>
            <w:r>
              <w:rPr>
                <w:rFonts w:hint="eastAsia"/>
                <w:b w:val="0"/>
                <w:bCs w:val="0"/>
                <w:color w:val="auto"/>
                <w:spacing w:val="0"/>
                <w:sz w:val="24"/>
                <w:highlight w:val="none"/>
                <w:lang w:val="en-US" w:eastAsia="zh-CN"/>
              </w:rPr>
              <w:t>m</w:t>
            </w:r>
            <w:r>
              <w:rPr>
                <w:rFonts w:hint="eastAsia"/>
                <w:b w:val="0"/>
                <w:bCs w:val="0"/>
                <w:color w:val="auto"/>
                <w:spacing w:val="0"/>
                <w:sz w:val="24"/>
                <w:highlight w:val="none"/>
                <w:vertAlign w:val="superscript"/>
                <w:lang w:val="en-US" w:eastAsia="zh-CN"/>
              </w:rPr>
              <w:t>3</w:t>
            </w:r>
            <w:r>
              <w:rPr>
                <w:rFonts w:hint="eastAsia"/>
                <w:b w:val="0"/>
                <w:bCs w:val="0"/>
                <w:color w:val="auto"/>
                <w:spacing w:val="0"/>
                <w:sz w:val="24"/>
                <w:highlight w:val="none"/>
                <w:lang w:val="en-US" w:eastAsia="zh-CN"/>
              </w:rPr>
              <w:t>废水，容重约900-1100kg/m</w:t>
            </w:r>
            <w:r>
              <w:rPr>
                <w:rFonts w:hint="eastAsia"/>
                <w:b w:val="0"/>
                <w:bCs w:val="0"/>
                <w:color w:val="auto"/>
                <w:spacing w:val="0"/>
                <w:sz w:val="24"/>
                <w:highlight w:val="none"/>
                <w:vertAlign w:val="superscript"/>
                <w:lang w:val="en-US" w:eastAsia="zh-CN"/>
              </w:rPr>
              <w:t>3</w:t>
            </w:r>
            <w:r>
              <w:rPr>
                <w:rFonts w:hint="eastAsia"/>
                <w:b w:val="0"/>
                <w:bCs w:val="0"/>
                <w:color w:val="auto"/>
                <w:spacing w:val="0"/>
                <w:sz w:val="24"/>
                <w:highlight w:val="none"/>
                <w:lang w:val="en-US" w:eastAsia="zh-CN"/>
              </w:rPr>
              <w:t>。</w:t>
            </w:r>
          </w:p>
          <w:p w14:paraId="2473F3D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0"/>
                <w:sz w:val="24"/>
                <w:highlight w:val="none"/>
                <w:lang w:val="en-US" w:eastAsia="zh-CN"/>
              </w:rPr>
            </w:pPr>
            <w:r>
              <w:rPr>
                <w:rFonts w:hint="eastAsia"/>
                <w:b w:val="0"/>
                <w:bCs w:val="0"/>
                <w:color w:val="auto"/>
                <w:spacing w:val="0"/>
                <w:sz w:val="24"/>
                <w:highlight w:val="none"/>
                <w:lang w:val="en-US" w:eastAsia="zh-CN"/>
              </w:rPr>
              <w:t>本项目按最大数值取值，污水处理设施处理废水量2250.60m</w:t>
            </w:r>
            <w:r>
              <w:rPr>
                <w:rFonts w:hint="eastAsia"/>
                <w:b w:val="0"/>
                <w:bCs w:val="0"/>
                <w:color w:val="auto"/>
                <w:spacing w:val="0"/>
                <w:sz w:val="24"/>
                <w:highlight w:val="none"/>
                <w:vertAlign w:val="superscript"/>
                <w:lang w:val="en-US" w:eastAsia="zh-CN"/>
              </w:rPr>
              <w:t>3</w:t>
            </w:r>
            <w:r>
              <w:rPr>
                <w:rFonts w:hint="eastAsia"/>
                <w:b w:val="0"/>
                <w:bCs w:val="0"/>
                <w:color w:val="auto"/>
                <w:spacing w:val="0"/>
                <w:sz w:val="24"/>
                <w:highlight w:val="none"/>
                <w:lang w:val="en-US" w:eastAsia="zh-CN"/>
              </w:rPr>
              <w:t>/a，则栅渣量为0.371t/a。本项目栅渣定期（每月）由资质单位清掏转运。</w:t>
            </w:r>
          </w:p>
          <w:p w14:paraId="2C8684D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0"/>
                <w:sz w:val="24"/>
                <w:highlight w:val="none"/>
                <w:lang w:val="en-US" w:eastAsia="zh-CN"/>
              </w:rPr>
            </w:pPr>
            <w:r>
              <w:rPr>
                <w:rFonts w:hint="eastAsia"/>
                <w:b w:val="0"/>
                <w:bCs w:val="0"/>
                <w:color w:val="auto"/>
                <w:spacing w:val="0"/>
                <w:sz w:val="24"/>
                <w:highlight w:val="none"/>
                <w:lang w:val="en-US" w:eastAsia="zh-CN"/>
              </w:rPr>
              <w:t>c污泥</w:t>
            </w:r>
          </w:p>
          <w:p w14:paraId="53D3D35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0"/>
                <w:sz w:val="24"/>
                <w:highlight w:val="none"/>
                <w:lang w:val="en-US" w:eastAsia="zh-CN"/>
              </w:rPr>
            </w:pPr>
            <w:r>
              <w:rPr>
                <w:rFonts w:hint="eastAsia"/>
                <w:b w:val="0"/>
                <w:bCs w:val="0"/>
                <w:color w:val="auto"/>
                <w:spacing w:val="0"/>
                <w:sz w:val="24"/>
                <w:highlight w:val="none"/>
                <w:lang w:val="en-US" w:eastAsia="zh-CN"/>
              </w:rPr>
              <w:t>根据《废水污染控制技术手册》，沉淀池污泥产生量参照下式进行计算：</w:t>
            </w:r>
          </w:p>
          <w:p w14:paraId="3CC9176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eastAsia="宋体"/>
                <w:b w:val="0"/>
                <w:bCs w:val="0"/>
                <w:color w:val="auto"/>
                <w:spacing w:val="0"/>
                <w:sz w:val="24"/>
                <w:highlight w:val="none"/>
                <w:lang w:val="en-US" w:eastAsia="zh-CN"/>
              </w:rPr>
            </w:pPr>
            <m:oMathPara>
              <m:oMath>
                <m:r>
                  <m:rPr>
                    <m:sty m:val="p"/>
                  </m:rPr>
                  <w:rPr>
                    <w:rFonts w:hint="default" w:ascii="Cambria Math" w:hAnsi="Cambria Math"/>
                    <w:color w:val="auto"/>
                    <w:spacing w:val="0"/>
                    <w:sz w:val="24"/>
                    <w:highlight w:val="none"/>
                    <w:lang w:val="en-US"/>
                  </w:rPr>
                  <m:t>∆</m:t>
                </m:r>
                <m:sSub>
                  <m:sSubPr>
                    <m:ctrlPr>
                      <w:rPr>
                        <w:rFonts w:hint="default" w:ascii="Cambria Math" w:hAnsi="Cambria Math"/>
                        <w:bCs w:val="0"/>
                        <w:color w:val="auto"/>
                        <w:spacing w:val="0"/>
                        <w:sz w:val="24"/>
                        <w:highlight w:val="none"/>
                        <w:lang w:val="en-US"/>
                      </w:rPr>
                    </m:ctrlPr>
                  </m:sSubPr>
                  <m:e>
                    <m:r>
                      <m:rPr>
                        <m:sty m:val="p"/>
                      </m:rPr>
                      <w:rPr>
                        <w:rFonts w:hint="default" w:ascii="Cambria Math" w:hAnsi="Cambria Math"/>
                        <w:color w:val="auto"/>
                        <w:spacing w:val="0"/>
                        <w:sz w:val="24"/>
                        <w:highlight w:val="none"/>
                        <w:lang w:val="en-US" w:eastAsia="zh-CN"/>
                      </w:rPr>
                      <m:t>X</m:t>
                    </m:r>
                    <m:ctrlPr>
                      <w:rPr>
                        <w:rFonts w:hint="default" w:ascii="Cambria Math" w:hAnsi="Cambria Math"/>
                        <w:bCs w:val="0"/>
                        <w:color w:val="auto"/>
                        <w:spacing w:val="0"/>
                        <w:sz w:val="24"/>
                        <w:highlight w:val="none"/>
                        <w:lang w:val="en-US"/>
                      </w:rPr>
                    </m:ctrlPr>
                  </m:e>
                  <m:sub>
                    <m:r>
                      <m:rPr>
                        <m:sty m:val="p"/>
                      </m:rPr>
                      <w:rPr>
                        <w:rFonts w:hint="default" w:ascii="Cambria Math" w:hAnsi="Cambria Math"/>
                        <w:color w:val="auto"/>
                        <w:spacing w:val="0"/>
                        <w:sz w:val="24"/>
                        <w:highlight w:val="none"/>
                        <w:lang w:val="en-US" w:eastAsia="zh-CN"/>
                      </w:rPr>
                      <m:t>1</m:t>
                    </m:r>
                    <m:ctrlPr>
                      <w:rPr>
                        <w:rFonts w:hint="default" w:ascii="Cambria Math" w:hAnsi="Cambria Math"/>
                        <w:bCs w:val="0"/>
                        <w:color w:val="auto"/>
                        <w:spacing w:val="0"/>
                        <w:sz w:val="24"/>
                        <w:highlight w:val="none"/>
                        <w:lang w:val="en-US"/>
                      </w:rPr>
                    </m:ctrlPr>
                  </m:sub>
                </m:sSub>
                <m:r>
                  <m:rPr>
                    <m:sty m:val="p"/>
                  </m:rPr>
                  <w:rPr>
                    <w:rFonts w:hint="default" w:ascii="Cambria Math" w:hAnsi="Cambria Math"/>
                    <w:color w:val="auto"/>
                    <w:spacing w:val="0"/>
                    <w:sz w:val="24"/>
                    <w:highlight w:val="none"/>
                    <w:lang w:val="en-US" w:eastAsia="zh-CN"/>
                  </w:rPr>
                  <m:t>=aQ</m:t>
                </m:r>
                <m:d>
                  <m:dPr>
                    <m:ctrlPr>
                      <w:rPr>
                        <w:rFonts w:hint="default" w:ascii="Cambria Math" w:hAnsi="Cambria Math"/>
                        <w:bCs w:val="0"/>
                        <w:color w:val="auto"/>
                        <w:spacing w:val="0"/>
                        <w:sz w:val="24"/>
                        <w:highlight w:val="none"/>
                        <w:lang w:val="en-US" w:eastAsia="zh-CN"/>
                      </w:rPr>
                    </m:ctrlPr>
                  </m:dPr>
                  <m:e>
                    <m:sSub>
                      <m:sSubPr>
                        <m:ctrlPr>
                          <w:rPr>
                            <w:rFonts w:hint="default" w:ascii="Cambria Math" w:hAnsi="Cambria Math"/>
                            <w:bCs w:val="0"/>
                            <w:color w:val="auto"/>
                            <w:spacing w:val="0"/>
                            <w:sz w:val="24"/>
                            <w:highlight w:val="none"/>
                            <w:lang w:val="en-US" w:eastAsia="zh-CN"/>
                          </w:rPr>
                        </m:ctrlPr>
                      </m:sSubPr>
                      <m:e>
                        <m:r>
                          <m:rPr>
                            <m:sty m:val="p"/>
                          </m:rPr>
                          <w:rPr>
                            <w:rFonts w:hint="default" w:ascii="Cambria Math" w:hAnsi="Cambria Math"/>
                            <w:color w:val="auto"/>
                            <w:spacing w:val="0"/>
                            <w:sz w:val="24"/>
                            <w:highlight w:val="none"/>
                            <w:lang w:val="en-US" w:eastAsia="zh-CN"/>
                          </w:rPr>
                          <m:t>S</m:t>
                        </m:r>
                        <m:ctrlPr>
                          <w:rPr>
                            <w:rFonts w:hint="default" w:ascii="Cambria Math" w:hAnsi="Cambria Math"/>
                            <w:bCs w:val="0"/>
                            <w:color w:val="auto"/>
                            <w:spacing w:val="0"/>
                            <w:sz w:val="24"/>
                            <w:highlight w:val="none"/>
                            <w:lang w:val="en-US" w:eastAsia="zh-CN"/>
                          </w:rPr>
                        </m:ctrlPr>
                      </m:e>
                      <m:sub>
                        <m:r>
                          <m:rPr>
                            <m:sty m:val="p"/>
                          </m:rPr>
                          <w:rPr>
                            <w:rFonts w:hint="default" w:ascii="Cambria Math" w:hAnsi="Cambria Math"/>
                            <w:color w:val="auto"/>
                            <w:spacing w:val="0"/>
                            <w:sz w:val="24"/>
                            <w:highlight w:val="none"/>
                            <w:lang w:val="en-US" w:eastAsia="zh-CN"/>
                          </w:rPr>
                          <m:t>pi</m:t>
                        </m:r>
                        <m:ctrlPr>
                          <w:rPr>
                            <w:rFonts w:hint="default" w:ascii="Cambria Math" w:hAnsi="Cambria Math"/>
                            <w:bCs w:val="0"/>
                            <w:color w:val="auto"/>
                            <w:spacing w:val="0"/>
                            <w:sz w:val="24"/>
                            <w:highlight w:val="none"/>
                            <w:lang w:val="en-US" w:eastAsia="zh-CN"/>
                          </w:rPr>
                        </m:ctrlPr>
                      </m:sub>
                    </m:sSub>
                    <m:r>
                      <m:rPr>
                        <m:sty m:val="p"/>
                      </m:rPr>
                      <w:rPr>
                        <w:rFonts w:hint="default" w:ascii="Cambria Math" w:hAnsi="Cambria Math"/>
                        <w:color w:val="auto"/>
                        <w:spacing w:val="0"/>
                        <w:sz w:val="24"/>
                        <w:highlight w:val="none"/>
                        <w:lang w:val="en-US" w:eastAsia="zh-CN"/>
                      </w:rPr>
                      <m:t>−</m:t>
                    </m:r>
                    <m:sSub>
                      <m:sSubPr>
                        <m:ctrlPr>
                          <w:rPr>
                            <w:rFonts w:hint="default" w:ascii="Cambria Math" w:hAnsi="Cambria Math"/>
                            <w:bCs w:val="0"/>
                            <w:color w:val="auto"/>
                            <w:spacing w:val="0"/>
                            <w:sz w:val="24"/>
                            <w:highlight w:val="none"/>
                            <w:lang w:val="en-US" w:eastAsia="zh-CN"/>
                          </w:rPr>
                        </m:ctrlPr>
                      </m:sSubPr>
                      <m:e>
                        <m:r>
                          <m:rPr>
                            <m:sty m:val="p"/>
                          </m:rPr>
                          <w:rPr>
                            <w:rFonts w:hint="default" w:ascii="Cambria Math" w:hAnsi="Cambria Math"/>
                            <w:color w:val="auto"/>
                            <w:spacing w:val="0"/>
                            <w:sz w:val="24"/>
                            <w:highlight w:val="none"/>
                            <w:lang w:val="en-US" w:eastAsia="zh-CN"/>
                          </w:rPr>
                          <m:t>S</m:t>
                        </m:r>
                        <m:ctrlPr>
                          <w:rPr>
                            <w:rFonts w:hint="default" w:ascii="Cambria Math" w:hAnsi="Cambria Math"/>
                            <w:bCs w:val="0"/>
                            <w:color w:val="auto"/>
                            <w:spacing w:val="0"/>
                            <w:sz w:val="24"/>
                            <w:highlight w:val="none"/>
                            <w:lang w:val="en-US" w:eastAsia="zh-CN"/>
                          </w:rPr>
                        </m:ctrlPr>
                      </m:e>
                      <m:sub>
                        <m:r>
                          <m:rPr>
                            <m:sty m:val="p"/>
                          </m:rPr>
                          <w:rPr>
                            <w:rFonts w:hint="default" w:ascii="Cambria Math" w:hAnsi="Cambria Math"/>
                            <w:color w:val="auto"/>
                            <w:spacing w:val="0"/>
                            <w:sz w:val="24"/>
                            <w:highlight w:val="none"/>
                            <w:lang w:val="en-US" w:eastAsia="zh-CN"/>
                          </w:rPr>
                          <m:t>po</m:t>
                        </m:r>
                        <m:ctrlPr>
                          <w:rPr>
                            <w:rFonts w:hint="default" w:ascii="Cambria Math" w:hAnsi="Cambria Math"/>
                            <w:bCs w:val="0"/>
                            <w:color w:val="auto"/>
                            <w:spacing w:val="0"/>
                            <w:sz w:val="24"/>
                            <w:highlight w:val="none"/>
                            <w:lang w:val="en-US" w:eastAsia="zh-CN"/>
                          </w:rPr>
                        </m:ctrlPr>
                      </m:sub>
                    </m:sSub>
                    <m:ctrlPr>
                      <w:rPr>
                        <w:rFonts w:hint="default" w:ascii="Cambria Math" w:hAnsi="Cambria Math"/>
                        <w:bCs w:val="0"/>
                        <w:color w:val="auto"/>
                        <w:spacing w:val="0"/>
                        <w:sz w:val="24"/>
                        <w:highlight w:val="none"/>
                        <w:lang w:val="en-US" w:eastAsia="zh-CN"/>
                      </w:rPr>
                    </m:ctrlPr>
                  </m:e>
                </m:d>
              </m:oMath>
            </m:oMathPara>
          </w:p>
          <w:p w14:paraId="3A0366C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0"/>
                <w:sz w:val="24"/>
                <w:highlight w:val="none"/>
                <w:lang w:val="en-US" w:eastAsia="zh-CN"/>
              </w:rPr>
            </w:pPr>
            <w:r>
              <w:rPr>
                <w:rFonts w:hint="eastAsia"/>
                <w:b w:val="0"/>
                <w:bCs w:val="0"/>
                <w:color w:val="auto"/>
                <w:spacing w:val="0"/>
                <w:sz w:val="24"/>
                <w:highlight w:val="none"/>
                <w:lang w:val="en-US" w:eastAsia="zh-CN"/>
              </w:rPr>
              <w:t>式中：</w:t>
            </w:r>
          </w:p>
          <w:p w14:paraId="6873103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0"/>
                <w:sz w:val="24"/>
                <w:highlight w:val="none"/>
                <w:lang w:val="en-US" w:eastAsia="zh-CN"/>
              </w:rPr>
            </w:pPr>
            <w:r>
              <w:rPr>
                <w:rFonts w:hint="eastAsia"/>
                <w:b w:val="0"/>
                <w:bCs w:val="0"/>
                <w:color w:val="auto"/>
                <w:spacing w:val="0"/>
                <w:sz w:val="24"/>
                <w:highlight w:val="none"/>
                <w:lang w:val="en-US" w:eastAsia="zh-CN"/>
              </w:rPr>
              <w:t>a—系数，本次取值0.8；</w:t>
            </w:r>
          </w:p>
          <w:p w14:paraId="1E8C263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0"/>
                <w:sz w:val="24"/>
                <w:highlight w:val="none"/>
                <w:lang w:val="en-US" w:eastAsia="zh-CN"/>
              </w:rPr>
            </w:pPr>
            <w:r>
              <w:rPr>
                <w:rFonts w:hint="eastAsia"/>
                <w:b w:val="0"/>
                <w:bCs w:val="0"/>
                <w:color w:val="auto"/>
                <w:spacing w:val="0"/>
                <w:sz w:val="24"/>
                <w:highlight w:val="none"/>
                <w:lang w:val="en-US" w:eastAsia="zh-CN"/>
              </w:rPr>
              <w:t>Q—平均日废水流量，m</w:t>
            </w:r>
            <w:r>
              <w:rPr>
                <w:rFonts w:hint="eastAsia"/>
                <w:b w:val="0"/>
                <w:bCs w:val="0"/>
                <w:color w:val="auto"/>
                <w:spacing w:val="0"/>
                <w:sz w:val="24"/>
                <w:highlight w:val="none"/>
                <w:vertAlign w:val="superscript"/>
                <w:lang w:val="en-US" w:eastAsia="zh-CN"/>
              </w:rPr>
              <w:t>3</w:t>
            </w:r>
            <w:r>
              <w:rPr>
                <w:rFonts w:hint="eastAsia"/>
                <w:b w:val="0"/>
                <w:bCs w:val="0"/>
                <w:color w:val="auto"/>
                <w:spacing w:val="0"/>
                <w:sz w:val="24"/>
                <w:highlight w:val="none"/>
                <w:lang w:val="en-US" w:eastAsia="zh-CN"/>
              </w:rPr>
              <w:t>/d；</w:t>
            </w:r>
          </w:p>
          <w:p w14:paraId="26FB659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0"/>
                <w:sz w:val="24"/>
                <w:highlight w:val="none"/>
                <w:lang w:val="en-US" w:eastAsia="zh-CN"/>
              </w:rPr>
            </w:pPr>
            <w:r>
              <w:rPr>
                <w:rFonts w:hint="eastAsia"/>
                <w:b w:val="0"/>
                <w:bCs w:val="0"/>
                <w:color w:val="auto"/>
                <w:spacing w:val="0"/>
                <w:sz w:val="24"/>
                <w:highlight w:val="none"/>
                <w:lang w:val="en-US" w:eastAsia="zh-CN"/>
              </w:rPr>
              <w:t>Spi、Spo—进出水悬浮物浓度，kg/m</w:t>
            </w:r>
            <w:r>
              <w:rPr>
                <w:rFonts w:hint="eastAsia"/>
                <w:b w:val="0"/>
                <w:bCs w:val="0"/>
                <w:color w:val="auto"/>
                <w:spacing w:val="0"/>
                <w:sz w:val="24"/>
                <w:highlight w:val="none"/>
                <w:vertAlign w:val="superscript"/>
                <w:lang w:val="en-US" w:eastAsia="zh-CN"/>
              </w:rPr>
              <w:t>3</w:t>
            </w:r>
            <w:r>
              <w:rPr>
                <w:rFonts w:hint="eastAsia"/>
                <w:b w:val="0"/>
                <w:bCs w:val="0"/>
                <w:color w:val="auto"/>
                <w:spacing w:val="0"/>
                <w:sz w:val="24"/>
                <w:highlight w:val="none"/>
                <w:lang w:val="en-US" w:eastAsia="zh-CN"/>
              </w:rPr>
              <w:t>；</w:t>
            </w:r>
          </w:p>
          <w:p w14:paraId="31C9E61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0"/>
                <w:sz w:val="24"/>
                <w:highlight w:val="none"/>
                <w:lang w:val="en-US" w:eastAsia="zh-CN"/>
              </w:rPr>
            </w:pPr>
            <w:r>
              <w:rPr>
                <w:rFonts w:hint="eastAsia"/>
                <w:b w:val="0"/>
                <w:bCs w:val="0"/>
                <w:color w:val="auto"/>
                <w:spacing w:val="0"/>
                <w:sz w:val="24"/>
                <w:highlight w:val="none"/>
                <w:lang w:val="en-US" w:eastAsia="zh-CN"/>
              </w:rPr>
              <w:t>本项目日废水处理量为6.18m</w:t>
            </w:r>
            <w:r>
              <w:rPr>
                <w:rFonts w:hint="eastAsia"/>
                <w:b w:val="0"/>
                <w:bCs w:val="0"/>
                <w:color w:val="auto"/>
                <w:spacing w:val="0"/>
                <w:sz w:val="24"/>
                <w:highlight w:val="none"/>
                <w:vertAlign w:val="superscript"/>
                <w:lang w:val="en-US" w:eastAsia="zh-CN"/>
              </w:rPr>
              <w:t>3</w:t>
            </w:r>
            <w:r>
              <w:rPr>
                <w:rFonts w:hint="eastAsia"/>
                <w:b w:val="0"/>
                <w:bCs w:val="0"/>
                <w:color w:val="auto"/>
                <w:spacing w:val="0"/>
                <w:sz w:val="24"/>
                <w:highlight w:val="none"/>
                <w:lang w:val="en-US" w:eastAsia="zh-CN"/>
              </w:rPr>
              <w:t>/d，悬浮物进出浓度分别为84.0mg/L和25.2mg/L，则沉淀产生的污泥量（含水率为80%）为0.529t/a。本项目污水处理设施污泥定期（每月）由资质单位清掏转运。</w:t>
            </w:r>
          </w:p>
          <w:p w14:paraId="7C9FC99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0"/>
                <w:sz w:val="24"/>
                <w:highlight w:val="none"/>
                <w:lang w:val="en-US" w:eastAsia="zh-CN"/>
              </w:rPr>
            </w:pPr>
            <w:r>
              <w:rPr>
                <w:rFonts w:hint="eastAsia"/>
                <w:b w:val="0"/>
                <w:bCs w:val="0"/>
                <w:color w:val="auto"/>
                <w:spacing w:val="0"/>
                <w:sz w:val="24"/>
                <w:highlight w:val="none"/>
                <w:lang w:val="en-US" w:eastAsia="zh-CN"/>
              </w:rPr>
              <w:t>综上，项目化粪池污泥、污水处理设施栅渣和污泥总产生量约为6.375t/a。</w:t>
            </w:r>
          </w:p>
          <w:p w14:paraId="3DD2A6E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0"/>
                <w:sz w:val="24"/>
                <w:highlight w:val="none"/>
                <w:lang w:val="en-US" w:eastAsia="zh-CN"/>
              </w:rPr>
            </w:pPr>
            <w:r>
              <w:rPr>
                <w:rFonts w:hint="eastAsia"/>
                <w:b w:val="0"/>
                <w:bCs w:val="0"/>
                <w:color w:val="auto"/>
                <w:spacing w:val="0"/>
                <w:sz w:val="24"/>
                <w:highlight w:val="none"/>
                <w:lang w:val="en-US" w:eastAsia="zh-CN"/>
              </w:rPr>
              <w:t>B消毒剂沾染物</w:t>
            </w:r>
          </w:p>
          <w:p w14:paraId="2A41397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0"/>
                <w:sz w:val="24"/>
                <w:highlight w:val="none"/>
                <w:lang w:val="en-US" w:eastAsia="zh-CN"/>
              </w:rPr>
            </w:pPr>
            <w:r>
              <w:rPr>
                <w:rFonts w:hint="eastAsia"/>
                <w:b w:val="0"/>
                <w:bCs w:val="0"/>
                <w:color w:val="auto"/>
                <w:spacing w:val="0"/>
                <w:sz w:val="24"/>
                <w:highlight w:val="none"/>
                <w:lang w:val="en-US" w:eastAsia="zh-CN"/>
              </w:rPr>
              <w:t>本项目门诊和病房在日常消毒会使用酒精和碘伏消毒液，地面清洁使用次氯酸钠溶液（含次氯酸钠6.5%），污水处理会使用次氯酸钠溶液。以上消毒剂使用会产生废桶、废瓶等消毒剂沾染物。</w:t>
            </w:r>
          </w:p>
          <w:p w14:paraId="4B72F29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0"/>
                <w:sz w:val="24"/>
                <w:highlight w:val="none"/>
                <w:lang w:val="en-US" w:eastAsia="zh-CN"/>
              </w:rPr>
            </w:pPr>
            <w:r>
              <w:rPr>
                <w:rFonts w:hint="eastAsia"/>
                <w:b w:val="0"/>
                <w:bCs w:val="0"/>
                <w:color w:val="auto"/>
                <w:spacing w:val="0"/>
                <w:sz w:val="24"/>
                <w:highlight w:val="none"/>
                <w:lang w:val="en-US" w:eastAsia="zh-CN"/>
              </w:rPr>
              <w:t>根据医院提供资料，门诊和病床使用酒精、碘伏消毒液、次氯酸钠溶液等消毒剂沾染物产生量约0.010t/a。</w:t>
            </w:r>
          </w:p>
          <w:p w14:paraId="0CB214B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0"/>
                <w:sz w:val="24"/>
                <w:highlight w:val="none"/>
                <w:lang w:val="en-US" w:eastAsia="zh-CN"/>
              </w:rPr>
            </w:pPr>
            <w:r>
              <w:rPr>
                <w:rFonts w:hint="eastAsia"/>
                <w:b w:val="0"/>
                <w:bCs w:val="0"/>
                <w:color w:val="auto"/>
                <w:spacing w:val="0"/>
                <w:sz w:val="24"/>
                <w:highlight w:val="none"/>
                <w:lang w:val="en-US" w:eastAsia="zh-CN"/>
              </w:rPr>
              <w:t>根据《医院污水处理工程技术规范》（HJ2029-2013），一级强化处理工艺出水的参考加氯量（以有效氯计）一般为30~50mg/L，本次项目按照最大值50mg/L考虑，本项目污水处理量为6.18m</w:t>
            </w:r>
            <w:r>
              <w:rPr>
                <w:rFonts w:hint="eastAsia"/>
                <w:b w:val="0"/>
                <w:bCs w:val="0"/>
                <w:color w:val="auto"/>
                <w:spacing w:val="0"/>
                <w:sz w:val="24"/>
                <w:highlight w:val="none"/>
                <w:vertAlign w:val="superscript"/>
                <w:lang w:val="en-US" w:eastAsia="zh-CN"/>
              </w:rPr>
              <w:t>3</w:t>
            </w:r>
            <w:r>
              <w:rPr>
                <w:rFonts w:hint="eastAsia"/>
                <w:b w:val="0"/>
                <w:bCs w:val="0"/>
                <w:color w:val="auto"/>
                <w:spacing w:val="0"/>
                <w:sz w:val="24"/>
                <w:highlight w:val="none"/>
                <w:lang w:val="en-US" w:eastAsia="zh-CN"/>
              </w:rPr>
              <w:t>/d，可知次氯酸钠加入量为0.31kg/d，一年投加量为113.15kg，次氯酸钠溶液（含13%次氯酸钠）用量则为870.38kg/a，一桶次氯酸钠溶液为25kg，因此次氯酸钠的年用量约35桶，次氯酸钠每个空桶质量平均按1kg计算，则产生量约为0.035t/a。</w:t>
            </w:r>
          </w:p>
          <w:p w14:paraId="7D99AA0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0"/>
                <w:sz w:val="24"/>
                <w:highlight w:val="none"/>
                <w:lang w:val="en-US" w:eastAsia="zh-CN"/>
              </w:rPr>
            </w:pPr>
            <w:r>
              <w:rPr>
                <w:rFonts w:hint="default"/>
                <w:b w:val="0"/>
                <w:bCs w:val="0"/>
                <w:color w:val="auto"/>
                <w:spacing w:val="0"/>
                <w:sz w:val="24"/>
                <w:highlight w:val="none"/>
                <w:lang w:val="en-US" w:eastAsia="zh-CN"/>
              </w:rPr>
              <w:t>本项目危险废物</w:t>
            </w:r>
            <w:r>
              <w:rPr>
                <w:rFonts w:hint="eastAsia"/>
                <w:b w:val="0"/>
                <w:bCs w:val="0"/>
                <w:color w:val="auto"/>
                <w:spacing w:val="0"/>
                <w:sz w:val="24"/>
                <w:highlight w:val="none"/>
                <w:lang w:val="en-US" w:eastAsia="zh-CN"/>
              </w:rPr>
              <w:t>信息</w:t>
            </w:r>
            <w:r>
              <w:rPr>
                <w:rFonts w:hint="default"/>
                <w:b w:val="0"/>
                <w:bCs w:val="0"/>
                <w:color w:val="auto"/>
                <w:spacing w:val="0"/>
                <w:sz w:val="24"/>
                <w:highlight w:val="none"/>
                <w:lang w:val="en-US" w:eastAsia="zh-CN"/>
              </w:rPr>
              <w:t>见下表。</w:t>
            </w:r>
          </w:p>
          <w:p w14:paraId="4F6541A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b w:val="0"/>
                <w:bCs w:val="0"/>
                <w:color w:val="auto"/>
                <w:spacing w:val="-10"/>
                <w:sz w:val="24"/>
                <w:highlight w:val="none"/>
                <w:lang w:val="en-US" w:eastAsia="zh-CN"/>
              </w:rPr>
            </w:pPr>
            <w:r>
              <w:rPr>
                <w:rFonts w:hint="eastAsia"/>
                <w:b/>
                <w:bCs/>
                <w:color w:val="auto"/>
                <w:spacing w:val="0"/>
                <w:sz w:val="21"/>
                <w:szCs w:val="21"/>
                <w:highlight w:val="none"/>
                <w:lang w:val="en-US" w:eastAsia="zh-CN"/>
              </w:rPr>
              <w:t>表4-16 本项目危险废物信息汇总表</w:t>
            </w:r>
          </w:p>
          <w:tbl>
            <w:tblPr>
              <w:tblStyle w:val="13"/>
              <w:tblW w:w="4999"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89"/>
              <w:gridCol w:w="1500"/>
              <w:gridCol w:w="765"/>
              <w:gridCol w:w="1110"/>
              <w:gridCol w:w="495"/>
              <w:gridCol w:w="1605"/>
              <w:gridCol w:w="690"/>
              <w:gridCol w:w="690"/>
              <w:gridCol w:w="868"/>
            </w:tblGrid>
            <w:tr w14:paraId="1467EED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89" w:type="dxa"/>
                  <w:tcBorders>
                    <w:tl2br w:val="nil"/>
                    <w:tr2bl w:val="nil"/>
                  </w:tcBorders>
                  <w:vAlign w:val="center"/>
                </w:tcPr>
                <w:p w14:paraId="72B2831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0"/>
                      <w:sz w:val="21"/>
                      <w:szCs w:val="21"/>
                      <w:highlight w:val="none"/>
                      <w:vertAlign w:val="baseline"/>
                      <w:lang w:val="en-US" w:eastAsia="zh-CN"/>
                    </w:rPr>
                  </w:pPr>
                  <w:r>
                    <w:rPr>
                      <w:rFonts w:hint="eastAsia"/>
                      <w:b/>
                      <w:bCs/>
                      <w:color w:val="auto"/>
                      <w:spacing w:val="0"/>
                      <w:sz w:val="21"/>
                      <w:szCs w:val="21"/>
                      <w:highlight w:val="none"/>
                      <w:vertAlign w:val="baseline"/>
                      <w:lang w:val="en-US" w:eastAsia="zh-CN"/>
                    </w:rPr>
                    <w:t>名称</w:t>
                  </w:r>
                </w:p>
              </w:tc>
              <w:tc>
                <w:tcPr>
                  <w:tcW w:w="1500" w:type="dxa"/>
                  <w:tcBorders>
                    <w:tl2br w:val="nil"/>
                    <w:tr2bl w:val="nil"/>
                  </w:tcBorders>
                  <w:vAlign w:val="center"/>
                </w:tcPr>
                <w:p w14:paraId="106855B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0"/>
                      <w:sz w:val="21"/>
                      <w:szCs w:val="21"/>
                      <w:highlight w:val="none"/>
                      <w:vertAlign w:val="baseline"/>
                      <w:lang w:val="en-US" w:eastAsia="zh-CN"/>
                    </w:rPr>
                  </w:pPr>
                  <w:r>
                    <w:rPr>
                      <w:rFonts w:hint="eastAsia"/>
                      <w:b/>
                      <w:bCs/>
                      <w:color w:val="auto"/>
                      <w:spacing w:val="0"/>
                      <w:sz w:val="21"/>
                      <w:szCs w:val="21"/>
                      <w:highlight w:val="none"/>
                      <w:vertAlign w:val="baseline"/>
                      <w:lang w:val="en-US" w:eastAsia="zh-CN"/>
                    </w:rPr>
                    <w:t>代码</w:t>
                  </w:r>
                </w:p>
              </w:tc>
              <w:tc>
                <w:tcPr>
                  <w:tcW w:w="765" w:type="dxa"/>
                  <w:tcBorders>
                    <w:tl2br w:val="nil"/>
                    <w:tr2bl w:val="nil"/>
                  </w:tcBorders>
                  <w:vAlign w:val="center"/>
                </w:tcPr>
                <w:p w14:paraId="51FFA42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0"/>
                      <w:sz w:val="21"/>
                      <w:szCs w:val="21"/>
                      <w:highlight w:val="none"/>
                      <w:vertAlign w:val="baseline"/>
                      <w:lang w:val="en-US" w:eastAsia="zh-CN"/>
                    </w:rPr>
                  </w:pPr>
                  <w:r>
                    <w:rPr>
                      <w:rFonts w:hint="eastAsia"/>
                      <w:b/>
                      <w:bCs/>
                      <w:color w:val="auto"/>
                      <w:spacing w:val="0"/>
                      <w:sz w:val="21"/>
                      <w:szCs w:val="21"/>
                      <w:highlight w:val="none"/>
                      <w:vertAlign w:val="baseline"/>
                      <w:lang w:val="en-US" w:eastAsia="zh-CN"/>
                    </w:rPr>
                    <w:t>产生量t/a</w:t>
                  </w:r>
                </w:p>
              </w:tc>
              <w:tc>
                <w:tcPr>
                  <w:tcW w:w="1110" w:type="dxa"/>
                  <w:tcBorders>
                    <w:tl2br w:val="nil"/>
                    <w:tr2bl w:val="nil"/>
                  </w:tcBorders>
                  <w:vAlign w:val="center"/>
                </w:tcPr>
                <w:p w14:paraId="7DDBD98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0"/>
                      <w:sz w:val="21"/>
                      <w:szCs w:val="21"/>
                      <w:highlight w:val="none"/>
                      <w:vertAlign w:val="baseline"/>
                      <w:lang w:val="en-US" w:eastAsia="zh-CN"/>
                    </w:rPr>
                  </w:pPr>
                  <w:r>
                    <w:rPr>
                      <w:rFonts w:hint="eastAsia"/>
                      <w:b/>
                      <w:bCs/>
                      <w:color w:val="auto"/>
                      <w:spacing w:val="0"/>
                      <w:sz w:val="21"/>
                      <w:szCs w:val="21"/>
                      <w:highlight w:val="none"/>
                      <w:vertAlign w:val="baseline"/>
                      <w:lang w:val="en-US" w:eastAsia="zh-CN"/>
                    </w:rPr>
                    <w:t>产生工序</w:t>
                  </w:r>
                </w:p>
              </w:tc>
              <w:tc>
                <w:tcPr>
                  <w:tcW w:w="495" w:type="dxa"/>
                  <w:tcBorders>
                    <w:tl2br w:val="nil"/>
                    <w:tr2bl w:val="nil"/>
                  </w:tcBorders>
                  <w:vAlign w:val="center"/>
                </w:tcPr>
                <w:p w14:paraId="0ADCFE2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0"/>
                      <w:sz w:val="21"/>
                      <w:szCs w:val="21"/>
                      <w:highlight w:val="none"/>
                      <w:vertAlign w:val="baseline"/>
                      <w:lang w:val="en-US" w:eastAsia="zh-CN"/>
                    </w:rPr>
                  </w:pPr>
                  <w:r>
                    <w:rPr>
                      <w:rFonts w:hint="eastAsia"/>
                      <w:b/>
                      <w:bCs/>
                      <w:color w:val="auto"/>
                      <w:spacing w:val="0"/>
                      <w:sz w:val="21"/>
                      <w:szCs w:val="21"/>
                      <w:highlight w:val="none"/>
                      <w:vertAlign w:val="baseline"/>
                      <w:lang w:val="en-US" w:eastAsia="zh-CN"/>
                    </w:rPr>
                    <w:t>形态</w:t>
                  </w:r>
                </w:p>
              </w:tc>
              <w:tc>
                <w:tcPr>
                  <w:tcW w:w="1605" w:type="dxa"/>
                  <w:tcBorders>
                    <w:tl2br w:val="nil"/>
                    <w:tr2bl w:val="nil"/>
                  </w:tcBorders>
                  <w:vAlign w:val="center"/>
                </w:tcPr>
                <w:p w14:paraId="7B8B87C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0"/>
                      <w:sz w:val="21"/>
                      <w:szCs w:val="21"/>
                      <w:highlight w:val="none"/>
                      <w:vertAlign w:val="baseline"/>
                      <w:lang w:val="en-US" w:eastAsia="zh-CN"/>
                    </w:rPr>
                  </w:pPr>
                  <w:r>
                    <w:rPr>
                      <w:rFonts w:hint="eastAsia"/>
                      <w:b/>
                      <w:bCs/>
                      <w:color w:val="auto"/>
                      <w:spacing w:val="0"/>
                      <w:sz w:val="21"/>
                      <w:szCs w:val="21"/>
                      <w:highlight w:val="none"/>
                      <w:vertAlign w:val="baseline"/>
                      <w:lang w:val="en-US" w:eastAsia="zh-CN"/>
                    </w:rPr>
                    <w:t>有害成分</w:t>
                  </w:r>
                </w:p>
              </w:tc>
              <w:tc>
                <w:tcPr>
                  <w:tcW w:w="690" w:type="dxa"/>
                  <w:tcBorders>
                    <w:tl2br w:val="nil"/>
                    <w:tr2bl w:val="nil"/>
                  </w:tcBorders>
                  <w:vAlign w:val="center"/>
                </w:tcPr>
                <w:p w14:paraId="0DBDB85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0"/>
                      <w:sz w:val="21"/>
                      <w:szCs w:val="21"/>
                      <w:highlight w:val="none"/>
                      <w:vertAlign w:val="baseline"/>
                      <w:lang w:val="en-US" w:eastAsia="zh-CN"/>
                    </w:rPr>
                  </w:pPr>
                  <w:r>
                    <w:rPr>
                      <w:rFonts w:hint="eastAsia"/>
                      <w:b/>
                      <w:bCs/>
                      <w:color w:val="auto"/>
                      <w:spacing w:val="0"/>
                      <w:sz w:val="21"/>
                      <w:szCs w:val="21"/>
                      <w:highlight w:val="none"/>
                      <w:vertAlign w:val="baseline"/>
                      <w:lang w:val="en-US" w:eastAsia="zh-CN"/>
                    </w:rPr>
                    <w:t>产废周期</w:t>
                  </w:r>
                </w:p>
              </w:tc>
              <w:tc>
                <w:tcPr>
                  <w:tcW w:w="690" w:type="dxa"/>
                  <w:tcBorders>
                    <w:tl2br w:val="nil"/>
                    <w:tr2bl w:val="nil"/>
                  </w:tcBorders>
                  <w:vAlign w:val="center"/>
                </w:tcPr>
                <w:p w14:paraId="6FDF6D0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0"/>
                      <w:sz w:val="21"/>
                      <w:szCs w:val="21"/>
                      <w:highlight w:val="none"/>
                      <w:vertAlign w:val="baseline"/>
                      <w:lang w:val="en-US" w:eastAsia="zh-CN"/>
                    </w:rPr>
                  </w:pPr>
                  <w:r>
                    <w:rPr>
                      <w:rFonts w:hint="eastAsia"/>
                      <w:b/>
                      <w:bCs/>
                      <w:color w:val="auto"/>
                      <w:spacing w:val="0"/>
                      <w:sz w:val="21"/>
                      <w:szCs w:val="21"/>
                      <w:highlight w:val="none"/>
                      <w:vertAlign w:val="baseline"/>
                      <w:lang w:val="en-US" w:eastAsia="zh-CN"/>
                    </w:rPr>
                    <w:t>危险特性</w:t>
                  </w:r>
                </w:p>
              </w:tc>
              <w:tc>
                <w:tcPr>
                  <w:tcW w:w="868" w:type="dxa"/>
                  <w:tcBorders>
                    <w:tl2br w:val="nil"/>
                    <w:tr2bl w:val="nil"/>
                  </w:tcBorders>
                  <w:vAlign w:val="center"/>
                </w:tcPr>
                <w:p w14:paraId="30CE88D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0"/>
                      <w:sz w:val="21"/>
                      <w:szCs w:val="21"/>
                      <w:highlight w:val="none"/>
                      <w:vertAlign w:val="baseline"/>
                      <w:lang w:val="en-US" w:eastAsia="zh-CN"/>
                    </w:rPr>
                  </w:pPr>
                  <w:r>
                    <w:rPr>
                      <w:rFonts w:hint="eastAsia"/>
                      <w:b/>
                      <w:bCs/>
                      <w:color w:val="auto"/>
                      <w:spacing w:val="0"/>
                      <w:sz w:val="21"/>
                      <w:szCs w:val="21"/>
                      <w:highlight w:val="none"/>
                      <w:vertAlign w:val="baseline"/>
                      <w:lang w:val="en-US" w:eastAsia="zh-CN"/>
                    </w:rPr>
                    <w:t>污染防治措施</w:t>
                  </w:r>
                </w:p>
              </w:tc>
            </w:tr>
            <w:tr w14:paraId="66E9B8D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89" w:type="dxa"/>
                  <w:vMerge w:val="restart"/>
                  <w:tcBorders>
                    <w:tl2br w:val="nil"/>
                    <w:tr2bl w:val="nil"/>
                  </w:tcBorders>
                  <w:vAlign w:val="center"/>
                </w:tcPr>
                <w:p w14:paraId="413B525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HW01医疗废物</w:t>
                  </w:r>
                </w:p>
              </w:tc>
              <w:tc>
                <w:tcPr>
                  <w:tcW w:w="1500" w:type="dxa"/>
                  <w:tcBorders>
                    <w:tl2br w:val="nil"/>
                    <w:tr2bl w:val="nil"/>
                  </w:tcBorders>
                  <w:vAlign w:val="center"/>
                </w:tcPr>
                <w:p w14:paraId="0F2B01F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感染性废物841-001-01</w:t>
                  </w:r>
                </w:p>
              </w:tc>
              <w:tc>
                <w:tcPr>
                  <w:tcW w:w="765" w:type="dxa"/>
                  <w:vMerge w:val="restart"/>
                  <w:tcBorders>
                    <w:tl2br w:val="nil"/>
                    <w:tr2bl w:val="nil"/>
                  </w:tcBorders>
                  <w:vAlign w:val="center"/>
                </w:tcPr>
                <w:p w14:paraId="18EECF0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4.052</w:t>
                  </w:r>
                </w:p>
              </w:tc>
              <w:tc>
                <w:tcPr>
                  <w:tcW w:w="1110" w:type="dxa"/>
                  <w:tcBorders>
                    <w:tl2br w:val="nil"/>
                    <w:tr2bl w:val="nil"/>
                  </w:tcBorders>
                  <w:vAlign w:val="center"/>
                </w:tcPr>
                <w:p w14:paraId="412E7C1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医疗处置、检验</w:t>
                  </w:r>
                </w:p>
              </w:tc>
              <w:tc>
                <w:tcPr>
                  <w:tcW w:w="495" w:type="dxa"/>
                  <w:vMerge w:val="restart"/>
                  <w:tcBorders>
                    <w:tl2br w:val="nil"/>
                    <w:tr2bl w:val="nil"/>
                  </w:tcBorders>
                  <w:vAlign w:val="center"/>
                </w:tcPr>
                <w:p w14:paraId="22D280F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固态、液态</w:t>
                  </w:r>
                </w:p>
              </w:tc>
              <w:tc>
                <w:tcPr>
                  <w:tcW w:w="1605" w:type="dxa"/>
                  <w:tcBorders>
                    <w:tl2br w:val="nil"/>
                    <w:tr2bl w:val="nil"/>
                  </w:tcBorders>
                  <w:vAlign w:val="center"/>
                </w:tcPr>
                <w:p w14:paraId="204692D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废试剂盒，实验废液人体血液样本、体液样本，沾染血液、组织液的棉球，纱布，口罩</w:t>
                  </w:r>
                </w:p>
              </w:tc>
              <w:tc>
                <w:tcPr>
                  <w:tcW w:w="690" w:type="dxa"/>
                  <w:vMerge w:val="restart"/>
                  <w:tcBorders>
                    <w:tl2br w:val="nil"/>
                    <w:tr2bl w:val="nil"/>
                  </w:tcBorders>
                  <w:vAlign w:val="center"/>
                </w:tcPr>
                <w:p w14:paraId="5E623EE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每日</w:t>
                  </w:r>
                </w:p>
              </w:tc>
              <w:tc>
                <w:tcPr>
                  <w:tcW w:w="690" w:type="dxa"/>
                  <w:tcBorders>
                    <w:tl2br w:val="nil"/>
                    <w:tr2bl w:val="nil"/>
                  </w:tcBorders>
                  <w:vAlign w:val="center"/>
                </w:tcPr>
                <w:p w14:paraId="5E44F0A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In</w:t>
                  </w:r>
                </w:p>
              </w:tc>
              <w:tc>
                <w:tcPr>
                  <w:tcW w:w="868" w:type="dxa"/>
                  <w:vMerge w:val="restart"/>
                  <w:tcBorders>
                    <w:tl2br w:val="nil"/>
                    <w:tr2bl w:val="nil"/>
                  </w:tcBorders>
                  <w:vAlign w:val="center"/>
                </w:tcPr>
                <w:p w14:paraId="3979352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暂存于医疗废物暂存间，定期委托资质单位清运处置</w:t>
                  </w:r>
                </w:p>
              </w:tc>
            </w:tr>
            <w:tr w14:paraId="6D311F2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89" w:type="dxa"/>
                  <w:vMerge w:val="continue"/>
                  <w:tcBorders>
                    <w:tl2br w:val="nil"/>
                    <w:tr2bl w:val="nil"/>
                  </w:tcBorders>
                  <w:vAlign w:val="center"/>
                </w:tcPr>
                <w:p w14:paraId="4BC0A9A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color w:val="auto"/>
                      <w:spacing w:val="0"/>
                      <w:sz w:val="21"/>
                      <w:szCs w:val="21"/>
                      <w:highlight w:val="none"/>
                      <w:vertAlign w:val="baseline"/>
                      <w:lang w:val="en-US" w:eastAsia="zh-CN"/>
                    </w:rPr>
                  </w:pPr>
                </w:p>
              </w:tc>
              <w:tc>
                <w:tcPr>
                  <w:tcW w:w="1500" w:type="dxa"/>
                  <w:tcBorders>
                    <w:tl2br w:val="nil"/>
                    <w:tr2bl w:val="nil"/>
                  </w:tcBorders>
                  <w:vAlign w:val="center"/>
                </w:tcPr>
                <w:p w14:paraId="7F7CBEC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损伤性废物841-002-01</w:t>
                  </w:r>
                </w:p>
              </w:tc>
              <w:tc>
                <w:tcPr>
                  <w:tcW w:w="765" w:type="dxa"/>
                  <w:vMerge w:val="continue"/>
                  <w:tcBorders>
                    <w:tl2br w:val="nil"/>
                    <w:tr2bl w:val="nil"/>
                  </w:tcBorders>
                  <w:vAlign w:val="center"/>
                </w:tcPr>
                <w:p w14:paraId="19E1912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color w:val="auto"/>
                      <w:spacing w:val="0"/>
                      <w:sz w:val="21"/>
                      <w:szCs w:val="21"/>
                      <w:highlight w:val="none"/>
                      <w:vertAlign w:val="baseline"/>
                      <w:lang w:val="en-US" w:eastAsia="zh-CN"/>
                    </w:rPr>
                  </w:pPr>
                </w:p>
              </w:tc>
              <w:tc>
                <w:tcPr>
                  <w:tcW w:w="1110" w:type="dxa"/>
                  <w:tcBorders>
                    <w:tl2br w:val="nil"/>
                    <w:tr2bl w:val="nil"/>
                  </w:tcBorders>
                  <w:vAlign w:val="center"/>
                </w:tcPr>
                <w:p w14:paraId="195E444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医疗处置</w:t>
                  </w:r>
                </w:p>
              </w:tc>
              <w:tc>
                <w:tcPr>
                  <w:tcW w:w="495" w:type="dxa"/>
                  <w:vMerge w:val="continue"/>
                  <w:tcBorders>
                    <w:tl2br w:val="nil"/>
                    <w:tr2bl w:val="nil"/>
                  </w:tcBorders>
                  <w:vAlign w:val="center"/>
                </w:tcPr>
                <w:p w14:paraId="378C48E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color w:val="auto"/>
                      <w:spacing w:val="0"/>
                      <w:sz w:val="21"/>
                      <w:szCs w:val="21"/>
                      <w:highlight w:val="none"/>
                      <w:vertAlign w:val="baseline"/>
                      <w:lang w:val="en-US" w:eastAsia="zh-CN"/>
                    </w:rPr>
                  </w:pPr>
                </w:p>
              </w:tc>
              <w:tc>
                <w:tcPr>
                  <w:tcW w:w="1605" w:type="dxa"/>
                  <w:tcBorders>
                    <w:tl2br w:val="nil"/>
                    <w:tr2bl w:val="nil"/>
                  </w:tcBorders>
                  <w:vAlign w:val="center"/>
                </w:tcPr>
                <w:p w14:paraId="5F320B9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注射器、输液器针头等物品</w:t>
                  </w:r>
                </w:p>
              </w:tc>
              <w:tc>
                <w:tcPr>
                  <w:tcW w:w="690" w:type="dxa"/>
                  <w:vMerge w:val="continue"/>
                  <w:tcBorders>
                    <w:tl2br w:val="nil"/>
                    <w:tr2bl w:val="nil"/>
                  </w:tcBorders>
                  <w:vAlign w:val="center"/>
                </w:tcPr>
                <w:p w14:paraId="5D42D57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color w:val="auto"/>
                      <w:spacing w:val="0"/>
                      <w:sz w:val="21"/>
                      <w:szCs w:val="21"/>
                      <w:highlight w:val="none"/>
                      <w:vertAlign w:val="baseline"/>
                      <w:lang w:val="en-US" w:eastAsia="zh-CN"/>
                    </w:rPr>
                  </w:pPr>
                </w:p>
              </w:tc>
              <w:tc>
                <w:tcPr>
                  <w:tcW w:w="690" w:type="dxa"/>
                  <w:tcBorders>
                    <w:tl2br w:val="nil"/>
                    <w:tr2bl w:val="nil"/>
                  </w:tcBorders>
                  <w:vAlign w:val="center"/>
                </w:tcPr>
                <w:p w14:paraId="5AA98D8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In</w:t>
                  </w:r>
                </w:p>
              </w:tc>
              <w:tc>
                <w:tcPr>
                  <w:tcW w:w="868" w:type="dxa"/>
                  <w:vMerge w:val="continue"/>
                  <w:tcBorders>
                    <w:tl2br w:val="nil"/>
                    <w:tr2bl w:val="nil"/>
                  </w:tcBorders>
                  <w:vAlign w:val="center"/>
                </w:tcPr>
                <w:p w14:paraId="1057253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color w:val="auto"/>
                      <w:spacing w:val="0"/>
                      <w:sz w:val="21"/>
                      <w:szCs w:val="21"/>
                      <w:highlight w:val="none"/>
                      <w:vertAlign w:val="baseline"/>
                      <w:lang w:val="en-US" w:eastAsia="zh-CN"/>
                    </w:rPr>
                  </w:pPr>
                </w:p>
              </w:tc>
            </w:tr>
            <w:tr w14:paraId="67BF031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89" w:type="dxa"/>
                  <w:vMerge w:val="continue"/>
                  <w:tcBorders>
                    <w:tl2br w:val="nil"/>
                    <w:tr2bl w:val="nil"/>
                  </w:tcBorders>
                  <w:vAlign w:val="center"/>
                </w:tcPr>
                <w:p w14:paraId="35EDA31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color w:val="auto"/>
                      <w:spacing w:val="0"/>
                      <w:sz w:val="21"/>
                      <w:szCs w:val="21"/>
                      <w:highlight w:val="none"/>
                      <w:vertAlign w:val="baseline"/>
                      <w:lang w:val="en-US" w:eastAsia="zh-CN"/>
                    </w:rPr>
                  </w:pPr>
                </w:p>
              </w:tc>
              <w:tc>
                <w:tcPr>
                  <w:tcW w:w="1500" w:type="dxa"/>
                  <w:tcBorders>
                    <w:tl2br w:val="nil"/>
                    <w:tr2bl w:val="nil"/>
                  </w:tcBorders>
                  <w:vAlign w:val="center"/>
                </w:tcPr>
                <w:p w14:paraId="781739B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药物性废物841-005-01</w:t>
                  </w:r>
                </w:p>
              </w:tc>
              <w:tc>
                <w:tcPr>
                  <w:tcW w:w="765" w:type="dxa"/>
                  <w:vMerge w:val="continue"/>
                  <w:tcBorders>
                    <w:tl2br w:val="nil"/>
                    <w:tr2bl w:val="nil"/>
                  </w:tcBorders>
                  <w:vAlign w:val="center"/>
                </w:tcPr>
                <w:p w14:paraId="328A551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color w:val="auto"/>
                      <w:spacing w:val="0"/>
                      <w:sz w:val="21"/>
                      <w:szCs w:val="21"/>
                      <w:highlight w:val="none"/>
                      <w:vertAlign w:val="baseline"/>
                      <w:lang w:val="en-US" w:eastAsia="zh-CN"/>
                    </w:rPr>
                  </w:pPr>
                </w:p>
              </w:tc>
              <w:tc>
                <w:tcPr>
                  <w:tcW w:w="1110" w:type="dxa"/>
                  <w:tcBorders>
                    <w:tl2br w:val="nil"/>
                    <w:tr2bl w:val="nil"/>
                  </w:tcBorders>
                  <w:vAlign w:val="center"/>
                </w:tcPr>
                <w:p w14:paraId="332BD94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药房</w:t>
                  </w:r>
                </w:p>
              </w:tc>
              <w:tc>
                <w:tcPr>
                  <w:tcW w:w="495" w:type="dxa"/>
                  <w:vMerge w:val="continue"/>
                  <w:tcBorders>
                    <w:tl2br w:val="nil"/>
                    <w:tr2bl w:val="nil"/>
                  </w:tcBorders>
                  <w:vAlign w:val="center"/>
                </w:tcPr>
                <w:p w14:paraId="55D1954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color w:val="auto"/>
                      <w:spacing w:val="0"/>
                      <w:sz w:val="21"/>
                      <w:szCs w:val="21"/>
                      <w:highlight w:val="none"/>
                      <w:vertAlign w:val="baseline"/>
                      <w:lang w:val="en-US" w:eastAsia="zh-CN"/>
                    </w:rPr>
                  </w:pPr>
                </w:p>
              </w:tc>
              <w:tc>
                <w:tcPr>
                  <w:tcW w:w="1605" w:type="dxa"/>
                  <w:tcBorders>
                    <w:tl2br w:val="nil"/>
                    <w:tr2bl w:val="nil"/>
                  </w:tcBorders>
                  <w:vAlign w:val="center"/>
                </w:tcPr>
                <w:p w14:paraId="3909C56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过期、变质的药品</w:t>
                  </w:r>
                </w:p>
              </w:tc>
              <w:tc>
                <w:tcPr>
                  <w:tcW w:w="690" w:type="dxa"/>
                  <w:vMerge w:val="continue"/>
                  <w:tcBorders>
                    <w:tl2br w:val="nil"/>
                    <w:tr2bl w:val="nil"/>
                  </w:tcBorders>
                  <w:vAlign w:val="center"/>
                </w:tcPr>
                <w:p w14:paraId="4820D16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color w:val="auto"/>
                      <w:spacing w:val="0"/>
                      <w:sz w:val="21"/>
                      <w:szCs w:val="21"/>
                      <w:highlight w:val="none"/>
                      <w:vertAlign w:val="baseline"/>
                      <w:lang w:val="en-US" w:eastAsia="zh-CN"/>
                    </w:rPr>
                  </w:pPr>
                </w:p>
              </w:tc>
              <w:tc>
                <w:tcPr>
                  <w:tcW w:w="690" w:type="dxa"/>
                  <w:tcBorders>
                    <w:tl2br w:val="nil"/>
                    <w:tr2bl w:val="nil"/>
                  </w:tcBorders>
                  <w:vAlign w:val="center"/>
                </w:tcPr>
                <w:p w14:paraId="3759F17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T</w:t>
                  </w:r>
                </w:p>
              </w:tc>
              <w:tc>
                <w:tcPr>
                  <w:tcW w:w="868" w:type="dxa"/>
                  <w:vMerge w:val="continue"/>
                  <w:tcBorders>
                    <w:tl2br w:val="nil"/>
                    <w:tr2bl w:val="nil"/>
                  </w:tcBorders>
                  <w:vAlign w:val="center"/>
                </w:tcPr>
                <w:p w14:paraId="47024F4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color w:val="auto"/>
                      <w:spacing w:val="0"/>
                      <w:sz w:val="21"/>
                      <w:szCs w:val="21"/>
                      <w:highlight w:val="none"/>
                      <w:vertAlign w:val="baseline"/>
                      <w:lang w:val="en-US" w:eastAsia="zh-CN"/>
                    </w:rPr>
                  </w:pPr>
                </w:p>
              </w:tc>
            </w:tr>
            <w:tr w14:paraId="17042DE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89" w:type="dxa"/>
                  <w:vMerge w:val="continue"/>
                  <w:tcBorders>
                    <w:tl2br w:val="nil"/>
                    <w:tr2bl w:val="nil"/>
                  </w:tcBorders>
                  <w:vAlign w:val="center"/>
                </w:tcPr>
                <w:p w14:paraId="0EFE9F1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color w:val="auto"/>
                      <w:spacing w:val="0"/>
                      <w:sz w:val="21"/>
                      <w:szCs w:val="21"/>
                      <w:highlight w:val="none"/>
                      <w:vertAlign w:val="baseline"/>
                      <w:lang w:val="en-US" w:eastAsia="zh-CN"/>
                    </w:rPr>
                  </w:pPr>
                </w:p>
              </w:tc>
              <w:tc>
                <w:tcPr>
                  <w:tcW w:w="1500" w:type="dxa"/>
                  <w:tcBorders>
                    <w:tl2br w:val="nil"/>
                    <w:tr2bl w:val="nil"/>
                  </w:tcBorders>
                  <w:vAlign w:val="center"/>
                </w:tcPr>
                <w:p w14:paraId="0421F96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化学性废物841-004-01</w:t>
                  </w:r>
                </w:p>
              </w:tc>
              <w:tc>
                <w:tcPr>
                  <w:tcW w:w="765" w:type="dxa"/>
                  <w:vMerge w:val="continue"/>
                  <w:tcBorders>
                    <w:tl2br w:val="nil"/>
                    <w:tr2bl w:val="nil"/>
                  </w:tcBorders>
                  <w:vAlign w:val="center"/>
                </w:tcPr>
                <w:p w14:paraId="5909032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color w:val="auto"/>
                      <w:spacing w:val="0"/>
                      <w:sz w:val="21"/>
                      <w:szCs w:val="21"/>
                      <w:highlight w:val="none"/>
                      <w:vertAlign w:val="baseline"/>
                      <w:lang w:val="en-US" w:eastAsia="zh-CN"/>
                    </w:rPr>
                  </w:pPr>
                </w:p>
              </w:tc>
              <w:tc>
                <w:tcPr>
                  <w:tcW w:w="1110" w:type="dxa"/>
                  <w:tcBorders>
                    <w:tl2br w:val="nil"/>
                    <w:tr2bl w:val="nil"/>
                  </w:tcBorders>
                  <w:vAlign w:val="center"/>
                </w:tcPr>
                <w:p w14:paraId="139D0C6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消毒、检验等</w:t>
                  </w:r>
                </w:p>
              </w:tc>
              <w:tc>
                <w:tcPr>
                  <w:tcW w:w="495" w:type="dxa"/>
                  <w:vMerge w:val="continue"/>
                  <w:tcBorders>
                    <w:tl2br w:val="nil"/>
                    <w:tr2bl w:val="nil"/>
                  </w:tcBorders>
                  <w:vAlign w:val="center"/>
                </w:tcPr>
                <w:p w14:paraId="20891E2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color w:val="auto"/>
                      <w:spacing w:val="0"/>
                      <w:sz w:val="21"/>
                      <w:szCs w:val="21"/>
                      <w:highlight w:val="none"/>
                      <w:vertAlign w:val="baseline"/>
                      <w:lang w:val="en-US" w:eastAsia="zh-CN"/>
                    </w:rPr>
                  </w:pPr>
                </w:p>
              </w:tc>
              <w:tc>
                <w:tcPr>
                  <w:tcW w:w="1605" w:type="dxa"/>
                  <w:tcBorders>
                    <w:tl2br w:val="nil"/>
                    <w:tr2bl w:val="nil"/>
                  </w:tcBorders>
                  <w:vAlign w:val="center"/>
                </w:tcPr>
                <w:p w14:paraId="0D65334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废消毒剂等</w:t>
                  </w:r>
                </w:p>
              </w:tc>
              <w:tc>
                <w:tcPr>
                  <w:tcW w:w="690" w:type="dxa"/>
                  <w:vMerge w:val="continue"/>
                  <w:tcBorders>
                    <w:tl2br w:val="nil"/>
                    <w:tr2bl w:val="nil"/>
                  </w:tcBorders>
                  <w:vAlign w:val="center"/>
                </w:tcPr>
                <w:p w14:paraId="1256241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color w:val="auto"/>
                      <w:spacing w:val="0"/>
                      <w:sz w:val="21"/>
                      <w:szCs w:val="21"/>
                      <w:highlight w:val="none"/>
                      <w:vertAlign w:val="baseline"/>
                      <w:lang w:val="en-US" w:eastAsia="zh-CN"/>
                    </w:rPr>
                  </w:pPr>
                </w:p>
              </w:tc>
              <w:tc>
                <w:tcPr>
                  <w:tcW w:w="690" w:type="dxa"/>
                  <w:tcBorders>
                    <w:tl2br w:val="nil"/>
                    <w:tr2bl w:val="nil"/>
                  </w:tcBorders>
                  <w:vAlign w:val="center"/>
                </w:tcPr>
                <w:p w14:paraId="79913BC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T/C/I/R</w:t>
                  </w:r>
                </w:p>
              </w:tc>
              <w:tc>
                <w:tcPr>
                  <w:tcW w:w="868" w:type="dxa"/>
                  <w:vMerge w:val="continue"/>
                  <w:tcBorders>
                    <w:tl2br w:val="nil"/>
                    <w:tr2bl w:val="nil"/>
                  </w:tcBorders>
                  <w:vAlign w:val="center"/>
                </w:tcPr>
                <w:p w14:paraId="6AA1EE2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color w:val="auto"/>
                      <w:spacing w:val="0"/>
                      <w:sz w:val="21"/>
                      <w:szCs w:val="21"/>
                      <w:highlight w:val="none"/>
                      <w:vertAlign w:val="baseline"/>
                      <w:lang w:val="en-US" w:eastAsia="zh-CN"/>
                    </w:rPr>
                  </w:pPr>
                </w:p>
              </w:tc>
            </w:tr>
            <w:tr w14:paraId="5927D58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789" w:type="dxa"/>
                  <w:vMerge w:val="restart"/>
                  <w:tcBorders>
                    <w:tl2br w:val="nil"/>
                    <w:tr2bl w:val="nil"/>
                  </w:tcBorders>
                  <w:vAlign w:val="center"/>
                </w:tcPr>
                <w:p w14:paraId="79F71F1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HW49其他危险废物</w:t>
                  </w:r>
                </w:p>
              </w:tc>
              <w:tc>
                <w:tcPr>
                  <w:tcW w:w="1500" w:type="dxa"/>
                  <w:tcBorders>
                    <w:tl2br w:val="nil"/>
                    <w:tr2bl w:val="nil"/>
                  </w:tcBorders>
                  <w:shd w:val="clear"/>
                  <w:vAlign w:val="center"/>
                </w:tcPr>
                <w:p w14:paraId="1483133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spacing w:val="0"/>
                      <w:kern w:val="2"/>
                      <w:sz w:val="21"/>
                      <w:szCs w:val="21"/>
                      <w:highlight w:val="none"/>
                      <w:vertAlign w:val="baseline"/>
                      <w:lang w:val="en-US" w:eastAsia="zh-CN" w:bidi="ar-SA"/>
                    </w:rPr>
                  </w:pPr>
                  <w:r>
                    <w:rPr>
                      <w:rFonts w:hint="eastAsia"/>
                      <w:b w:val="0"/>
                      <w:bCs w:val="0"/>
                      <w:color w:val="auto"/>
                      <w:spacing w:val="0"/>
                      <w:sz w:val="21"/>
                      <w:szCs w:val="21"/>
                      <w:highlight w:val="none"/>
                      <w:vertAlign w:val="baseline"/>
                      <w:lang w:val="en-US" w:eastAsia="zh-CN"/>
                    </w:rPr>
                    <w:t>消毒剂沾染物900-041-49</w:t>
                  </w:r>
                </w:p>
              </w:tc>
              <w:tc>
                <w:tcPr>
                  <w:tcW w:w="765" w:type="dxa"/>
                  <w:tcBorders>
                    <w:tl2br w:val="nil"/>
                    <w:tr2bl w:val="nil"/>
                  </w:tcBorders>
                  <w:shd w:val="clear"/>
                  <w:vAlign w:val="center"/>
                </w:tcPr>
                <w:p w14:paraId="443D1B4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spacing w:val="0"/>
                      <w:kern w:val="2"/>
                      <w:sz w:val="21"/>
                      <w:szCs w:val="21"/>
                      <w:highlight w:val="none"/>
                      <w:vertAlign w:val="baseline"/>
                      <w:lang w:val="en-US" w:eastAsia="zh-CN" w:bidi="ar-SA"/>
                    </w:rPr>
                  </w:pPr>
                  <w:r>
                    <w:rPr>
                      <w:rFonts w:hint="eastAsia"/>
                      <w:b w:val="0"/>
                      <w:bCs w:val="0"/>
                      <w:color w:val="auto"/>
                      <w:spacing w:val="0"/>
                      <w:sz w:val="21"/>
                      <w:szCs w:val="21"/>
                      <w:highlight w:val="none"/>
                      <w:vertAlign w:val="baseline"/>
                      <w:lang w:val="en-US" w:eastAsia="zh-CN"/>
                    </w:rPr>
                    <w:t>0.045</w:t>
                  </w:r>
                </w:p>
              </w:tc>
              <w:tc>
                <w:tcPr>
                  <w:tcW w:w="1110" w:type="dxa"/>
                  <w:tcBorders>
                    <w:tl2br w:val="nil"/>
                    <w:tr2bl w:val="nil"/>
                  </w:tcBorders>
                  <w:shd w:val="clear"/>
                  <w:vAlign w:val="center"/>
                </w:tcPr>
                <w:p w14:paraId="13AC57F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spacing w:val="0"/>
                      <w:kern w:val="2"/>
                      <w:sz w:val="21"/>
                      <w:szCs w:val="21"/>
                      <w:highlight w:val="none"/>
                      <w:vertAlign w:val="baseline"/>
                      <w:lang w:val="en-US" w:eastAsia="zh-CN" w:bidi="ar-SA"/>
                    </w:rPr>
                  </w:pPr>
                  <w:r>
                    <w:rPr>
                      <w:rFonts w:hint="eastAsia"/>
                      <w:b w:val="0"/>
                      <w:bCs w:val="0"/>
                      <w:color w:val="auto"/>
                      <w:spacing w:val="0"/>
                      <w:sz w:val="21"/>
                      <w:szCs w:val="21"/>
                      <w:highlight w:val="none"/>
                      <w:vertAlign w:val="baseline"/>
                      <w:lang w:val="en-US" w:eastAsia="zh-CN"/>
                    </w:rPr>
                    <w:t>污水处理设施和医院院区消毒</w:t>
                  </w:r>
                </w:p>
              </w:tc>
              <w:tc>
                <w:tcPr>
                  <w:tcW w:w="495" w:type="dxa"/>
                  <w:tcBorders>
                    <w:tl2br w:val="nil"/>
                    <w:tr2bl w:val="nil"/>
                  </w:tcBorders>
                  <w:shd w:val="clear"/>
                  <w:vAlign w:val="center"/>
                </w:tcPr>
                <w:p w14:paraId="7FC4D9B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spacing w:val="0"/>
                      <w:kern w:val="2"/>
                      <w:sz w:val="21"/>
                      <w:szCs w:val="21"/>
                      <w:highlight w:val="none"/>
                      <w:vertAlign w:val="baseline"/>
                      <w:lang w:val="en-US" w:eastAsia="zh-CN" w:bidi="ar-SA"/>
                    </w:rPr>
                  </w:pPr>
                  <w:r>
                    <w:rPr>
                      <w:rFonts w:hint="eastAsia"/>
                      <w:b w:val="0"/>
                      <w:bCs w:val="0"/>
                      <w:color w:val="auto"/>
                      <w:spacing w:val="0"/>
                      <w:sz w:val="21"/>
                      <w:szCs w:val="21"/>
                      <w:highlight w:val="none"/>
                      <w:vertAlign w:val="baseline"/>
                      <w:lang w:val="en-US" w:eastAsia="zh-CN"/>
                    </w:rPr>
                    <w:t>固态</w:t>
                  </w:r>
                </w:p>
              </w:tc>
              <w:tc>
                <w:tcPr>
                  <w:tcW w:w="1605" w:type="dxa"/>
                  <w:tcBorders>
                    <w:tl2br w:val="nil"/>
                    <w:tr2bl w:val="nil"/>
                  </w:tcBorders>
                  <w:shd w:val="clear"/>
                  <w:vAlign w:val="center"/>
                </w:tcPr>
                <w:p w14:paraId="62D4E52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b w:val="0"/>
                      <w:bCs w:val="0"/>
                      <w:color w:val="auto"/>
                      <w:spacing w:val="0"/>
                      <w:kern w:val="2"/>
                      <w:sz w:val="21"/>
                      <w:szCs w:val="21"/>
                      <w:highlight w:val="none"/>
                      <w:vertAlign w:val="baseline"/>
                      <w:lang w:val="en-US" w:eastAsia="zh-CN" w:bidi="ar-SA"/>
                    </w:rPr>
                  </w:pPr>
                  <w:r>
                    <w:rPr>
                      <w:rFonts w:hint="eastAsia"/>
                      <w:b w:val="0"/>
                      <w:bCs w:val="0"/>
                      <w:color w:val="auto"/>
                      <w:spacing w:val="0"/>
                      <w:sz w:val="21"/>
                      <w:szCs w:val="21"/>
                      <w:highlight w:val="none"/>
                      <w:vertAlign w:val="baseline"/>
                      <w:lang w:val="en-US" w:eastAsia="zh-CN"/>
                    </w:rPr>
                    <w:t>废气治理设施沾染恶臭气体</w:t>
                  </w:r>
                </w:p>
              </w:tc>
              <w:tc>
                <w:tcPr>
                  <w:tcW w:w="690" w:type="dxa"/>
                  <w:tcBorders>
                    <w:tl2br w:val="nil"/>
                    <w:tr2bl w:val="nil"/>
                  </w:tcBorders>
                  <w:shd w:val="clear"/>
                  <w:vAlign w:val="center"/>
                </w:tcPr>
                <w:p w14:paraId="1A58E38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spacing w:val="0"/>
                      <w:kern w:val="2"/>
                      <w:sz w:val="21"/>
                      <w:szCs w:val="21"/>
                      <w:highlight w:val="none"/>
                      <w:vertAlign w:val="baseline"/>
                      <w:lang w:val="en-US" w:eastAsia="zh-CN" w:bidi="ar-SA"/>
                    </w:rPr>
                  </w:pPr>
                  <w:r>
                    <w:rPr>
                      <w:rFonts w:hint="eastAsia"/>
                      <w:b w:val="0"/>
                      <w:bCs w:val="0"/>
                      <w:color w:val="auto"/>
                      <w:spacing w:val="0"/>
                      <w:sz w:val="21"/>
                      <w:szCs w:val="21"/>
                      <w:highlight w:val="none"/>
                      <w:vertAlign w:val="baseline"/>
                      <w:lang w:val="en-US" w:eastAsia="zh-CN"/>
                    </w:rPr>
                    <w:t>每日</w:t>
                  </w:r>
                </w:p>
              </w:tc>
              <w:tc>
                <w:tcPr>
                  <w:tcW w:w="690" w:type="dxa"/>
                  <w:tcBorders>
                    <w:tl2br w:val="nil"/>
                    <w:tr2bl w:val="nil"/>
                  </w:tcBorders>
                  <w:shd w:val="clear"/>
                  <w:vAlign w:val="center"/>
                </w:tcPr>
                <w:p w14:paraId="1D097F1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spacing w:val="0"/>
                      <w:kern w:val="2"/>
                      <w:sz w:val="21"/>
                      <w:szCs w:val="21"/>
                      <w:highlight w:val="none"/>
                      <w:vertAlign w:val="baseline"/>
                      <w:lang w:val="en-US" w:eastAsia="zh-CN" w:bidi="ar-SA"/>
                    </w:rPr>
                  </w:pPr>
                  <w:r>
                    <w:rPr>
                      <w:rFonts w:hint="eastAsia"/>
                      <w:b w:val="0"/>
                      <w:bCs w:val="0"/>
                      <w:color w:val="auto"/>
                      <w:spacing w:val="0"/>
                      <w:sz w:val="21"/>
                      <w:szCs w:val="21"/>
                      <w:highlight w:val="none"/>
                      <w:vertAlign w:val="baseline"/>
                      <w:lang w:val="en-US" w:eastAsia="zh-CN"/>
                    </w:rPr>
                    <w:t>T</w:t>
                  </w:r>
                </w:p>
              </w:tc>
              <w:tc>
                <w:tcPr>
                  <w:tcW w:w="868" w:type="dxa"/>
                  <w:vMerge w:val="continue"/>
                  <w:tcBorders>
                    <w:tl2br w:val="nil"/>
                    <w:tr2bl w:val="nil"/>
                  </w:tcBorders>
                  <w:shd w:val="clear"/>
                  <w:vAlign w:val="center"/>
                </w:tcPr>
                <w:p w14:paraId="7717949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spacing w:val="0"/>
                      <w:kern w:val="2"/>
                      <w:sz w:val="21"/>
                      <w:szCs w:val="21"/>
                      <w:highlight w:val="none"/>
                      <w:vertAlign w:val="baseline"/>
                      <w:lang w:val="en-US" w:eastAsia="zh-CN" w:bidi="ar-SA"/>
                    </w:rPr>
                  </w:pPr>
                </w:p>
              </w:tc>
            </w:tr>
            <w:tr w14:paraId="329801E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789" w:type="dxa"/>
                  <w:vMerge w:val="continue"/>
                  <w:tcBorders>
                    <w:tl2br w:val="nil"/>
                    <w:tr2bl w:val="nil"/>
                  </w:tcBorders>
                  <w:vAlign w:val="center"/>
                </w:tcPr>
                <w:p w14:paraId="16B38F1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color w:val="auto"/>
                      <w:spacing w:val="0"/>
                      <w:sz w:val="21"/>
                      <w:szCs w:val="21"/>
                      <w:highlight w:val="none"/>
                      <w:vertAlign w:val="baseline"/>
                      <w:lang w:val="en-US" w:eastAsia="zh-CN"/>
                    </w:rPr>
                  </w:pPr>
                </w:p>
              </w:tc>
              <w:tc>
                <w:tcPr>
                  <w:tcW w:w="1500" w:type="dxa"/>
                  <w:tcBorders>
                    <w:tl2br w:val="nil"/>
                    <w:tr2bl w:val="nil"/>
                  </w:tcBorders>
                  <w:shd w:val="clear"/>
                  <w:vAlign w:val="center"/>
                </w:tcPr>
                <w:p w14:paraId="29344BF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b w:val="0"/>
                      <w:bCs w:val="0"/>
                      <w:color w:val="auto"/>
                      <w:spacing w:val="0"/>
                      <w:kern w:val="2"/>
                      <w:sz w:val="21"/>
                      <w:szCs w:val="21"/>
                      <w:highlight w:val="none"/>
                      <w:vertAlign w:val="baseline"/>
                      <w:lang w:val="en-US" w:eastAsia="zh-CN" w:bidi="ar-SA"/>
                    </w:rPr>
                  </w:pPr>
                  <w:r>
                    <w:rPr>
                      <w:rFonts w:hint="eastAsia"/>
                      <w:b w:val="0"/>
                      <w:bCs w:val="0"/>
                      <w:color w:val="auto"/>
                      <w:spacing w:val="0"/>
                      <w:sz w:val="21"/>
                      <w:szCs w:val="21"/>
                      <w:highlight w:val="none"/>
                      <w:vertAlign w:val="baseline"/>
                      <w:lang w:val="en-US" w:eastAsia="zh-CN"/>
                    </w:rPr>
                    <w:t>污泥、栅渣772-006-49</w:t>
                  </w:r>
                </w:p>
              </w:tc>
              <w:tc>
                <w:tcPr>
                  <w:tcW w:w="765" w:type="dxa"/>
                  <w:tcBorders>
                    <w:tl2br w:val="nil"/>
                    <w:tr2bl w:val="nil"/>
                  </w:tcBorders>
                  <w:shd w:val="clear"/>
                  <w:vAlign w:val="center"/>
                </w:tcPr>
                <w:p w14:paraId="7F0EFA5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b w:val="0"/>
                      <w:bCs w:val="0"/>
                      <w:color w:val="auto"/>
                      <w:spacing w:val="0"/>
                      <w:kern w:val="2"/>
                      <w:sz w:val="21"/>
                      <w:szCs w:val="21"/>
                      <w:highlight w:val="none"/>
                      <w:vertAlign w:val="baseline"/>
                      <w:lang w:val="en-US" w:eastAsia="zh-CN" w:bidi="ar-SA"/>
                    </w:rPr>
                  </w:pPr>
                  <w:r>
                    <w:rPr>
                      <w:rFonts w:hint="eastAsia"/>
                      <w:b w:val="0"/>
                      <w:bCs w:val="0"/>
                      <w:color w:val="auto"/>
                      <w:spacing w:val="0"/>
                      <w:sz w:val="21"/>
                      <w:szCs w:val="21"/>
                      <w:highlight w:val="none"/>
                      <w:vertAlign w:val="baseline"/>
                      <w:lang w:val="en-US" w:eastAsia="zh-CN"/>
                    </w:rPr>
                    <w:t>6.375</w:t>
                  </w:r>
                </w:p>
              </w:tc>
              <w:tc>
                <w:tcPr>
                  <w:tcW w:w="1110" w:type="dxa"/>
                  <w:tcBorders>
                    <w:tl2br w:val="nil"/>
                    <w:tr2bl w:val="nil"/>
                  </w:tcBorders>
                  <w:shd w:val="clear"/>
                  <w:vAlign w:val="center"/>
                </w:tcPr>
                <w:p w14:paraId="75D5414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b w:val="0"/>
                      <w:bCs w:val="0"/>
                      <w:color w:val="auto"/>
                      <w:spacing w:val="0"/>
                      <w:kern w:val="2"/>
                      <w:sz w:val="21"/>
                      <w:szCs w:val="21"/>
                      <w:highlight w:val="none"/>
                      <w:vertAlign w:val="baseline"/>
                      <w:lang w:val="en-US" w:eastAsia="zh-CN" w:bidi="ar-SA"/>
                    </w:rPr>
                  </w:pPr>
                  <w:r>
                    <w:rPr>
                      <w:rFonts w:hint="eastAsia"/>
                      <w:b w:val="0"/>
                      <w:bCs w:val="0"/>
                      <w:color w:val="auto"/>
                      <w:spacing w:val="0"/>
                      <w:sz w:val="21"/>
                      <w:szCs w:val="21"/>
                      <w:highlight w:val="none"/>
                      <w:vertAlign w:val="baseline"/>
                      <w:lang w:val="en-US" w:eastAsia="zh-CN"/>
                    </w:rPr>
                    <w:t>污水处理设施污泥、栅渣、化粪池污泥等</w:t>
                  </w:r>
                </w:p>
              </w:tc>
              <w:tc>
                <w:tcPr>
                  <w:tcW w:w="495" w:type="dxa"/>
                  <w:tcBorders>
                    <w:tl2br w:val="nil"/>
                    <w:tr2bl w:val="nil"/>
                  </w:tcBorders>
                  <w:shd w:val="clear"/>
                  <w:vAlign w:val="center"/>
                </w:tcPr>
                <w:p w14:paraId="5AC5A1F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b w:val="0"/>
                      <w:bCs w:val="0"/>
                      <w:color w:val="auto"/>
                      <w:spacing w:val="0"/>
                      <w:kern w:val="2"/>
                      <w:sz w:val="21"/>
                      <w:szCs w:val="21"/>
                      <w:highlight w:val="none"/>
                      <w:vertAlign w:val="baseline"/>
                      <w:lang w:val="en-US" w:eastAsia="zh-CN" w:bidi="ar-SA"/>
                    </w:rPr>
                  </w:pPr>
                  <w:r>
                    <w:rPr>
                      <w:rFonts w:hint="eastAsia"/>
                      <w:b w:val="0"/>
                      <w:bCs w:val="0"/>
                      <w:color w:val="auto"/>
                      <w:spacing w:val="0"/>
                      <w:sz w:val="21"/>
                      <w:szCs w:val="21"/>
                      <w:highlight w:val="none"/>
                      <w:vertAlign w:val="baseline"/>
                      <w:lang w:val="en-US" w:eastAsia="zh-CN"/>
                    </w:rPr>
                    <w:t>固态</w:t>
                  </w:r>
                </w:p>
              </w:tc>
              <w:tc>
                <w:tcPr>
                  <w:tcW w:w="1605" w:type="dxa"/>
                  <w:tcBorders>
                    <w:tl2br w:val="nil"/>
                    <w:tr2bl w:val="nil"/>
                  </w:tcBorders>
                  <w:shd w:val="clear"/>
                  <w:vAlign w:val="center"/>
                </w:tcPr>
                <w:p w14:paraId="0DB97DA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被病人血</w:t>
                  </w:r>
                </w:p>
                <w:p w14:paraId="3312C47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液、体液、</w:t>
                  </w:r>
                </w:p>
                <w:p w14:paraId="6DEC5B6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排泄物污染</w:t>
                  </w:r>
                </w:p>
                <w:p w14:paraId="767C8E4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b w:val="0"/>
                      <w:bCs w:val="0"/>
                      <w:color w:val="auto"/>
                      <w:spacing w:val="0"/>
                      <w:kern w:val="2"/>
                      <w:sz w:val="21"/>
                      <w:szCs w:val="21"/>
                      <w:highlight w:val="none"/>
                      <w:vertAlign w:val="baseline"/>
                      <w:lang w:val="en-US" w:eastAsia="zh-CN" w:bidi="ar-SA"/>
                    </w:rPr>
                  </w:pPr>
                  <w:r>
                    <w:rPr>
                      <w:rFonts w:hint="eastAsia"/>
                      <w:b w:val="0"/>
                      <w:bCs w:val="0"/>
                      <w:color w:val="auto"/>
                      <w:spacing w:val="0"/>
                      <w:sz w:val="21"/>
                      <w:szCs w:val="21"/>
                      <w:highlight w:val="none"/>
                      <w:vertAlign w:val="baseline"/>
                      <w:lang w:val="en-US" w:eastAsia="zh-CN"/>
                    </w:rPr>
                    <w:t>的物品</w:t>
                  </w:r>
                </w:p>
              </w:tc>
              <w:tc>
                <w:tcPr>
                  <w:tcW w:w="690" w:type="dxa"/>
                  <w:tcBorders>
                    <w:tl2br w:val="nil"/>
                    <w:tr2bl w:val="nil"/>
                  </w:tcBorders>
                  <w:shd w:val="clear"/>
                  <w:vAlign w:val="center"/>
                </w:tcPr>
                <w:p w14:paraId="50216E5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b w:val="0"/>
                      <w:bCs w:val="0"/>
                      <w:color w:val="auto"/>
                      <w:spacing w:val="0"/>
                      <w:kern w:val="2"/>
                      <w:sz w:val="21"/>
                      <w:szCs w:val="21"/>
                      <w:highlight w:val="none"/>
                      <w:vertAlign w:val="baseline"/>
                      <w:lang w:val="en-US" w:eastAsia="zh-CN" w:bidi="ar-SA"/>
                    </w:rPr>
                  </w:pPr>
                  <w:r>
                    <w:rPr>
                      <w:rFonts w:hint="eastAsia"/>
                      <w:b w:val="0"/>
                      <w:bCs w:val="0"/>
                      <w:color w:val="auto"/>
                      <w:spacing w:val="0"/>
                      <w:sz w:val="21"/>
                      <w:szCs w:val="21"/>
                      <w:highlight w:val="none"/>
                      <w:vertAlign w:val="baseline"/>
                      <w:lang w:val="en-US" w:eastAsia="zh-CN"/>
                    </w:rPr>
                    <w:t>每日</w:t>
                  </w:r>
                </w:p>
              </w:tc>
              <w:tc>
                <w:tcPr>
                  <w:tcW w:w="690" w:type="dxa"/>
                  <w:tcBorders>
                    <w:tl2br w:val="nil"/>
                    <w:tr2bl w:val="nil"/>
                  </w:tcBorders>
                  <w:shd w:val="clear"/>
                  <w:vAlign w:val="center"/>
                </w:tcPr>
                <w:p w14:paraId="41FD0AA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b w:val="0"/>
                      <w:bCs w:val="0"/>
                      <w:color w:val="auto"/>
                      <w:spacing w:val="0"/>
                      <w:kern w:val="2"/>
                      <w:sz w:val="21"/>
                      <w:szCs w:val="21"/>
                      <w:highlight w:val="none"/>
                      <w:vertAlign w:val="baseline"/>
                      <w:lang w:val="en-US" w:eastAsia="zh-CN" w:bidi="ar-SA"/>
                    </w:rPr>
                  </w:pPr>
                  <w:r>
                    <w:rPr>
                      <w:rFonts w:hint="eastAsia"/>
                      <w:b w:val="0"/>
                      <w:bCs w:val="0"/>
                      <w:color w:val="auto"/>
                      <w:spacing w:val="0"/>
                      <w:sz w:val="21"/>
                      <w:szCs w:val="21"/>
                      <w:highlight w:val="none"/>
                      <w:vertAlign w:val="baseline"/>
                      <w:lang w:val="en-US" w:eastAsia="zh-CN"/>
                    </w:rPr>
                    <w:t>T/In</w:t>
                  </w:r>
                </w:p>
              </w:tc>
              <w:tc>
                <w:tcPr>
                  <w:tcW w:w="868" w:type="dxa"/>
                  <w:tcBorders>
                    <w:tl2br w:val="nil"/>
                    <w:tr2bl w:val="nil"/>
                  </w:tcBorders>
                  <w:shd w:val="clear"/>
                  <w:vAlign w:val="center"/>
                </w:tcPr>
                <w:p w14:paraId="0F1FBE4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spacing w:val="0"/>
                      <w:kern w:val="2"/>
                      <w:sz w:val="21"/>
                      <w:szCs w:val="21"/>
                      <w:highlight w:val="none"/>
                      <w:vertAlign w:val="baseline"/>
                      <w:lang w:val="en-US" w:eastAsia="zh-CN" w:bidi="ar-SA"/>
                    </w:rPr>
                  </w:pPr>
                  <w:r>
                    <w:rPr>
                      <w:rFonts w:hint="eastAsia"/>
                      <w:b w:val="0"/>
                      <w:bCs w:val="0"/>
                      <w:color w:val="auto"/>
                      <w:spacing w:val="0"/>
                      <w:sz w:val="21"/>
                      <w:szCs w:val="21"/>
                      <w:highlight w:val="none"/>
                      <w:vertAlign w:val="baseline"/>
                      <w:lang w:val="en-US" w:eastAsia="zh-CN"/>
                    </w:rPr>
                    <w:t>定期委托资质单位清掏，随清随运，不在医院内暂存</w:t>
                  </w:r>
                </w:p>
              </w:tc>
            </w:tr>
          </w:tbl>
          <w:p w14:paraId="0A58CDE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0"/>
                <w:sz w:val="24"/>
                <w:highlight w:val="none"/>
                <w:lang w:val="en-US" w:eastAsia="zh-CN"/>
              </w:rPr>
            </w:pPr>
            <w:r>
              <w:rPr>
                <w:rFonts w:hint="eastAsia"/>
                <w:b w:val="0"/>
                <w:bCs w:val="0"/>
                <w:color w:val="auto"/>
                <w:spacing w:val="0"/>
                <w:sz w:val="24"/>
                <w:highlight w:val="none"/>
                <w:lang w:val="en-US" w:eastAsia="zh-CN"/>
              </w:rPr>
              <w:t>2）一般固体废物</w:t>
            </w:r>
          </w:p>
          <w:p w14:paraId="41AC20E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0"/>
                <w:sz w:val="24"/>
                <w:highlight w:val="none"/>
                <w:lang w:val="en-US" w:eastAsia="zh-CN"/>
              </w:rPr>
            </w:pPr>
            <w:r>
              <w:rPr>
                <w:rFonts w:hint="eastAsia"/>
                <w:b w:val="0"/>
                <w:bCs w:val="0"/>
                <w:color w:val="auto"/>
                <w:spacing w:val="0"/>
                <w:sz w:val="24"/>
                <w:highlight w:val="none"/>
                <w:lang w:val="en-US" w:eastAsia="zh-CN"/>
              </w:rPr>
              <w:t>项目产生的一般固体废物主要为诊断、治疗、住院过程中产生的无害的医药外包装物、未被污染的一次性输液瓶（袋）、废紫外线灯珠。</w:t>
            </w:r>
          </w:p>
          <w:p w14:paraId="0CC4E7C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0"/>
                <w:sz w:val="24"/>
                <w:highlight w:val="none"/>
                <w:lang w:val="en-US" w:eastAsia="zh-CN"/>
              </w:rPr>
            </w:pPr>
            <w:r>
              <w:rPr>
                <w:rFonts w:hint="default"/>
                <w:b w:val="0"/>
                <w:bCs w:val="0"/>
                <w:color w:val="auto"/>
                <w:spacing w:val="0"/>
                <w:sz w:val="24"/>
                <w:highlight w:val="none"/>
                <w:lang w:val="en-US" w:eastAsia="zh-CN"/>
              </w:rPr>
              <w:t>①</w:t>
            </w:r>
            <w:r>
              <w:rPr>
                <w:rFonts w:hint="eastAsia"/>
                <w:b w:val="0"/>
                <w:bCs w:val="0"/>
                <w:color w:val="auto"/>
                <w:spacing w:val="0"/>
                <w:sz w:val="24"/>
                <w:highlight w:val="none"/>
                <w:lang w:val="en-US" w:eastAsia="zh-CN"/>
              </w:rPr>
              <w:t>无害的医药外包装物</w:t>
            </w:r>
          </w:p>
          <w:p w14:paraId="7E4A762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0"/>
                <w:sz w:val="24"/>
                <w:highlight w:val="none"/>
                <w:lang w:val="en-US" w:eastAsia="zh-CN"/>
              </w:rPr>
            </w:pPr>
            <w:r>
              <w:rPr>
                <w:rFonts w:hint="eastAsia"/>
                <w:b w:val="0"/>
                <w:bCs w:val="0"/>
                <w:color w:val="auto"/>
                <w:spacing w:val="0"/>
                <w:sz w:val="24"/>
                <w:highlight w:val="none"/>
                <w:lang w:val="en-US" w:eastAsia="zh-CN"/>
              </w:rPr>
              <w:t>根据《固体废物分类与代码目录》，无害的医药外包装物固废代码为900-005-S17。</w:t>
            </w:r>
          </w:p>
          <w:p w14:paraId="5FCBD12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0"/>
                <w:sz w:val="24"/>
                <w:highlight w:val="none"/>
                <w:lang w:val="en-US" w:eastAsia="zh-CN"/>
              </w:rPr>
            </w:pPr>
            <w:r>
              <w:rPr>
                <w:rFonts w:hint="eastAsia"/>
                <w:b w:val="0"/>
                <w:bCs w:val="0"/>
                <w:color w:val="auto"/>
                <w:spacing w:val="0"/>
                <w:sz w:val="24"/>
                <w:highlight w:val="none"/>
                <w:lang w:val="en-US" w:eastAsia="zh-CN"/>
              </w:rPr>
              <w:t>根据医院提供资料，本项目无害的医药外包装物产生量约为1.5t/a。分类收集，直接交由物资回收部门处理，不在院内贮存。</w:t>
            </w:r>
          </w:p>
          <w:p w14:paraId="40E3AED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0"/>
                <w:sz w:val="24"/>
                <w:highlight w:val="none"/>
                <w:lang w:val="en-US" w:eastAsia="zh-CN"/>
              </w:rPr>
            </w:pPr>
            <w:r>
              <w:rPr>
                <w:rFonts w:hint="eastAsia"/>
                <w:b w:val="0"/>
                <w:bCs w:val="0"/>
                <w:color w:val="auto"/>
                <w:spacing w:val="0"/>
                <w:sz w:val="24"/>
                <w:highlight w:val="none"/>
                <w:lang w:val="en-US" w:eastAsia="zh-CN"/>
              </w:rPr>
              <w:t>②未被污染的一次性输液瓶（袋）</w:t>
            </w:r>
          </w:p>
          <w:p w14:paraId="010EE20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0"/>
                <w:sz w:val="24"/>
                <w:highlight w:val="none"/>
                <w:lang w:val="en-US" w:eastAsia="zh-CN"/>
              </w:rPr>
            </w:pPr>
            <w:r>
              <w:rPr>
                <w:rFonts w:hint="eastAsia"/>
                <w:b w:val="0"/>
                <w:bCs w:val="0"/>
                <w:color w:val="auto"/>
                <w:spacing w:val="0"/>
                <w:sz w:val="24"/>
                <w:highlight w:val="none"/>
                <w:lang w:val="en-US" w:eastAsia="zh-CN"/>
              </w:rPr>
              <w:t>根据《医疗废物分类名录（2021年版）》，未被病人血液、体液、排泄物污染的各种玻璃（一次性塑料）输液瓶（袋），不属于医疗废物，不必按照医疗废物进行管理。根据医院提供资料，本项目未被污染的一次性输液瓶（袋）年产生量约1.0t/a，日产日清，移交回收企业回收。</w:t>
            </w:r>
          </w:p>
          <w:p w14:paraId="3537868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0"/>
                <w:sz w:val="24"/>
                <w:highlight w:val="none"/>
                <w:lang w:val="en-US" w:eastAsia="zh-CN"/>
              </w:rPr>
            </w:pPr>
            <w:r>
              <w:rPr>
                <w:rFonts w:hint="eastAsia"/>
                <w:b w:val="0"/>
                <w:bCs w:val="0"/>
                <w:color w:val="auto"/>
                <w:spacing w:val="0"/>
                <w:sz w:val="24"/>
                <w:highlight w:val="none"/>
                <w:lang w:val="en-US" w:eastAsia="zh-CN"/>
              </w:rPr>
              <w:t>③废紫外线灯珠</w:t>
            </w:r>
          </w:p>
          <w:p w14:paraId="06CF8D8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0"/>
                <w:sz w:val="24"/>
                <w:highlight w:val="none"/>
                <w:lang w:val="en-US" w:eastAsia="zh-CN"/>
              </w:rPr>
            </w:pPr>
            <w:r>
              <w:rPr>
                <w:rFonts w:hint="eastAsia"/>
                <w:b w:val="0"/>
                <w:bCs w:val="0"/>
                <w:color w:val="auto"/>
                <w:spacing w:val="0"/>
                <w:sz w:val="24"/>
                <w:highlight w:val="none"/>
                <w:lang w:val="en-US" w:eastAsia="zh-CN"/>
              </w:rPr>
              <w:t>本项目运营期会使用消毒灯，灯珠为紫外线灯珠，定期更换会产生废紫外线灯珠，不含汞，因此不属于危险废物，为一般固体废物，产生量约为4kg/a，更换时直接交由厂家回收。</w:t>
            </w:r>
          </w:p>
          <w:p w14:paraId="4C44A8A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0"/>
                <w:sz w:val="24"/>
                <w:highlight w:val="none"/>
                <w:lang w:val="en-US" w:eastAsia="zh-CN"/>
              </w:rPr>
            </w:pPr>
            <w:r>
              <w:rPr>
                <w:rFonts w:hint="eastAsia"/>
                <w:b w:val="0"/>
                <w:bCs w:val="0"/>
                <w:color w:val="auto"/>
                <w:spacing w:val="0"/>
                <w:sz w:val="24"/>
                <w:highlight w:val="none"/>
                <w:lang w:val="en-US" w:eastAsia="zh-CN"/>
              </w:rPr>
              <w:t>上述一般固体废物均日产日清，不在院内贮存。</w:t>
            </w:r>
          </w:p>
          <w:p w14:paraId="48C1136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b w:val="0"/>
                <w:bCs w:val="0"/>
                <w:color w:val="auto"/>
                <w:spacing w:val="-10"/>
                <w:sz w:val="24"/>
                <w:highlight w:val="none"/>
                <w:lang w:val="en-US" w:eastAsia="zh-CN"/>
              </w:rPr>
            </w:pPr>
            <w:r>
              <w:rPr>
                <w:rFonts w:hint="eastAsia"/>
                <w:b/>
                <w:bCs/>
                <w:color w:val="auto"/>
                <w:spacing w:val="0"/>
                <w:sz w:val="21"/>
                <w:szCs w:val="21"/>
                <w:highlight w:val="none"/>
                <w:lang w:val="en-US" w:eastAsia="zh-CN"/>
              </w:rPr>
              <w:t>表4-17 一般固体废物产生情况一览表</w:t>
            </w:r>
          </w:p>
          <w:tbl>
            <w:tblPr>
              <w:tblStyle w:val="13"/>
              <w:tblW w:w="8513"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29"/>
              <w:gridCol w:w="2115"/>
              <w:gridCol w:w="1125"/>
              <w:gridCol w:w="1545"/>
              <w:gridCol w:w="1380"/>
              <w:gridCol w:w="1619"/>
            </w:tblGrid>
            <w:tr w14:paraId="74222E4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9" w:type="dxa"/>
                  <w:tcBorders>
                    <w:tl2br w:val="nil"/>
                    <w:tr2bl w:val="nil"/>
                  </w:tcBorders>
                  <w:vAlign w:val="center"/>
                </w:tcPr>
                <w:p w14:paraId="362369C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0"/>
                      <w:sz w:val="21"/>
                      <w:szCs w:val="21"/>
                      <w:highlight w:val="none"/>
                      <w:vertAlign w:val="baseline"/>
                      <w:lang w:val="en-US" w:eastAsia="zh-CN"/>
                    </w:rPr>
                  </w:pPr>
                  <w:r>
                    <w:rPr>
                      <w:rFonts w:hint="eastAsia"/>
                      <w:b/>
                      <w:bCs/>
                      <w:color w:val="auto"/>
                      <w:spacing w:val="0"/>
                      <w:sz w:val="21"/>
                      <w:szCs w:val="21"/>
                      <w:highlight w:val="none"/>
                      <w:vertAlign w:val="baseline"/>
                      <w:lang w:val="en-US" w:eastAsia="zh-CN"/>
                    </w:rPr>
                    <w:t>废物属性</w:t>
                  </w:r>
                </w:p>
              </w:tc>
              <w:tc>
                <w:tcPr>
                  <w:tcW w:w="2115" w:type="dxa"/>
                  <w:tcBorders>
                    <w:tl2br w:val="nil"/>
                    <w:tr2bl w:val="nil"/>
                  </w:tcBorders>
                  <w:vAlign w:val="center"/>
                </w:tcPr>
                <w:p w14:paraId="63E6ED6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0"/>
                      <w:sz w:val="21"/>
                      <w:szCs w:val="21"/>
                      <w:highlight w:val="none"/>
                      <w:vertAlign w:val="baseline"/>
                      <w:lang w:val="en-US" w:eastAsia="zh-CN"/>
                    </w:rPr>
                  </w:pPr>
                  <w:r>
                    <w:rPr>
                      <w:rFonts w:hint="eastAsia"/>
                      <w:b/>
                      <w:bCs/>
                      <w:color w:val="auto"/>
                      <w:spacing w:val="0"/>
                      <w:sz w:val="21"/>
                      <w:szCs w:val="21"/>
                      <w:highlight w:val="none"/>
                      <w:vertAlign w:val="baseline"/>
                      <w:lang w:val="en-US" w:eastAsia="zh-CN"/>
                    </w:rPr>
                    <w:t>产生环节</w:t>
                  </w:r>
                </w:p>
              </w:tc>
              <w:tc>
                <w:tcPr>
                  <w:tcW w:w="1125" w:type="dxa"/>
                  <w:tcBorders>
                    <w:tl2br w:val="nil"/>
                    <w:tr2bl w:val="nil"/>
                  </w:tcBorders>
                  <w:vAlign w:val="center"/>
                </w:tcPr>
                <w:p w14:paraId="060BA46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0"/>
                      <w:sz w:val="21"/>
                      <w:szCs w:val="21"/>
                      <w:highlight w:val="none"/>
                      <w:vertAlign w:val="baseline"/>
                      <w:lang w:val="en-US" w:eastAsia="zh-CN"/>
                    </w:rPr>
                  </w:pPr>
                  <w:r>
                    <w:rPr>
                      <w:rFonts w:hint="eastAsia"/>
                      <w:b/>
                      <w:bCs/>
                      <w:color w:val="auto"/>
                      <w:spacing w:val="0"/>
                      <w:sz w:val="21"/>
                      <w:szCs w:val="21"/>
                      <w:highlight w:val="none"/>
                      <w:vertAlign w:val="baseline"/>
                      <w:lang w:val="en-US" w:eastAsia="zh-CN"/>
                    </w:rPr>
                    <w:t>产生情况t/a</w:t>
                  </w:r>
                </w:p>
              </w:tc>
              <w:tc>
                <w:tcPr>
                  <w:tcW w:w="1545" w:type="dxa"/>
                  <w:tcBorders>
                    <w:tl2br w:val="nil"/>
                    <w:tr2bl w:val="nil"/>
                  </w:tcBorders>
                  <w:vAlign w:val="center"/>
                </w:tcPr>
                <w:p w14:paraId="51D817F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0"/>
                      <w:sz w:val="21"/>
                      <w:szCs w:val="21"/>
                      <w:highlight w:val="none"/>
                      <w:vertAlign w:val="baseline"/>
                      <w:lang w:val="en-US" w:eastAsia="zh-CN"/>
                    </w:rPr>
                  </w:pPr>
                  <w:r>
                    <w:rPr>
                      <w:rFonts w:hint="eastAsia"/>
                      <w:b/>
                      <w:bCs/>
                      <w:color w:val="auto"/>
                      <w:spacing w:val="0"/>
                      <w:sz w:val="21"/>
                      <w:szCs w:val="21"/>
                      <w:highlight w:val="none"/>
                      <w:vertAlign w:val="baseline"/>
                      <w:lang w:val="en-US" w:eastAsia="zh-CN"/>
                    </w:rPr>
                    <w:t>自行处置/利用量t/a</w:t>
                  </w:r>
                </w:p>
              </w:tc>
              <w:tc>
                <w:tcPr>
                  <w:tcW w:w="1380" w:type="dxa"/>
                  <w:tcBorders>
                    <w:tl2br w:val="nil"/>
                    <w:tr2bl w:val="nil"/>
                  </w:tcBorders>
                  <w:vAlign w:val="center"/>
                </w:tcPr>
                <w:p w14:paraId="7D5C6A9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0"/>
                      <w:sz w:val="21"/>
                      <w:szCs w:val="21"/>
                      <w:highlight w:val="none"/>
                      <w:vertAlign w:val="baseline"/>
                      <w:lang w:val="en-US" w:eastAsia="zh-CN"/>
                    </w:rPr>
                  </w:pPr>
                  <w:r>
                    <w:rPr>
                      <w:rFonts w:hint="eastAsia"/>
                      <w:b/>
                      <w:bCs/>
                      <w:color w:val="auto"/>
                      <w:spacing w:val="0"/>
                      <w:sz w:val="21"/>
                      <w:szCs w:val="21"/>
                      <w:highlight w:val="none"/>
                      <w:vertAlign w:val="baseline"/>
                      <w:lang w:val="en-US" w:eastAsia="zh-CN"/>
                    </w:rPr>
                    <w:t>委托处置/利用量t/a</w:t>
                  </w:r>
                </w:p>
              </w:tc>
              <w:tc>
                <w:tcPr>
                  <w:tcW w:w="1619" w:type="dxa"/>
                  <w:tcBorders>
                    <w:tl2br w:val="nil"/>
                    <w:tr2bl w:val="nil"/>
                  </w:tcBorders>
                  <w:vAlign w:val="center"/>
                </w:tcPr>
                <w:p w14:paraId="2309DFE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0"/>
                      <w:sz w:val="21"/>
                      <w:szCs w:val="21"/>
                      <w:highlight w:val="none"/>
                      <w:vertAlign w:val="baseline"/>
                      <w:lang w:val="en-US" w:eastAsia="zh-CN"/>
                    </w:rPr>
                  </w:pPr>
                  <w:r>
                    <w:rPr>
                      <w:rFonts w:hint="eastAsia"/>
                      <w:b/>
                      <w:bCs/>
                      <w:color w:val="auto"/>
                      <w:spacing w:val="0"/>
                      <w:sz w:val="21"/>
                      <w:szCs w:val="21"/>
                      <w:highlight w:val="none"/>
                      <w:vertAlign w:val="baseline"/>
                      <w:lang w:val="en-US" w:eastAsia="zh-CN"/>
                    </w:rPr>
                    <w:t>最终去向</w:t>
                  </w:r>
                </w:p>
              </w:tc>
            </w:tr>
            <w:tr w14:paraId="305CC1F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9" w:type="dxa"/>
                  <w:vMerge w:val="restart"/>
                  <w:tcBorders>
                    <w:tl2br w:val="nil"/>
                    <w:tr2bl w:val="nil"/>
                  </w:tcBorders>
                  <w:vAlign w:val="center"/>
                </w:tcPr>
                <w:p w14:paraId="50767DF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一般固体废物</w:t>
                  </w:r>
                </w:p>
              </w:tc>
              <w:tc>
                <w:tcPr>
                  <w:tcW w:w="2115" w:type="dxa"/>
                  <w:tcBorders>
                    <w:tl2br w:val="nil"/>
                    <w:tr2bl w:val="nil"/>
                  </w:tcBorders>
                  <w:vAlign w:val="center"/>
                </w:tcPr>
                <w:p w14:paraId="7C5553E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无害的医药外包装物</w:t>
                  </w:r>
                </w:p>
              </w:tc>
              <w:tc>
                <w:tcPr>
                  <w:tcW w:w="1125" w:type="dxa"/>
                  <w:tcBorders>
                    <w:tl2br w:val="nil"/>
                    <w:tr2bl w:val="nil"/>
                  </w:tcBorders>
                  <w:vAlign w:val="center"/>
                </w:tcPr>
                <w:p w14:paraId="38EC6F2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1.500</w:t>
                  </w:r>
                </w:p>
              </w:tc>
              <w:tc>
                <w:tcPr>
                  <w:tcW w:w="1545" w:type="dxa"/>
                  <w:tcBorders>
                    <w:tl2br w:val="nil"/>
                    <w:tr2bl w:val="nil"/>
                  </w:tcBorders>
                  <w:vAlign w:val="center"/>
                </w:tcPr>
                <w:p w14:paraId="0EBCD73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w:t>
                  </w:r>
                </w:p>
              </w:tc>
              <w:tc>
                <w:tcPr>
                  <w:tcW w:w="1380" w:type="dxa"/>
                  <w:tcBorders>
                    <w:tl2br w:val="nil"/>
                    <w:tr2bl w:val="nil"/>
                  </w:tcBorders>
                  <w:vAlign w:val="center"/>
                </w:tcPr>
                <w:p w14:paraId="290A29C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1.500</w:t>
                  </w:r>
                </w:p>
              </w:tc>
              <w:tc>
                <w:tcPr>
                  <w:tcW w:w="1619" w:type="dxa"/>
                  <w:tcBorders>
                    <w:tl2br w:val="nil"/>
                    <w:tr2bl w:val="nil"/>
                  </w:tcBorders>
                  <w:vAlign w:val="center"/>
                </w:tcPr>
                <w:p w14:paraId="7035E74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分类收集后由物资部门回收</w:t>
                  </w:r>
                </w:p>
              </w:tc>
            </w:tr>
            <w:tr w14:paraId="171AB2F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9" w:type="dxa"/>
                  <w:vMerge w:val="continue"/>
                  <w:tcBorders>
                    <w:tl2br w:val="nil"/>
                    <w:tr2bl w:val="nil"/>
                  </w:tcBorders>
                  <w:vAlign w:val="center"/>
                </w:tcPr>
                <w:p w14:paraId="7EBFF92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p>
              </w:tc>
              <w:tc>
                <w:tcPr>
                  <w:tcW w:w="2115" w:type="dxa"/>
                  <w:tcBorders>
                    <w:tl2br w:val="nil"/>
                    <w:tr2bl w:val="nil"/>
                  </w:tcBorders>
                  <w:vAlign w:val="center"/>
                </w:tcPr>
                <w:p w14:paraId="33AAD9B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default"/>
                      <w:b w:val="0"/>
                      <w:bCs w:val="0"/>
                      <w:color w:val="auto"/>
                      <w:spacing w:val="0"/>
                      <w:sz w:val="21"/>
                      <w:szCs w:val="21"/>
                      <w:highlight w:val="none"/>
                      <w:vertAlign w:val="baseline"/>
                      <w:lang w:val="en-US" w:eastAsia="zh-CN"/>
                    </w:rPr>
                    <w:t>未被污染的一次性输液瓶（袋）</w:t>
                  </w:r>
                </w:p>
              </w:tc>
              <w:tc>
                <w:tcPr>
                  <w:tcW w:w="1125" w:type="dxa"/>
                  <w:tcBorders>
                    <w:tl2br w:val="nil"/>
                    <w:tr2bl w:val="nil"/>
                  </w:tcBorders>
                  <w:vAlign w:val="center"/>
                </w:tcPr>
                <w:p w14:paraId="565F3B3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1.000</w:t>
                  </w:r>
                </w:p>
              </w:tc>
              <w:tc>
                <w:tcPr>
                  <w:tcW w:w="1545" w:type="dxa"/>
                  <w:tcBorders>
                    <w:tl2br w:val="nil"/>
                    <w:tr2bl w:val="nil"/>
                  </w:tcBorders>
                  <w:vAlign w:val="center"/>
                </w:tcPr>
                <w:p w14:paraId="427D16C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w:t>
                  </w:r>
                </w:p>
              </w:tc>
              <w:tc>
                <w:tcPr>
                  <w:tcW w:w="1380" w:type="dxa"/>
                  <w:tcBorders>
                    <w:tl2br w:val="nil"/>
                    <w:tr2bl w:val="nil"/>
                  </w:tcBorders>
                  <w:vAlign w:val="center"/>
                </w:tcPr>
                <w:p w14:paraId="0A24557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1.000</w:t>
                  </w:r>
                </w:p>
              </w:tc>
              <w:tc>
                <w:tcPr>
                  <w:tcW w:w="1619" w:type="dxa"/>
                  <w:tcBorders>
                    <w:tl2br w:val="nil"/>
                    <w:tr2bl w:val="nil"/>
                  </w:tcBorders>
                  <w:vAlign w:val="center"/>
                </w:tcPr>
                <w:p w14:paraId="40C3938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移交回收企业回收</w:t>
                  </w:r>
                </w:p>
              </w:tc>
            </w:tr>
            <w:tr w14:paraId="7A87280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9" w:type="dxa"/>
                  <w:vMerge w:val="continue"/>
                  <w:tcBorders>
                    <w:tl2br w:val="nil"/>
                    <w:tr2bl w:val="nil"/>
                  </w:tcBorders>
                  <w:vAlign w:val="center"/>
                </w:tcPr>
                <w:p w14:paraId="4374838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p>
              </w:tc>
              <w:tc>
                <w:tcPr>
                  <w:tcW w:w="2115" w:type="dxa"/>
                  <w:tcBorders>
                    <w:tl2br w:val="nil"/>
                    <w:tr2bl w:val="nil"/>
                  </w:tcBorders>
                  <w:vAlign w:val="center"/>
                </w:tcPr>
                <w:p w14:paraId="5A0F0CC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default"/>
                      <w:b w:val="0"/>
                      <w:bCs w:val="0"/>
                      <w:color w:val="auto"/>
                      <w:spacing w:val="0"/>
                      <w:sz w:val="21"/>
                      <w:szCs w:val="21"/>
                      <w:highlight w:val="none"/>
                      <w:vertAlign w:val="baseline"/>
                      <w:lang w:val="en-US" w:eastAsia="zh-CN"/>
                    </w:rPr>
                    <w:t>废紫外线灯珠</w:t>
                  </w:r>
                </w:p>
              </w:tc>
              <w:tc>
                <w:tcPr>
                  <w:tcW w:w="1125" w:type="dxa"/>
                  <w:tcBorders>
                    <w:tl2br w:val="nil"/>
                    <w:tr2bl w:val="nil"/>
                  </w:tcBorders>
                  <w:vAlign w:val="center"/>
                </w:tcPr>
                <w:p w14:paraId="55E522C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0.004</w:t>
                  </w:r>
                </w:p>
              </w:tc>
              <w:tc>
                <w:tcPr>
                  <w:tcW w:w="1545" w:type="dxa"/>
                  <w:tcBorders>
                    <w:tl2br w:val="nil"/>
                    <w:tr2bl w:val="nil"/>
                  </w:tcBorders>
                  <w:vAlign w:val="center"/>
                </w:tcPr>
                <w:p w14:paraId="557D3F2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w:t>
                  </w:r>
                </w:p>
              </w:tc>
              <w:tc>
                <w:tcPr>
                  <w:tcW w:w="1380" w:type="dxa"/>
                  <w:tcBorders>
                    <w:tl2br w:val="nil"/>
                    <w:tr2bl w:val="nil"/>
                  </w:tcBorders>
                  <w:vAlign w:val="center"/>
                </w:tcPr>
                <w:p w14:paraId="03BAB19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0.004</w:t>
                  </w:r>
                </w:p>
              </w:tc>
              <w:tc>
                <w:tcPr>
                  <w:tcW w:w="1619" w:type="dxa"/>
                  <w:tcBorders>
                    <w:tl2br w:val="nil"/>
                    <w:tr2bl w:val="nil"/>
                  </w:tcBorders>
                  <w:vAlign w:val="center"/>
                </w:tcPr>
                <w:p w14:paraId="5A50B04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生产厂家回收再利用</w:t>
                  </w:r>
                </w:p>
              </w:tc>
            </w:tr>
            <w:tr w14:paraId="496C47D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44" w:type="dxa"/>
                  <w:gridSpan w:val="2"/>
                  <w:tcBorders>
                    <w:tl2br w:val="nil"/>
                    <w:tr2bl w:val="nil"/>
                  </w:tcBorders>
                  <w:vAlign w:val="center"/>
                </w:tcPr>
                <w:p w14:paraId="6C87C05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合计</w:t>
                  </w:r>
                </w:p>
              </w:tc>
              <w:tc>
                <w:tcPr>
                  <w:tcW w:w="1125" w:type="dxa"/>
                  <w:tcBorders>
                    <w:tl2br w:val="nil"/>
                    <w:tr2bl w:val="nil"/>
                  </w:tcBorders>
                  <w:vAlign w:val="center"/>
                </w:tcPr>
                <w:p w14:paraId="07BAC3C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2.504</w:t>
                  </w:r>
                </w:p>
              </w:tc>
              <w:tc>
                <w:tcPr>
                  <w:tcW w:w="1545" w:type="dxa"/>
                  <w:tcBorders>
                    <w:tl2br w:val="nil"/>
                    <w:tr2bl w:val="nil"/>
                  </w:tcBorders>
                  <w:vAlign w:val="center"/>
                </w:tcPr>
                <w:p w14:paraId="63378C1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w:t>
                  </w:r>
                </w:p>
              </w:tc>
              <w:tc>
                <w:tcPr>
                  <w:tcW w:w="1380" w:type="dxa"/>
                  <w:tcBorders>
                    <w:tl2br w:val="nil"/>
                    <w:tr2bl w:val="nil"/>
                  </w:tcBorders>
                  <w:vAlign w:val="center"/>
                </w:tcPr>
                <w:p w14:paraId="1361018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2.504</w:t>
                  </w:r>
                </w:p>
              </w:tc>
              <w:tc>
                <w:tcPr>
                  <w:tcW w:w="1619" w:type="dxa"/>
                  <w:tcBorders>
                    <w:tl2br w:val="nil"/>
                    <w:tr2bl w:val="nil"/>
                  </w:tcBorders>
                  <w:vAlign w:val="center"/>
                </w:tcPr>
                <w:p w14:paraId="6919BAF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w:t>
                  </w:r>
                </w:p>
              </w:tc>
            </w:tr>
          </w:tbl>
          <w:p w14:paraId="7395642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0"/>
                <w:sz w:val="24"/>
                <w:highlight w:val="none"/>
                <w:lang w:val="en-US" w:eastAsia="zh-CN"/>
              </w:rPr>
            </w:pPr>
            <w:r>
              <w:rPr>
                <w:rFonts w:hint="eastAsia"/>
                <w:b w:val="0"/>
                <w:bCs w:val="0"/>
                <w:color w:val="auto"/>
                <w:spacing w:val="0"/>
                <w:sz w:val="24"/>
                <w:highlight w:val="none"/>
                <w:lang w:val="en-US" w:eastAsia="zh-CN"/>
              </w:rPr>
              <w:t>3）生活垃圾</w:t>
            </w:r>
          </w:p>
          <w:p w14:paraId="556C907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0"/>
                <w:sz w:val="24"/>
                <w:highlight w:val="none"/>
                <w:lang w:val="en-US" w:eastAsia="zh-CN"/>
              </w:rPr>
            </w:pPr>
            <w:r>
              <w:rPr>
                <w:rFonts w:hint="eastAsia"/>
                <w:b w:val="0"/>
                <w:bCs w:val="0"/>
                <w:color w:val="auto"/>
                <w:spacing w:val="0"/>
                <w:sz w:val="24"/>
                <w:highlight w:val="none"/>
                <w:lang w:val="en-US" w:eastAsia="zh-CN"/>
              </w:rPr>
              <w:t>①医院员工生活垃圾</w:t>
            </w:r>
          </w:p>
          <w:p w14:paraId="535F20E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0"/>
                <w:sz w:val="24"/>
                <w:highlight w:val="none"/>
                <w:lang w:val="en-US" w:eastAsia="zh-CN"/>
              </w:rPr>
            </w:pPr>
            <w:r>
              <w:rPr>
                <w:rFonts w:hint="eastAsia"/>
                <w:b w:val="0"/>
                <w:bCs w:val="0"/>
                <w:color w:val="auto"/>
                <w:spacing w:val="0"/>
                <w:sz w:val="24"/>
                <w:highlight w:val="none"/>
                <w:lang w:val="en-US" w:eastAsia="zh-CN"/>
              </w:rPr>
              <w:t>本项目医护及行政后勤人员共计为20人，生活垃圾包括办公垃圾按0.5kg/人·d计，年工作365天，医院员工生活垃圾产生量约为3.650t/a。</w:t>
            </w:r>
          </w:p>
          <w:p w14:paraId="3828F42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0"/>
                <w:sz w:val="24"/>
                <w:highlight w:val="none"/>
                <w:lang w:val="en-US" w:eastAsia="zh-CN"/>
              </w:rPr>
            </w:pPr>
            <w:r>
              <w:rPr>
                <w:rFonts w:hint="eastAsia"/>
                <w:b w:val="0"/>
                <w:bCs w:val="0"/>
                <w:color w:val="auto"/>
                <w:spacing w:val="0"/>
                <w:sz w:val="24"/>
                <w:highlight w:val="none"/>
                <w:lang w:val="en-US" w:eastAsia="zh-CN"/>
              </w:rPr>
              <w:t>②病房生活垃圾</w:t>
            </w:r>
          </w:p>
          <w:p w14:paraId="43D2D4E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0"/>
                <w:sz w:val="24"/>
                <w:highlight w:val="none"/>
                <w:lang w:val="en-US" w:eastAsia="zh-CN"/>
              </w:rPr>
            </w:pPr>
            <w:r>
              <w:rPr>
                <w:rFonts w:hint="eastAsia"/>
                <w:b w:val="0"/>
                <w:bCs w:val="0"/>
                <w:color w:val="auto"/>
                <w:spacing w:val="0"/>
                <w:sz w:val="24"/>
                <w:highlight w:val="none"/>
                <w:lang w:val="en-US" w:eastAsia="zh-CN"/>
              </w:rPr>
              <w:t>本项目共设置20张住院床位，住院病人生活垃圾按每床1.0kg/d计，年工作365天，则病房生活垃圾产生量约为7.300t/a。</w:t>
            </w:r>
          </w:p>
          <w:p w14:paraId="426E7F2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0"/>
                <w:sz w:val="24"/>
                <w:highlight w:val="none"/>
                <w:lang w:val="en-US" w:eastAsia="zh-CN"/>
              </w:rPr>
            </w:pPr>
            <w:r>
              <w:rPr>
                <w:rFonts w:hint="eastAsia"/>
                <w:b w:val="0"/>
                <w:bCs w:val="0"/>
                <w:color w:val="auto"/>
                <w:spacing w:val="0"/>
                <w:sz w:val="24"/>
                <w:highlight w:val="none"/>
                <w:lang w:val="en-US" w:eastAsia="zh-CN"/>
              </w:rPr>
              <w:t>③门诊病人生活垃圾</w:t>
            </w:r>
          </w:p>
          <w:p w14:paraId="14D97EF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0"/>
                <w:sz w:val="24"/>
                <w:highlight w:val="none"/>
                <w:lang w:val="en-US" w:eastAsia="zh-CN"/>
              </w:rPr>
            </w:pPr>
            <w:r>
              <w:rPr>
                <w:rFonts w:hint="eastAsia"/>
                <w:b w:val="0"/>
                <w:bCs w:val="0"/>
                <w:color w:val="auto"/>
                <w:spacing w:val="0"/>
                <w:sz w:val="24"/>
                <w:highlight w:val="none"/>
                <w:lang w:val="en-US" w:eastAsia="zh-CN"/>
              </w:rPr>
              <w:t>本项目医院最大门诊量设计60人/d，生活垃圾按0.1kg/人，年工作365天，则病房生活垃圾产生量约为2.190t/a。</w:t>
            </w:r>
          </w:p>
          <w:p w14:paraId="2D1FEF3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0"/>
                <w:sz w:val="24"/>
                <w:highlight w:val="none"/>
                <w:lang w:val="en-US" w:eastAsia="zh-CN"/>
              </w:rPr>
            </w:pPr>
            <w:r>
              <w:rPr>
                <w:rFonts w:hint="eastAsia"/>
                <w:b w:val="0"/>
                <w:bCs w:val="0"/>
                <w:color w:val="auto"/>
                <w:spacing w:val="0"/>
                <w:sz w:val="24"/>
                <w:highlight w:val="none"/>
                <w:lang w:val="en-US" w:eastAsia="zh-CN"/>
              </w:rPr>
              <w:t>综上，本项目生活垃圾产生量约为13.140t/a。生活垃圾分类收集，集中收集后由大厦物业部门统一清运，日产日清。</w:t>
            </w:r>
          </w:p>
          <w:p w14:paraId="6DEB7C6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0"/>
                <w:sz w:val="24"/>
                <w:highlight w:val="none"/>
                <w:lang w:val="en-US" w:eastAsia="zh-CN"/>
              </w:rPr>
            </w:pPr>
            <w:r>
              <w:rPr>
                <w:rFonts w:hint="eastAsia"/>
                <w:b w:val="0"/>
                <w:bCs w:val="0"/>
                <w:color w:val="auto"/>
                <w:spacing w:val="0"/>
                <w:sz w:val="24"/>
                <w:highlight w:val="none"/>
                <w:lang w:val="en-US" w:eastAsia="zh-CN"/>
              </w:rPr>
              <w:t>（2）环境管理要求</w:t>
            </w:r>
          </w:p>
          <w:p w14:paraId="3BB3C27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0"/>
                <w:sz w:val="24"/>
                <w:highlight w:val="none"/>
                <w:lang w:val="en-US" w:eastAsia="zh-CN"/>
              </w:rPr>
            </w:pPr>
            <w:r>
              <w:rPr>
                <w:rFonts w:hint="eastAsia"/>
                <w:b w:val="0"/>
                <w:bCs w:val="0"/>
                <w:color w:val="auto"/>
                <w:spacing w:val="0"/>
                <w:sz w:val="24"/>
                <w:highlight w:val="none"/>
                <w:lang w:val="en-US" w:eastAsia="zh-CN"/>
              </w:rPr>
              <w:t>①选址可行性</w:t>
            </w:r>
          </w:p>
          <w:p w14:paraId="2EE35D2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0"/>
                <w:sz w:val="24"/>
                <w:highlight w:val="none"/>
                <w:lang w:val="en-US" w:eastAsia="zh-CN"/>
              </w:rPr>
            </w:pPr>
            <w:r>
              <w:rPr>
                <w:rFonts w:hint="eastAsia"/>
                <w:b w:val="0"/>
                <w:bCs w:val="0"/>
                <w:color w:val="auto"/>
                <w:spacing w:val="0"/>
                <w:sz w:val="24"/>
                <w:highlight w:val="none"/>
                <w:lang w:val="en-US" w:eastAsia="zh-CN"/>
              </w:rPr>
              <w:t>项目建设单位按照《中华人民共和国固体废物污染环境防治法》（2020年版）、《危险废物贮存污染控制标准》（GB18597-2023）、《北京市危险废物污染环境防治条例》（2020年6月5日通过，2020年9月1日实施）等文件的相关规定进行危险废物暂存间的设计和建设，并做好“四防”（防风、防雨、防晒、防渗漏）。项目设置1个医疗废物暂存间，位于在医院中部，暂存间为封闭结构，室内采取防渗措施，下方不与地下土层直接相临。危险废物不露天存放，暂存间具有防风、放雨、防晒及防</w:t>
            </w:r>
            <w:bookmarkStart w:id="1" w:name="_GoBack"/>
            <w:bookmarkEnd w:id="1"/>
            <w:r>
              <w:rPr>
                <w:rFonts w:hint="eastAsia"/>
                <w:b w:val="0"/>
                <w:bCs w:val="0"/>
                <w:color w:val="auto"/>
                <w:spacing w:val="0"/>
                <w:sz w:val="24"/>
                <w:highlight w:val="none"/>
                <w:lang w:val="en-US" w:eastAsia="zh-CN"/>
              </w:rPr>
              <w:t>渗漏能力，其选址是可行的。</w:t>
            </w:r>
          </w:p>
          <w:p w14:paraId="2C7C274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10"/>
                <w:sz w:val="24"/>
                <w:highlight w:val="none"/>
                <w:lang w:val="en-US" w:eastAsia="zh-CN"/>
              </w:rPr>
            </w:pPr>
            <w:r>
              <w:rPr>
                <w:rFonts w:hint="eastAsia"/>
                <w:b w:val="0"/>
                <w:bCs w:val="0"/>
                <w:color w:val="auto"/>
                <w:spacing w:val="0"/>
                <w:sz w:val="24"/>
                <w:highlight w:val="none"/>
                <w:lang w:val="en-US" w:eastAsia="zh-CN"/>
              </w:rPr>
              <w:t>此外，医疗废物暂存间门上应张贴专用警示标识。项目医疗废物暂存间（设施）基本情况见下表。</w:t>
            </w:r>
          </w:p>
          <w:p w14:paraId="280831D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b/>
                <w:bCs/>
                <w:color w:val="auto"/>
                <w:spacing w:val="-10"/>
                <w:sz w:val="21"/>
                <w:szCs w:val="21"/>
                <w:highlight w:val="none"/>
                <w:lang w:val="en-US" w:eastAsia="zh-CN"/>
              </w:rPr>
            </w:pPr>
            <w:r>
              <w:rPr>
                <w:rFonts w:hint="eastAsia"/>
                <w:b/>
                <w:bCs/>
                <w:color w:val="auto"/>
                <w:spacing w:val="0"/>
                <w:sz w:val="21"/>
                <w:szCs w:val="21"/>
                <w:highlight w:val="none"/>
                <w:lang w:val="en-US" w:eastAsia="zh-CN"/>
              </w:rPr>
              <w:t>表4-18 危险废物贮存场所（设施）基本情况表</w:t>
            </w:r>
          </w:p>
          <w:tbl>
            <w:tblPr>
              <w:tblStyle w:val="13"/>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06"/>
              <w:gridCol w:w="1018"/>
              <w:gridCol w:w="1380"/>
              <w:gridCol w:w="2565"/>
              <w:gridCol w:w="795"/>
              <w:gridCol w:w="810"/>
              <w:gridCol w:w="780"/>
              <w:gridCol w:w="659"/>
            </w:tblGrid>
            <w:tr w14:paraId="1A9986E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6" w:type="dxa"/>
                  <w:tcBorders>
                    <w:tl2br w:val="nil"/>
                    <w:tr2bl w:val="nil"/>
                  </w:tcBorders>
                  <w:vAlign w:val="center"/>
                </w:tcPr>
                <w:p w14:paraId="458639C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10"/>
                      <w:sz w:val="21"/>
                      <w:szCs w:val="21"/>
                      <w:highlight w:val="none"/>
                      <w:vertAlign w:val="baseline"/>
                      <w:lang w:val="en-US" w:eastAsia="zh-CN"/>
                    </w:rPr>
                  </w:pPr>
                  <w:r>
                    <w:rPr>
                      <w:rFonts w:hint="eastAsia"/>
                      <w:b/>
                      <w:bCs/>
                      <w:color w:val="auto"/>
                      <w:spacing w:val="-10"/>
                      <w:sz w:val="21"/>
                      <w:szCs w:val="21"/>
                      <w:highlight w:val="none"/>
                      <w:vertAlign w:val="baseline"/>
                      <w:lang w:val="en-US" w:eastAsia="zh-CN"/>
                    </w:rPr>
                    <w:t>序号</w:t>
                  </w:r>
                </w:p>
              </w:tc>
              <w:tc>
                <w:tcPr>
                  <w:tcW w:w="1018" w:type="dxa"/>
                  <w:tcBorders>
                    <w:tl2br w:val="nil"/>
                    <w:tr2bl w:val="nil"/>
                  </w:tcBorders>
                  <w:vAlign w:val="center"/>
                </w:tcPr>
                <w:p w14:paraId="5A38EBE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bCs/>
                      <w:color w:val="auto"/>
                      <w:spacing w:val="-10"/>
                      <w:sz w:val="21"/>
                      <w:szCs w:val="21"/>
                      <w:highlight w:val="none"/>
                      <w:vertAlign w:val="baseline"/>
                      <w:lang w:val="en-US" w:eastAsia="zh-CN"/>
                    </w:rPr>
                  </w:pPr>
                  <w:r>
                    <w:rPr>
                      <w:rFonts w:hint="eastAsia"/>
                      <w:b/>
                      <w:bCs/>
                      <w:color w:val="auto"/>
                      <w:spacing w:val="-10"/>
                      <w:sz w:val="21"/>
                      <w:szCs w:val="21"/>
                      <w:highlight w:val="none"/>
                      <w:vertAlign w:val="baseline"/>
                      <w:lang w:val="en-US" w:eastAsia="zh-CN"/>
                    </w:rPr>
                    <w:t>贮存</w:t>
                  </w:r>
                </w:p>
                <w:p w14:paraId="00A015D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10"/>
                      <w:sz w:val="21"/>
                      <w:szCs w:val="21"/>
                      <w:highlight w:val="none"/>
                      <w:vertAlign w:val="baseline"/>
                      <w:lang w:val="en-US" w:eastAsia="zh-CN"/>
                    </w:rPr>
                  </w:pPr>
                  <w:r>
                    <w:rPr>
                      <w:rFonts w:hint="eastAsia"/>
                      <w:b/>
                      <w:bCs/>
                      <w:color w:val="auto"/>
                      <w:spacing w:val="-10"/>
                      <w:sz w:val="21"/>
                      <w:szCs w:val="21"/>
                      <w:highlight w:val="none"/>
                      <w:vertAlign w:val="baseline"/>
                      <w:lang w:val="en-US" w:eastAsia="zh-CN"/>
                    </w:rPr>
                    <w:t>场所</w:t>
                  </w:r>
                </w:p>
              </w:tc>
              <w:tc>
                <w:tcPr>
                  <w:tcW w:w="1380" w:type="dxa"/>
                  <w:tcBorders>
                    <w:tl2br w:val="nil"/>
                    <w:tr2bl w:val="nil"/>
                  </w:tcBorders>
                  <w:vAlign w:val="center"/>
                </w:tcPr>
                <w:p w14:paraId="49B78C2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10"/>
                      <w:sz w:val="21"/>
                      <w:szCs w:val="21"/>
                      <w:highlight w:val="none"/>
                      <w:vertAlign w:val="baseline"/>
                      <w:lang w:val="en-US" w:eastAsia="zh-CN"/>
                    </w:rPr>
                  </w:pPr>
                  <w:r>
                    <w:rPr>
                      <w:rFonts w:hint="eastAsia"/>
                      <w:b/>
                      <w:bCs/>
                      <w:color w:val="auto"/>
                      <w:spacing w:val="-10"/>
                      <w:sz w:val="21"/>
                      <w:szCs w:val="21"/>
                      <w:highlight w:val="none"/>
                      <w:vertAlign w:val="baseline"/>
                      <w:lang w:val="en-US" w:eastAsia="zh-CN"/>
                    </w:rPr>
                    <w:t>危险废物名称</w:t>
                  </w:r>
                </w:p>
              </w:tc>
              <w:tc>
                <w:tcPr>
                  <w:tcW w:w="2565" w:type="dxa"/>
                  <w:tcBorders>
                    <w:tl2br w:val="nil"/>
                    <w:tr2bl w:val="nil"/>
                  </w:tcBorders>
                  <w:vAlign w:val="center"/>
                </w:tcPr>
                <w:p w14:paraId="4E8D798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10"/>
                      <w:sz w:val="21"/>
                      <w:szCs w:val="21"/>
                      <w:highlight w:val="none"/>
                      <w:vertAlign w:val="baseline"/>
                      <w:lang w:val="en-US" w:eastAsia="zh-CN"/>
                    </w:rPr>
                  </w:pPr>
                  <w:r>
                    <w:rPr>
                      <w:rFonts w:hint="eastAsia"/>
                      <w:b/>
                      <w:bCs/>
                      <w:color w:val="auto"/>
                      <w:spacing w:val="-10"/>
                      <w:sz w:val="21"/>
                      <w:szCs w:val="21"/>
                      <w:highlight w:val="none"/>
                      <w:vertAlign w:val="baseline"/>
                      <w:lang w:val="en-US" w:eastAsia="zh-CN"/>
                    </w:rPr>
                    <w:t>危险废物类别</w:t>
                  </w:r>
                </w:p>
              </w:tc>
              <w:tc>
                <w:tcPr>
                  <w:tcW w:w="795" w:type="dxa"/>
                  <w:tcBorders>
                    <w:tl2br w:val="nil"/>
                    <w:tr2bl w:val="nil"/>
                  </w:tcBorders>
                  <w:vAlign w:val="center"/>
                </w:tcPr>
                <w:p w14:paraId="6CBBD1C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bCs/>
                      <w:color w:val="auto"/>
                      <w:spacing w:val="-10"/>
                      <w:sz w:val="21"/>
                      <w:szCs w:val="21"/>
                      <w:highlight w:val="none"/>
                      <w:vertAlign w:val="baseline"/>
                      <w:lang w:val="en-US" w:eastAsia="zh-CN"/>
                    </w:rPr>
                  </w:pPr>
                  <w:r>
                    <w:rPr>
                      <w:rFonts w:hint="eastAsia"/>
                      <w:b/>
                      <w:bCs/>
                      <w:color w:val="auto"/>
                      <w:spacing w:val="-10"/>
                      <w:sz w:val="21"/>
                      <w:szCs w:val="21"/>
                      <w:highlight w:val="none"/>
                      <w:vertAlign w:val="baseline"/>
                      <w:lang w:val="en-US" w:eastAsia="zh-CN"/>
                    </w:rPr>
                    <w:t>建筑</w:t>
                  </w:r>
                </w:p>
                <w:p w14:paraId="18A7054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10"/>
                      <w:sz w:val="21"/>
                      <w:szCs w:val="21"/>
                      <w:highlight w:val="none"/>
                      <w:vertAlign w:val="baseline"/>
                      <w:lang w:val="en-US" w:eastAsia="zh-CN"/>
                    </w:rPr>
                  </w:pPr>
                  <w:r>
                    <w:rPr>
                      <w:rFonts w:hint="eastAsia"/>
                      <w:b/>
                      <w:bCs/>
                      <w:color w:val="auto"/>
                      <w:spacing w:val="-10"/>
                      <w:sz w:val="21"/>
                      <w:szCs w:val="21"/>
                      <w:highlight w:val="none"/>
                      <w:vertAlign w:val="baseline"/>
                      <w:lang w:val="en-US" w:eastAsia="zh-CN"/>
                    </w:rPr>
                    <w:t>面积</w:t>
                  </w:r>
                </w:p>
              </w:tc>
              <w:tc>
                <w:tcPr>
                  <w:tcW w:w="810" w:type="dxa"/>
                  <w:tcBorders>
                    <w:tl2br w:val="nil"/>
                    <w:tr2bl w:val="nil"/>
                  </w:tcBorders>
                  <w:vAlign w:val="center"/>
                </w:tcPr>
                <w:p w14:paraId="25217D8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bCs/>
                      <w:color w:val="auto"/>
                      <w:spacing w:val="-10"/>
                      <w:sz w:val="21"/>
                      <w:szCs w:val="21"/>
                      <w:highlight w:val="none"/>
                      <w:vertAlign w:val="baseline"/>
                      <w:lang w:val="en-US" w:eastAsia="zh-CN"/>
                    </w:rPr>
                  </w:pPr>
                  <w:r>
                    <w:rPr>
                      <w:rFonts w:hint="eastAsia"/>
                      <w:b/>
                      <w:bCs/>
                      <w:color w:val="auto"/>
                      <w:spacing w:val="-10"/>
                      <w:sz w:val="21"/>
                      <w:szCs w:val="21"/>
                      <w:highlight w:val="none"/>
                      <w:vertAlign w:val="baseline"/>
                      <w:lang w:val="en-US" w:eastAsia="zh-CN"/>
                    </w:rPr>
                    <w:t>贮存</w:t>
                  </w:r>
                </w:p>
                <w:p w14:paraId="60C65BC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10"/>
                      <w:sz w:val="21"/>
                      <w:szCs w:val="21"/>
                      <w:highlight w:val="none"/>
                      <w:vertAlign w:val="baseline"/>
                      <w:lang w:val="en-US" w:eastAsia="zh-CN"/>
                    </w:rPr>
                  </w:pPr>
                  <w:r>
                    <w:rPr>
                      <w:rFonts w:hint="eastAsia"/>
                      <w:b/>
                      <w:bCs/>
                      <w:color w:val="auto"/>
                      <w:spacing w:val="-10"/>
                      <w:sz w:val="21"/>
                      <w:szCs w:val="21"/>
                      <w:highlight w:val="none"/>
                      <w:vertAlign w:val="baseline"/>
                      <w:lang w:val="en-US" w:eastAsia="zh-CN"/>
                    </w:rPr>
                    <w:t>能力</w:t>
                  </w:r>
                </w:p>
              </w:tc>
              <w:tc>
                <w:tcPr>
                  <w:tcW w:w="780" w:type="dxa"/>
                  <w:tcBorders>
                    <w:tl2br w:val="nil"/>
                    <w:tr2bl w:val="nil"/>
                  </w:tcBorders>
                  <w:vAlign w:val="center"/>
                </w:tcPr>
                <w:p w14:paraId="346DD5A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bCs/>
                      <w:color w:val="auto"/>
                      <w:spacing w:val="-10"/>
                      <w:sz w:val="21"/>
                      <w:szCs w:val="21"/>
                      <w:highlight w:val="none"/>
                      <w:vertAlign w:val="baseline"/>
                      <w:lang w:val="en-US" w:eastAsia="zh-CN"/>
                    </w:rPr>
                  </w:pPr>
                  <w:r>
                    <w:rPr>
                      <w:rFonts w:hint="eastAsia"/>
                      <w:b/>
                      <w:bCs/>
                      <w:color w:val="auto"/>
                      <w:spacing w:val="-10"/>
                      <w:sz w:val="21"/>
                      <w:szCs w:val="21"/>
                      <w:highlight w:val="none"/>
                      <w:vertAlign w:val="baseline"/>
                      <w:lang w:val="en-US" w:eastAsia="zh-CN"/>
                    </w:rPr>
                    <w:t>贮存</w:t>
                  </w:r>
                </w:p>
                <w:p w14:paraId="5100797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10"/>
                      <w:sz w:val="21"/>
                      <w:szCs w:val="21"/>
                      <w:highlight w:val="none"/>
                      <w:vertAlign w:val="baseline"/>
                      <w:lang w:val="en-US" w:eastAsia="zh-CN"/>
                    </w:rPr>
                  </w:pPr>
                  <w:r>
                    <w:rPr>
                      <w:rFonts w:hint="eastAsia"/>
                      <w:b/>
                      <w:bCs/>
                      <w:color w:val="auto"/>
                      <w:spacing w:val="-10"/>
                      <w:sz w:val="21"/>
                      <w:szCs w:val="21"/>
                      <w:highlight w:val="none"/>
                      <w:vertAlign w:val="baseline"/>
                      <w:lang w:val="en-US" w:eastAsia="zh-CN"/>
                    </w:rPr>
                    <w:t>方式</w:t>
                  </w:r>
                </w:p>
              </w:tc>
              <w:tc>
                <w:tcPr>
                  <w:tcW w:w="659" w:type="dxa"/>
                  <w:tcBorders>
                    <w:tl2br w:val="nil"/>
                    <w:tr2bl w:val="nil"/>
                  </w:tcBorders>
                  <w:vAlign w:val="center"/>
                </w:tcPr>
                <w:p w14:paraId="65EA4AF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10"/>
                      <w:sz w:val="21"/>
                      <w:szCs w:val="21"/>
                      <w:highlight w:val="none"/>
                      <w:vertAlign w:val="baseline"/>
                      <w:lang w:val="en-US" w:eastAsia="zh-CN"/>
                    </w:rPr>
                  </w:pPr>
                  <w:r>
                    <w:rPr>
                      <w:rFonts w:hint="eastAsia"/>
                      <w:b/>
                      <w:bCs/>
                      <w:color w:val="auto"/>
                      <w:spacing w:val="-10"/>
                      <w:sz w:val="21"/>
                      <w:szCs w:val="21"/>
                      <w:highlight w:val="none"/>
                      <w:vertAlign w:val="baseline"/>
                      <w:lang w:val="en-US" w:eastAsia="zh-CN"/>
                    </w:rPr>
                    <w:t>贮存周期</w:t>
                  </w:r>
                </w:p>
              </w:tc>
            </w:tr>
            <w:tr w14:paraId="53AAF8E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6" w:type="dxa"/>
                  <w:tcBorders>
                    <w:tl2br w:val="nil"/>
                    <w:tr2bl w:val="nil"/>
                  </w:tcBorders>
                  <w:vAlign w:val="center"/>
                </w:tcPr>
                <w:p w14:paraId="7E56333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1</w:t>
                  </w:r>
                </w:p>
              </w:tc>
              <w:tc>
                <w:tcPr>
                  <w:tcW w:w="1018" w:type="dxa"/>
                  <w:vMerge w:val="restart"/>
                  <w:tcBorders>
                    <w:tl2br w:val="nil"/>
                    <w:tr2bl w:val="nil"/>
                  </w:tcBorders>
                  <w:vAlign w:val="center"/>
                </w:tcPr>
                <w:p w14:paraId="42C1542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医疗废物暂存间</w:t>
                  </w:r>
                </w:p>
              </w:tc>
              <w:tc>
                <w:tcPr>
                  <w:tcW w:w="1380" w:type="dxa"/>
                  <w:vMerge w:val="restart"/>
                  <w:tcBorders>
                    <w:tl2br w:val="nil"/>
                    <w:tr2bl w:val="nil"/>
                  </w:tcBorders>
                  <w:vAlign w:val="center"/>
                </w:tcPr>
                <w:p w14:paraId="6EB9B79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0" w:firstLineChars="0"/>
                    <w:jc w:val="center"/>
                    <w:textAlignment w:val="auto"/>
                    <w:rPr>
                      <w:rFonts w:hint="default" w:ascii="Times New Roman" w:hAnsi="Times New Roman" w:eastAsia="宋体" w:cs="Times New Roman"/>
                      <w:b w:val="0"/>
                      <w:bCs w:val="0"/>
                      <w:color w:val="auto"/>
                      <w:spacing w:val="-10"/>
                      <w:kern w:val="2"/>
                      <w:sz w:val="21"/>
                      <w:szCs w:val="21"/>
                      <w:highlight w:val="none"/>
                      <w:vertAlign w:val="baseline"/>
                      <w:lang w:val="en-US" w:eastAsia="zh-CN" w:bidi="ar-SA"/>
                    </w:rPr>
                  </w:pPr>
                  <w:r>
                    <w:rPr>
                      <w:rFonts w:hint="eastAsia" w:cs="Times New Roman"/>
                      <w:b w:val="0"/>
                      <w:bCs w:val="0"/>
                      <w:color w:val="auto"/>
                      <w:spacing w:val="-10"/>
                      <w:kern w:val="2"/>
                      <w:sz w:val="21"/>
                      <w:szCs w:val="21"/>
                      <w:highlight w:val="none"/>
                      <w:vertAlign w:val="baseline"/>
                      <w:lang w:val="en-US" w:eastAsia="zh-CN" w:bidi="ar-SA"/>
                    </w:rPr>
                    <w:t>医疗废物HW01</w:t>
                  </w:r>
                </w:p>
              </w:tc>
              <w:tc>
                <w:tcPr>
                  <w:tcW w:w="2565" w:type="dxa"/>
                  <w:tcBorders>
                    <w:tl2br w:val="nil"/>
                    <w:tr2bl w:val="nil"/>
                  </w:tcBorders>
                  <w:vAlign w:val="center"/>
                </w:tcPr>
                <w:p w14:paraId="0B3BB8E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感染性废物841-001-01</w:t>
                  </w:r>
                </w:p>
              </w:tc>
              <w:tc>
                <w:tcPr>
                  <w:tcW w:w="795" w:type="dxa"/>
                  <w:vMerge w:val="restart"/>
                  <w:tcBorders>
                    <w:tl2br w:val="nil"/>
                    <w:tr2bl w:val="nil"/>
                  </w:tcBorders>
                  <w:vAlign w:val="center"/>
                </w:tcPr>
                <w:p w14:paraId="7B55DCF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2.6m</w:t>
                  </w:r>
                  <w:r>
                    <w:rPr>
                      <w:rFonts w:hint="eastAsia"/>
                      <w:b w:val="0"/>
                      <w:bCs w:val="0"/>
                      <w:color w:val="auto"/>
                      <w:spacing w:val="-10"/>
                      <w:sz w:val="21"/>
                      <w:szCs w:val="21"/>
                      <w:highlight w:val="none"/>
                      <w:vertAlign w:val="superscript"/>
                      <w:lang w:val="en-US" w:eastAsia="zh-CN"/>
                    </w:rPr>
                    <w:t>2</w:t>
                  </w:r>
                </w:p>
              </w:tc>
              <w:tc>
                <w:tcPr>
                  <w:tcW w:w="810" w:type="dxa"/>
                  <w:vMerge w:val="restart"/>
                  <w:tcBorders>
                    <w:tl2br w:val="nil"/>
                    <w:tr2bl w:val="nil"/>
                  </w:tcBorders>
                  <w:vAlign w:val="center"/>
                </w:tcPr>
                <w:p w14:paraId="29AE861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3t</w:t>
                  </w:r>
                </w:p>
              </w:tc>
              <w:tc>
                <w:tcPr>
                  <w:tcW w:w="780" w:type="dxa"/>
                  <w:vMerge w:val="restart"/>
                  <w:tcBorders>
                    <w:tl2br w:val="nil"/>
                    <w:tr2bl w:val="nil"/>
                  </w:tcBorders>
                  <w:vAlign w:val="center"/>
                </w:tcPr>
                <w:p w14:paraId="6D41DD5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桶装</w:t>
                  </w:r>
                </w:p>
                <w:p w14:paraId="3D0CED6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瓶装</w:t>
                  </w:r>
                </w:p>
              </w:tc>
              <w:tc>
                <w:tcPr>
                  <w:tcW w:w="659" w:type="dxa"/>
                  <w:vMerge w:val="restart"/>
                  <w:tcBorders>
                    <w:tl2br w:val="nil"/>
                    <w:tr2bl w:val="nil"/>
                  </w:tcBorders>
                  <w:vAlign w:val="center"/>
                </w:tcPr>
                <w:p w14:paraId="28BE8E6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每日</w:t>
                  </w:r>
                </w:p>
              </w:tc>
            </w:tr>
            <w:tr w14:paraId="2D82ED0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6" w:type="dxa"/>
                  <w:tcBorders>
                    <w:tl2br w:val="nil"/>
                    <w:tr2bl w:val="nil"/>
                  </w:tcBorders>
                  <w:vAlign w:val="center"/>
                </w:tcPr>
                <w:p w14:paraId="16EBA00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2</w:t>
                  </w:r>
                </w:p>
              </w:tc>
              <w:tc>
                <w:tcPr>
                  <w:tcW w:w="1018" w:type="dxa"/>
                  <w:vMerge w:val="continue"/>
                  <w:tcBorders>
                    <w:tl2br w:val="nil"/>
                    <w:tr2bl w:val="nil"/>
                  </w:tcBorders>
                  <w:vAlign w:val="center"/>
                </w:tcPr>
                <w:p w14:paraId="44B5B18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color w:val="auto"/>
                      <w:spacing w:val="-10"/>
                      <w:sz w:val="21"/>
                      <w:szCs w:val="21"/>
                      <w:highlight w:val="none"/>
                      <w:vertAlign w:val="baseline"/>
                      <w:lang w:val="en-US" w:eastAsia="zh-CN"/>
                    </w:rPr>
                  </w:pPr>
                </w:p>
              </w:tc>
              <w:tc>
                <w:tcPr>
                  <w:tcW w:w="1380" w:type="dxa"/>
                  <w:vMerge w:val="continue"/>
                  <w:tcBorders>
                    <w:tl2br w:val="nil"/>
                    <w:tr2bl w:val="nil"/>
                  </w:tcBorders>
                  <w:vAlign w:val="center"/>
                </w:tcPr>
                <w:p w14:paraId="38B5C57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0" w:firstLineChars="0"/>
                    <w:jc w:val="center"/>
                    <w:textAlignment w:val="auto"/>
                    <w:rPr>
                      <w:rFonts w:hint="eastAsia" w:cs="Times New Roman"/>
                      <w:b w:val="0"/>
                      <w:bCs w:val="0"/>
                      <w:color w:val="auto"/>
                      <w:spacing w:val="-10"/>
                      <w:kern w:val="2"/>
                      <w:sz w:val="21"/>
                      <w:szCs w:val="21"/>
                      <w:highlight w:val="none"/>
                      <w:vertAlign w:val="baseline"/>
                      <w:lang w:val="en-US" w:eastAsia="zh-CN" w:bidi="ar-SA"/>
                    </w:rPr>
                  </w:pPr>
                </w:p>
              </w:tc>
              <w:tc>
                <w:tcPr>
                  <w:tcW w:w="2565" w:type="dxa"/>
                  <w:tcBorders>
                    <w:tl2br w:val="nil"/>
                    <w:tr2bl w:val="nil"/>
                  </w:tcBorders>
                  <w:vAlign w:val="center"/>
                </w:tcPr>
                <w:p w14:paraId="0B76B43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损伤性废物841-002-01</w:t>
                  </w:r>
                </w:p>
              </w:tc>
              <w:tc>
                <w:tcPr>
                  <w:tcW w:w="795" w:type="dxa"/>
                  <w:vMerge w:val="continue"/>
                  <w:tcBorders>
                    <w:tl2br w:val="nil"/>
                    <w:tr2bl w:val="nil"/>
                  </w:tcBorders>
                  <w:vAlign w:val="center"/>
                </w:tcPr>
                <w:p w14:paraId="6FFB087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color w:val="auto"/>
                      <w:spacing w:val="-10"/>
                      <w:sz w:val="21"/>
                      <w:szCs w:val="21"/>
                      <w:highlight w:val="none"/>
                      <w:vertAlign w:val="baseline"/>
                      <w:lang w:val="en-US" w:eastAsia="zh-CN"/>
                    </w:rPr>
                  </w:pPr>
                </w:p>
              </w:tc>
              <w:tc>
                <w:tcPr>
                  <w:tcW w:w="810" w:type="dxa"/>
                  <w:vMerge w:val="continue"/>
                  <w:tcBorders>
                    <w:tl2br w:val="nil"/>
                    <w:tr2bl w:val="nil"/>
                  </w:tcBorders>
                  <w:vAlign w:val="center"/>
                </w:tcPr>
                <w:p w14:paraId="450C164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color w:val="auto"/>
                      <w:spacing w:val="-10"/>
                      <w:sz w:val="21"/>
                      <w:szCs w:val="21"/>
                      <w:highlight w:val="none"/>
                      <w:vertAlign w:val="baseline"/>
                      <w:lang w:val="en-US" w:eastAsia="zh-CN"/>
                    </w:rPr>
                  </w:pPr>
                </w:p>
              </w:tc>
              <w:tc>
                <w:tcPr>
                  <w:tcW w:w="780" w:type="dxa"/>
                  <w:vMerge w:val="continue"/>
                  <w:tcBorders>
                    <w:tl2br w:val="nil"/>
                    <w:tr2bl w:val="nil"/>
                  </w:tcBorders>
                  <w:vAlign w:val="center"/>
                </w:tcPr>
                <w:p w14:paraId="34E88B5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color w:val="auto"/>
                      <w:spacing w:val="-10"/>
                      <w:sz w:val="21"/>
                      <w:szCs w:val="21"/>
                      <w:highlight w:val="none"/>
                      <w:vertAlign w:val="baseline"/>
                      <w:lang w:val="en-US" w:eastAsia="zh-CN"/>
                    </w:rPr>
                  </w:pPr>
                </w:p>
              </w:tc>
              <w:tc>
                <w:tcPr>
                  <w:tcW w:w="659" w:type="dxa"/>
                  <w:vMerge w:val="continue"/>
                  <w:tcBorders>
                    <w:tl2br w:val="nil"/>
                    <w:tr2bl w:val="nil"/>
                  </w:tcBorders>
                  <w:vAlign w:val="center"/>
                </w:tcPr>
                <w:p w14:paraId="37160B8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0" w:firstLineChars="0"/>
                    <w:jc w:val="center"/>
                    <w:textAlignment w:val="auto"/>
                    <w:rPr>
                      <w:rFonts w:hint="eastAsia"/>
                      <w:b w:val="0"/>
                      <w:bCs w:val="0"/>
                      <w:color w:val="auto"/>
                      <w:spacing w:val="-10"/>
                      <w:sz w:val="21"/>
                      <w:szCs w:val="21"/>
                      <w:highlight w:val="none"/>
                      <w:vertAlign w:val="baseline"/>
                      <w:lang w:val="en-US" w:eastAsia="zh-CN"/>
                    </w:rPr>
                  </w:pPr>
                </w:p>
              </w:tc>
            </w:tr>
            <w:tr w14:paraId="5AA0997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6" w:type="dxa"/>
                  <w:tcBorders>
                    <w:tl2br w:val="nil"/>
                    <w:tr2bl w:val="nil"/>
                  </w:tcBorders>
                  <w:vAlign w:val="center"/>
                </w:tcPr>
                <w:p w14:paraId="15884E7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3</w:t>
                  </w:r>
                </w:p>
              </w:tc>
              <w:tc>
                <w:tcPr>
                  <w:tcW w:w="1018" w:type="dxa"/>
                  <w:vMerge w:val="continue"/>
                  <w:tcBorders>
                    <w:tl2br w:val="nil"/>
                    <w:tr2bl w:val="nil"/>
                  </w:tcBorders>
                  <w:vAlign w:val="center"/>
                </w:tcPr>
                <w:p w14:paraId="770017C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color w:val="auto"/>
                      <w:spacing w:val="-10"/>
                      <w:sz w:val="21"/>
                      <w:szCs w:val="21"/>
                      <w:highlight w:val="none"/>
                      <w:vertAlign w:val="baseline"/>
                      <w:lang w:val="en-US" w:eastAsia="zh-CN"/>
                    </w:rPr>
                  </w:pPr>
                </w:p>
              </w:tc>
              <w:tc>
                <w:tcPr>
                  <w:tcW w:w="1380" w:type="dxa"/>
                  <w:vMerge w:val="continue"/>
                  <w:tcBorders>
                    <w:tl2br w:val="nil"/>
                    <w:tr2bl w:val="nil"/>
                  </w:tcBorders>
                  <w:vAlign w:val="center"/>
                </w:tcPr>
                <w:p w14:paraId="4B9950F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0" w:firstLineChars="0"/>
                    <w:jc w:val="center"/>
                    <w:textAlignment w:val="auto"/>
                    <w:rPr>
                      <w:rFonts w:hint="eastAsia" w:cs="Times New Roman"/>
                      <w:b w:val="0"/>
                      <w:bCs w:val="0"/>
                      <w:color w:val="auto"/>
                      <w:spacing w:val="-10"/>
                      <w:kern w:val="2"/>
                      <w:sz w:val="21"/>
                      <w:szCs w:val="21"/>
                      <w:highlight w:val="none"/>
                      <w:vertAlign w:val="baseline"/>
                      <w:lang w:val="en-US" w:eastAsia="zh-CN" w:bidi="ar-SA"/>
                    </w:rPr>
                  </w:pPr>
                </w:p>
              </w:tc>
              <w:tc>
                <w:tcPr>
                  <w:tcW w:w="2565" w:type="dxa"/>
                  <w:tcBorders>
                    <w:tl2br w:val="nil"/>
                    <w:tr2bl w:val="nil"/>
                  </w:tcBorders>
                  <w:vAlign w:val="center"/>
                </w:tcPr>
                <w:p w14:paraId="3799D8B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药物性废物841-005-01</w:t>
                  </w:r>
                </w:p>
              </w:tc>
              <w:tc>
                <w:tcPr>
                  <w:tcW w:w="795" w:type="dxa"/>
                  <w:vMerge w:val="continue"/>
                  <w:tcBorders>
                    <w:tl2br w:val="nil"/>
                    <w:tr2bl w:val="nil"/>
                  </w:tcBorders>
                  <w:vAlign w:val="center"/>
                </w:tcPr>
                <w:p w14:paraId="790601A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color w:val="auto"/>
                      <w:spacing w:val="-10"/>
                      <w:sz w:val="21"/>
                      <w:szCs w:val="21"/>
                      <w:highlight w:val="none"/>
                      <w:vertAlign w:val="baseline"/>
                      <w:lang w:val="en-US" w:eastAsia="zh-CN"/>
                    </w:rPr>
                  </w:pPr>
                </w:p>
              </w:tc>
              <w:tc>
                <w:tcPr>
                  <w:tcW w:w="810" w:type="dxa"/>
                  <w:vMerge w:val="continue"/>
                  <w:tcBorders>
                    <w:tl2br w:val="nil"/>
                    <w:tr2bl w:val="nil"/>
                  </w:tcBorders>
                  <w:vAlign w:val="center"/>
                </w:tcPr>
                <w:p w14:paraId="0354057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color w:val="auto"/>
                      <w:spacing w:val="-10"/>
                      <w:sz w:val="21"/>
                      <w:szCs w:val="21"/>
                      <w:highlight w:val="none"/>
                      <w:vertAlign w:val="baseline"/>
                      <w:lang w:val="en-US" w:eastAsia="zh-CN"/>
                    </w:rPr>
                  </w:pPr>
                </w:p>
              </w:tc>
              <w:tc>
                <w:tcPr>
                  <w:tcW w:w="780" w:type="dxa"/>
                  <w:vMerge w:val="continue"/>
                  <w:tcBorders>
                    <w:tl2br w:val="nil"/>
                    <w:tr2bl w:val="nil"/>
                  </w:tcBorders>
                  <w:vAlign w:val="center"/>
                </w:tcPr>
                <w:p w14:paraId="2DCA6E8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color w:val="auto"/>
                      <w:spacing w:val="-10"/>
                      <w:sz w:val="21"/>
                      <w:szCs w:val="21"/>
                      <w:highlight w:val="none"/>
                      <w:vertAlign w:val="baseline"/>
                      <w:lang w:val="en-US" w:eastAsia="zh-CN"/>
                    </w:rPr>
                  </w:pPr>
                </w:p>
              </w:tc>
              <w:tc>
                <w:tcPr>
                  <w:tcW w:w="659" w:type="dxa"/>
                  <w:vMerge w:val="continue"/>
                  <w:tcBorders>
                    <w:tl2br w:val="nil"/>
                    <w:tr2bl w:val="nil"/>
                  </w:tcBorders>
                  <w:vAlign w:val="center"/>
                </w:tcPr>
                <w:p w14:paraId="603A958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0" w:firstLineChars="0"/>
                    <w:jc w:val="center"/>
                    <w:textAlignment w:val="auto"/>
                    <w:rPr>
                      <w:rFonts w:hint="eastAsia"/>
                      <w:b w:val="0"/>
                      <w:bCs w:val="0"/>
                      <w:color w:val="auto"/>
                      <w:spacing w:val="-10"/>
                      <w:sz w:val="21"/>
                      <w:szCs w:val="21"/>
                      <w:highlight w:val="none"/>
                      <w:vertAlign w:val="baseline"/>
                      <w:lang w:val="en-US" w:eastAsia="zh-CN"/>
                    </w:rPr>
                  </w:pPr>
                </w:p>
              </w:tc>
            </w:tr>
            <w:tr w14:paraId="534FA00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6" w:type="dxa"/>
                  <w:tcBorders>
                    <w:tl2br w:val="nil"/>
                    <w:tr2bl w:val="nil"/>
                  </w:tcBorders>
                  <w:vAlign w:val="center"/>
                </w:tcPr>
                <w:p w14:paraId="559757E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4</w:t>
                  </w:r>
                </w:p>
              </w:tc>
              <w:tc>
                <w:tcPr>
                  <w:tcW w:w="1018" w:type="dxa"/>
                  <w:vMerge w:val="continue"/>
                  <w:tcBorders>
                    <w:tl2br w:val="nil"/>
                    <w:tr2bl w:val="nil"/>
                  </w:tcBorders>
                  <w:vAlign w:val="center"/>
                </w:tcPr>
                <w:p w14:paraId="27CD66F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color w:val="auto"/>
                      <w:spacing w:val="-10"/>
                      <w:sz w:val="21"/>
                      <w:szCs w:val="21"/>
                      <w:highlight w:val="none"/>
                      <w:vertAlign w:val="baseline"/>
                      <w:lang w:val="en-US" w:eastAsia="zh-CN"/>
                    </w:rPr>
                  </w:pPr>
                </w:p>
              </w:tc>
              <w:tc>
                <w:tcPr>
                  <w:tcW w:w="1380" w:type="dxa"/>
                  <w:vMerge w:val="continue"/>
                  <w:tcBorders>
                    <w:tl2br w:val="nil"/>
                    <w:tr2bl w:val="nil"/>
                  </w:tcBorders>
                  <w:vAlign w:val="center"/>
                </w:tcPr>
                <w:p w14:paraId="7492DDE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0" w:firstLineChars="0"/>
                    <w:jc w:val="center"/>
                    <w:textAlignment w:val="auto"/>
                    <w:rPr>
                      <w:rFonts w:hint="eastAsia" w:cs="Times New Roman"/>
                      <w:b w:val="0"/>
                      <w:bCs w:val="0"/>
                      <w:color w:val="auto"/>
                      <w:spacing w:val="-10"/>
                      <w:kern w:val="2"/>
                      <w:sz w:val="21"/>
                      <w:szCs w:val="21"/>
                      <w:highlight w:val="none"/>
                      <w:vertAlign w:val="baseline"/>
                      <w:lang w:val="en-US" w:eastAsia="zh-CN" w:bidi="ar-SA"/>
                    </w:rPr>
                  </w:pPr>
                </w:p>
              </w:tc>
              <w:tc>
                <w:tcPr>
                  <w:tcW w:w="2565" w:type="dxa"/>
                  <w:tcBorders>
                    <w:tl2br w:val="nil"/>
                    <w:tr2bl w:val="nil"/>
                  </w:tcBorders>
                  <w:vAlign w:val="center"/>
                </w:tcPr>
                <w:p w14:paraId="7EB1411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化学性废物841-004-01</w:t>
                  </w:r>
                </w:p>
              </w:tc>
              <w:tc>
                <w:tcPr>
                  <w:tcW w:w="795" w:type="dxa"/>
                  <w:vMerge w:val="continue"/>
                  <w:tcBorders>
                    <w:tl2br w:val="nil"/>
                    <w:tr2bl w:val="nil"/>
                  </w:tcBorders>
                  <w:vAlign w:val="center"/>
                </w:tcPr>
                <w:p w14:paraId="7ADD805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color w:val="auto"/>
                      <w:spacing w:val="-10"/>
                      <w:sz w:val="21"/>
                      <w:szCs w:val="21"/>
                      <w:highlight w:val="none"/>
                      <w:vertAlign w:val="baseline"/>
                      <w:lang w:val="en-US" w:eastAsia="zh-CN"/>
                    </w:rPr>
                  </w:pPr>
                </w:p>
              </w:tc>
              <w:tc>
                <w:tcPr>
                  <w:tcW w:w="810" w:type="dxa"/>
                  <w:vMerge w:val="continue"/>
                  <w:tcBorders>
                    <w:tl2br w:val="nil"/>
                    <w:tr2bl w:val="nil"/>
                  </w:tcBorders>
                  <w:vAlign w:val="center"/>
                </w:tcPr>
                <w:p w14:paraId="3F8C8BE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color w:val="auto"/>
                      <w:spacing w:val="-10"/>
                      <w:sz w:val="21"/>
                      <w:szCs w:val="21"/>
                      <w:highlight w:val="none"/>
                      <w:vertAlign w:val="baseline"/>
                      <w:lang w:val="en-US" w:eastAsia="zh-CN"/>
                    </w:rPr>
                  </w:pPr>
                </w:p>
              </w:tc>
              <w:tc>
                <w:tcPr>
                  <w:tcW w:w="780" w:type="dxa"/>
                  <w:vMerge w:val="continue"/>
                  <w:tcBorders>
                    <w:tl2br w:val="nil"/>
                    <w:tr2bl w:val="nil"/>
                  </w:tcBorders>
                  <w:vAlign w:val="center"/>
                </w:tcPr>
                <w:p w14:paraId="567DBD2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color w:val="auto"/>
                      <w:spacing w:val="-10"/>
                      <w:sz w:val="21"/>
                      <w:szCs w:val="21"/>
                      <w:highlight w:val="none"/>
                      <w:vertAlign w:val="baseline"/>
                      <w:lang w:val="en-US" w:eastAsia="zh-CN"/>
                    </w:rPr>
                  </w:pPr>
                </w:p>
              </w:tc>
              <w:tc>
                <w:tcPr>
                  <w:tcW w:w="659" w:type="dxa"/>
                  <w:vMerge w:val="continue"/>
                  <w:tcBorders>
                    <w:tl2br w:val="nil"/>
                    <w:tr2bl w:val="nil"/>
                  </w:tcBorders>
                  <w:vAlign w:val="center"/>
                </w:tcPr>
                <w:p w14:paraId="528EF94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0" w:firstLineChars="0"/>
                    <w:jc w:val="center"/>
                    <w:textAlignment w:val="auto"/>
                    <w:rPr>
                      <w:rFonts w:hint="eastAsia"/>
                      <w:b w:val="0"/>
                      <w:bCs w:val="0"/>
                      <w:color w:val="auto"/>
                      <w:spacing w:val="-10"/>
                      <w:sz w:val="21"/>
                      <w:szCs w:val="21"/>
                      <w:highlight w:val="none"/>
                      <w:vertAlign w:val="baseline"/>
                      <w:lang w:val="en-US" w:eastAsia="zh-CN"/>
                    </w:rPr>
                  </w:pPr>
                </w:p>
              </w:tc>
            </w:tr>
            <w:tr w14:paraId="10BB1C6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6" w:type="dxa"/>
                  <w:tcBorders>
                    <w:tl2br w:val="nil"/>
                    <w:tr2bl w:val="nil"/>
                  </w:tcBorders>
                  <w:vAlign w:val="center"/>
                </w:tcPr>
                <w:p w14:paraId="1673CFC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5</w:t>
                  </w:r>
                </w:p>
              </w:tc>
              <w:tc>
                <w:tcPr>
                  <w:tcW w:w="1018" w:type="dxa"/>
                  <w:vMerge w:val="continue"/>
                  <w:tcBorders>
                    <w:tl2br w:val="nil"/>
                    <w:tr2bl w:val="nil"/>
                  </w:tcBorders>
                  <w:vAlign w:val="center"/>
                </w:tcPr>
                <w:p w14:paraId="16EA404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color w:val="auto"/>
                      <w:spacing w:val="-10"/>
                      <w:sz w:val="21"/>
                      <w:szCs w:val="21"/>
                      <w:highlight w:val="none"/>
                      <w:vertAlign w:val="baseline"/>
                      <w:lang w:val="en-US" w:eastAsia="zh-CN"/>
                    </w:rPr>
                  </w:pPr>
                </w:p>
              </w:tc>
              <w:tc>
                <w:tcPr>
                  <w:tcW w:w="1380" w:type="dxa"/>
                  <w:tcBorders>
                    <w:tl2br w:val="nil"/>
                    <w:tr2bl w:val="nil"/>
                  </w:tcBorders>
                  <w:vAlign w:val="center"/>
                </w:tcPr>
                <w:p w14:paraId="2F62893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0" w:firstLineChars="0"/>
                    <w:jc w:val="center"/>
                    <w:textAlignment w:val="auto"/>
                    <w:rPr>
                      <w:rFonts w:hint="eastAsia" w:cs="Times New Roman"/>
                      <w:b w:val="0"/>
                      <w:bCs w:val="0"/>
                      <w:color w:val="auto"/>
                      <w:spacing w:val="-10"/>
                      <w:kern w:val="2"/>
                      <w:sz w:val="21"/>
                      <w:szCs w:val="21"/>
                      <w:highlight w:val="none"/>
                      <w:vertAlign w:val="baseline"/>
                      <w:lang w:val="en-US" w:eastAsia="zh-CN" w:bidi="ar-SA"/>
                    </w:rPr>
                  </w:pPr>
                  <w:r>
                    <w:rPr>
                      <w:rFonts w:hint="eastAsia" w:cs="Times New Roman"/>
                      <w:b w:val="0"/>
                      <w:bCs w:val="0"/>
                      <w:color w:val="auto"/>
                      <w:spacing w:val="-10"/>
                      <w:kern w:val="2"/>
                      <w:sz w:val="21"/>
                      <w:szCs w:val="21"/>
                      <w:highlight w:val="none"/>
                      <w:vertAlign w:val="baseline"/>
                      <w:lang w:val="en-US" w:eastAsia="zh-CN" w:bidi="ar-SA"/>
                    </w:rPr>
                    <w:t>其他危险废物HW49</w:t>
                  </w:r>
                </w:p>
              </w:tc>
              <w:tc>
                <w:tcPr>
                  <w:tcW w:w="2565" w:type="dxa"/>
                  <w:tcBorders>
                    <w:tl2br w:val="nil"/>
                    <w:tr2bl w:val="nil"/>
                  </w:tcBorders>
                  <w:vAlign w:val="center"/>
                </w:tcPr>
                <w:p w14:paraId="309AAA3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b w:val="0"/>
                      <w:bCs w:val="0"/>
                      <w:color w:val="auto"/>
                      <w:spacing w:val="-1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消毒剂沾染物900-041-49</w:t>
                  </w:r>
                </w:p>
              </w:tc>
              <w:tc>
                <w:tcPr>
                  <w:tcW w:w="795" w:type="dxa"/>
                  <w:tcBorders>
                    <w:tl2br w:val="nil"/>
                    <w:tr2bl w:val="nil"/>
                  </w:tcBorders>
                  <w:vAlign w:val="center"/>
                </w:tcPr>
                <w:p w14:paraId="28D437A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2.2m</w:t>
                  </w:r>
                  <w:r>
                    <w:rPr>
                      <w:rFonts w:hint="eastAsia"/>
                      <w:b w:val="0"/>
                      <w:bCs w:val="0"/>
                      <w:color w:val="auto"/>
                      <w:spacing w:val="-10"/>
                      <w:sz w:val="21"/>
                      <w:szCs w:val="21"/>
                      <w:highlight w:val="none"/>
                      <w:vertAlign w:val="superscript"/>
                      <w:lang w:val="en-US" w:eastAsia="zh-CN"/>
                    </w:rPr>
                    <w:t>2</w:t>
                  </w:r>
                </w:p>
              </w:tc>
              <w:tc>
                <w:tcPr>
                  <w:tcW w:w="810" w:type="dxa"/>
                  <w:vMerge w:val="continue"/>
                  <w:tcBorders>
                    <w:tl2br w:val="nil"/>
                    <w:tr2bl w:val="nil"/>
                  </w:tcBorders>
                  <w:vAlign w:val="center"/>
                </w:tcPr>
                <w:p w14:paraId="6AC0E88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color w:val="auto"/>
                      <w:spacing w:val="-10"/>
                      <w:sz w:val="21"/>
                      <w:szCs w:val="21"/>
                      <w:highlight w:val="none"/>
                      <w:vertAlign w:val="baseline"/>
                      <w:lang w:val="en-US" w:eastAsia="zh-CN"/>
                    </w:rPr>
                  </w:pPr>
                </w:p>
              </w:tc>
              <w:tc>
                <w:tcPr>
                  <w:tcW w:w="780" w:type="dxa"/>
                  <w:tcBorders>
                    <w:tl2br w:val="nil"/>
                    <w:tr2bl w:val="nil"/>
                  </w:tcBorders>
                  <w:vAlign w:val="center"/>
                </w:tcPr>
                <w:p w14:paraId="729A74C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桶装</w:t>
                  </w:r>
                </w:p>
              </w:tc>
              <w:tc>
                <w:tcPr>
                  <w:tcW w:w="659" w:type="dxa"/>
                  <w:tcBorders>
                    <w:tl2br w:val="nil"/>
                    <w:tr2bl w:val="nil"/>
                  </w:tcBorders>
                  <w:vAlign w:val="center"/>
                </w:tcPr>
                <w:p w14:paraId="786AFB0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半年</w:t>
                  </w:r>
                </w:p>
              </w:tc>
            </w:tr>
            <w:tr w14:paraId="0166289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6" w:type="dxa"/>
                  <w:tcBorders>
                    <w:tl2br w:val="nil"/>
                    <w:tr2bl w:val="nil"/>
                  </w:tcBorders>
                  <w:vAlign w:val="center"/>
                </w:tcPr>
                <w:p w14:paraId="2F85487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6</w:t>
                  </w:r>
                </w:p>
              </w:tc>
              <w:tc>
                <w:tcPr>
                  <w:tcW w:w="1018" w:type="dxa"/>
                  <w:tcBorders>
                    <w:tl2br w:val="nil"/>
                    <w:tr2bl w:val="nil"/>
                  </w:tcBorders>
                  <w:vAlign w:val="center"/>
                </w:tcPr>
                <w:p w14:paraId="695AB46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化粪池</w:t>
                  </w:r>
                </w:p>
              </w:tc>
              <w:tc>
                <w:tcPr>
                  <w:tcW w:w="1380" w:type="dxa"/>
                  <w:tcBorders>
                    <w:tl2br w:val="nil"/>
                    <w:tr2bl w:val="nil"/>
                  </w:tcBorders>
                  <w:vAlign w:val="center"/>
                </w:tcPr>
                <w:p w14:paraId="397C4F8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0" w:firstLineChars="0"/>
                    <w:jc w:val="center"/>
                    <w:textAlignment w:val="auto"/>
                    <w:rPr>
                      <w:rFonts w:hint="default" w:cs="Times New Roman"/>
                      <w:b w:val="0"/>
                      <w:bCs w:val="0"/>
                      <w:color w:val="auto"/>
                      <w:spacing w:val="-10"/>
                      <w:kern w:val="2"/>
                      <w:sz w:val="21"/>
                      <w:szCs w:val="21"/>
                      <w:highlight w:val="none"/>
                      <w:vertAlign w:val="baseline"/>
                      <w:lang w:val="en-US" w:eastAsia="zh-CN" w:bidi="ar-SA"/>
                    </w:rPr>
                  </w:pPr>
                  <w:r>
                    <w:rPr>
                      <w:rFonts w:hint="eastAsia" w:cs="Times New Roman"/>
                      <w:b w:val="0"/>
                      <w:bCs w:val="0"/>
                      <w:color w:val="auto"/>
                      <w:spacing w:val="-10"/>
                      <w:kern w:val="2"/>
                      <w:sz w:val="21"/>
                      <w:szCs w:val="21"/>
                      <w:highlight w:val="none"/>
                      <w:vertAlign w:val="baseline"/>
                      <w:lang w:val="en-US" w:eastAsia="zh-CN" w:bidi="ar-SA"/>
                    </w:rPr>
                    <w:t>粪便</w:t>
                  </w:r>
                </w:p>
              </w:tc>
              <w:tc>
                <w:tcPr>
                  <w:tcW w:w="2565" w:type="dxa"/>
                  <w:vMerge w:val="restart"/>
                  <w:tcBorders>
                    <w:tl2br w:val="nil"/>
                    <w:tr2bl w:val="nil"/>
                  </w:tcBorders>
                  <w:vAlign w:val="center"/>
                </w:tcPr>
                <w:p w14:paraId="37958EA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b w:val="0"/>
                      <w:bCs w:val="0"/>
                      <w:color w:val="auto"/>
                      <w:spacing w:val="-10"/>
                      <w:sz w:val="21"/>
                      <w:szCs w:val="21"/>
                      <w:highlight w:val="none"/>
                      <w:vertAlign w:val="baseline"/>
                      <w:lang w:val="en-US" w:eastAsia="zh-CN"/>
                    </w:rPr>
                  </w:pPr>
                  <w:r>
                    <w:rPr>
                      <w:rFonts w:hint="eastAsia"/>
                      <w:b w:val="0"/>
                      <w:bCs w:val="0"/>
                      <w:color w:val="auto"/>
                      <w:spacing w:val="0"/>
                      <w:sz w:val="21"/>
                      <w:szCs w:val="21"/>
                      <w:highlight w:val="none"/>
                      <w:vertAlign w:val="baseline"/>
                      <w:lang w:val="en-US" w:eastAsia="zh-CN"/>
                    </w:rPr>
                    <w:t>污泥、栅渣772-006-49</w:t>
                  </w:r>
                </w:p>
              </w:tc>
              <w:tc>
                <w:tcPr>
                  <w:tcW w:w="795" w:type="dxa"/>
                  <w:tcBorders>
                    <w:tl2br w:val="nil"/>
                    <w:tr2bl w:val="nil"/>
                  </w:tcBorders>
                  <w:vAlign w:val="center"/>
                </w:tcPr>
                <w:p w14:paraId="17C0F3C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化粪池</w:t>
                  </w:r>
                </w:p>
              </w:tc>
              <w:tc>
                <w:tcPr>
                  <w:tcW w:w="810" w:type="dxa"/>
                  <w:tcBorders>
                    <w:tl2br w:val="nil"/>
                    <w:tr2bl w:val="nil"/>
                  </w:tcBorders>
                  <w:vAlign w:val="center"/>
                </w:tcPr>
                <w:p w14:paraId="09B556F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6t</w:t>
                  </w:r>
                </w:p>
              </w:tc>
              <w:tc>
                <w:tcPr>
                  <w:tcW w:w="780" w:type="dxa"/>
                  <w:tcBorders>
                    <w:tl2br w:val="nil"/>
                    <w:tr2bl w:val="nil"/>
                  </w:tcBorders>
                  <w:vAlign w:val="center"/>
                </w:tcPr>
                <w:p w14:paraId="7F5C85A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池体</w:t>
                  </w:r>
                </w:p>
              </w:tc>
              <w:tc>
                <w:tcPr>
                  <w:tcW w:w="659" w:type="dxa"/>
                  <w:tcBorders>
                    <w:tl2br w:val="nil"/>
                    <w:tr2bl w:val="nil"/>
                  </w:tcBorders>
                  <w:vAlign w:val="center"/>
                </w:tcPr>
                <w:p w14:paraId="6FBF0AD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0" w:firstLineChars="0"/>
                    <w:jc w:val="center"/>
                    <w:textAlignment w:val="auto"/>
                    <w:rPr>
                      <w:rFonts w:hint="eastAsia"/>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半年</w:t>
                  </w:r>
                </w:p>
              </w:tc>
            </w:tr>
            <w:tr w14:paraId="4264270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6" w:type="dxa"/>
                  <w:tcBorders>
                    <w:tl2br w:val="nil"/>
                    <w:tr2bl w:val="nil"/>
                  </w:tcBorders>
                  <w:vAlign w:val="center"/>
                </w:tcPr>
                <w:p w14:paraId="193757D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7</w:t>
                  </w:r>
                </w:p>
              </w:tc>
              <w:tc>
                <w:tcPr>
                  <w:tcW w:w="1018" w:type="dxa"/>
                  <w:tcBorders>
                    <w:tl2br w:val="nil"/>
                    <w:tr2bl w:val="nil"/>
                  </w:tcBorders>
                  <w:vAlign w:val="center"/>
                </w:tcPr>
                <w:p w14:paraId="264F8E5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污水处理设施</w:t>
                  </w:r>
                </w:p>
              </w:tc>
              <w:tc>
                <w:tcPr>
                  <w:tcW w:w="1380" w:type="dxa"/>
                  <w:tcBorders>
                    <w:tl2br w:val="nil"/>
                    <w:tr2bl w:val="nil"/>
                  </w:tcBorders>
                  <w:vAlign w:val="center"/>
                </w:tcPr>
                <w:p w14:paraId="5FAC17E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0" w:firstLineChars="0"/>
                    <w:jc w:val="center"/>
                    <w:textAlignment w:val="auto"/>
                    <w:rPr>
                      <w:rFonts w:hint="default" w:cs="Times New Roman"/>
                      <w:b w:val="0"/>
                      <w:bCs w:val="0"/>
                      <w:color w:val="auto"/>
                      <w:spacing w:val="-10"/>
                      <w:kern w:val="2"/>
                      <w:sz w:val="21"/>
                      <w:szCs w:val="21"/>
                      <w:highlight w:val="none"/>
                      <w:vertAlign w:val="baseline"/>
                      <w:lang w:val="en-US" w:eastAsia="zh-CN" w:bidi="ar-SA"/>
                    </w:rPr>
                  </w:pPr>
                  <w:r>
                    <w:rPr>
                      <w:rFonts w:hint="eastAsia" w:cs="Times New Roman"/>
                      <w:b w:val="0"/>
                      <w:bCs w:val="0"/>
                      <w:color w:val="auto"/>
                      <w:spacing w:val="-10"/>
                      <w:kern w:val="2"/>
                      <w:sz w:val="21"/>
                      <w:szCs w:val="21"/>
                      <w:highlight w:val="none"/>
                      <w:vertAlign w:val="baseline"/>
                      <w:lang w:val="en-US" w:eastAsia="zh-CN" w:bidi="ar-SA"/>
                    </w:rPr>
                    <w:t>栅渣、污泥等</w:t>
                  </w:r>
                </w:p>
              </w:tc>
              <w:tc>
                <w:tcPr>
                  <w:tcW w:w="2565" w:type="dxa"/>
                  <w:vMerge w:val="continue"/>
                  <w:tcBorders>
                    <w:tl2br w:val="nil"/>
                    <w:tr2bl w:val="nil"/>
                  </w:tcBorders>
                  <w:vAlign w:val="center"/>
                </w:tcPr>
                <w:p w14:paraId="14AC0E6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b w:val="0"/>
                      <w:bCs w:val="0"/>
                      <w:color w:val="auto"/>
                      <w:spacing w:val="-10"/>
                      <w:sz w:val="21"/>
                      <w:szCs w:val="21"/>
                      <w:highlight w:val="none"/>
                      <w:vertAlign w:val="baseline"/>
                      <w:lang w:val="en-US" w:eastAsia="zh-CN"/>
                    </w:rPr>
                  </w:pPr>
                </w:p>
              </w:tc>
              <w:tc>
                <w:tcPr>
                  <w:tcW w:w="795" w:type="dxa"/>
                  <w:tcBorders>
                    <w:tl2br w:val="nil"/>
                    <w:tr2bl w:val="nil"/>
                  </w:tcBorders>
                  <w:vAlign w:val="center"/>
                </w:tcPr>
                <w:p w14:paraId="0C07CF6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污水处理设施</w:t>
                  </w:r>
                </w:p>
              </w:tc>
              <w:tc>
                <w:tcPr>
                  <w:tcW w:w="810" w:type="dxa"/>
                  <w:tcBorders>
                    <w:tl2br w:val="nil"/>
                    <w:tr2bl w:val="nil"/>
                  </w:tcBorders>
                  <w:vAlign w:val="center"/>
                </w:tcPr>
                <w:p w14:paraId="6AE2423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3t</w:t>
                  </w:r>
                </w:p>
              </w:tc>
              <w:tc>
                <w:tcPr>
                  <w:tcW w:w="780" w:type="dxa"/>
                  <w:tcBorders>
                    <w:tl2br w:val="nil"/>
                    <w:tr2bl w:val="nil"/>
                  </w:tcBorders>
                  <w:vAlign w:val="center"/>
                </w:tcPr>
                <w:p w14:paraId="54DE5F1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池体</w:t>
                  </w:r>
                </w:p>
              </w:tc>
              <w:tc>
                <w:tcPr>
                  <w:tcW w:w="659" w:type="dxa"/>
                  <w:tcBorders>
                    <w:tl2br w:val="nil"/>
                    <w:tr2bl w:val="nil"/>
                  </w:tcBorders>
                  <w:vAlign w:val="center"/>
                </w:tcPr>
                <w:p w14:paraId="2A4EB74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0" w:firstLineChars="0"/>
                    <w:jc w:val="center"/>
                    <w:textAlignment w:val="auto"/>
                    <w:rPr>
                      <w:rFonts w:hint="eastAsia"/>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半年</w:t>
                  </w:r>
                </w:p>
              </w:tc>
            </w:tr>
          </w:tbl>
          <w:p w14:paraId="00E4ECC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0"/>
                <w:sz w:val="24"/>
                <w:highlight w:val="none"/>
                <w:lang w:val="en-US" w:eastAsia="zh-CN"/>
              </w:rPr>
            </w:pPr>
            <w:r>
              <w:rPr>
                <w:rFonts w:hint="eastAsia"/>
                <w:b w:val="0"/>
                <w:bCs w:val="0"/>
                <w:color w:val="auto"/>
                <w:spacing w:val="0"/>
                <w:sz w:val="24"/>
                <w:highlight w:val="none"/>
                <w:lang w:val="en-US" w:eastAsia="zh-CN"/>
              </w:rPr>
              <w:t>②医疗废物贮存要求</w:t>
            </w:r>
          </w:p>
          <w:p w14:paraId="7A90582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0"/>
                <w:sz w:val="24"/>
                <w:highlight w:val="none"/>
                <w:lang w:val="en-US" w:eastAsia="zh-CN"/>
              </w:rPr>
            </w:pPr>
            <w:r>
              <w:rPr>
                <w:rFonts w:hint="eastAsia"/>
                <w:b w:val="0"/>
                <w:bCs w:val="0"/>
                <w:color w:val="auto"/>
                <w:spacing w:val="0"/>
                <w:sz w:val="24"/>
                <w:highlight w:val="none"/>
                <w:lang w:val="en-US" w:eastAsia="zh-CN"/>
              </w:rPr>
              <w:t>医疗废物的收集、运输过程主要需防止医疗废物中的病原体传播。因此，临床感染性废物将就地消毒灭菌，装入黄色塑料袋密封；医用锐器(一次性银针及损伤性废物)放入专用利器盒，再放入黄色塑料袋内；黄色塑料袋包装的废物由医院内部的密封运输车每日定时收集，运至医院内的医疗废物暂存间，暂存间内设密闭容器和冷藏设备。医院内部医疗废物的收集、运输通道全部在室内进行，建设单位对医疗废物进行密封封装，避免传染性废物产生致病菌等空气传播，以及异味等废气污染物，对暂存容器、设施的清洗应保证清洗废水收集，并最终转移至污水处理设施进行处理。</w:t>
            </w:r>
          </w:p>
          <w:p w14:paraId="748A3AF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0"/>
                <w:sz w:val="24"/>
                <w:highlight w:val="none"/>
                <w:lang w:val="en-US" w:eastAsia="zh-CN"/>
              </w:rPr>
            </w:pPr>
            <w:r>
              <w:rPr>
                <w:rFonts w:hint="eastAsia"/>
                <w:b w:val="0"/>
                <w:bCs w:val="0"/>
                <w:color w:val="auto"/>
                <w:spacing w:val="0"/>
                <w:sz w:val="24"/>
                <w:highlight w:val="none"/>
                <w:lang w:val="en-US" w:eastAsia="zh-CN"/>
              </w:rPr>
              <w:t>③危险废物暂存中对环境影响分析</w:t>
            </w:r>
          </w:p>
          <w:p w14:paraId="6DDC19C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0"/>
                <w:sz w:val="24"/>
                <w:highlight w:val="none"/>
                <w:lang w:val="en-US" w:eastAsia="zh-CN"/>
              </w:rPr>
            </w:pPr>
            <w:r>
              <w:rPr>
                <w:rFonts w:hint="eastAsia"/>
                <w:b w:val="0"/>
                <w:bCs w:val="0"/>
                <w:color w:val="auto"/>
                <w:spacing w:val="0"/>
                <w:sz w:val="24"/>
                <w:highlight w:val="none"/>
                <w:lang w:val="en-US" w:eastAsia="zh-CN"/>
              </w:rPr>
              <w:t>项目产生的危险废物包括医疗废物（损伤性废物、感染性废物、化学性废物以及药物性废物）、消毒剂沾染物、栅渣、污泥等。其中医疗废物中实验废液中含有少量挥发性成分，建设单位将其封装在密封瓶或密封桶中，暂存周期较短，期间不会废气不会散溢至外环境。全部危险废物均放置在专用防渗防腐蚀容器中封装，不与上下水交叉，不会产生废水。</w:t>
            </w:r>
          </w:p>
          <w:p w14:paraId="7ED80E4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0"/>
                <w:sz w:val="24"/>
                <w:highlight w:val="none"/>
                <w:lang w:val="en-US" w:eastAsia="zh-CN"/>
              </w:rPr>
            </w:pPr>
            <w:r>
              <w:rPr>
                <w:rFonts w:hint="eastAsia"/>
                <w:b w:val="0"/>
                <w:bCs w:val="0"/>
                <w:color w:val="auto"/>
                <w:spacing w:val="0"/>
                <w:sz w:val="24"/>
                <w:highlight w:val="none"/>
                <w:lang w:val="en-US" w:eastAsia="zh-CN"/>
              </w:rPr>
              <w:t>项目医疗废物暂存间内进行地面硬化，设计采用渗透系数K</w:t>
            </w:r>
            <w:r>
              <w:rPr>
                <w:rFonts w:hint="default" w:ascii="Times New Roman" w:hAnsi="Times New Roman" w:cs="Times New Roman"/>
                <w:b w:val="0"/>
                <w:bCs w:val="0"/>
                <w:color w:val="auto"/>
                <w:spacing w:val="0"/>
                <w:sz w:val="24"/>
                <w:highlight w:val="none"/>
                <w:lang w:val="en-US" w:eastAsia="zh-CN"/>
              </w:rPr>
              <w:t>≤</w:t>
            </w:r>
            <w:r>
              <w:rPr>
                <w:rFonts w:hint="eastAsia"/>
                <w:b w:val="0"/>
                <w:bCs w:val="0"/>
                <w:color w:val="auto"/>
                <w:spacing w:val="0"/>
                <w:sz w:val="24"/>
                <w:highlight w:val="none"/>
                <w:lang w:val="en-US" w:eastAsia="zh-CN"/>
              </w:rPr>
              <w:t>1×10</w:t>
            </w:r>
            <w:r>
              <w:rPr>
                <w:rFonts w:hint="eastAsia"/>
                <w:b w:val="0"/>
                <w:bCs w:val="0"/>
                <w:color w:val="auto"/>
                <w:spacing w:val="0"/>
                <w:sz w:val="24"/>
                <w:highlight w:val="none"/>
                <w:vertAlign w:val="superscript"/>
                <w:lang w:val="en-US" w:eastAsia="zh-CN"/>
              </w:rPr>
              <w:t>-10</w:t>
            </w:r>
            <w:r>
              <w:rPr>
                <w:rFonts w:hint="eastAsia"/>
                <w:b w:val="0"/>
                <w:bCs w:val="0"/>
                <w:color w:val="auto"/>
                <w:spacing w:val="0"/>
                <w:sz w:val="24"/>
                <w:highlight w:val="none"/>
                <w:lang w:val="en-US" w:eastAsia="zh-CN"/>
              </w:rPr>
              <w:t>cm/s的防渗材料进行防渗处理，地面垫层和墙面墙裙采用聚乙烯复合防水材料，厚度为2mm，墙裙高度1m。暂存间内进行围堰设置。</w:t>
            </w:r>
          </w:p>
          <w:p w14:paraId="53C5799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0"/>
                <w:sz w:val="24"/>
                <w:highlight w:val="none"/>
                <w:lang w:val="en-US" w:eastAsia="zh-CN"/>
              </w:rPr>
            </w:pPr>
            <w:r>
              <w:rPr>
                <w:rFonts w:hint="eastAsia"/>
                <w:b w:val="0"/>
                <w:bCs w:val="0"/>
                <w:color w:val="auto"/>
                <w:spacing w:val="0"/>
                <w:sz w:val="24"/>
                <w:highlight w:val="none"/>
                <w:lang w:val="en-US" w:eastAsia="zh-CN"/>
              </w:rPr>
              <w:t>在采取严格的防渗措施后，项目暂存的危险废物不会发生渗漏污染地下水体及土壤的情形。</w:t>
            </w:r>
          </w:p>
          <w:p w14:paraId="69DB151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0"/>
                <w:sz w:val="24"/>
                <w:highlight w:val="none"/>
                <w:lang w:val="en-US" w:eastAsia="zh-CN"/>
              </w:rPr>
            </w:pPr>
            <w:r>
              <w:rPr>
                <w:rFonts w:hint="eastAsia"/>
                <w:b w:val="0"/>
                <w:bCs w:val="0"/>
                <w:color w:val="auto"/>
                <w:spacing w:val="0"/>
                <w:sz w:val="24"/>
                <w:highlight w:val="none"/>
                <w:lang w:val="en-US" w:eastAsia="zh-CN"/>
              </w:rPr>
              <w:t>④运输过程的环境影响分析及治理措施</w:t>
            </w:r>
          </w:p>
          <w:p w14:paraId="0F6D820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0"/>
                <w:sz w:val="24"/>
                <w:highlight w:val="none"/>
                <w:lang w:val="en-US" w:eastAsia="zh-CN"/>
              </w:rPr>
            </w:pPr>
            <w:r>
              <w:rPr>
                <w:rFonts w:hint="eastAsia"/>
                <w:b w:val="0"/>
                <w:bCs w:val="0"/>
                <w:color w:val="auto"/>
                <w:spacing w:val="0"/>
                <w:sz w:val="24"/>
                <w:highlight w:val="none"/>
                <w:lang w:val="en-US" w:eastAsia="zh-CN"/>
              </w:rPr>
              <w:t>项目各个诊室、处置室等产生医疗废物的地点（房间）均设置医疗废物收集容器，各楼层主要功能区设有污物间，按照生活垃圾、医疗废物、其他垃圾等分类设置暂存桶，随时收集病患和其他人员产生的各类废物。其中医疗废物在每日集中时段由负责专门岗位的人员按照既定设计路线，检查医疗废物收集情况，并将各个暂存容器集中转运至危险废物废物暂存间，再进行分类存放。内部转移路线全部在建筑内部，使用与客梯、货梯分开的专用楼梯或电梯。转运过程全封闭不会发生遗撒、散落污染外环境及环境保护目标的情况。对于其他危险废物，产生环节较为单一，产生周期较长，运输过程较为简单，应由专人负责，将危险废物沿既定路线进行转移至暂存间。建设单位还须委派专人记录台账，对进出库的危险废物进行数量、名称、类别、暂存时间、管理人员等信息的记录。</w:t>
            </w:r>
          </w:p>
          <w:p w14:paraId="41A93D9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0"/>
                <w:sz w:val="24"/>
                <w:highlight w:val="none"/>
                <w:lang w:val="en-US" w:eastAsia="zh-CN"/>
              </w:rPr>
            </w:pPr>
            <w:r>
              <w:rPr>
                <w:rFonts w:hint="eastAsia"/>
                <w:b w:val="0"/>
                <w:bCs w:val="0"/>
                <w:color w:val="auto"/>
                <w:spacing w:val="0"/>
                <w:sz w:val="24"/>
                <w:highlight w:val="none"/>
                <w:lang w:val="en-US" w:eastAsia="zh-CN"/>
              </w:rPr>
              <w:t>⑤委托处置危险废物的环境影响分析及治理措施</w:t>
            </w:r>
          </w:p>
          <w:p w14:paraId="7E4B79B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0"/>
                <w:sz w:val="24"/>
                <w:highlight w:val="none"/>
                <w:lang w:val="en-US" w:eastAsia="zh-CN"/>
              </w:rPr>
            </w:pPr>
            <w:r>
              <w:rPr>
                <w:rFonts w:hint="eastAsia"/>
                <w:b w:val="0"/>
                <w:bCs w:val="0"/>
                <w:color w:val="auto"/>
                <w:spacing w:val="0"/>
                <w:sz w:val="24"/>
                <w:highlight w:val="none"/>
                <w:lang w:val="en-US" w:eastAsia="zh-CN"/>
              </w:rPr>
              <w:t>本项目产生危险废物按照国家相关法规和标准规范要求处置，使用专用容器分类收集，暂存于医疗废物暂存间，委托有危险废物运输、处置资质单位清运、处置，并且在建设单位运营之前签订相应的处置合同，其处理处置满足环保要求，危险废物交接时填写《危险废物转移联单》。</w:t>
            </w:r>
          </w:p>
          <w:p w14:paraId="2CAF861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0"/>
                <w:sz w:val="24"/>
                <w:highlight w:val="none"/>
                <w:lang w:val="en-US" w:eastAsia="zh-CN"/>
              </w:rPr>
            </w:pPr>
            <w:r>
              <w:rPr>
                <w:rFonts w:hint="eastAsia"/>
                <w:b w:val="0"/>
                <w:bCs w:val="0"/>
                <w:color w:val="auto"/>
                <w:spacing w:val="0"/>
                <w:sz w:val="24"/>
                <w:highlight w:val="none"/>
                <w:lang w:val="en-US" w:eastAsia="zh-CN"/>
              </w:rPr>
              <w:t>医疗废物的转运由专人负责，按照既定的时间、路线进行运送。转运的同时认真执行《危险废物转移管理办法》（2022年1月1日实施），及时登记。登记内容包括：医疗废物的来源种类、重量或数量、交接时间、最终去向以及经办人签名等项目，并保存登记资料至少五年。废物都得到了合理处置，不会对周围环境产生大的不利影响。</w:t>
            </w:r>
          </w:p>
          <w:p w14:paraId="17DB982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0"/>
                <w:sz w:val="24"/>
                <w:highlight w:val="none"/>
                <w:lang w:val="en-US" w:eastAsia="zh-CN"/>
              </w:rPr>
            </w:pPr>
            <w:r>
              <w:rPr>
                <w:rFonts w:hint="eastAsia"/>
                <w:b w:val="0"/>
                <w:bCs w:val="0"/>
                <w:color w:val="auto"/>
                <w:spacing w:val="0"/>
                <w:sz w:val="24"/>
                <w:highlight w:val="none"/>
                <w:lang w:val="en-US" w:eastAsia="zh-CN"/>
              </w:rPr>
              <w:t>⑥危险废物日常管理要求</w:t>
            </w:r>
          </w:p>
          <w:p w14:paraId="1821B8C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0"/>
                <w:sz w:val="24"/>
                <w:highlight w:val="none"/>
                <w:lang w:val="en-US" w:eastAsia="zh-CN"/>
              </w:rPr>
            </w:pPr>
            <w:r>
              <w:rPr>
                <w:rFonts w:hint="eastAsia"/>
                <w:b w:val="0"/>
                <w:bCs w:val="0"/>
                <w:color w:val="auto"/>
                <w:spacing w:val="0"/>
                <w:sz w:val="24"/>
                <w:highlight w:val="none"/>
                <w:lang w:val="en-US" w:eastAsia="zh-CN"/>
              </w:rPr>
              <w:t>建设单位应定期开展对员工的培训教育，了解相关法律法规，制定相关的操作规程。医疗废物、其他危险废物与其他废物不得混放，必须使用专用容器盛放，并暂存至各自的医疗废物暂存间。医疗废物暂存间由专人进行管理，日常为锁闭状态。每日由专职工作人员进行废物转移至暂存间，并进行分类暂存。危险废物出入库时需要如实记录台账登记，并在与转运处置单位交接时做好转移联单。在日常管理中，应由专人定期检查医疗废物暂存间地面、墙面有无破损裂缝，化粪池等污水处理构筑物是否有损坏及裂缝，以及暂存容器是否老化腐蚀或包装袋是否出现破损。如出现问题，应采取及时进行修复或购置新容器等措施。</w:t>
            </w:r>
          </w:p>
          <w:p w14:paraId="65F88DF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0"/>
                <w:sz w:val="24"/>
                <w:highlight w:val="none"/>
                <w:lang w:val="en-US" w:eastAsia="zh-CN"/>
              </w:rPr>
            </w:pPr>
            <w:r>
              <w:rPr>
                <w:rFonts w:hint="eastAsia"/>
                <w:b w:val="0"/>
                <w:bCs w:val="0"/>
                <w:color w:val="auto"/>
                <w:spacing w:val="0"/>
                <w:sz w:val="24"/>
                <w:highlight w:val="none"/>
                <w:lang w:val="en-US" w:eastAsia="zh-CN"/>
              </w:rPr>
              <w:t>⑦一般固废治理措施</w:t>
            </w:r>
          </w:p>
          <w:p w14:paraId="3CF7617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0"/>
                <w:sz w:val="24"/>
                <w:highlight w:val="none"/>
                <w:lang w:val="en-US" w:eastAsia="zh-CN"/>
              </w:rPr>
            </w:pPr>
            <w:r>
              <w:rPr>
                <w:rFonts w:hint="eastAsia"/>
                <w:b w:val="0"/>
                <w:bCs w:val="0"/>
                <w:color w:val="auto"/>
                <w:spacing w:val="0"/>
                <w:sz w:val="24"/>
                <w:highlight w:val="none"/>
                <w:lang w:val="en-US" w:eastAsia="zh-CN"/>
              </w:rPr>
              <w:t>项目应按照《中华人民共和国固体废物污染环境防治法》（2020年版）、《一般工业固体废物贮存和填埋污染控制标准》（GB18599-2020）等规定中的要求对该类废物进行处置，建设单位将生活垃圾进行分类暂存，按照环卫部门的要求每日定时定点至其指定区域，由其清运处置。项目产生的仪器设备及原辅材料的废包装物定期委托环卫部门清运处置。</w:t>
            </w:r>
          </w:p>
          <w:p w14:paraId="51CB3E9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0"/>
                <w:sz w:val="24"/>
                <w:highlight w:val="none"/>
                <w:lang w:val="en-US" w:eastAsia="zh-CN"/>
              </w:rPr>
            </w:pPr>
            <w:r>
              <w:rPr>
                <w:rFonts w:hint="eastAsia"/>
                <w:b w:val="0"/>
                <w:bCs w:val="0"/>
                <w:color w:val="auto"/>
                <w:spacing w:val="0"/>
                <w:sz w:val="24"/>
                <w:highlight w:val="none"/>
                <w:lang w:val="en-US" w:eastAsia="zh-CN"/>
              </w:rPr>
              <w:t>（3）固体废物环境影响分析结论</w:t>
            </w:r>
          </w:p>
          <w:p w14:paraId="73B1553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0"/>
                <w:sz w:val="24"/>
                <w:highlight w:val="none"/>
                <w:lang w:val="en-US" w:eastAsia="zh-CN"/>
              </w:rPr>
            </w:pPr>
            <w:r>
              <w:rPr>
                <w:rFonts w:hint="eastAsia"/>
                <w:b w:val="0"/>
                <w:bCs w:val="0"/>
                <w:color w:val="auto"/>
                <w:spacing w:val="0"/>
                <w:sz w:val="24"/>
                <w:highlight w:val="none"/>
                <w:lang w:val="en-US" w:eastAsia="zh-CN"/>
              </w:rPr>
              <w:t>本项目对生活垃圾，以及一般固体废物的处置能够满足《中华人民共和国固体废物污染环境防治法》（2020年版）、《北京市生活垃圾管理条例》（北京市人民代表大会常务委员会公告，[十五届]第39号，2020年9月25日施行），以及《一般工业固体废物贮存和填埋污染控制标准》（GB18599-2020）等相关规定。对医疗废物及其他危险废物的收集、暂存及委托转运处置，能够满足《医疗废物管理条例》（中华人民共和国国务院令第380号令）、《危险废物贮存污染控制标准》（GB18597-2023）、《北京市危险废物污染环境防治条例》（2020年6月5日通过，2020年9月1日实施）等相关规定的要求。建设单位对固体废物加强管理，及时妥善处理，运营期项目固体废物对周围环境影响较小。</w:t>
            </w:r>
          </w:p>
          <w:p w14:paraId="4A8FEC0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rPr>
                <w:rFonts w:hint="default"/>
                <w:b w:val="0"/>
                <w:bCs w:val="0"/>
                <w:color w:val="auto"/>
                <w:spacing w:val="0"/>
                <w:sz w:val="24"/>
                <w:highlight w:val="none"/>
                <w:lang w:val="en-US" w:eastAsia="zh-CN"/>
              </w:rPr>
            </w:pPr>
            <w:r>
              <w:rPr>
                <w:rFonts w:hint="eastAsia"/>
                <w:b/>
                <w:bCs/>
                <w:color w:val="auto"/>
                <w:spacing w:val="0"/>
                <w:sz w:val="24"/>
                <w:highlight w:val="none"/>
                <w:lang w:val="en-US" w:eastAsia="zh-CN"/>
              </w:rPr>
              <w:t>5、地下水和土壤环境影响分析</w:t>
            </w:r>
          </w:p>
          <w:p w14:paraId="14E1ABF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0"/>
                <w:sz w:val="24"/>
                <w:highlight w:val="none"/>
                <w:lang w:val="en-US" w:eastAsia="zh-CN"/>
              </w:rPr>
            </w:pPr>
            <w:r>
              <w:rPr>
                <w:rFonts w:hint="eastAsia"/>
                <w:b w:val="0"/>
                <w:bCs w:val="0"/>
                <w:color w:val="auto"/>
                <w:spacing w:val="0"/>
                <w:sz w:val="24"/>
                <w:highlight w:val="none"/>
                <w:lang w:val="en-US" w:eastAsia="zh-CN"/>
              </w:rPr>
              <w:t>本项目运营过程中，所排废水包括医院全部排水（门诊废水、病房废水、行政人员生活废水、卫生清洁排水等），废水经自建污水处理设施处理后，最终经市政污水管网进入清河再生水厂集中处理。项目污水处理间及医疗废物暂存间等相关涉水区域均采取严格的防渗措施。</w:t>
            </w:r>
          </w:p>
          <w:p w14:paraId="529073F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0"/>
                <w:sz w:val="24"/>
                <w:highlight w:val="none"/>
                <w:lang w:val="en-US" w:eastAsia="zh-CN"/>
              </w:rPr>
            </w:pPr>
            <w:r>
              <w:rPr>
                <w:rFonts w:hint="eastAsia"/>
                <w:b w:val="0"/>
                <w:bCs w:val="0"/>
                <w:color w:val="auto"/>
                <w:spacing w:val="0"/>
                <w:sz w:val="24"/>
                <w:highlight w:val="none"/>
                <w:lang w:val="en-US" w:eastAsia="zh-CN"/>
              </w:rPr>
              <w:t>（1）重点防渗区防渗措施</w:t>
            </w:r>
          </w:p>
          <w:p w14:paraId="05C7990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0"/>
                <w:sz w:val="24"/>
                <w:highlight w:val="none"/>
                <w:lang w:val="en-US" w:eastAsia="zh-CN"/>
              </w:rPr>
            </w:pPr>
            <w:r>
              <w:rPr>
                <w:rFonts w:hint="eastAsia"/>
                <w:b w:val="0"/>
                <w:bCs w:val="0"/>
                <w:color w:val="auto"/>
                <w:spacing w:val="0"/>
                <w:sz w:val="24"/>
                <w:highlight w:val="none"/>
                <w:lang w:val="en-US" w:eastAsia="zh-CN"/>
              </w:rPr>
              <w:t>①污水处理设施</w:t>
            </w:r>
          </w:p>
          <w:p w14:paraId="475FE4E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0"/>
                <w:sz w:val="24"/>
                <w:highlight w:val="none"/>
                <w:lang w:val="en-US" w:eastAsia="zh-CN"/>
              </w:rPr>
            </w:pPr>
            <w:r>
              <w:rPr>
                <w:rFonts w:hint="eastAsia"/>
                <w:b w:val="0"/>
                <w:bCs w:val="0"/>
                <w:color w:val="auto"/>
                <w:spacing w:val="0"/>
                <w:sz w:val="24"/>
                <w:highlight w:val="none"/>
                <w:lang w:val="en-US" w:eastAsia="zh-CN"/>
              </w:rPr>
              <w:t>污水处理设施为一体化全密闭设备，化粪池为地埋式，化粪池基础采用1m厚黏土层，铺装防渗材料。防渗材料宜采用高密度聚乙烯防渗层或其他材料，材料的渗透系数K不大于1.0×10</w:t>
            </w:r>
            <w:r>
              <w:rPr>
                <w:rFonts w:hint="eastAsia"/>
                <w:b w:val="0"/>
                <w:bCs w:val="0"/>
                <w:color w:val="auto"/>
                <w:spacing w:val="0"/>
                <w:sz w:val="24"/>
                <w:highlight w:val="none"/>
                <w:vertAlign w:val="superscript"/>
                <w:lang w:val="en-US" w:eastAsia="zh-CN"/>
              </w:rPr>
              <w:t>-10</w:t>
            </w:r>
            <w:r>
              <w:rPr>
                <w:rFonts w:hint="eastAsia"/>
                <w:b w:val="0"/>
                <w:bCs w:val="0"/>
                <w:color w:val="auto"/>
                <w:spacing w:val="0"/>
                <w:sz w:val="24"/>
                <w:highlight w:val="none"/>
                <w:lang w:val="en-US" w:eastAsia="zh-CN"/>
              </w:rPr>
              <w:t>cm/s。化粪池为混凝土结构。污水管道采用防渗、防腐厚壁UPVC塑料件管材。</w:t>
            </w:r>
          </w:p>
          <w:p w14:paraId="291EC54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0"/>
                <w:sz w:val="24"/>
                <w:highlight w:val="none"/>
                <w:lang w:val="en-US" w:eastAsia="zh-CN"/>
              </w:rPr>
            </w:pPr>
            <w:r>
              <w:rPr>
                <w:rFonts w:hint="default"/>
                <w:b w:val="0"/>
                <w:bCs w:val="0"/>
                <w:color w:val="auto"/>
                <w:spacing w:val="0"/>
                <w:sz w:val="24"/>
                <w:highlight w:val="none"/>
                <w:lang w:val="en-US" w:eastAsia="zh-CN"/>
              </w:rPr>
              <w:t>②</w:t>
            </w:r>
            <w:r>
              <w:rPr>
                <w:rFonts w:hint="eastAsia"/>
                <w:b w:val="0"/>
                <w:bCs w:val="0"/>
                <w:color w:val="auto"/>
                <w:spacing w:val="0"/>
                <w:sz w:val="24"/>
                <w:highlight w:val="none"/>
                <w:lang w:val="en-US" w:eastAsia="zh-CN"/>
              </w:rPr>
              <w:t>医疗废物暂存间</w:t>
            </w:r>
          </w:p>
          <w:p w14:paraId="6DD12EA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0"/>
                <w:sz w:val="24"/>
                <w:highlight w:val="none"/>
                <w:lang w:val="en-US" w:eastAsia="zh-CN"/>
              </w:rPr>
            </w:pPr>
            <w:r>
              <w:rPr>
                <w:rFonts w:hint="eastAsia"/>
                <w:b w:val="0"/>
                <w:bCs w:val="0"/>
                <w:color w:val="auto"/>
                <w:spacing w:val="0"/>
                <w:sz w:val="24"/>
                <w:highlight w:val="none"/>
                <w:lang w:val="en-US" w:eastAsia="zh-CN"/>
              </w:rPr>
              <w:t>医疗废物暂存间</w:t>
            </w:r>
            <w:r>
              <w:rPr>
                <w:rFonts w:hint="default"/>
                <w:b w:val="0"/>
                <w:bCs w:val="0"/>
                <w:color w:val="auto"/>
                <w:spacing w:val="0"/>
                <w:sz w:val="24"/>
                <w:highlight w:val="none"/>
                <w:lang w:val="en-US" w:eastAsia="zh-CN"/>
              </w:rPr>
              <w:t>暂存的医疗废物</w:t>
            </w:r>
            <w:r>
              <w:rPr>
                <w:rFonts w:hint="eastAsia"/>
                <w:b w:val="0"/>
                <w:bCs w:val="0"/>
                <w:color w:val="auto"/>
                <w:spacing w:val="0"/>
                <w:sz w:val="24"/>
                <w:highlight w:val="none"/>
                <w:lang w:val="en-US" w:eastAsia="zh-CN"/>
              </w:rPr>
              <w:t>、危险废物</w:t>
            </w:r>
            <w:r>
              <w:rPr>
                <w:rFonts w:hint="default"/>
                <w:b w:val="0"/>
                <w:bCs w:val="0"/>
                <w:color w:val="auto"/>
                <w:spacing w:val="0"/>
                <w:sz w:val="24"/>
                <w:highlight w:val="none"/>
                <w:lang w:val="en-US" w:eastAsia="zh-CN"/>
              </w:rPr>
              <w:t>均严格执行《医疗废物管理条例》，建设单位及时收集本单位产生的医疗废物，并按类别分置于防渗漏、防锐器穿透的专用包装物或者密闭的容器内，防止其中的液体渗漏；对</w:t>
            </w:r>
            <w:r>
              <w:rPr>
                <w:rFonts w:hint="eastAsia"/>
                <w:b w:val="0"/>
                <w:bCs w:val="0"/>
                <w:color w:val="auto"/>
                <w:spacing w:val="0"/>
                <w:sz w:val="24"/>
                <w:highlight w:val="none"/>
                <w:lang w:val="en-US" w:eastAsia="zh-CN"/>
              </w:rPr>
              <w:t>医疗</w:t>
            </w:r>
            <w:r>
              <w:rPr>
                <w:rFonts w:hint="default"/>
                <w:b w:val="0"/>
                <w:bCs w:val="0"/>
                <w:color w:val="auto"/>
                <w:spacing w:val="0"/>
                <w:sz w:val="24"/>
                <w:highlight w:val="none"/>
                <w:lang w:val="en-US" w:eastAsia="zh-CN"/>
              </w:rPr>
              <w:t>废物暂存间进行地面硬化和防渗处理。防渗材料设计采用高密度聚乙烯防渗层，材料厚度为2mm，渗透系数K不大于1.0×10</w:t>
            </w:r>
            <w:r>
              <w:rPr>
                <w:rFonts w:hint="default"/>
                <w:b w:val="0"/>
                <w:bCs w:val="0"/>
                <w:color w:val="auto"/>
                <w:spacing w:val="0"/>
                <w:sz w:val="24"/>
                <w:highlight w:val="none"/>
                <w:vertAlign w:val="superscript"/>
                <w:lang w:val="en-US" w:eastAsia="zh-CN"/>
              </w:rPr>
              <w:t>-10</w:t>
            </w:r>
            <w:r>
              <w:rPr>
                <w:rFonts w:hint="default"/>
                <w:b w:val="0"/>
                <w:bCs w:val="0"/>
                <w:color w:val="auto"/>
                <w:spacing w:val="0"/>
                <w:sz w:val="24"/>
                <w:highlight w:val="none"/>
                <w:lang w:val="en-US" w:eastAsia="zh-CN"/>
              </w:rPr>
              <w:t>cm/s。暂存间防渗材料墙面返高设计为2m。</w:t>
            </w:r>
          </w:p>
          <w:p w14:paraId="2D0CF71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0"/>
                <w:sz w:val="24"/>
                <w:highlight w:val="none"/>
                <w:lang w:val="en-US" w:eastAsia="zh-CN"/>
              </w:rPr>
            </w:pPr>
            <w:r>
              <w:rPr>
                <w:rFonts w:hint="eastAsia"/>
                <w:b w:val="0"/>
                <w:bCs w:val="0"/>
                <w:color w:val="auto"/>
                <w:spacing w:val="0"/>
                <w:sz w:val="24"/>
                <w:highlight w:val="none"/>
                <w:lang w:val="en-US" w:eastAsia="zh-CN"/>
              </w:rPr>
              <w:t>（2）一般防渗区防渗措施</w:t>
            </w:r>
          </w:p>
          <w:p w14:paraId="1463A2B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0"/>
                <w:sz w:val="24"/>
                <w:highlight w:val="none"/>
                <w:lang w:val="en-US" w:eastAsia="zh-CN"/>
              </w:rPr>
            </w:pPr>
            <w:r>
              <w:rPr>
                <w:rFonts w:hint="default"/>
                <w:b w:val="0"/>
                <w:bCs w:val="0"/>
                <w:color w:val="auto"/>
                <w:spacing w:val="0"/>
                <w:sz w:val="24"/>
                <w:highlight w:val="none"/>
                <w:lang w:val="en-US" w:eastAsia="zh-CN"/>
              </w:rPr>
              <w:t>本项目涉及有上下水管路房间的地面拟采取防渗处理，材料的渗透系数K不大于1.0×10</w:t>
            </w:r>
            <w:r>
              <w:rPr>
                <w:rFonts w:hint="default"/>
                <w:b w:val="0"/>
                <w:bCs w:val="0"/>
                <w:color w:val="auto"/>
                <w:spacing w:val="0"/>
                <w:sz w:val="24"/>
                <w:highlight w:val="none"/>
                <w:vertAlign w:val="superscript"/>
                <w:lang w:val="en-US" w:eastAsia="zh-CN"/>
              </w:rPr>
              <w:t>-7</w:t>
            </w:r>
            <w:r>
              <w:rPr>
                <w:rFonts w:hint="default"/>
                <w:b w:val="0"/>
                <w:bCs w:val="0"/>
                <w:color w:val="auto"/>
                <w:spacing w:val="0"/>
                <w:sz w:val="24"/>
                <w:highlight w:val="none"/>
                <w:lang w:val="en-US" w:eastAsia="zh-CN"/>
              </w:rPr>
              <w:t>cm/s。</w:t>
            </w:r>
          </w:p>
          <w:p w14:paraId="65AEC10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0"/>
                <w:sz w:val="24"/>
                <w:highlight w:val="none"/>
                <w:lang w:val="en-US" w:eastAsia="zh-CN"/>
              </w:rPr>
            </w:pPr>
            <w:r>
              <w:rPr>
                <w:rFonts w:hint="default"/>
                <w:b w:val="0"/>
                <w:bCs w:val="0"/>
                <w:color w:val="auto"/>
                <w:spacing w:val="0"/>
                <w:sz w:val="24"/>
                <w:highlight w:val="none"/>
                <w:lang w:val="en-US" w:eastAsia="zh-CN"/>
              </w:rPr>
              <w:t>建设单位注意固体废物，尤其是危险废物的及时回收与处理，生活垃圾设置密封垃圾箱，均不在露天堆放，并及时外运处理，以避免对地下水及土壤环境造成影响的可能。在保障各项防渗措施及其他管理措施治理效果的情况下，本项目不存在对地下水及土壤造成环境污染的途径。</w:t>
            </w:r>
          </w:p>
          <w:p w14:paraId="3C57B57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rPr>
                <w:rFonts w:hint="default"/>
                <w:b w:val="0"/>
                <w:bCs w:val="0"/>
                <w:color w:val="auto"/>
                <w:spacing w:val="0"/>
                <w:sz w:val="24"/>
                <w:highlight w:val="none"/>
                <w:lang w:val="en-US" w:eastAsia="zh-CN"/>
              </w:rPr>
            </w:pPr>
            <w:r>
              <w:rPr>
                <w:rFonts w:hint="eastAsia"/>
                <w:b/>
                <w:bCs/>
                <w:color w:val="auto"/>
                <w:spacing w:val="0"/>
                <w:sz w:val="24"/>
                <w:highlight w:val="none"/>
                <w:lang w:val="en-US" w:eastAsia="zh-CN"/>
              </w:rPr>
              <w:t>6、环境风险影响分析</w:t>
            </w:r>
          </w:p>
          <w:p w14:paraId="278B443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0"/>
                <w:sz w:val="24"/>
                <w:highlight w:val="none"/>
                <w:lang w:val="en-US" w:eastAsia="zh-CN"/>
              </w:rPr>
            </w:pPr>
            <w:r>
              <w:rPr>
                <w:rFonts w:hint="eastAsia"/>
                <w:b w:val="0"/>
                <w:bCs w:val="0"/>
                <w:color w:val="auto"/>
                <w:spacing w:val="0"/>
                <w:sz w:val="24"/>
                <w:highlight w:val="none"/>
                <w:lang w:val="en-US" w:eastAsia="zh-CN"/>
              </w:rPr>
              <w:t>（1）风险源调查</w:t>
            </w:r>
          </w:p>
          <w:p w14:paraId="75B2362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0"/>
                <w:sz w:val="24"/>
                <w:highlight w:val="none"/>
                <w:lang w:val="en-US" w:eastAsia="zh-CN"/>
              </w:rPr>
            </w:pPr>
            <w:r>
              <w:rPr>
                <w:rFonts w:hint="eastAsia"/>
                <w:b w:val="0"/>
                <w:bCs w:val="0"/>
                <w:color w:val="auto"/>
                <w:spacing w:val="0"/>
                <w:sz w:val="24"/>
                <w:highlight w:val="none"/>
                <w:lang w:val="en-US" w:eastAsia="zh-CN"/>
              </w:rPr>
              <w:t>根据《建设项目环境风险评价技术导则》（HJ169-2018）附录B重点关注的危险物质及临界量，以及《企业突发环境事件风险分级方法》（HJ941-2018）附录A突发环境事件风险物质及临界量清单，本项目医院涉及的危险化学品为次氯酸钠溶液、酒精。</w:t>
            </w:r>
          </w:p>
          <w:p w14:paraId="0B4BD3D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0"/>
                <w:sz w:val="24"/>
                <w:highlight w:val="none"/>
                <w:lang w:val="en-US" w:eastAsia="zh-CN"/>
              </w:rPr>
            </w:pPr>
            <w:r>
              <w:rPr>
                <w:rFonts w:hint="eastAsia"/>
                <w:b w:val="0"/>
                <w:bCs w:val="0"/>
                <w:color w:val="auto"/>
                <w:spacing w:val="0"/>
                <w:sz w:val="24"/>
                <w:highlight w:val="none"/>
                <w:lang w:val="en-US" w:eastAsia="zh-CN"/>
              </w:rPr>
              <w:t>根据《建设项目环境风险评价技术导则》（HJ169-2018）附录C，计算所涉及的每种危险物质在厂界内的最大存在总量与其在附录B中对应临界量的比值Q，来判断建设项目的风险潜势。当存在多种危险物质时，应按下式计算物质总量与其临界量的比值（Q）：</w:t>
            </w:r>
          </w:p>
          <w:p w14:paraId="0A5E425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jc w:val="both"/>
              <w:textAlignment w:val="auto"/>
              <w:rPr>
                <w:rFonts w:hint="eastAsia"/>
                <w:b w:val="0"/>
                <w:bCs w:val="0"/>
                <w:color w:val="auto"/>
                <w:spacing w:val="0"/>
                <w:sz w:val="24"/>
                <w:highlight w:val="none"/>
                <w:lang w:val="en-US" w:eastAsia="zh-CN"/>
              </w:rPr>
            </w:pPr>
            <m:oMathPara>
              <m:oMath>
                <m:r>
                  <m:rPr>
                    <m:sty m:val="p"/>
                  </m:rPr>
                  <w:rPr>
                    <w:rFonts w:hint="default" w:ascii="Cambria Math" w:hAnsi="Cambria Math" w:cs="Times New Roman"/>
                    <w:color w:val="auto"/>
                    <w:spacing w:val="-10"/>
                    <w:kern w:val="2"/>
                    <w:sz w:val="24"/>
                    <w:szCs w:val="24"/>
                    <w:highlight w:val="none"/>
                    <w:lang w:val="en-US" w:eastAsia="zh-CN" w:bidi="ar-SA"/>
                  </w:rPr>
                  <m:t>Q=</m:t>
                </m:r>
                <m:f>
                  <m:fPr>
                    <m:ctrlPr>
                      <w:rPr>
                        <w:rFonts w:hint="default" w:ascii="Cambria Math" w:hAnsi="Cambria Math" w:cs="Times New Roman"/>
                        <w:b w:val="0"/>
                        <w:bCs w:val="0"/>
                        <w:color w:val="auto"/>
                        <w:spacing w:val="-10"/>
                        <w:kern w:val="2"/>
                        <w:sz w:val="24"/>
                        <w:szCs w:val="24"/>
                        <w:highlight w:val="none"/>
                        <w:lang w:val="en-US" w:eastAsia="zh-CN" w:bidi="ar-SA"/>
                      </w:rPr>
                    </m:ctrlPr>
                  </m:fPr>
                  <m:num>
                    <m:sSub>
                      <m:sSubPr>
                        <m:ctrlPr>
                          <w:rPr>
                            <w:rFonts w:hint="default" w:ascii="Cambria Math" w:hAnsi="Cambria Math" w:cs="Times New Roman"/>
                            <w:b w:val="0"/>
                            <w:bCs w:val="0"/>
                            <w:color w:val="auto"/>
                            <w:spacing w:val="-10"/>
                            <w:kern w:val="2"/>
                            <w:sz w:val="24"/>
                            <w:szCs w:val="24"/>
                            <w:highlight w:val="none"/>
                            <w:lang w:val="en-US" w:eastAsia="zh-CN" w:bidi="ar-SA"/>
                          </w:rPr>
                        </m:ctrlPr>
                      </m:sSubPr>
                      <m:e>
                        <m:r>
                          <m:rPr>
                            <m:sty m:val="p"/>
                          </m:rPr>
                          <w:rPr>
                            <w:rFonts w:hint="default" w:ascii="Cambria Math" w:hAnsi="Cambria Math" w:cs="Times New Roman"/>
                            <w:color w:val="auto"/>
                            <w:spacing w:val="-10"/>
                            <w:kern w:val="2"/>
                            <w:sz w:val="24"/>
                            <w:szCs w:val="24"/>
                            <w:highlight w:val="none"/>
                            <w:lang w:val="en-US" w:eastAsia="zh-CN" w:bidi="ar-SA"/>
                          </w:rPr>
                          <m:t>q</m:t>
                        </m:r>
                        <m:ctrlPr>
                          <w:rPr>
                            <w:rFonts w:hint="default" w:ascii="Cambria Math" w:hAnsi="Cambria Math" w:cs="Times New Roman"/>
                            <w:b w:val="0"/>
                            <w:bCs w:val="0"/>
                            <w:color w:val="auto"/>
                            <w:spacing w:val="-10"/>
                            <w:kern w:val="2"/>
                            <w:sz w:val="24"/>
                            <w:szCs w:val="24"/>
                            <w:highlight w:val="none"/>
                            <w:lang w:val="en-US" w:eastAsia="zh-CN" w:bidi="ar-SA"/>
                          </w:rPr>
                        </m:ctrlPr>
                      </m:e>
                      <m:sub>
                        <m:r>
                          <m:rPr>
                            <m:sty m:val="p"/>
                          </m:rPr>
                          <w:rPr>
                            <w:rFonts w:hint="default" w:ascii="Cambria Math" w:hAnsi="Cambria Math" w:cs="Times New Roman"/>
                            <w:color w:val="auto"/>
                            <w:spacing w:val="-10"/>
                            <w:kern w:val="2"/>
                            <w:sz w:val="24"/>
                            <w:szCs w:val="24"/>
                            <w:highlight w:val="none"/>
                            <w:lang w:val="en-US" w:eastAsia="zh-CN" w:bidi="ar-SA"/>
                          </w:rPr>
                          <m:t>1</m:t>
                        </m:r>
                        <m:ctrlPr>
                          <w:rPr>
                            <w:rFonts w:hint="default" w:ascii="Cambria Math" w:hAnsi="Cambria Math" w:cs="Times New Roman"/>
                            <w:b w:val="0"/>
                            <w:bCs w:val="0"/>
                            <w:color w:val="auto"/>
                            <w:spacing w:val="-10"/>
                            <w:kern w:val="2"/>
                            <w:sz w:val="24"/>
                            <w:szCs w:val="24"/>
                            <w:highlight w:val="none"/>
                            <w:lang w:val="en-US" w:eastAsia="zh-CN" w:bidi="ar-SA"/>
                          </w:rPr>
                        </m:ctrlPr>
                      </m:sub>
                    </m:sSub>
                    <m:ctrlPr>
                      <w:rPr>
                        <w:rFonts w:hint="default" w:ascii="Cambria Math" w:hAnsi="Cambria Math" w:cs="Times New Roman"/>
                        <w:b w:val="0"/>
                        <w:bCs w:val="0"/>
                        <w:color w:val="auto"/>
                        <w:spacing w:val="-10"/>
                        <w:kern w:val="2"/>
                        <w:sz w:val="24"/>
                        <w:szCs w:val="24"/>
                        <w:highlight w:val="none"/>
                        <w:lang w:val="en-US" w:eastAsia="zh-CN" w:bidi="ar-SA"/>
                      </w:rPr>
                    </m:ctrlPr>
                  </m:num>
                  <m:den>
                    <m:sSub>
                      <m:sSubPr>
                        <m:ctrlPr>
                          <w:rPr>
                            <w:rFonts w:hint="default" w:ascii="Cambria Math" w:hAnsi="Cambria Math" w:cs="Times New Roman"/>
                            <w:b w:val="0"/>
                            <w:bCs w:val="0"/>
                            <w:color w:val="auto"/>
                            <w:spacing w:val="-10"/>
                            <w:kern w:val="2"/>
                            <w:sz w:val="24"/>
                            <w:szCs w:val="24"/>
                            <w:highlight w:val="none"/>
                            <w:lang w:val="en-US" w:eastAsia="zh-CN" w:bidi="ar-SA"/>
                          </w:rPr>
                        </m:ctrlPr>
                      </m:sSubPr>
                      <m:e>
                        <m:r>
                          <m:rPr>
                            <m:sty m:val="p"/>
                          </m:rPr>
                          <w:rPr>
                            <w:rFonts w:hint="default" w:ascii="Cambria Math" w:hAnsi="Cambria Math" w:cs="Times New Roman"/>
                            <w:color w:val="auto"/>
                            <w:spacing w:val="-10"/>
                            <w:kern w:val="2"/>
                            <w:sz w:val="24"/>
                            <w:szCs w:val="24"/>
                            <w:highlight w:val="none"/>
                            <w:lang w:val="en-US" w:eastAsia="zh-CN" w:bidi="ar-SA"/>
                          </w:rPr>
                          <m:t>Q</m:t>
                        </m:r>
                        <m:ctrlPr>
                          <w:rPr>
                            <w:rFonts w:hint="default" w:ascii="Cambria Math" w:hAnsi="Cambria Math" w:cs="Times New Roman"/>
                            <w:b w:val="0"/>
                            <w:bCs w:val="0"/>
                            <w:color w:val="auto"/>
                            <w:spacing w:val="-10"/>
                            <w:kern w:val="2"/>
                            <w:sz w:val="24"/>
                            <w:szCs w:val="24"/>
                            <w:highlight w:val="none"/>
                            <w:lang w:val="en-US" w:eastAsia="zh-CN" w:bidi="ar-SA"/>
                          </w:rPr>
                        </m:ctrlPr>
                      </m:e>
                      <m:sub>
                        <m:r>
                          <m:rPr>
                            <m:sty m:val="p"/>
                          </m:rPr>
                          <w:rPr>
                            <w:rFonts w:hint="default" w:ascii="Cambria Math" w:hAnsi="Cambria Math" w:cs="Times New Roman"/>
                            <w:color w:val="auto"/>
                            <w:spacing w:val="-10"/>
                            <w:kern w:val="2"/>
                            <w:sz w:val="24"/>
                            <w:szCs w:val="24"/>
                            <w:highlight w:val="none"/>
                            <w:lang w:val="en-US" w:eastAsia="zh-CN" w:bidi="ar-SA"/>
                          </w:rPr>
                          <m:t>1</m:t>
                        </m:r>
                        <m:ctrlPr>
                          <w:rPr>
                            <w:rFonts w:hint="default" w:ascii="Cambria Math" w:hAnsi="Cambria Math" w:cs="Times New Roman"/>
                            <w:b w:val="0"/>
                            <w:bCs w:val="0"/>
                            <w:color w:val="auto"/>
                            <w:spacing w:val="-10"/>
                            <w:kern w:val="2"/>
                            <w:sz w:val="24"/>
                            <w:szCs w:val="24"/>
                            <w:highlight w:val="none"/>
                            <w:lang w:val="en-US" w:eastAsia="zh-CN" w:bidi="ar-SA"/>
                          </w:rPr>
                        </m:ctrlPr>
                      </m:sub>
                    </m:sSub>
                    <m:ctrlPr>
                      <w:rPr>
                        <w:rFonts w:hint="default" w:ascii="Cambria Math" w:hAnsi="Cambria Math" w:cs="Times New Roman"/>
                        <w:b w:val="0"/>
                        <w:bCs w:val="0"/>
                        <w:color w:val="auto"/>
                        <w:spacing w:val="-10"/>
                        <w:kern w:val="2"/>
                        <w:sz w:val="24"/>
                        <w:szCs w:val="24"/>
                        <w:highlight w:val="none"/>
                        <w:lang w:val="en-US" w:eastAsia="zh-CN" w:bidi="ar-SA"/>
                      </w:rPr>
                    </m:ctrlPr>
                  </m:den>
                </m:f>
                <m:r>
                  <m:rPr>
                    <m:sty m:val="p"/>
                  </m:rPr>
                  <w:rPr>
                    <w:rFonts w:hint="default" w:ascii="Cambria Math" w:hAnsi="Cambria Math" w:cs="Times New Roman"/>
                    <w:color w:val="auto"/>
                    <w:spacing w:val="-10"/>
                    <w:kern w:val="2"/>
                    <w:sz w:val="24"/>
                    <w:szCs w:val="24"/>
                    <w:highlight w:val="none"/>
                    <w:lang w:val="en-US" w:eastAsia="zh-CN" w:bidi="ar-SA"/>
                  </w:rPr>
                  <m:t>+</m:t>
                </m:r>
                <m:f>
                  <m:fPr>
                    <m:ctrlPr>
                      <w:rPr>
                        <w:rFonts w:hint="default" w:ascii="Cambria Math" w:hAnsi="Cambria Math" w:cs="Times New Roman"/>
                        <w:b w:val="0"/>
                        <w:bCs w:val="0"/>
                        <w:color w:val="auto"/>
                        <w:spacing w:val="-10"/>
                        <w:kern w:val="2"/>
                        <w:sz w:val="24"/>
                        <w:szCs w:val="24"/>
                        <w:highlight w:val="none"/>
                        <w:lang w:val="en-US" w:eastAsia="zh-CN" w:bidi="ar-SA"/>
                      </w:rPr>
                    </m:ctrlPr>
                  </m:fPr>
                  <m:num>
                    <m:sSub>
                      <m:sSubPr>
                        <m:ctrlPr>
                          <w:rPr>
                            <w:rFonts w:hint="default" w:ascii="Cambria Math" w:hAnsi="Cambria Math" w:cs="Times New Roman"/>
                            <w:b w:val="0"/>
                            <w:bCs w:val="0"/>
                            <w:color w:val="auto"/>
                            <w:spacing w:val="-10"/>
                            <w:kern w:val="2"/>
                            <w:sz w:val="24"/>
                            <w:szCs w:val="24"/>
                            <w:highlight w:val="none"/>
                            <w:lang w:val="en-US" w:eastAsia="zh-CN" w:bidi="ar-SA"/>
                          </w:rPr>
                        </m:ctrlPr>
                      </m:sSubPr>
                      <m:e>
                        <m:r>
                          <m:rPr>
                            <m:sty m:val="p"/>
                          </m:rPr>
                          <w:rPr>
                            <w:rFonts w:hint="default" w:ascii="Cambria Math" w:hAnsi="Cambria Math" w:cs="Times New Roman"/>
                            <w:color w:val="auto"/>
                            <w:spacing w:val="-10"/>
                            <w:kern w:val="2"/>
                            <w:sz w:val="24"/>
                            <w:szCs w:val="24"/>
                            <w:highlight w:val="none"/>
                            <w:lang w:val="en-US" w:eastAsia="zh-CN" w:bidi="ar-SA"/>
                          </w:rPr>
                          <m:t>q</m:t>
                        </m:r>
                        <m:ctrlPr>
                          <w:rPr>
                            <w:rFonts w:hint="default" w:ascii="Cambria Math" w:hAnsi="Cambria Math" w:cs="Times New Roman"/>
                            <w:b w:val="0"/>
                            <w:bCs w:val="0"/>
                            <w:color w:val="auto"/>
                            <w:spacing w:val="-10"/>
                            <w:kern w:val="2"/>
                            <w:sz w:val="24"/>
                            <w:szCs w:val="24"/>
                            <w:highlight w:val="none"/>
                            <w:lang w:val="en-US" w:eastAsia="zh-CN" w:bidi="ar-SA"/>
                          </w:rPr>
                        </m:ctrlPr>
                      </m:e>
                      <m:sub>
                        <m:r>
                          <m:rPr>
                            <m:sty m:val="p"/>
                          </m:rPr>
                          <w:rPr>
                            <w:rFonts w:hint="default" w:ascii="Cambria Math" w:hAnsi="Cambria Math" w:cs="Times New Roman"/>
                            <w:color w:val="auto"/>
                            <w:spacing w:val="-10"/>
                            <w:kern w:val="2"/>
                            <w:sz w:val="24"/>
                            <w:szCs w:val="24"/>
                            <w:highlight w:val="none"/>
                            <w:lang w:val="en-US" w:eastAsia="zh-CN" w:bidi="ar-SA"/>
                          </w:rPr>
                          <m:t>2</m:t>
                        </m:r>
                        <m:ctrlPr>
                          <w:rPr>
                            <w:rFonts w:hint="default" w:ascii="Cambria Math" w:hAnsi="Cambria Math" w:cs="Times New Roman"/>
                            <w:b w:val="0"/>
                            <w:bCs w:val="0"/>
                            <w:color w:val="auto"/>
                            <w:spacing w:val="-10"/>
                            <w:kern w:val="2"/>
                            <w:sz w:val="24"/>
                            <w:szCs w:val="24"/>
                            <w:highlight w:val="none"/>
                            <w:lang w:val="en-US" w:eastAsia="zh-CN" w:bidi="ar-SA"/>
                          </w:rPr>
                        </m:ctrlPr>
                      </m:sub>
                    </m:sSub>
                    <m:ctrlPr>
                      <w:rPr>
                        <w:rFonts w:hint="default" w:ascii="Cambria Math" w:hAnsi="Cambria Math" w:cs="Times New Roman"/>
                        <w:b w:val="0"/>
                        <w:bCs w:val="0"/>
                        <w:color w:val="auto"/>
                        <w:spacing w:val="-10"/>
                        <w:kern w:val="2"/>
                        <w:sz w:val="24"/>
                        <w:szCs w:val="24"/>
                        <w:highlight w:val="none"/>
                        <w:lang w:val="en-US" w:eastAsia="zh-CN" w:bidi="ar-SA"/>
                      </w:rPr>
                    </m:ctrlPr>
                  </m:num>
                  <m:den>
                    <m:sSub>
                      <m:sSubPr>
                        <m:ctrlPr>
                          <w:rPr>
                            <w:rFonts w:hint="default" w:ascii="Cambria Math" w:hAnsi="Cambria Math" w:cs="Times New Roman"/>
                            <w:b w:val="0"/>
                            <w:bCs w:val="0"/>
                            <w:color w:val="auto"/>
                            <w:spacing w:val="-10"/>
                            <w:kern w:val="2"/>
                            <w:sz w:val="24"/>
                            <w:szCs w:val="24"/>
                            <w:highlight w:val="none"/>
                            <w:lang w:val="en-US" w:eastAsia="zh-CN" w:bidi="ar-SA"/>
                          </w:rPr>
                        </m:ctrlPr>
                      </m:sSubPr>
                      <m:e>
                        <m:r>
                          <m:rPr>
                            <m:sty m:val="p"/>
                          </m:rPr>
                          <w:rPr>
                            <w:rFonts w:hint="default" w:ascii="Cambria Math" w:hAnsi="Cambria Math" w:cs="Times New Roman"/>
                            <w:color w:val="auto"/>
                            <w:spacing w:val="-10"/>
                            <w:kern w:val="2"/>
                            <w:sz w:val="24"/>
                            <w:szCs w:val="24"/>
                            <w:highlight w:val="none"/>
                            <w:lang w:val="en-US" w:eastAsia="zh-CN" w:bidi="ar-SA"/>
                          </w:rPr>
                          <m:t>Q</m:t>
                        </m:r>
                        <m:ctrlPr>
                          <w:rPr>
                            <w:rFonts w:hint="default" w:ascii="Cambria Math" w:hAnsi="Cambria Math" w:cs="Times New Roman"/>
                            <w:b w:val="0"/>
                            <w:bCs w:val="0"/>
                            <w:color w:val="auto"/>
                            <w:spacing w:val="-10"/>
                            <w:kern w:val="2"/>
                            <w:sz w:val="24"/>
                            <w:szCs w:val="24"/>
                            <w:highlight w:val="none"/>
                            <w:lang w:val="en-US" w:eastAsia="zh-CN" w:bidi="ar-SA"/>
                          </w:rPr>
                        </m:ctrlPr>
                      </m:e>
                      <m:sub>
                        <m:r>
                          <m:rPr>
                            <m:sty m:val="p"/>
                          </m:rPr>
                          <w:rPr>
                            <w:rFonts w:hint="default" w:ascii="Cambria Math" w:hAnsi="Cambria Math" w:cs="Times New Roman"/>
                            <w:color w:val="auto"/>
                            <w:spacing w:val="-10"/>
                            <w:kern w:val="2"/>
                            <w:sz w:val="24"/>
                            <w:szCs w:val="24"/>
                            <w:highlight w:val="none"/>
                            <w:lang w:val="en-US" w:eastAsia="zh-CN" w:bidi="ar-SA"/>
                          </w:rPr>
                          <m:t>2</m:t>
                        </m:r>
                        <m:ctrlPr>
                          <w:rPr>
                            <w:rFonts w:hint="default" w:ascii="Cambria Math" w:hAnsi="Cambria Math" w:cs="Times New Roman"/>
                            <w:b w:val="0"/>
                            <w:bCs w:val="0"/>
                            <w:color w:val="auto"/>
                            <w:spacing w:val="-10"/>
                            <w:kern w:val="2"/>
                            <w:sz w:val="24"/>
                            <w:szCs w:val="24"/>
                            <w:highlight w:val="none"/>
                            <w:lang w:val="en-US" w:eastAsia="zh-CN" w:bidi="ar-SA"/>
                          </w:rPr>
                        </m:ctrlPr>
                      </m:sub>
                    </m:sSub>
                    <m:ctrlPr>
                      <w:rPr>
                        <w:rFonts w:hint="default" w:ascii="Cambria Math" w:hAnsi="Cambria Math" w:cs="Times New Roman"/>
                        <w:b w:val="0"/>
                        <w:bCs w:val="0"/>
                        <w:color w:val="auto"/>
                        <w:spacing w:val="-10"/>
                        <w:kern w:val="2"/>
                        <w:sz w:val="24"/>
                        <w:szCs w:val="24"/>
                        <w:highlight w:val="none"/>
                        <w:lang w:val="en-US" w:eastAsia="zh-CN" w:bidi="ar-SA"/>
                      </w:rPr>
                    </m:ctrlPr>
                  </m:den>
                </m:f>
                <m:r>
                  <m:rPr>
                    <m:sty m:val="p"/>
                  </m:rPr>
                  <w:rPr>
                    <w:rFonts w:hint="default" w:ascii="Cambria Math" w:hAnsi="Cambria Math" w:cs="Times New Roman"/>
                    <w:color w:val="auto"/>
                    <w:spacing w:val="-10"/>
                    <w:kern w:val="2"/>
                    <w:sz w:val="24"/>
                    <w:szCs w:val="24"/>
                    <w:highlight w:val="none"/>
                    <w:lang w:val="en-US" w:eastAsia="zh-CN" w:bidi="ar-SA"/>
                  </w:rPr>
                  <m:t>+</m:t>
                </m:r>
                <m:r>
                  <m:rPr>
                    <m:sty m:val="p"/>
                  </m:rPr>
                  <w:rPr>
                    <w:rFonts w:hint="default" w:ascii="Cambria Math" w:hAnsi="Cambria Math" w:cs="Cambria Math"/>
                    <w:color w:val="auto"/>
                    <w:spacing w:val="-10"/>
                    <w:kern w:val="2"/>
                    <w:sz w:val="24"/>
                    <w:szCs w:val="24"/>
                    <w:highlight w:val="none"/>
                    <w:lang w:val="en-US" w:eastAsia="zh-CN" w:bidi="ar-SA"/>
                  </w:rPr>
                  <m:t>⋯+</m:t>
                </m:r>
                <m:f>
                  <m:fPr>
                    <m:ctrlPr>
                      <w:rPr>
                        <w:rFonts w:hint="default" w:ascii="Cambria Math" w:hAnsi="Cambria Math" w:cs="Cambria Math"/>
                        <w:b w:val="0"/>
                        <w:bCs w:val="0"/>
                        <w:color w:val="auto"/>
                        <w:spacing w:val="-10"/>
                        <w:kern w:val="2"/>
                        <w:sz w:val="24"/>
                        <w:szCs w:val="24"/>
                        <w:highlight w:val="none"/>
                        <w:lang w:val="en-US" w:eastAsia="zh-CN" w:bidi="ar-SA"/>
                      </w:rPr>
                    </m:ctrlPr>
                  </m:fPr>
                  <m:num>
                    <m:sSub>
                      <m:sSubPr>
                        <m:ctrlPr>
                          <w:rPr>
                            <w:rFonts w:hint="default" w:ascii="Cambria Math" w:hAnsi="Cambria Math" w:cs="Cambria Math"/>
                            <w:b w:val="0"/>
                            <w:bCs w:val="0"/>
                            <w:color w:val="auto"/>
                            <w:spacing w:val="-10"/>
                            <w:kern w:val="2"/>
                            <w:sz w:val="24"/>
                            <w:szCs w:val="24"/>
                            <w:highlight w:val="none"/>
                            <w:lang w:val="en-US" w:eastAsia="zh-CN" w:bidi="ar-SA"/>
                          </w:rPr>
                        </m:ctrlPr>
                      </m:sSubPr>
                      <m:e>
                        <m:r>
                          <m:rPr>
                            <m:sty m:val="p"/>
                          </m:rPr>
                          <w:rPr>
                            <w:rFonts w:hint="default" w:ascii="Cambria Math" w:hAnsi="Cambria Math" w:cs="Cambria Math"/>
                            <w:color w:val="auto"/>
                            <w:spacing w:val="-10"/>
                            <w:kern w:val="2"/>
                            <w:sz w:val="24"/>
                            <w:szCs w:val="24"/>
                            <w:highlight w:val="none"/>
                            <w:lang w:val="en-US" w:eastAsia="zh-CN" w:bidi="ar-SA"/>
                          </w:rPr>
                          <m:t>q</m:t>
                        </m:r>
                        <m:ctrlPr>
                          <w:rPr>
                            <w:rFonts w:hint="default" w:ascii="Cambria Math" w:hAnsi="Cambria Math" w:cs="Cambria Math"/>
                            <w:b w:val="0"/>
                            <w:bCs w:val="0"/>
                            <w:color w:val="auto"/>
                            <w:spacing w:val="-10"/>
                            <w:kern w:val="2"/>
                            <w:sz w:val="24"/>
                            <w:szCs w:val="24"/>
                            <w:highlight w:val="none"/>
                            <w:lang w:val="en-US" w:eastAsia="zh-CN" w:bidi="ar-SA"/>
                          </w:rPr>
                        </m:ctrlPr>
                      </m:e>
                      <m:sub>
                        <m:r>
                          <m:rPr>
                            <m:sty m:val="p"/>
                          </m:rPr>
                          <w:rPr>
                            <w:rFonts w:hint="default" w:ascii="Cambria Math" w:hAnsi="Cambria Math" w:cs="Cambria Math"/>
                            <w:color w:val="auto"/>
                            <w:spacing w:val="-10"/>
                            <w:kern w:val="2"/>
                            <w:sz w:val="24"/>
                            <w:szCs w:val="24"/>
                            <w:highlight w:val="none"/>
                            <w:lang w:val="en-US" w:eastAsia="zh-CN" w:bidi="ar-SA"/>
                          </w:rPr>
                          <m:t>n</m:t>
                        </m:r>
                        <m:ctrlPr>
                          <w:rPr>
                            <w:rFonts w:hint="default" w:ascii="Cambria Math" w:hAnsi="Cambria Math" w:cs="Cambria Math"/>
                            <w:b w:val="0"/>
                            <w:bCs w:val="0"/>
                            <w:color w:val="auto"/>
                            <w:spacing w:val="-10"/>
                            <w:kern w:val="2"/>
                            <w:sz w:val="24"/>
                            <w:szCs w:val="24"/>
                            <w:highlight w:val="none"/>
                            <w:lang w:val="en-US" w:eastAsia="zh-CN" w:bidi="ar-SA"/>
                          </w:rPr>
                        </m:ctrlPr>
                      </m:sub>
                    </m:sSub>
                    <m:ctrlPr>
                      <w:rPr>
                        <w:rFonts w:hint="default" w:ascii="Cambria Math" w:hAnsi="Cambria Math" w:cs="Cambria Math"/>
                        <w:b w:val="0"/>
                        <w:bCs w:val="0"/>
                        <w:color w:val="auto"/>
                        <w:spacing w:val="-10"/>
                        <w:kern w:val="2"/>
                        <w:sz w:val="24"/>
                        <w:szCs w:val="24"/>
                        <w:highlight w:val="none"/>
                        <w:lang w:val="en-US" w:eastAsia="zh-CN" w:bidi="ar-SA"/>
                      </w:rPr>
                    </m:ctrlPr>
                  </m:num>
                  <m:den>
                    <m:sSub>
                      <m:sSubPr>
                        <m:ctrlPr>
                          <w:rPr>
                            <w:rFonts w:hint="default" w:ascii="Cambria Math" w:hAnsi="Cambria Math" w:cs="Cambria Math"/>
                            <w:b w:val="0"/>
                            <w:bCs w:val="0"/>
                            <w:color w:val="auto"/>
                            <w:spacing w:val="-10"/>
                            <w:kern w:val="2"/>
                            <w:sz w:val="24"/>
                            <w:szCs w:val="24"/>
                            <w:highlight w:val="none"/>
                            <w:lang w:val="en-US" w:eastAsia="zh-CN" w:bidi="ar-SA"/>
                          </w:rPr>
                        </m:ctrlPr>
                      </m:sSubPr>
                      <m:e>
                        <m:r>
                          <m:rPr>
                            <m:sty m:val="p"/>
                          </m:rPr>
                          <w:rPr>
                            <w:rFonts w:hint="default" w:ascii="Cambria Math" w:hAnsi="Cambria Math" w:cs="Cambria Math"/>
                            <w:color w:val="auto"/>
                            <w:spacing w:val="-10"/>
                            <w:kern w:val="2"/>
                            <w:sz w:val="24"/>
                            <w:szCs w:val="24"/>
                            <w:highlight w:val="none"/>
                            <w:lang w:val="en-US" w:eastAsia="zh-CN" w:bidi="ar-SA"/>
                          </w:rPr>
                          <m:t>Q</m:t>
                        </m:r>
                        <m:ctrlPr>
                          <w:rPr>
                            <w:rFonts w:hint="default" w:ascii="Cambria Math" w:hAnsi="Cambria Math" w:cs="Cambria Math"/>
                            <w:b w:val="0"/>
                            <w:bCs w:val="0"/>
                            <w:color w:val="auto"/>
                            <w:spacing w:val="-10"/>
                            <w:kern w:val="2"/>
                            <w:sz w:val="24"/>
                            <w:szCs w:val="24"/>
                            <w:highlight w:val="none"/>
                            <w:lang w:val="en-US" w:eastAsia="zh-CN" w:bidi="ar-SA"/>
                          </w:rPr>
                        </m:ctrlPr>
                      </m:e>
                      <m:sub>
                        <m:r>
                          <m:rPr>
                            <m:sty m:val="p"/>
                          </m:rPr>
                          <w:rPr>
                            <w:rFonts w:hint="default" w:ascii="Cambria Math" w:hAnsi="Cambria Math" w:cs="Cambria Math"/>
                            <w:color w:val="auto"/>
                            <w:spacing w:val="-10"/>
                            <w:kern w:val="2"/>
                            <w:sz w:val="24"/>
                            <w:szCs w:val="24"/>
                            <w:highlight w:val="none"/>
                            <w:lang w:val="en-US" w:eastAsia="zh-CN" w:bidi="ar-SA"/>
                          </w:rPr>
                          <m:t>n</m:t>
                        </m:r>
                        <m:ctrlPr>
                          <w:rPr>
                            <w:rFonts w:hint="default" w:ascii="Cambria Math" w:hAnsi="Cambria Math" w:cs="Cambria Math"/>
                            <w:b w:val="0"/>
                            <w:bCs w:val="0"/>
                            <w:color w:val="auto"/>
                            <w:spacing w:val="-10"/>
                            <w:kern w:val="2"/>
                            <w:sz w:val="24"/>
                            <w:szCs w:val="24"/>
                            <w:highlight w:val="none"/>
                            <w:lang w:val="en-US" w:eastAsia="zh-CN" w:bidi="ar-SA"/>
                          </w:rPr>
                        </m:ctrlPr>
                      </m:sub>
                    </m:sSub>
                    <m:ctrlPr>
                      <w:rPr>
                        <w:rFonts w:hint="default" w:ascii="Cambria Math" w:hAnsi="Cambria Math" w:cs="Cambria Math"/>
                        <w:b w:val="0"/>
                        <w:bCs w:val="0"/>
                        <w:color w:val="auto"/>
                        <w:spacing w:val="-10"/>
                        <w:kern w:val="2"/>
                        <w:sz w:val="24"/>
                        <w:szCs w:val="24"/>
                        <w:highlight w:val="none"/>
                        <w:lang w:val="en-US" w:eastAsia="zh-CN" w:bidi="ar-SA"/>
                      </w:rPr>
                    </m:ctrlPr>
                  </m:den>
                </m:f>
              </m:oMath>
            </m:oMathPara>
          </w:p>
          <w:p w14:paraId="37590D5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jc w:val="both"/>
              <w:textAlignment w:val="auto"/>
              <w:rPr>
                <w:rFonts w:hint="eastAsia" w:cs="Times New Roman"/>
                <w:b w:val="0"/>
                <w:bCs w:val="0"/>
                <w:color w:val="auto"/>
                <w:spacing w:val="-10"/>
                <w:sz w:val="24"/>
                <w:highlight w:val="none"/>
                <w:lang w:val="en-US" w:eastAsia="zh-CN"/>
              </w:rPr>
            </w:pPr>
            <w:r>
              <w:rPr>
                <w:rFonts w:hint="eastAsia" w:cs="Times New Roman"/>
                <w:b w:val="0"/>
                <w:bCs w:val="0"/>
                <w:color w:val="auto"/>
                <w:spacing w:val="-10"/>
                <w:sz w:val="24"/>
                <w:highlight w:val="none"/>
                <w:lang w:val="en-US" w:eastAsia="zh-CN"/>
              </w:rPr>
              <w:t>式中：</w:t>
            </w:r>
          </w:p>
          <w:p w14:paraId="69A8935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jc w:val="both"/>
              <w:textAlignment w:val="auto"/>
              <w:rPr>
                <w:rFonts w:hint="eastAsia" w:cs="Times New Roman"/>
                <w:b w:val="0"/>
                <w:bCs w:val="0"/>
                <w:color w:val="auto"/>
                <w:spacing w:val="-10"/>
                <w:sz w:val="24"/>
                <w:highlight w:val="none"/>
                <w:vertAlign w:val="baseline"/>
                <w:lang w:val="en-US" w:eastAsia="zh-CN"/>
              </w:rPr>
            </w:pPr>
            <w:r>
              <w:rPr>
                <w:rFonts w:hint="eastAsia" w:cs="Times New Roman"/>
                <w:b w:val="0"/>
                <w:bCs w:val="0"/>
                <w:color w:val="auto"/>
                <w:spacing w:val="-10"/>
                <w:sz w:val="24"/>
                <w:highlight w:val="none"/>
                <w:lang w:val="en-US" w:eastAsia="zh-CN"/>
              </w:rPr>
              <w:t>q</w:t>
            </w:r>
            <w:r>
              <w:rPr>
                <w:rFonts w:hint="eastAsia" w:cs="Times New Roman"/>
                <w:b w:val="0"/>
                <w:bCs w:val="0"/>
                <w:color w:val="auto"/>
                <w:spacing w:val="-10"/>
                <w:sz w:val="24"/>
                <w:highlight w:val="none"/>
                <w:vertAlign w:val="subscript"/>
                <w:lang w:val="en-US" w:eastAsia="zh-CN"/>
              </w:rPr>
              <w:t>1</w:t>
            </w:r>
            <w:r>
              <w:rPr>
                <w:rFonts w:hint="eastAsia" w:cs="Times New Roman"/>
                <w:b w:val="0"/>
                <w:bCs w:val="0"/>
                <w:color w:val="auto"/>
                <w:spacing w:val="-10"/>
                <w:sz w:val="24"/>
                <w:highlight w:val="none"/>
                <w:lang w:val="en-US" w:eastAsia="zh-CN"/>
              </w:rPr>
              <w:t>、q</w:t>
            </w:r>
            <w:r>
              <w:rPr>
                <w:rFonts w:hint="eastAsia" w:cs="Times New Roman"/>
                <w:b w:val="0"/>
                <w:bCs w:val="0"/>
                <w:color w:val="auto"/>
                <w:spacing w:val="-10"/>
                <w:sz w:val="24"/>
                <w:highlight w:val="none"/>
                <w:vertAlign w:val="subscript"/>
                <w:lang w:val="en-US" w:eastAsia="zh-CN"/>
              </w:rPr>
              <w:t>2</w:t>
            </w:r>
            <w:r>
              <w:rPr>
                <w:rFonts w:hint="eastAsia" w:cs="Times New Roman"/>
                <w:b w:val="0"/>
                <w:bCs w:val="0"/>
                <w:color w:val="auto"/>
                <w:spacing w:val="-10"/>
                <w:sz w:val="24"/>
                <w:highlight w:val="none"/>
                <w:lang w:val="en-US" w:eastAsia="zh-CN"/>
              </w:rPr>
              <w:t>、……q</w:t>
            </w:r>
            <w:r>
              <w:rPr>
                <w:rFonts w:hint="eastAsia" w:cs="Times New Roman"/>
                <w:b w:val="0"/>
                <w:bCs w:val="0"/>
                <w:color w:val="auto"/>
                <w:spacing w:val="-10"/>
                <w:sz w:val="24"/>
                <w:highlight w:val="none"/>
                <w:vertAlign w:val="subscript"/>
                <w:lang w:val="en-US" w:eastAsia="zh-CN"/>
              </w:rPr>
              <w:t>n</w:t>
            </w:r>
            <w:r>
              <w:rPr>
                <w:rFonts w:hint="eastAsia" w:cs="Times New Roman"/>
                <w:b w:val="0"/>
                <w:bCs w:val="0"/>
                <w:color w:val="auto"/>
                <w:spacing w:val="-10"/>
                <w:sz w:val="24"/>
                <w:highlight w:val="none"/>
                <w:vertAlign w:val="baseline"/>
                <w:lang w:val="en-US" w:eastAsia="zh-CN"/>
              </w:rPr>
              <w:t>—每种危险物质的最大存储总量，t</w:t>
            </w:r>
          </w:p>
          <w:p w14:paraId="5FDBE51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jc w:val="both"/>
              <w:textAlignment w:val="auto"/>
              <w:rPr>
                <w:rFonts w:hint="eastAsia"/>
                <w:b w:val="0"/>
                <w:bCs w:val="0"/>
                <w:color w:val="auto"/>
                <w:spacing w:val="0"/>
                <w:sz w:val="24"/>
                <w:highlight w:val="none"/>
                <w:lang w:val="en-US" w:eastAsia="zh-CN"/>
              </w:rPr>
            </w:pPr>
            <w:r>
              <w:rPr>
                <w:rFonts w:hint="eastAsia" w:cs="Times New Roman"/>
                <w:b w:val="0"/>
                <w:bCs w:val="0"/>
                <w:color w:val="auto"/>
                <w:spacing w:val="-10"/>
                <w:sz w:val="24"/>
                <w:highlight w:val="none"/>
                <w:lang w:val="en-US" w:eastAsia="zh-CN"/>
              </w:rPr>
              <w:t>Q</w:t>
            </w:r>
            <w:r>
              <w:rPr>
                <w:rFonts w:hint="eastAsia" w:cs="Times New Roman"/>
                <w:b w:val="0"/>
                <w:bCs w:val="0"/>
                <w:color w:val="auto"/>
                <w:spacing w:val="-10"/>
                <w:sz w:val="24"/>
                <w:highlight w:val="none"/>
                <w:vertAlign w:val="subscript"/>
                <w:lang w:val="en-US" w:eastAsia="zh-CN"/>
              </w:rPr>
              <w:t>1</w:t>
            </w:r>
            <w:r>
              <w:rPr>
                <w:rFonts w:hint="eastAsia" w:cs="Times New Roman"/>
                <w:b w:val="0"/>
                <w:bCs w:val="0"/>
                <w:color w:val="auto"/>
                <w:spacing w:val="-10"/>
                <w:sz w:val="24"/>
                <w:highlight w:val="none"/>
                <w:lang w:val="en-US" w:eastAsia="zh-CN"/>
              </w:rPr>
              <w:t>、Q</w:t>
            </w:r>
            <w:r>
              <w:rPr>
                <w:rFonts w:hint="eastAsia" w:cs="Times New Roman"/>
                <w:b w:val="0"/>
                <w:bCs w:val="0"/>
                <w:color w:val="auto"/>
                <w:spacing w:val="-10"/>
                <w:sz w:val="24"/>
                <w:highlight w:val="none"/>
                <w:vertAlign w:val="subscript"/>
                <w:lang w:val="en-US" w:eastAsia="zh-CN"/>
              </w:rPr>
              <w:t>2</w:t>
            </w:r>
            <w:r>
              <w:rPr>
                <w:rFonts w:hint="eastAsia" w:cs="Times New Roman"/>
                <w:b w:val="0"/>
                <w:bCs w:val="0"/>
                <w:color w:val="auto"/>
                <w:spacing w:val="-10"/>
                <w:sz w:val="24"/>
                <w:highlight w:val="none"/>
                <w:lang w:val="en-US" w:eastAsia="zh-CN"/>
              </w:rPr>
              <w:t>、……Q</w:t>
            </w:r>
            <w:r>
              <w:rPr>
                <w:rFonts w:hint="eastAsia" w:cs="Times New Roman"/>
                <w:b w:val="0"/>
                <w:bCs w:val="0"/>
                <w:color w:val="auto"/>
                <w:spacing w:val="-10"/>
                <w:sz w:val="24"/>
                <w:highlight w:val="none"/>
                <w:vertAlign w:val="subscript"/>
                <w:lang w:val="en-US" w:eastAsia="zh-CN"/>
              </w:rPr>
              <w:t>n</w:t>
            </w:r>
            <w:r>
              <w:rPr>
                <w:rFonts w:hint="eastAsia" w:cs="Times New Roman"/>
                <w:b w:val="0"/>
                <w:bCs w:val="0"/>
                <w:color w:val="auto"/>
                <w:spacing w:val="-10"/>
                <w:sz w:val="24"/>
                <w:highlight w:val="none"/>
                <w:vertAlign w:val="baseline"/>
                <w:lang w:val="en-US" w:eastAsia="zh-CN"/>
              </w:rPr>
              <w:t>—每种危险物质的临界量，t。</w:t>
            </w:r>
          </w:p>
          <w:p w14:paraId="3371DA6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0"/>
                <w:sz w:val="24"/>
                <w:highlight w:val="none"/>
                <w:lang w:val="en-US" w:eastAsia="zh-CN"/>
              </w:rPr>
            </w:pPr>
            <w:r>
              <w:rPr>
                <w:rFonts w:hint="eastAsia"/>
                <w:b w:val="0"/>
                <w:bCs w:val="0"/>
                <w:color w:val="auto"/>
                <w:spacing w:val="0"/>
                <w:sz w:val="24"/>
                <w:highlight w:val="none"/>
                <w:lang w:val="en-US" w:eastAsia="zh-CN"/>
              </w:rPr>
              <w:t>当Q＜1时，该项目环境风险潜势为</w:t>
            </w:r>
            <w:r>
              <w:rPr>
                <w:rFonts w:hint="default" w:ascii="Times New Roman" w:hAnsi="Times New Roman" w:cs="Times New Roman"/>
                <w:b w:val="0"/>
                <w:bCs w:val="0"/>
                <w:color w:val="auto"/>
                <w:spacing w:val="0"/>
                <w:sz w:val="24"/>
                <w:highlight w:val="none"/>
                <w:lang w:val="en-US" w:eastAsia="zh-CN"/>
              </w:rPr>
              <w:t>Ⅰ</w:t>
            </w:r>
            <w:r>
              <w:rPr>
                <w:rFonts w:hint="eastAsia"/>
                <w:b w:val="0"/>
                <w:bCs w:val="0"/>
                <w:color w:val="auto"/>
                <w:spacing w:val="0"/>
                <w:sz w:val="24"/>
                <w:highlight w:val="none"/>
                <w:lang w:val="en-US" w:eastAsia="zh-CN"/>
              </w:rPr>
              <w:t>。</w:t>
            </w:r>
          </w:p>
          <w:p w14:paraId="0AFF254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val="0"/>
                <w:color w:val="auto"/>
                <w:spacing w:val="0"/>
                <w:sz w:val="24"/>
                <w:highlight w:val="none"/>
                <w:lang w:val="en-US" w:eastAsia="zh-CN"/>
              </w:rPr>
            </w:pPr>
            <w:r>
              <w:rPr>
                <w:rFonts w:hint="default" w:ascii="Times New Roman" w:hAnsi="Times New Roman" w:cs="Times New Roman"/>
                <w:b w:val="0"/>
                <w:bCs w:val="0"/>
                <w:color w:val="auto"/>
                <w:spacing w:val="0"/>
                <w:sz w:val="24"/>
                <w:highlight w:val="none"/>
                <w:lang w:val="en-US" w:eastAsia="zh-CN"/>
              </w:rPr>
              <w:t>当Q≥1时，将Q值划分为：（1）1≤Q＜10；（2）10≤Q＜100；（3）Q≥100。</w:t>
            </w:r>
          </w:p>
          <w:p w14:paraId="500F327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pacing w:val="0"/>
                <w:sz w:val="24"/>
                <w:highlight w:val="none"/>
                <w:lang w:val="en-US" w:eastAsia="zh-CN"/>
              </w:rPr>
            </w:pPr>
            <w:r>
              <w:rPr>
                <w:rFonts w:hint="eastAsia"/>
                <w:b w:val="0"/>
                <w:bCs w:val="0"/>
                <w:color w:val="auto"/>
                <w:spacing w:val="0"/>
                <w:sz w:val="24"/>
                <w:highlight w:val="none"/>
                <w:lang w:val="en-US" w:eastAsia="zh-CN"/>
              </w:rPr>
              <w:t>本项目医院危险物质储存数量见下表。</w:t>
            </w:r>
          </w:p>
          <w:p w14:paraId="15CD461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b w:val="0"/>
                <w:bCs w:val="0"/>
                <w:color w:val="auto"/>
                <w:spacing w:val="-10"/>
                <w:sz w:val="24"/>
                <w:highlight w:val="none"/>
                <w:lang w:val="en-US" w:eastAsia="zh-CN"/>
              </w:rPr>
            </w:pPr>
            <w:r>
              <w:rPr>
                <w:rFonts w:hint="eastAsia"/>
                <w:b/>
                <w:bCs/>
                <w:color w:val="auto"/>
                <w:spacing w:val="0"/>
                <w:sz w:val="21"/>
                <w:szCs w:val="21"/>
                <w:highlight w:val="none"/>
                <w:lang w:val="en-US" w:eastAsia="zh-CN"/>
              </w:rPr>
              <w:t>表4-19 本项目危险物质汇总表</w:t>
            </w:r>
          </w:p>
          <w:tbl>
            <w:tblPr>
              <w:tblStyle w:val="13"/>
              <w:tblW w:w="8515"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45"/>
              <w:gridCol w:w="2003"/>
              <w:gridCol w:w="1417"/>
              <w:gridCol w:w="1510"/>
              <w:gridCol w:w="1420"/>
              <w:gridCol w:w="1420"/>
            </w:tblGrid>
            <w:tr w14:paraId="772F10E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5" w:type="dxa"/>
                  <w:tcBorders>
                    <w:tl2br w:val="nil"/>
                    <w:tr2bl w:val="nil"/>
                  </w:tcBorders>
                  <w:vAlign w:val="center"/>
                </w:tcPr>
                <w:p w14:paraId="10945EA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10"/>
                      <w:sz w:val="21"/>
                      <w:szCs w:val="21"/>
                      <w:highlight w:val="none"/>
                      <w:vertAlign w:val="baseline"/>
                      <w:lang w:val="en-US" w:eastAsia="zh-CN"/>
                    </w:rPr>
                  </w:pPr>
                  <w:r>
                    <w:rPr>
                      <w:rFonts w:hint="eastAsia"/>
                      <w:b/>
                      <w:bCs/>
                      <w:color w:val="auto"/>
                      <w:spacing w:val="-10"/>
                      <w:sz w:val="21"/>
                      <w:szCs w:val="21"/>
                      <w:highlight w:val="none"/>
                      <w:vertAlign w:val="baseline"/>
                      <w:lang w:val="en-US" w:eastAsia="zh-CN"/>
                    </w:rPr>
                    <w:t>序号</w:t>
                  </w:r>
                </w:p>
              </w:tc>
              <w:tc>
                <w:tcPr>
                  <w:tcW w:w="2003" w:type="dxa"/>
                  <w:tcBorders>
                    <w:tl2br w:val="nil"/>
                    <w:tr2bl w:val="nil"/>
                  </w:tcBorders>
                  <w:vAlign w:val="center"/>
                </w:tcPr>
                <w:p w14:paraId="1D6811C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10"/>
                      <w:sz w:val="21"/>
                      <w:szCs w:val="21"/>
                      <w:highlight w:val="none"/>
                      <w:vertAlign w:val="baseline"/>
                      <w:lang w:val="en-US" w:eastAsia="zh-CN"/>
                    </w:rPr>
                  </w:pPr>
                  <w:r>
                    <w:rPr>
                      <w:rFonts w:hint="eastAsia"/>
                      <w:b/>
                      <w:bCs/>
                      <w:color w:val="auto"/>
                      <w:spacing w:val="-10"/>
                      <w:sz w:val="21"/>
                      <w:szCs w:val="21"/>
                      <w:highlight w:val="none"/>
                      <w:vertAlign w:val="baseline"/>
                      <w:lang w:val="en-US" w:eastAsia="zh-CN"/>
                    </w:rPr>
                    <w:t>名称</w:t>
                  </w:r>
                </w:p>
              </w:tc>
              <w:tc>
                <w:tcPr>
                  <w:tcW w:w="1417" w:type="dxa"/>
                  <w:tcBorders>
                    <w:tl2br w:val="nil"/>
                    <w:tr2bl w:val="nil"/>
                  </w:tcBorders>
                  <w:vAlign w:val="center"/>
                </w:tcPr>
                <w:p w14:paraId="0A00199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10"/>
                      <w:sz w:val="21"/>
                      <w:szCs w:val="21"/>
                      <w:highlight w:val="none"/>
                      <w:vertAlign w:val="baseline"/>
                      <w:lang w:val="en-US" w:eastAsia="zh-CN"/>
                    </w:rPr>
                  </w:pPr>
                  <w:r>
                    <w:rPr>
                      <w:rFonts w:hint="eastAsia"/>
                      <w:b/>
                      <w:bCs/>
                      <w:color w:val="auto"/>
                      <w:spacing w:val="-10"/>
                      <w:sz w:val="21"/>
                      <w:szCs w:val="21"/>
                      <w:highlight w:val="none"/>
                      <w:vertAlign w:val="baseline"/>
                      <w:lang w:val="en-US" w:eastAsia="zh-CN"/>
                    </w:rPr>
                    <w:t>CAS号</w:t>
                  </w:r>
                </w:p>
              </w:tc>
              <w:tc>
                <w:tcPr>
                  <w:tcW w:w="1510" w:type="dxa"/>
                  <w:tcBorders>
                    <w:tl2br w:val="nil"/>
                    <w:tr2bl w:val="nil"/>
                  </w:tcBorders>
                  <w:vAlign w:val="center"/>
                </w:tcPr>
                <w:p w14:paraId="2F352AF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10"/>
                      <w:sz w:val="21"/>
                      <w:szCs w:val="21"/>
                      <w:highlight w:val="none"/>
                      <w:vertAlign w:val="baseline"/>
                      <w:lang w:val="en-US" w:eastAsia="zh-CN"/>
                    </w:rPr>
                  </w:pPr>
                  <w:r>
                    <w:rPr>
                      <w:rFonts w:hint="eastAsia"/>
                      <w:b/>
                      <w:bCs/>
                      <w:color w:val="auto"/>
                      <w:spacing w:val="-10"/>
                      <w:sz w:val="21"/>
                      <w:szCs w:val="21"/>
                      <w:highlight w:val="none"/>
                      <w:vertAlign w:val="baseline"/>
                      <w:lang w:val="en-US" w:eastAsia="zh-CN"/>
                    </w:rPr>
                    <w:t>存储量kg</w:t>
                  </w:r>
                </w:p>
              </w:tc>
              <w:tc>
                <w:tcPr>
                  <w:tcW w:w="1420" w:type="dxa"/>
                  <w:tcBorders>
                    <w:tl2br w:val="nil"/>
                    <w:tr2bl w:val="nil"/>
                  </w:tcBorders>
                  <w:vAlign w:val="center"/>
                </w:tcPr>
                <w:p w14:paraId="25A0DB9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10"/>
                      <w:sz w:val="21"/>
                      <w:szCs w:val="21"/>
                      <w:highlight w:val="none"/>
                      <w:vertAlign w:val="baseline"/>
                      <w:lang w:val="en-US" w:eastAsia="zh-CN"/>
                    </w:rPr>
                  </w:pPr>
                  <w:r>
                    <w:rPr>
                      <w:rFonts w:hint="eastAsia"/>
                      <w:b/>
                      <w:bCs/>
                      <w:color w:val="auto"/>
                      <w:spacing w:val="-10"/>
                      <w:sz w:val="21"/>
                      <w:szCs w:val="21"/>
                      <w:highlight w:val="none"/>
                      <w:vertAlign w:val="baseline"/>
                      <w:lang w:val="en-US" w:eastAsia="zh-CN"/>
                    </w:rPr>
                    <w:t>临界量t</w:t>
                  </w:r>
                </w:p>
              </w:tc>
              <w:tc>
                <w:tcPr>
                  <w:tcW w:w="1420" w:type="dxa"/>
                  <w:tcBorders>
                    <w:tl2br w:val="nil"/>
                    <w:tr2bl w:val="nil"/>
                  </w:tcBorders>
                  <w:vAlign w:val="center"/>
                </w:tcPr>
                <w:p w14:paraId="06E1EC5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10"/>
                      <w:sz w:val="21"/>
                      <w:szCs w:val="21"/>
                      <w:highlight w:val="none"/>
                      <w:vertAlign w:val="baseline"/>
                      <w:lang w:val="en-US" w:eastAsia="zh-CN"/>
                    </w:rPr>
                  </w:pPr>
                  <w:r>
                    <w:rPr>
                      <w:rFonts w:hint="eastAsia"/>
                      <w:b/>
                      <w:bCs/>
                      <w:color w:val="auto"/>
                      <w:spacing w:val="-10"/>
                      <w:sz w:val="21"/>
                      <w:szCs w:val="21"/>
                      <w:highlight w:val="none"/>
                      <w:vertAlign w:val="baseline"/>
                      <w:lang w:val="en-US" w:eastAsia="zh-CN"/>
                    </w:rPr>
                    <w:t>Q值</w:t>
                  </w:r>
                </w:p>
              </w:tc>
            </w:tr>
            <w:tr w14:paraId="5289542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5" w:type="dxa"/>
                  <w:tcBorders>
                    <w:tl2br w:val="nil"/>
                    <w:tr2bl w:val="nil"/>
                  </w:tcBorders>
                  <w:vAlign w:val="center"/>
                </w:tcPr>
                <w:p w14:paraId="06BF407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1</w:t>
                  </w:r>
                </w:p>
              </w:tc>
              <w:tc>
                <w:tcPr>
                  <w:tcW w:w="2003" w:type="dxa"/>
                  <w:tcBorders>
                    <w:tl2br w:val="nil"/>
                    <w:tr2bl w:val="nil"/>
                  </w:tcBorders>
                  <w:vAlign w:val="center"/>
                </w:tcPr>
                <w:p w14:paraId="76EE709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酒精（乙醇）</w:t>
                  </w:r>
                </w:p>
              </w:tc>
              <w:tc>
                <w:tcPr>
                  <w:tcW w:w="1417" w:type="dxa"/>
                  <w:tcBorders>
                    <w:tl2br w:val="nil"/>
                    <w:tr2bl w:val="nil"/>
                  </w:tcBorders>
                  <w:vAlign w:val="center"/>
                </w:tcPr>
                <w:p w14:paraId="2019351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64-17-5</w:t>
                  </w:r>
                </w:p>
              </w:tc>
              <w:tc>
                <w:tcPr>
                  <w:tcW w:w="1510" w:type="dxa"/>
                  <w:tcBorders>
                    <w:tl2br w:val="nil"/>
                    <w:tr2bl w:val="nil"/>
                  </w:tcBorders>
                  <w:vAlign w:val="center"/>
                </w:tcPr>
                <w:p w14:paraId="710F003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15</w:t>
                  </w:r>
                </w:p>
              </w:tc>
              <w:tc>
                <w:tcPr>
                  <w:tcW w:w="1420" w:type="dxa"/>
                  <w:tcBorders>
                    <w:tl2br w:val="nil"/>
                    <w:tr2bl w:val="nil"/>
                  </w:tcBorders>
                  <w:vAlign w:val="center"/>
                </w:tcPr>
                <w:p w14:paraId="3E2ED89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500</w:t>
                  </w:r>
                </w:p>
              </w:tc>
              <w:tc>
                <w:tcPr>
                  <w:tcW w:w="1420" w:type="dxa"/>
                  <w:tcBorders>
                    <w:tl2br w:val="nil"/>
                    <w:tr2bl w:val="nil"/>
                  </w:tcBorders>
                  <w:vAlign w:val="center"/>
                </w:tcPr>
                <w:p w14:paraId="690C9EE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0.00003</w:t>
                  </w:r>
                </w:p>
              </w:tc>
            </w:tr>
            <w:tr w14:paraId="57E90EA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5" w:type="dxa"/>
                  <w:tcBorders>
                    <w:tl2br w:val="nil"/>
                    <w:tr2bl w:val="nil"/>
                  </w:tcBorders>
                  <w:vAlign w:val="center"/>
                </w:tcPr>
                <w:p w14:paraId="41DE856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2</w:t>
                  </w:r>
                </w:p>
              </w:tc>
              <w:tc>
                <w:tcPr>
                  <w:tcW w:w="2003" w:type="dxa"/>
                  <w:tcBorders>
                    <w:tl2br w:val="nil"/>
                    <w:tr2bl w:val="nil"/>
                  </w:tcBorders>
                  <w:vAlign w:val="center"/>
                </w:tcPr>
                <w:p w14:paraId="2704BC7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次氯酸钠溶液（13%）</w:t>
                  </w:r>
                </w:p>
              </w:tc>
              <w:tc>
                <w:tcPr>
                  <w:tcW w:w="1417" w:type="dxa"/>
                  <w:tcBorders>
                    <w:tl2br w:val="nil"/>
                    <w:tr2bl w:val="nil"/>
                  </w:tcBorders>
                  <w:vAlign w:val="center"/>
                </w:tcPr>
                <w:p w14:paraId="085E85A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7681-52-9</w:t>
                  </w:r>
                </w:p>
              </w:tc>
              <w:tc>
                <w:tcPr>
                  <w:tcW w:w="1510" w:type="dxa"/>
                  <w:tcBorders>
                    <w:tl2br w:val="nil"/>
                    <w:tr2bl w:val="nil"/>
                  </w:tcBorders>
                  <w:vAlign w:val="center"/>
                </w:tcPr>
                <w:p w14:paraId="2F4D388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2.1</w:t>
                  </w:r>
                </w:p>
              </w:tc>
              <w:tc>
                <w:tcPr>
                  <w:tcW w:w="1420" w:type="dxa"/>
                  <w:tcBorders>
                    <w:tl2br w:val="nil"/>
                    <w:tr2bl w:val="nil"/>
                  </w:tcBorders>
                  <w:vAlign w:val="center"/>
                </w:tcPr>
                <w:p w14:paraId="458F62D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5</w:t>
                  </w:r>
                </w:p>
              </w:tc>
              <w:tc>
                <w:tcPr>
                  <w:tcW w:w="1420" w:type="dxa"/>
                  <w:tcBorders>
                    <w:tl2br w:val="nil"/>
                    <w:tr2bl w:val="nil"/>
                  </w:tcBorders>
                  <w:vAlign w:val="center"/>
                </w:tcPr>
                <w:p w14:paraId="0AE29F6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0.00042</w:t>
                  </w:r>
                </w:p>
              </w:tc>
            </w:tr>
            <w:tr w14:paraId="7FBFAC8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95" w:type="dxa"/>
                  <w:gridSpan w:val="5"/>
                  <w:tcBorders>
                    <w:tl2br w:val="nil"/>
                    <w:tr2bl w:val="nil"/>
                  </w:tcBorders>
                  <w:vAlign w:val="center"/>
                </w:tcPr>
                <w:p w14:paraId="3696CB4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Q值</w:t>
                  </w:r>
                </w:p>
              </w:tc>
              <w:tc>
                <w:tcPr>
                  <w:tcW w:w="1420" w:type="dxa"/>
                  <w:tcBorders>
                    <w:tl2br w:val="nil"/>
                    <w:tr2bl w:val="nil"/>
                  </w:tcBorders>
                  <w:vAlign w:val="center"/>
                </w:tcPr>
                <w:p w14:paraId="03FD85C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0.00045</w:t>
                  </w:r>
                </w:p>
              </w:tc>
            </w:tr>
          </w:tbl>
          <w:p w14:paraId="6ED0032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cs="Times New Roman"/>
                <w:b w:val="0"/>
                <w:bCs w:val="0"/>
                <w:color w:val="auto"/>
                <w:spacing w:val="0"/>
                <w:sz w:val="24"/>
                <w:highlight w:val="none"/>
                <w:lang w:val="en-US" w:eastAsia="zh-CN"/>
              </w:rPr>
            </w:pPr>
            <w:r>
              <w:rPr>
                <w:rFonts w:hint="eastAsia" w:cs="Times New Roman"/>
                <w:b w:val="0"/>
                <w:bCs w:val="0"/>
                <w:color w:val="auto"/>
                <w:spacing w:val="0"/>
                <w:sz w:val="24"/>
                <w:highlight w:val="none"/>
                <w:lang w:val="en-US" w:eastAsia="zh-CN"/>
              </w:rPr>
              <w:t>经计算，项目Q=0.00045﹤1，无需设置环境风险专项评价。仅按照《建设项目环境风险评价技术导则》（HJ169-2018）附录A中相关要求，进行简单分析。</w:t>
            </w:r>
          </w:p>
          <w:p w14:paraId="5163A44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cs="Times New Roman"/>
                <w:b w:val="0"/>
                <w:bCs w:val="0"/>
                <w:color w:val="auto"/>
                <w:spacing w:val="0"/>
                <w:sz w:val="24"/>
                <w:highlight w:val="none"/>
                <w:lang w:val="en-US" w:eastAsia="zh-CN"/>
              </w:rPr>
            </w:pPr>
            <w:r>
              <w:rPr>
                <w:rFonts w:hint="eastAsia" w:cs="Times New Roman"/>
                <w:b w:val="0"/>
                <w:bCs w:val="0"/>
                <w:color w:val="auto"/>
                <w:spacing w:val="0"/>
                <w:sz w:val="24"/>
                <w:highlight w:val="none"/>
                <w:lang w:val="en-US" w:eastAsia="zh-CN"/>
              </w:rPr>
              <w:t>（2）环境影响途径及危害</w:t>
            </w:r>
          </w:p>
          <w:p w14:paraId="4F7E7AE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cs="Times New Roman"/>
                <w:b w:val="0"/>
                <w:bCs w:val="0"/>
                <w:color w:val="auto"/>
                <w:spacing w:val="0"/>
                <w:sz w:val="24"/>
                <w:highlight w:val="none"/>
                <w:lang w:val="en-US" w:eastAsia="zh-CN"/>
              </w:rPr>
            </w:pPr>
            <w:r>
              <w:rPr>
                <w:rFonts w:hint="eastAsia" w:cs="Times New Roman"/>
                <w:b w:val="0"/>
                <w:bCs w:val="0"/>
                <w:color w:val="auto"/>
                <w:spacing w:val="0"/>
                <w:sz w:val="24"/>
                <w:highlight w:val="none"/>
                <w:lang w:val="en-US" w:eastAsia="zh-CN"/>
              </w:rPr>
              <w:t>本项目可能的风险环境影响途径主要有：</w:t>
            </w:r>
          </w:p>
          <w:p w14:paraId="2647F45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cs="Times New Roman"/>
                <w:b w:val="0"/>
                <w:bCs w:val="0"/>
                <w:color w:val="auto"/>
                <w:spacing w:val="0"/>
                <w:sz w:val="24"/>
                <w:highlight w:val="none"/>
                <w:lang w:val="en-US" w:eastAsia="zh-CN"/>
              </w:rPr>
            </w:pPr>
            <w:r>
              <w:rPr>
                <w:rFonts w:hint="eastAsia" w:cs="Times New Roman"/>
                <w:b w:val="0"/>
                <w:bCs w:val="0"/>
                <w:color w:val="auto"/>
                <w:spacing w:val="0"/>
                <w:sz w:val="24"/>
                <w:highlight w:val="none"/>
                <w:lang w:val="en-US" w:eastAsia="zh-CN"/>
              </w:rPr>
              <w:t>1）本项目酒精、次氯酸钠溶液等化学品均置于专用包装容器内，一般发生事故的情况考虑为取料人员操作不善，导致储存容器倾倒，从而发生泄漏事故，连续泄漏条件下，易挥发性气体不断扩散、漂移，易污染周围大气环境。</w:t>
            </w:r>
          </w:p>
          <w:p w14:paraId="1CF29F4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cs="Times New Roman"/>
                <w:b w:val="0"/>
                <w:bCs w:val="0"/>
                <w:color w:val="auto"/>
                <w:spacing w:val="0"/>
                <w:sz w:val="24"/>
                <w:highlight w:val="none"/>
                <w:lang w:val="en-US" w:eastAsia="zh-CN"/>
              </w:rPr>
            </w:pPr>
            <w:r>
              <w:rPr>
                <w:rFonts w:hint="eastAsia" w:cs="Times New Roman"/>
                <w:b w:val="0"/>
                <w:bCs w:val="0"/>
                <w:color w:val="auto"/>
                <w:spacing w:val="0"/>
                <w:sz w:val="24"/>
                <w:highlight w:val="none"/>
                <w:lang w:val="en-US" w:eastAsia="zh-CN"/>
              </w:rPr>
              <w:t>2）化学品中的易燃液体泄漏后，遇明火发生火灾爆炸，并产生燃烧废气而引起二次污染。</w:t>
            </w:r>
          </w:p>
          <w:p w14:paraId="796F05D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cs="Times New Roman"/>
                <w:b w:val="0"/>
                <w:bCs w:val="0"/>
                <w:color w:val="auto"/>
                <w:spacing w:val="0"/>
                <w:sz w:val="24"/>
                <w:highlight w:val="none"/>
                <w:lang w:val="en-US" w:eastAsia="zh-CN"/>
              </w:rPr>
            </w:pPr>
            <w:r>
              <w:rPr>
                <w:rFonts w:hint="eastAsia" w:cs="Times New Roman"/>
                <w:b w:val="0"/>
                <w:bCs w:val="0"/>
                <w:color w:val="auto"/>
                <w:spacing w:val="0"/>
                <w:sz w:val="24"/>
                <w:highlight w:val="none"/>
                <w:lang w:val="en-US" w:eastAsia="zh-CN"/>
              </w:rPr>
              <w:t>（3）风险防范措施</w:t>
            </w:r>
          </w:p>
          <w:p w14:paraId="01C34E0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cs="Times New Roman"/>
                <w:b w:val="0"/>
                <w:bCs w:val="0"/>
                <w:color w:val="auto"/>
                <w:spacing w:val="0"/>
                <w:sz w:val="24"/>
                <w:highlight w:val="none"/>
                <w:lang w:val="en-US" w:eastAsia="zh-CN"/>
              </w:rPr>
            </w:pPr>
            <w:r>
              <w:rPr>
                <w:rFonts w:hint="eastAsia" w:cs="Times New Roman"/>
                <w:b w:val="0"/>
                <w:bCs w:val="0"/>
                <w:color w:val="auto"/>
                <w:spacing w:val="0"/>
                <w:sz w:val="24"/>
                <w:highlight w:val="none"/>
                <w:lang w:val="en-US" w:eastAsia="zh-CN"/>
              </w:rPr>
              <w:t>本项目针对环境风险事件，提出如下主要防范措施：</w:t>
            </w:r>
          </w:p>
          <w:p w14:paraId="5BB8939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cs="Times New Roman"/>
                <w:b w:val="0"/>
                <w:bCs w:val="0"/>
                <w:color w:val="auto"/>
                <w:spacing w:val="0"/>
                <w:sz w:val="24"/>
                <w:highlight w:val="none"/>
                <w:lang w:val="en-US" w:eastAsia="zh-CN"/>
              </w:rPr>
            </w:pPr>
            <w:r>
              <w:rPr>
                <w:rFonts w:hint="eastAsia" w:cs="Times New Roman"/>
                <w:b w:val="0"/>
                <w:bCs w:val="0"/>
                <w:color w:val="auto"/>
                <w:spacing w:val="0"/>
                <w:sz w:val="24"/>
                <w:highlight w:val="none"/>
                <w:lang w:val="en-US" w:eastAsia="zh-CN"/>
              </w:rPr>
              <w:t>1）化学品存放风险防范措施</w:t>
            </w:r>
          </w:p>
          <w:p w14:paraId="476B146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cs="Times New Roman"/>
                <w:b w:val="0"/>
                <w:bCs w:val="0"/>
                <w:color w:val="auto"/>
                <w:spacing w:val="0"/>
                <w:sz w:val="24"/>
                <w:highlight w:val="none"/>
                <w:lang w:val="en-US" w:eastAsia="zh-CN"/>
              </w:rPr>
            </w:pPr>
            <w:r>
              <w:rPr>
                <w:rFonts w:hint="eastAsia" w:cs="Times New Roman"/>
                <w:b w:val="0"/>
                <w:bCs w:val="0"/>
                <w:color w:val="auto"/>
                <w:spacing w:val="0"/>
                <w:sz w:val="24"/>
                <w:highlight w:val="none"/>
                <w:lang w:val="en-US" w:eastAsia="zh-CN"/>
              </w:rPr>
              <w:t>本项目化学品统一采购后分别存放在化学品试剂柜内。</w:t>
            </w:r>
          </w:p>
          <w:p w14:paraId="64D76E4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cs="Times New Roman"/>
                <w:b w:val="0"/>
                <w:bCs w:val="0"/>
                <w:color w:val="auto"/>
                <w:spacing w:val="0"/>
                <w:sz w:val="24"/>
                <w:highlight w:val="none"/>
                <w:lang w:val="en-US" w:eastAsia="zh-CN"/>
              </w:rPr>
            </w:pPr>
            <w:r>
              <w:rPr>
                <w:rFonts w:hint="eastAsia" w:cs="Times New Roman"/>
                <w:b w:val="0"/>
                <w:bCs w:val="0"/>
                <w:color w:val="auto"/>
                <w:spacing w:val="0"/>
                <w:sz w:val="24"/>
                <w:highlight w:val="none"/>
                <w:lang w:val="en-US" w:eastAsia="zh-CN"/>
              </w:rPr>
              <w:t>a.医院须设专人、专库、专账管理化学品，管理和使用人员应熟知管理操作规范，并接受定期培训；定期对化学品的进行安全检查。</w:t>
            </w:r>
          </w:p>
          <w:p w14:paraId="1CD3593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cs="Times New Roman"/>
                <w:b w:val="0"/>
                <w:bCs w:val="0"/>
                <w:color w:val="auto"/>
                <w:spacing w:val="0"/>
                <w:sz w:val="24"/>
                <w:highlight w:val="none"/>
                <w:lang w:val="en-US" w:eastAsia="zh-CN"/>
              </w:rPr>
            </w:pPr>
            <w:r>
              <w:rPr>
                <w:rFonts w:hint="eastAsia" w:cs="Times New Roman"/>
                <w:b w:val="0"/>
                <w:bCs w:val="0"/>
                <w:color w:val="auto"/>
                <w:spacing w:val="0"/>
                <w:sz w:val="24"/>
                <w:highlight w:val="none"/>
                <w:lang w:val="en-US" w:eastAsia="zh-CN"/>
              </w:rPr>
              <w:t>b.化学品储存场所与电源、火源间隔一定距离；严禁在相关化学品贮存、使用处进行吸烟、打火等有可能引发火灾、爆炸等事故的操作；使用和贮存化学品的区域附近应配备灭火器材并保持其正常状态。</w:t>
            </w:r>
          </w:p>
          <w:p w14:paraId="782476C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cs="Times New Roman"/>
                <w:b w:val="0"/>
                <w:bCs w:val="0"/>
                <w:color w:val="auto"/>
                <w:spacing w:val="0"/>
                <w:sz w:val="24"/>
                <w:highlight w:val="none"/>
                <w:lang w:val="en-US" w:eastAsia="zh-CN"/>
              </w:rPr>
            </w:pPr>
            <w:r>
              <w:rPr>
                <w:rFonts w:hint="eastAsia" w:cs="Times New Roman"/>
                <w:b w:val="0"/>
                <w:bCs w:val="0"/>
                <w:color w:val="auto"/>
                <w:spacing w:val="0"/>
                <w:sz w:val="24"/>
                <w:highlight w:val="none"/>
                <w:lang w:val="en-US" w:eastAsia="zh-CN"/>
              </w:rPr>
              <w:t>c.在员工易见之处，标示化学品的名称及其他必要注意事项。</w:t>
            </w:r>
          </w:p>
          <w:p w14:paraId="078C7EA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cs="Times New Roman"/>
                <w:b w:val="0"/>
                <w:bCs w:val="0"/>
                <w:color w:val="auto"/>
                <w:spacing w:val="0"/>
                <w:sz w:val="24"/>
                <w:highlight w:val="none"/>
                <w:lang w:val="en-US" w:eastAsia="zh-CN"/>
              </w:rPr>
            </w:pPr>
            <w:r>
              <w:rPr>
                <w:rFonts w:hint="eastAsia" w:cs="Times New Roman"/>
                <w:b w:val="0"/>
                <w:bCs w:val="0"/>
                <w:color w:val="auto"/>
                <w:spacing w:val="0"/>
                <w:sz w:val="24"/>
                <w:highlight w:val="none"/>
                <w:lang w:val="en-US" w:eastAsia="zh-CN"/>
              </w:rPr>
              <w:t>d.化学品使用后应立即密封，不得敞口向空气中逸散；使用有毒有害化学品应配置必要防护用具。</w:t>
            </w:r>
          </w:p>
          <w:p w14:paraId="3876F23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cs="Times New Roman"/>
                <w:b w:val="0"/>
                <w:bCs w:val="0"/>
                <w:color w:val="auto"/>
                <w:spacing w:val="0"/>
                <w:sz w:val="24"/>
                <w:highlight w:val="none"/>
                <w:lang w:val="en-US" w:eastAsia="zh-CN"/>
              </w:rPr>
            </w:pPr>
            <w:r>
              <w:rPr>
                <w:rFonts w:hint="eastAsia" w:cs="Times New Roman"/>
                <w:b w:val="0"/>
                <w:bCs w:val="0"/>
                <w:color w:val="auto"/>
                <w:spacing w:val="0"/>
                <w:sz w:val="24"/>
                <w:highlight w:val="none"/>
                <w:lang w:val="en-US" w:eastAsia="zh-CN"/>
              </w:rPr>
              <w:t>e.处置或使用有害化学品的作业人员，应进行安全卫生教育训练。</w:t>
            </w:r>
          </w:p>
          <w:p w14:paraId="4C35DBD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cs="Times New Roman"/>
                <w:b w:val="0"/>
                <w:bCs w:val="0"/>
                <w:color w:val="auto"/>
                <w:spacing w:val="0"/>
                <w:sz w:val="24"/>
                <w:highlight w:val="none"/>
                <w:lang w:val="en-US" w:eastAsia="zh-CN"/>
              </w:rPr>
            </w:pPr>
            <w:r>
              <w:rPr>
                <w:rFonts w:hint="eastAsia" w:cs="Times New Roman"/>
                <w:b w:val="0"/>
                <w:bCs w:val="0"/>
                <w:color w:val="auto"/>
                <w:spacing w:val="0"/>
                <w:sz w:val="24"/>
                <w:highlight w:val="none"/>
                <w:lang w:val="en-US" w:eastAsia="zh-CN"/>
              </w:rPr>
              <w:t>2）污水处理设施风险防范措施</w:t>
            </w:r>
          </w:p>
          <w:p w14:paraId="589FEE3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cs="Times New Roman"/>
                <w:b w:val="0"/>
                <w:bCs w:val="0"/>
                <w:color w:val="auto"/>
                <w:spacing w:val="0"/>
                <w:sz w:val="24"/>
                <w:highlight w:val="none"/>
                <w:lang w:val="en-US" w:eastAsia="zh-CN"/>
              </w:rPr>
            </w:pPr>
            <w:r>
              <w:rPr>
                <w:rFonts w:hint="eastAsia" w:cs="Times New Roman"/>
                <w:b w:val="0"/>
                <w:bCs w:val="0"/>
                <w:color w:val="auto"/>
                <w:spacing w:val="0"/>
                <w:sz w:val="24"/>
                <w:highlight w:val="none"/>
                <w:lang w:val="en-US" w:eastAsia="zh-CN"/>
              </w:rPr>
              <w:t>a.污水设施设计富余容量，在发生事故状态下，污水处理设施应立即停止运行，切断污水总排口，并紧急检修，医院停诊，一旦发生设备停运或者设备需要检修等非正常排放情况，将污水引入调节池内暂存，待污水处理设施正常运行后，对调节池的污水进行处理达标后排放。</w:t>
            </w:r>
          </w:p>
          <w:p w14:paraId="45626FF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cs="Times New Roman"/>
                <w:b w:val="0"/>
                <w:bCs w:val="0"/>
                <w:color w:val="auto"/>
                <w:spacing w:val="0"/>
                <w:sz w:val="24"/>
                <w:highlight w:val="none"/>
                <w:lang w:val="en-US" w:eastAsia="zh-CN"/>
              </w:rPr>
            </w:pPr>
            <w:r>
              <w:rPr>
                <w:rFonts w:hint="eastAsia" w:cs="Times New Roman"/>
                <w:b w:val="0"/>
                <w:bCs w:val="0"/>
                <w:color w:val="auto"/>
                <w:spacing w:val="0"/>
                <w:sz w:val="24"/>
                <w:highlight w:val="none"/>
                <w:lang w:val="en-US" w:eastAsia="zh-CN"/>
              </w:rPr>
              <w:t>b.医院严格控制处理单元的水量、水质、停留时间、负荷强度等工艺参数，确保处理效果的稳定性。同时按照《排污许可证申请与核发技术规范 医疗机构》（HJ1105-2020）及北京市有关规定，定期取样检测，配备流量监控仪器。</w:t>
            </w:r>
          </w:p>
          <w:p w14:paraId="4DD69FB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cs="Times New Roman"/>
                <w:b w:val="0"/>
                <w:bCs w:val="0"/>
                <w:color w:val="auto"/>
                <w:spacing w:val="0"/>
                <w:sz w:val="24"/>
                <w:highlight w:val="none"/>
                <w:lang w:val="en-US" w:eastAsia="zh-CN"/>
              </w:rPr>
            </w:pPr>
            <w:r>
              <w:rPr>
                <w:rFonts w:hint="eastAsia" w:cs="Times New Roman"/>
                <w:b w:val="0"/>
                <w:bCs w:val="0"/>
                <w:color w:val="auto"/>
                <w:spacing w:val="0"/>
                <w:sz w:val="24"/>
                <w:highlight w:val="none"/>
                <w:lang w:val="en-US" w:eastAsia="zh-CN"/>
              </w:rPr>
              <w:t>c.消毒接触池设置2套加药系统。1套为正常使用的自动加药机，定时向消毒接触池内投加药物；1套为人工加药系统，在自动加药系统故障时启用，以保证出水达标排放。</w:t>
            </w:r>
          </w:p>
          <w:p w14:paraId="001E43F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cs="Times New Roman"/>
                <w:b w:val="0"/>
                <w:bCs w:val="0"/>
                <w:color w:val="auto"/>
                <w:spacing w:val="0"/>
                <w:sz w:val="24"/>
                <w:highlight w:val="none"/>
                <w:lang w:val="en-US" w:eastAsia="zh-CN"/>
              </w:rPr>
            </w:pPr>
            <w:r>
              <w:rPr>
                <w:rFonts w:hint="eastAsia" w:cs="Times New Roman"/>
                <w:b w:val="0"/>
                <w:bCs w:val="0"/>
                <w:color w:val="auto"/>
                <w:spacing w:val="0"/>
                <w:sz w:val="24"/>
                <w:highlight w:val="none"/>
                <w:lang w:val="en-US" w:eastAsia="zh-CN"/>
              </w:rPr>
              <w:t>d.污水处理设施日常运行时设专人管理，定期检修污水处理设施以及管道、阀门等零配件，并制定突发事故应急预案。明确应急和事故灾害控制的组织、责任、授权人；制定应急响应程序和人员调动系统和程序；配备应急设备、设施、材料；制定应急防护措施，清除泄漏物的措施、方法和使用器材；提供应急医疗救护与公众健康保证的系统和程序；制定应急状态终止与事故影响的恢复措施；进行应急人员培训、演练和试验应急系统的程序；建立事故的记录和报告程序以及污水处理设施运行监察体制。</w:t>
            </w:r>
          </w:p>
          <w:p w14:paraId="589AAC5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cs="Times New Roman"/>
                <w:b w:val="0"/>
                <w:bCs w:val="0"/>
                <w:color w:val="auto"/>
                <w:spacing w:val="0"/>
                <w:sz w:val="24"/>
                <w:highlight w:val="none"/>
                <w:lang w:val="en-US" w:eastAsia="zh-CN"/>
              </w:rPr>
            </w:pPr>
            <w:r>
              <w:rPr>
                <w:rFonts w:hint="eastAsia" w:cs="Times New Roman"/>
                <w:b w:val="0"/>
                <w:bCs w:val="0"/>
                <w:color w:val="auto"/>
                <w:spacing w:val="0"/>
                <w:sz w:val="24"/>
                <w:highlight w:val="none"/>
                <w:lang w:val="en-US" w:eastAsia="zh-CN"/>
              </w:rPr>
              <w:t>3）危险废物暂存风险防范措施</w:t>
            </w:r>
          </w:p>
          <w:p w14:paraId="6AD80DA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cs="Times New Roman"/>
                <w:b w:val="0"/>
                <w:bCs w:val="0"/>
                <w:color w:val="auto"/>
                <w:spacing w:val="0"/>
                <w:sz w:val="24"/>
                <w:highlight w:val="none"/>
                <w:lang w:val="en-US" w:eastAsia="zh-CN"/>
              </w:rPr>
            </w:pPr>
            <w:r>
              <w:rPr>
                <w:rFonts w:hint="eastAsia" w:cs="Times New Roman"/>
                <w:b w:val="0"/>
                <w:bCs w:val="0"/>
                <w:color w:val="auto"/>
                <w:spacing w:val="0"/>
                <w:sz w:val="24"/>
                <w:highlight w:val="none"/>
                <w:lang w:val="en-US" w:eastAsia="zh-CN"/>
              </w:rPr>
              <w:t>危险废物应严格按照《危险废物贮存污染控制标准》（GB18597-2023）、《危险废物污染防治术政策》（环发[2001]199号）、《北京市危险废物污染环境防治条例》（2020年9月1日起施行）、《危险废物转移管理办法》、《医疗废物管理条例》等相关规定进行规范操作和管理。</w:t>
            </w:r>
          </w:p>
          <w:p w14:paraId="57DD8BF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cs="Times New Roman"/>
                <w:b w:val="0"/>
                <w:bCs w:val="0"/>
                <w:color w:val="auto"/>
                <w:spacing w:val="0"/>
                <w:sz w:val="24"/>
                <w:highlight w:val="none"/>
                <w:lang w:val="en-US" w:eastAsia="zh-CN"/>
              </w:rPr>
            </w:pPr>
            <w:r>
              <w:rPr>
                <w:rFonts w:hint="eastAsia" w:cs="Times New Roman"/>
                <w:b w:val="0"/>
                <w:bCs w:val="0"/>
                <w:color w:val="auto"/>
                <w:spacing w:val="0"/>
                <w:sz w:val="24"/>
                <w:highlight w:val="none"/>
                <w:lang w:val="en-US" w:eastAsia="zh-CN"/>
              </w:rPr>
              <w:t>a.本项目医疗废物暂时贮存的时间不超过2天。医疗废物暂存间为密闭空间，室内有防渗措施，按照《危险废物识别标志设置技术规范》（HJ1276-2022）的要求在包装物或者容器贴标签，进行危险废物贮存分区标志，危险废物贮存设施应在场所外入口处的墙壁或栏杆显著位置设置相应的设施标志，并设专人管理，由有资质单位进行运输处理，最终进行安全处置，不会对周边环境产生影响。</w:t>
            </w:r>
          </w:p>
          <w:p w14:paraId="6CA20D8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cs="Times New Roman"/>
                <w:b w:val="0"/>
                <w:bCs w:val="0"/>
                <w:color w:val="auto"/>
                <w:spacing w:val="0"/>
                <w:sz w:val="24"/>
                <w:highlight w:val="none"/>
                <w:lang w:val="en-US" w:eastAsia="zh-CN"/>
              </w:rPr>
            </w:pPr>
            <w:r>
              <w:rPr>
                <w:rFonts w:hint="eastAsia" w:cs="Times New Roman"/>
                <w:b w:val="0"/>
                <w:bCs w:val="0"/>
                <w:color w:val="auto"/>
                <w:spacing w:val="0"/>
                <w:sz w:val="24"/>
                <w:highlight w:val="none"/>
                <w:lang w:val="en-US" w:eastAsia="zh-CN"/>
              </w:rPr>
              <w:t>b.本项目严格执行医疗废物分类收集制度。医疗废物的收集采取不同颜色的专用容器，容器上明确各类废弃物警示标识、说明。医疗废物依照及时、方便、安全、快捷的原则进行收集后分类包装、分类堆放。感染性废物、损伤性废物不能混合收集。放入包装物或者容器内的感染性废物、损伤性废物不得取出，当盛装的医疗废物达到包装或者容器的3/4时，应当使用有效的封口方式，使包装物或者容器的封口紧实、严密。</w:t>
            </w:r>
          </w:p>
          <w:p w14:paraId="23E1566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cs="Times New Roman"/>
                <w:b w:val="0"/>
                <w:bCs w:val="0"/>
                <w:color w:val="auto"/>
                <w:spacing w:val="0"/>
                <w:sz w:val="24"/>
                <w:highlight w:val="none"/>
                <w:lang w:val="en-US" w:eastAsia="zh-CN"/>
              </w:rPr>
            </w:pPr>
            <w:r>
              <w:rPr>
                <w:rFonts w:hint="eastAsia" w:cs="Times New Roman"/>
                <w:b w:val="0"/>
                <w:bCs w:val="0"/>
                <w:color w:val="auto"/>
                <w:spacing w:val="0"/>
                <w:sz w:val="24"/>
                <w:highlight w:val="none"/>
                <w:lang w:val="en-US" w:eastAsia="zh-CN"/>
              </w:rPr>
              <w:t>c.医疗废物暂存间地面铺设大于2mm厚、渗透系数≤10</w:t>
            </w:r>
            <w:r>
              <w:rPr>
                <w:rFonts w:hint="eastAsia" w:cs="Times New Roman"/>
                <w:b w:val="0"/>
                <w:bCs w:val="0"/>
                <w:color w:val="auto"/>
                <w:spacing w:val="0"/>
                <w:sz w:val="24"/>
                <w:highlight w:val="none"/>
                <w:vertAlign w:val="superscript"/>
                <w:lang w:val="en-US" w:eastAsia="zh-CN"/>
              </w:rPr>
              <w:t>-10</w:t>
            </w:r>
            <w:r>
              <w:rPr>
                <w:rFonts w:hint="eastAsia" w:cs="Times New Roman"/>
                <w:b w:val="0"/>
                <w:bCs w:val="0"/>
                <w:color w:val="auto"/>
                <w:spacing w:val="0"/>
                <w:sz w:val="24"/>
                <w:highlight w:val="none"/>
                <w:lang w:val="en-US" w:eastAsia="zh-CN"/>
              </w:rPr>
              <w:t>cm/s的人工防渗材料。铺砌地坪的胀缝和缩缝采用防渗柔性材料填塞。医疗废物采用专用储存器分类储存，防止出现渗漏。</w:t>
            </w:r>
          </w:p>
          <w:p w14:paraId="22A0975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cs="Times New Roman"/>
                <w:b w:val="0"/>
                <w:bCs w:val="0"/>
                <w:color w:val="auto"/>
                <w:spacing w:val="0"/>
                <w:sz w:val="24"/>
                <w:highlight w:val="none"/>
                <w:lang w:val="en-US" w:eastAsia="zh-CN"/>
              </w:rPr>
            </w:pPr>
            <w:r>
              <w:rPr>
                <w:rFonts w:hint="eastAsia" w:cs="Times New Roman"/>
                <w:b w:val="0"/>
                <w:bCs w:val="0"/>
                <w:color w:val="auto"/>
                <w:spacing w:val="0"/>
                <w:sz w:val="24"/>
                <w:highlight w:val="none"/>
                <w:lang w:val="en-US" w:eastAsia="zh-CN"/>
              </w:rPr>
              <w:t>d.医疗废物暂存间严格按照《医疗废物管理条例》及北京市《医疗废物管理条例》实施细则中的各项规定执行，同时制定医疗废物泄漏风险防范预案。依照《中华人民共和国固体废物污染环境防治法》的规定，执行危险废物转移联单管理制度。</w:t>
            </w:r>
          </w:p>
          <w:p w14:paraId="77C7C94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cs="Times New Roman"/>
                <w:b w:val="0"/>
                <w:bCs w:val="0"/>
                <w:color w:val="auto"/>
                <w:spacing w:val="0"/>
                <w:sz w:val="24"/>
                <w:highlight w:val="none"/>
                <w:lang w:val="en-US" w:eastAsia="zh-CN"/>
              </w:rPr>
            </w:pPr>
            <w:r>
              <w:rPr>
                <w:rFonts w:hint="eastAsia" w:cs="Times New Roman"/>
                <w:b w:val="0"/>
                <w:bCs w:val="0"/>
                <w:color w:val="auto"/>
                <w:spacing w:val="0"/>
                <w:sz w:val="24"/>
                <w:highlight w:val="none"/>
                <w:lang w:val="en-US" w:eastAsia="zh-CN"/>
              </w:rPr>
              <w:t>e.落实岗位责任制，加强员工的岗位培训，完善并严格遵守相关的操作规程；加强药品及化学品管理，特别是对易产生泄漏物品加强检查。建立事故预防、监测、检验、报警系统，当发生泄漏事故时能及时报警，及时处理。配备应急设备、设施、材料，制定应急防护措施，清除泄漏物的措施、方法和使用器材，提供应急医疗救护与公众健康保证的系统和程序。对事故现场管理以及事故处置全过程的监督，由富有事故处置经验的人员或有关部门工作人员承担。</w:t>
            </w:r>
          </w:p>
          <w:p w14:paraId="0EF6696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cs="Times New Roman"/>
                <w:b w:val="0"/>
                <w:bCs w:val="0"/>
                <w:color w:val="auto"/>
                <w:spacing w:val="0"/>
                <w:sz w:val="24"/>
                <w:highlight w:val="none"/>
                <w:lang w:val="en-US" w:eastAsia="zh-CN"/>
              </w:rPr>
            </w:pPr>
            <w:r>
              <w:rPr>
                <w:rFonts w:hint="eastAsia" w:cs="Times New Roman"/>
                <w:b w:val="0"/>
                <w:bCs w:val="0"/>
                <w:color w:val="auto"/>
                <w:spacing w:val="0"/>
                <w:sz w:val="24"/>
                <w:highlight w:val="none"/>
                <w:lang w:val="en-US" w:eastAsia="zh-CN"/>
              </w:rPr>
              <w:t>（4）环境风险应急预案</w:t>
            </w:r>
          </w:p>
          <w:p w14:paraId="5052B8C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cs="Times New Roman"/>
                <w:b w:val="0"/>
                <w:bCs w:val="0"/>
                <w:color w:val="auto"/>
                <w:spacing w:val="0"/>
                <w:sz w:val="24"/>
                <w:highlight w:val="none"/>
                <w:lang w:val="en-US" w:eastAsia="zh-CN"/>
              </w:rPr>
            </w:pPr>
            <w:r>
              <w:rPr>
                <w:rFonts w:hint="eastAsia" w:cs="Times New Roman"/>
                <w:b w:val="0"/>
                <w:bCs w:val="0"/>
                <w:color w:val="auto"/>
                <w:spacing w:val="0"/>
                <w:sz w:val="24"/>
                <w:highlight w:val="none"/>
                <w:lang w:val="en-US" w:eastAsia="zh-CN"/>
              </w:rPr>
              <w:t>本项目的应急预案建议参照以下几点进行制定：</w:t>
            </w:r>
          </w:p>
          <w:p w14:paraId="56C084D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cs="Times New Roman"/>
                <w:b w:val="0"/>
                <w:bCs w:val="0"/>
                <w:color w:val="auto"/>
                <w:spacing w:val="0"/>
                <w:sz w:val="24"/>
                <w:highlight w:val="none"/>
                <w:lang w:val="en-US" w:eastAsia="zh-CN"/>
              </w:rPr>
            </w:pPr>
            <w:r>
              <w:rPr>
                <w:rFonts w:hint="eastAsia" w:cs="Times New Roman"/>
                <w:b w:val="0"/>
                <w:bCs w:val="0"/>
                <w:color w:val="auto"/>
                <w:spacing w:val="0"/>
                <w:sz w:val="24"/>
                <w:highlight w:val="none"/>
                <w:lang w:val="en-US" w:eastAsia="zh-CN"/>
              </w:rPr>
              <w:t>a.对可能发生的事故，建设单位应制定相应的应急预案，应急预案应包括火灾的及时响应及扑救、人员的疏散、发生原因的查找及改进措施等，保证在风险发生时能做出最快的处理和防范，使风险降到最低。</w:t>
            </w:r>
          </w:p>
          <w:p w14:paraId="29B945E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cs="Times New Roman"/>
                <w:b w:val="0"/>
                <w:bCs w:val="0"/>
                <w:color w:val="auto"/>
                <w:spacing w:val="0"/>
                <w:sz w:val="24"/>
                <w:highlight w:val="none"/>
                <w:lang w:val="en-US" w:eastAsia="zh-CN"/>
              </w:rPr>
            </w:pPr>
            <w:r>
              <w:rPr>
                <w:rFonts w:hint="eastAsia" w:cs="Times New Roman"/>
                <w:b w:val="0"/>
                <w:bCs w:val="0"/>
                <w:color w:val="auto"/>
                <w:spacing w:val="0"/>
                <w:sz w:val="24"/>
                <w:highlight w:val="none"/>
                <w:lang w:val="en-US" w:eastAsia="zh-CN"/>
              </w:rPr>
              <w:t>b.事故发生后，应根据具体情况采取应急措施，切断泄漏源、火源，控制事故扩大，同时根据事故类型、大小启动相应的应急预案。</w:t>
            </w:r>
          </w:p>
          <w:p w14:paraId="700419C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cs="Times New Roman"/>
                <w:b w:val="0"/>
                <w:bCs w:val="0"/>
                <w:color w:val="auto"/>
                <w:spacing w:val="0"/>
                <w:sz w:val="24"/>
                <w:highlight w:val="none"/>
                <w:lang w:val="en-US" w:eastAsia="zh-CN"/>
              </w:rPr>
            </w:pPr>
            <w:r>
              <w:rPr>
                <w:rFonts w:hint="eastAsia" w:cs="Times New Roman"/>
                <w:b w:val="0"/>
                <w:bCs w:val="0"/>
                <w:color w:val="auto"/>
                <w:spacing w:val="0"/>
                <w:sz w:val="24"/>
                <w:highlight w:val="none"/>
                <w:lang w:val="en-US" w:eastAsia="zh-CN"/>
              </w:rPr>
              <w:t>c.因本项目若发生环境风险事故，产生的环境影响较小。应及时预估是否有危险化学品随空气传播影响周边环境，若发生该类事故，及时疏散受影响人群。</w:t>
            </w:r>
          </w:p>
          <w:p w14:paraId="7BC148E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cs="Times New Roman"/>
                <w:b w:val="0"/>
                <w:bCs w:val="0"/>
                <w:color w:val="auto"/>
                <w:spacing w:val="0"/>
                <w:sz w:val="24"/>
                <w:highlight w:val="none"/>
                <w:lang w:val="en-US" w:eastAsia="zh-CN"/>
              </w:rPr>
            </w:pPr>
            <w:r>
              <w:rPr>
                <w:rFonts w:hint="eastAsia" w:cs="Times New Roman"/>
                <w:b w:val="0"/>
                <w:bCs w:val="0"/>
                <w:color w:val="auto"/>
                <w:spacing w:val="0"/>
                <w:sz w:val="24"/>
                <w:highlight w:val="none"/>
                <w:lang w:val="en-US" w:eastAsia="zh-CN"/>
              </w:rPr>
              <w:t>d.事故发生后，应立即通知当地突发事故领导小组、环保、卫生、消防、供电、自来水公司等部门，进行必要的救援与监控。</w:t>
            </w:r>
          </w:p>
          <w:p w14:paraId="7550BC3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cs="Times New Roman"/>
                <w:b w:val="0"/>
                <w:bCs w:val="0"/>
                <w:color w:val="auto"/>
                <w:spacing w:val="0"/>
                <w:sz w:val="24"/>
                <w:highlight w:val="none"/>
                <w:lang w:val="en-US" w:eastAsia="zh-CN"/>
              </w:rPr>
            </w:pPr>
            <w:r>
              <w:rPr>
                <w:rFonts w:hint="eastAsia" w:cs="Times New Roman"/>
                <w:b w:val="0"/>
                <w:bCs w:val="0"/>
                <w:color w:val="auto"/>
                <w:spacing w:val="0"/>
                <w:sz w:val="24"/>
                <w:highlight w:val="none"/>
                <w:lang w:val="en-US" w:eastAsia="zh-CN"/>
              </w:rPr>
              <w:t>e.若发生重大事故，应立即上报相关部门，启动社会救援系统，就近地区调拨专业救援队伍协助处理，并及时做好撤离疏散工作。</w:t>
            </w:r>
          </w:p>
          <w:p w14:paraId="28CA0FE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cs="Times New Roman"/>
                <w:b w:val="0"/>
                <w:bCs w:val="0"/>
                <w:color w:val="auto"/>
                <w:spacing w:val="0"/>
                <w:sz w:val="24"/>
                <w:highlight w:val="none"/>
                <w:lang w:val="en-US" w:eastAsia="zh-CN"/>
              </w:rPr>
            </w:pPr>
            <w:r>
              <w:rPr>
                <w:rFonts w:hint="eastAsia" w:cs="Times New Roman"/>
                <w:b w:val="0"/>
                <w:bCs w:val="0"/>
                <w:color w:val="auto"/>
                <w:spacing w:val="0"/>
                <w:sz w:val="24"/>
                <w:highlight w:val="none"/>
                <w:lang w:val="en-US" w:eastAsia="zh-CN"/>
              </w:rPr>
              <w:t>（5）环境风险小结</w:t>
            </w:r>
          </w:p>
          <w:p w14:paraId="34DFD46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cs="Times New Roman"/>
                <w:b w:val="0"/>
                <w:bCs w:val="0"/>
                <w:color w:val="auto"/>
                <w:spacing w:val="0"/>
                <w:sz w:val="24"/>
                <w:highlight w:val="none"/>
                <w:lang w:val="en-US" w:eastAsia="zh-CN"/>
              </w:rPr>
            </w:pPr>
            <w:r>
              <w:rPr>
                <w:rFonts w:hint="eastAsia" w:cs="Times New Roman"/>
                <w:b w:val="0"/>
                <w:bCs w:val="0"/>
                <w:color w:val="auto"/>
                <w:spacing w:val="0"/>
                <w:sz w:val="24"/>
                <w:highlight w:val="none"/>
                <w:lang w:val="en-US" w:eastAsia="zh-CN"/>
              </w:rPr>
              <w:t>本项目没有构成重大危险源，且不在环境敏感地区。建设单位只要按照设计严格施工，并在切实落实各项综合风险防范、事故处置、应急措施的基础上，可将风险事故的环境影响控制在可接受范围内。</w:t>
            </w:r>
          </w:p>
          <w:p w14:paraId="4FB68CF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cs="Times New Roman"/>
                <w:b w:val="0"/>
                <w:bCs w:val="0"/>
                <w:color w:val="auto"/>
                <w:spacing w:val="0"/>
                <w:sz w:val="24"/>
                <w:highlight w:val="none"/>
                <w:lang w:val="en-US" w:eastAsia="zh-CN"/>
              </w:rPr>
            </w:pPr>
          </w:p>
          <w:p w14:paraId="08FABF5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cs="Times New Roman"/>
                <w:b w:val="0"/>
                <w:bCs w:val="0"/>
                <w:color w:val="auto"/>
                <w:spacing w:val="0"/>
                <w:sz w:val="24"/>
                <w:highlight w:val="none"/>
                <w:lang w:val="en-US" w:eastAsia="zh-CN"/>
              </w:rPr>
            </w:pPr>
          </w:p>
          <w:p w14:paraId="6C60AB0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cs="Times New Roman"/>
                <w:b w:val="0"/>
                <w:bCs w:val="0"/>
                <w:color w:val="auto"/>
                <w:spacing w:val="0"/>
                <w:sz w:val="24"/>
                <w:highlight w:val="none"/>
                <w:lang w:val="en-US" w:eastAsia="zh-CN"/>
              </w:rPr>
            </w:pPr>
          </w:p>
          <w:p w14:paraId="086F7DE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cs="Times New Roman"/>
                <w:b w:val="0"/>
                <w:bCs w:val="0"/>
                <w:color w:val="auto"/>
                <w:spacing w:val="0"/>
                <w:sz w:val="24"/>
                <w:highlight w:val="none"/>
                <w:lang w:val="en-US" w:eastAsia="zh-CN"/>
              </w:rPr>
            </w:pPr>
          </w:p>
          <w:p w14:paraId="268E389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cs="Times New Roman"/>
                <w:b w:val="0"/>
                <w:bCs w:val="0"/>
                <w:color w:val="auto"/>
                <w:spacing w:val="0"/>
                <w:sz w:val="24"/>
                <w:highlight w:val="none"/>
                <w:lang w:val="en-US" w:eastAsia="zh-CN"/>
              </w:rPr>
            </w:pPr>
          </w:p>
          <w:p w14:paraId="413B66B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cs="Times New Roman"/>
                <w:b w:val="0"/>
                <w:bCs w:val="0"/>
                <w:color w:val="auto"/>
                <w:spacing w:val="0"/>
                <w:sz w:val="24"/>
                <w:highlight w:val="none"/>
                <w:lang w:val="en-US" w:eastAsia="zh-CN"/>
              </w:rPr>
            </w:pPr>
          </w:p>
        </w:tc>
      </w:tr>
    </w:tbl>
    <w:p w14:paraId="66711806">
      <w:pPr>
        <w:adjustRightInd w:val="0"/>
        <w:snapToGrid w:val="0"/>
        <w:spacing w:line="360" w:lineRule="auto"/>
        <w:rPr>
          <w:rFonts w:ascii="宋体" w:cs="宋体"/>
          <w:b/>
          <w:color w:val="auto"/>
          <w:kern w:val="0"/>
          <w:sz w:val="28"/>
          <w:szCs w:val="28"/>
          <w:highlight w:val="none"/>
        </w:rPr>
        <w:sectPr>
          <w:pgSz w:w="11905" w:h="16838"/>
          <w:pgMar w:top="1474" w:right="1474" w:bottom="1474" w:left="1474" w:header="850" w:footer="850" w:gutter="0"/>
          <w:pgBorders>
            <w:top w:val="none" w:sz="0" w:space="0"/>
            <w:left w:val="none" w:sz="0" w:space="0"/>
            <w:bottom w:val="none" w:sz="0" w:space="0"/>
            <w:right w:val="none" w:sz="0" w:space="0"/>
          </w:pgBorders>
          <w:pgNumType w:fmt="decimal"/>
          <w:cols w:space="0" w:num="1"/>
          <w:docGrid w:linePitch="312" w:charSpace="0"/>
        </w:sectPr>
      </w:pPr>
    </w:p>
    <w:p w14:paraId="2B0E0584">
      <w:pPr>
        <w:spacing w:before="0" w:beforeAutospacing="0" w:after="0" w:afterAutospacing="0"/>
        <w:jc w:val="center"/>
        <w:outlineLvl w:val="0"/>
        <w:rPr>
          <w:rFonts w:ascii="黑体" w:hAnsi="黑体" w:eastAsia="黑体"/>
          <w:snapToGrid w:val="0"/>
          <w:color w:val="auto"/>
          <w:sz w:val="30"/>
          <w:szCs w:val="30"/>
          <w:highlight w:val="none"/>
        </w:rPr>
      </w:pPr>
      <w:r>
        <w:rPr>
          <w:rFonts w:hint="eastAsia" w:ascii="黑体" w:hAnsi="黑体" w:eastAsia="黑体"/>
          <w:snapToGrid w:val="0"/>
          <w:color w:val="auto"/>
          <w:sz w:val="30"/>
          <w:szCs w:val="30"/>
          <w:highlight w:val="none"/>
        </w:rPr>
        <w:t>五、</w:t>
      </w:r>
      <w:bookmarkStart w:id="0" w:name="_Hlk54167917"/>
      <w:r>
        <w:rPr>
          <w:rFonts w:hint="eastAsia" w:ascii="黑体" w:hAnsi="黑体" w:eastAsia="黑体"/>
          <w:snapToGrid w:val="0"/>
          <w:color w:val="auto"/>
          <w:sz w:val="30"/>
          <w:szCs w:val="30"/>
          <w:highlight w:val="none"/>
        </w:rPr>
        <w:t>环境保护措施监督检查清单</w:t>
      </w:r>
      <w:bookmarkEnd w:id="0"/>
    </w:p>
    <w:tbl>
      <w:tblPr>
        <w:tblStyle w:val="12"/>
        <w:tblW w:w="5000"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354"/>
        <w:gridCol w:w="1560"/>
        <w:gridCol w:w="1215"/>
        <w:gridCol w:w="2160"/>
        <w:gridCol w:w="2884"/>
      </w:tblGrid>
      <w:tr w14:paraId="21F68EF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88" w:hRule="atLeast"/>
          <w:jc w:val="center"/>
        </w:trPr>
        <w:tc>
          <w:tcPr>
            <w:tcW w:w="1354" w:type="dxa"/>
            <w:tcBorders>
              <w:tl2br w:val="nil"/>
              <w:tr2bl w:val="nil"/>
            </w:tcBorders>
            <w:vAlign w:val="center"/>
            <mc:AlternateContent>
              <mc:Choice Requires="wpsCustomData">
                <wpsCustomData:diagonals>
                  <wpsCustomData:diagonal from="10000" to="30000">
                    <wpsCustomData:border w:val="single" w:color="auto" w:sz="8" w:space="0"/>
                  </wpsCustomData:diagonal>
                </wpsCustomData:diagonals>
              </mc:Choice>
            </mc:AlternateContent>
          </w:tcPr>
          <w:p w14:paraId="01F0ACA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z w:val="24"/>
                <w:szCs w:val="24"/>
                <w:highlight w:val="none"/>
              </w:rPr>
            </w:pPr>
          </w:p>
          <w:p w14:paraId="14486F6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z w:val="24"/>
                <w:szCs w:val="24"/>
                <w:highlight w:val="none"/>
              </w:rPr>
            </w:pPr>
          </w:p>
          <w:p w14:paraId="42FEC1B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mc:AlternateContent>
                <mc:Choice Requires="wpsCustomData">
                  <wpsCustomData:diagonalParaType/>
                </mc:Choice>
              </mc:AlternateContent>
              <w:rPr>
                <w:rFonts w:hint="default"/>
                <w:b w:val="0"/>
                <w:bCs w:val="0"/>
                <w:color w:val="auto"/>
                <w:sz w:val="24"/>
                <w:szCs w:val="24"/>
                <w:highlight w:val="none"/>
              </w:rPr>
            </w:pPr>
            <w:r>
              <w:rPr>
                <w:rFonts w:hint="default"/>
                <w:b w:val="0"/>
                <w:bCs w:val="0"/>
                <w:color w:val="auto"/>
                <w:sz w:val="24"/>
                <w:szCs w:val="24"/>
                <w:highlight w:val="none"/>
              </w:rPr>
              <w:t>要素</w:t>
            </w:r>
          </w:p>
          <w:p w14:paraId="55CC0C0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z w:val="24"/>
                <w:szCs w:val="24"/>
                <w:highlight w:val="none"/>
              </w:rPr>
            </w:pPr>
            <w:r>
              <w:rPr>
                <w:rFonts w:hint="eastAsia"/>
                <w:b w:val="0"/>
                <w:bCs w:val="0"/>
                <w:color w:val="auto"/>
                <w:sz w:val="24"/>
                <w:szCs w:val="24"/>
                <w:highlight w:val="none"/>
                <w:lang w:val="en-US" w:eastAsia="zh-CN"/>
              </w:rPr>
              <w:t xml:space="preserve">  </w:t>
            </w:r>
            <w:r>
              <w:rPr>
                <w:rFonts w:hint="default"/>
                <w:b w:val="0"/>
                <w:bCs w:val="0"/>
                <w:color w:val="auto"/>
                <w:sz w:val="24"/>
                <w:szCs w:val="24"/>
                <w:highlight w:val="none"/>
              </w:rPr>
              <w:t>内容</w:t>
            </w:r>
          </w:p>
        </w:tc>
        <w:tc>
          <w:tcPr>
            <w:tcW w:w="1560" w:type="dxa"/>
            <w:tcBorders>
              <w:tl2br w:val="nil"/>
              <w:tr2bl w:val="nil"/>
            </w:tcBorders>
            <w:vAlign w:val="center"/>
          </w:tcPr>
          <w:p w14:paraId="7C50E9B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z w:val="24"/>
                <w:szCs w:val="24"/>
                <w:highlight w:val="none"/>
              </w:rPr>
            </w:pPr>
            <w:r>
              <w:rPr>
                <w:rFonts w:hint="default"/>
                <w:b w:val="0"/>
                <w:bCs w:val="0"/>
                <w:color w:val="auto"/>
                <w:sz w:val="24"/>
                <w:szCs w:val="24"/>
                <w:highlight w:val="none"/>
              </w:rPr>
              <w:t>排放口(编号、名称)/污染源</w:t>
            </w:r>
          </w:p>
        </w:tc>
        <w:tc>
          <w:tcPr>
            <w:tcW w:w="1215" w:type="dxa"/>
            <w:tcBorders>
              <w:tl2br w:val="nil"/>
              <w:tr2bl w:val="nil"/>
            </w:tcBorders>
            <w:vAlign w:val="center"/>
          </w:tcPr>
          <w:p w14:paraId="68F4B2E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z w:val="24"/>
                <w:szCs w:val="24"/>
                <w:highlight w:val="none"/>
              </w:rPr>
            </w:pPr>
            <w:r>
              <w:rPr>
                <w:rFonts w:hint="default"/>
                <w:b w:val="0"/>
                <w:bCs w:val="0"/>
                <w:color w:val="auto"/>
                <w:sz w:val="24"/>
                <w:szCs w:val="24"/>
                <w:highlight w:val="none"/>
              </w:rPr>
              <w:t>污染物</w:t>
            </w:r>
          </w:p>
          <w:p w14:paraId="7D92FF2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z w:val="24"/>
                <w:szCs w:val="24"/>
                <w:highlight w:val="none"/>
              </w:rPr>
            </w:pPr>
            <w:r>
              <w:rPr>
                <w:rFonts w:hint="default"/>
                <w:b w:val="0"/>
                <w:bCs w:val="0"/>
                <w:color w:val="auto"/>
                <w:sz w:val="24"/>
                <w:szCs w:val="24"/>
                <w:highlight w:val="none"/>
              </w:rPr>
              <w:t>项目</w:t>
            </w:r>
          </w:p>
        </w:tc>
        <w:tc>
          <w:tcPr>
            <w:tcW w:w="2160" w:type="dxa"/>
            <w:tcBorders>
              <w:tl2br w:val="nil"/>
              <w:tr2bl w:val="nil"/>
            </w:tcBorders>
            <w:vAlign w:val="center"/>
          </w:tcPr>
          <w:p w14:paraId="143E407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z w:val="24"/>
                <w:szCs w:val="24"/>
                <w:highlight w:val="none"/>
              </w:rPr>
            </w:pPr>
            <w:r>
              <w:rPr>
                <w:rFonts w:hint="default"/>
                <w:b w:val="0"/>
                <w:bCs w:val="0"/>
                <w:color w:val="auto"/>
                <w:sz w:val="24"/>
                <w:szCs w:val="24"/>
                <w:highlight w:val="none"/>
              </w:rPr>
              <w:t>环境保护措施</w:t>
            </w:r>
          </w:p>
        </w:tc>
        <w:tc>
          <w:tcPr>
            <w:tcW w:w="2884" w:type="dxa"/>
            <w:tcBorders>
              <w:tl2br w:val="nil"/>
              <w:tr2bl w:val="nil"/>
            </w:tcBorders>
            <w:vAlign w:val="center"/>
          </w:tcPr>
          <w:p w14:paraId="2D1AFA0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z w:val="24"/>
                <w:szCs w:val="24"/>
                <w:highlight w:val="none"/>
              </w:rPr>
            </w:pPr>
            <w:r>
              <w:rPr>
                <w:rFonts w:hint="default"/>
                <w:b w:val="0"/>
                <w:bCs w:val="0"/>
                <w:color w:val="auto"/>
                <w:sz w:val="24"/>
                <w:szCs w:val="24"/>
                <w:highlight w:val="none"/>
              </w:rPr>
              <w:t>执行标准</w:t>
            </w:r>
          </w:p>
        </w:tc>
      </w:tr>
      <w:tr w14:paraId="49F891D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354" w:type="dxa"/>
            <w:vMerge w:val="restart"/>
            <w:tcBorders>
              <w:tl2br w:val="nil"/>
              <w:tr2bl w:val="nil"/>
            </w:tcBorders>
            <w:vAlign w:val="center"/>
          </w:tcPr>
          <w:p w14:paraId="1DAE10AF">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eastAsia="宋体"/>
                <w:b w:val="0"/>
                <w:bCs w:val="0"/>
                <w:color w:val="auto"/>
                <w:sz w:val="24"/>
                <w:szCs w:val="24"/>
                <w:highlight w:val="none"/>
                <w:lang w:val="en-US" w:eastAsia="zh-CN"/>
              </w:rPr>
            </w:pPr>
            <w:r>
              <w:rPr>
                <w:rFonts w:hint="eastAsia"/>
                <w:b w:val="0"/>
                <w:bCs w:val="0"/>
                <w:color w:val="auto"/>
                <w:sz w:val="24"/>
                <w:szCs w:val="24"/>
                <w:highlight w:val="none"/>
                <w:lang w:val="en-US" w:eastAsia="zh-CN"/>
              </w:rPr>
              <w:t>大气环境</w:t>
            </w:r>
          </w:p>
        </w:tc>
        <w:tc>
          <w:tcPr>
            <w:tcW w:w="1560" w:type="dxa"/>
            <w:vMerge w:val="restart"/>
            <w:tcBorders>
              <w:tl2br w:val="nil"/>
              <w:tr2bl w:val="nil"/>
            </w:tcBorders>
            <w:vAlign w:val="center"/>
          </w:tcPr>
          <w:p w14:paraId="6E4CABC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cs="Times New Roman"/>
                <w:b w:val="0"/>
                <w:bCs w:val="0"/>
                <w:color w:val="auto"/>
                <w:sz w:val="24"/>
                <w:szCs w:val="24"/>
                <w:highlight w:val="none"/>
                <w:lang w:val="en-US" w:eastAsia="zh-CN"/>
              </w:rPr>
            </w:pPr>
            <w:r>
              <w:rPr>
                <w:rFonts w:hint="eastAsia" w:cs="Times New Roman"/>
                <w:b w:val="0"/>
                <w:bCs w:val="0"/>
                <w:color w:val="auto"/>
                <w:sz w:val="24"/>
                <w:szCs w:val="24"/>
                <w:highlight w:val="none"/>
                <w:lang w:val="en-US" w:eastAsia="zh-CN"/>
              </w:rPr>
              <w:t>厂界无组织废气</w:t>
            </w:r>
          </w:p>
        </w:tc>
        <w:tc>
          <w:tcPr>
            <w:tcW w:w="1215" w:type="dxa"/>
            <w:tcBorders>
              <w:tl2br w:val="nil"/>
              <w:tr2bl w:val="nil"/>
            </w:tcBorders>
            <w:vAlign w:val="center"/>
          </w:tcPr>
          <w:p w14:paraId="0579B008">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z w:val="24"/>
                <w:szCs w:val="24"/>
                <w:highlight w:val="none"/>
                <w:lang w:val="en-US" w:eastAsia="zh-CN"/>
              </w:rPr>
            </w:pPr>
            <w:r>
              <w:rPr>
                <w:rFonts w:hint="eastAsia"/>
                <w:b w:val="0"/>
                <w:bCs w:val="0"/>
                <w:color w:val="auto"/>
                <w:sz w:val="24"/>
                <w:szCs w:val="24"/>
                <w:highlight w:val="none"/>
                <w:lang w:val="en-US" w:eastAsia="zh-CN"/>
              </w:rPr>
              <w:t>硫化氢</w:t>
            </w:r>
          </w:p>
        </w:tc>
        <w:tc>
          <w:tcPr>
            <w:tcW w:w="2160" w:type="dxa"/>
            <w:vMerge w:val="restart"/>
            <w:tcBorders>
              <w:tl2br w:val="nil"/>
              <w:tr2bl w:val="nil"/>
            </w:tcBorders>
            <w:vAlign w:val="center"/>
          </w:tcPr>
          <w:p w14:paraId="6D262F5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z w:val="24"/>
                <w:szCs w:val="24"/>
                <w:highlight w:val="none"/>
                <w:lang w:val="en-US" w:eastAsia="zh-CN"/>
              </w:rPr>
            </w:pPr>
            <w:r>
              <w:rPr>
                <w:rFonts w:hint="eastAsia"/>
                <w:b w:val="0"/>
                <w:bCs w:val="0"/>
                <w:color w:val="auto"/>
                <w:sz w:val="24"/>
                <w:szCs w:val="24"/>
                <w:highlight w:val="none"/>
                <w:lang w:val="en-US" w:eastAsia="zh-CN"/>
              </w:rPr>
              <w:t>处理构筑物加盖、密闭、定期喷洒除臭剂</w:t>
            </w:r>
          </w:p>
        </w:tc>
        <w:tc>
          <w:tcPr>
            <w:tcW w:w="2884" w:type="dxa"/>
            <w:vMerge w:val="restart"/>
            <w:tcBorders>
              <w:tl2br w:val="nil"/>
              <w:tr2bl w:val="nil"/>
            </w:tcBorders>
            <w:vAlign w:val="center"/>
          </w:tcPr>
          <w:p w14:paraId="3CAAD85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z w:val="24"/>
                <w:szCs w:val="24"/>
                <w:highlight w:val="none"/>
                <w:vertAlign w:val="baseline"/>
                <w:lang w:val="en-US" w:eastAsia="zh-CN"/>
              </w:rPr>
            </w:pPr>
            <w:r>
              <w:rPr>
                <w:rFonts w:hint="default"/>
                <w:b w:val="0"/>
                <w:bCs w:val="0"/>
                <w:color w:val="auto"/>
                <w:sz w:val="24"/>
                <w:szCs w:val="24"/>
                <w:highlight w:val="none"/>
                <w:vertAlign w:val="baseline"/>
                <w:lang w:val="en-US" w:eastAsia="zh-CN"/>
              </w:rPr>
              <w:t>《</w:t>
            </w:r>
            <w:r>
              <w:rPr>
                <w:rFonts w:hint="default" w:ascii="Times New Roman" w:hAnsi="Times New Roman" w:eastAsia="宋体" w:cs="Times New Roman"/>
                <w:b w:val="0"/>
                <w:bCs w:val="0"/>
                <w:color w:val="auto"/>
                <w:sz w:val="24"/>
                <w:szCs w:val="24"/>
                <w:highlight w:val="none"/>
                <w:vertAlign w:val="baseline"/>
                <w:lang w:val="en-US" w:eastAsia="zh-CN"/>
              </w:rPr>
              <w:t>大气污染物综合排放标准》（DB11/501-2017）</w:t>
            </w:r>
            <w:r>
              <w:rPr>
                <w:rFonts w:hint="eastAsia" w:cs="Times New Roman"/>
                <w:b w:val="0"/>
                <w:bCs w:val="0"/>
                <w:color w:val="auto"/>
                <w:sz w:val="24"/>
                <w:szCs w:val="24"/>
                <w:highlight w:val="none"/>
                <w:vertAlign w:val="baseline"/>
                <w:lang w:val="en-US" w:eastAsia="zh-CN"/>
              </w:rPr>
              <w:t>中“</w:t>
            </w:r>
            <w:r>
              <w:rPr>
                <w:rFonts w:hint="eastAsia" w:ascii="Times New Roman" w:hAnsi="Times New Roman" w:eastAsia="宋体" w:cs="Times New Roman"/>
                <w:b w:val="0"/>
                <w:bCs w:val="0"/>
                <w:color w:val="auto"/>
                <w:sz w:val="24"/>
                <w:szCs w:val="24"/>
                <w:highlight w:val="none"/>
                <w:vertAlign w:val="baseline"/>
                <w:lang w:val="en-US" w:eastAsia="zh-CN"/>
              </w:rPr>
              <w:t>表3</w:t>
            </w:r>
            <w:r>
              <w:rPr>
                <w:rFonts w:hint="eastAsia" w:cs="Times New Roman"/>
                <w:b w:val="0"/>
                <w:bCs w:val="0"/>
                <w:color w:val="auto"/>
                <w:sz w:val="24"/>
                <w:szCs w:val="24"/>
                <w:highlight w:val="none"/>
                <w:vertAlign w:val="baseline"/>
                <w:lang w:val="en-US" w:eastAsia="zh-CN"/>
              </w:rPr>
              <w:t xml:space="preserve"> </w:t>
            </w:r>
            <w:r>
              <w:rPr>
                <w:rFonts w:hint="eastAsia" w:ascii="Times New Roman" w:hAnsi="Times New Roman" w:eastAsia="宋体" w:cs="Times New Roman"/>
                <w:b w:val="0"/>
                <w:bCs w:val="0"/>
                <w:color w:val="auto"/>
                <w:sz w:val="24"/>
                <w:szCs w:val="24"/>
                <w:highlight w:val="none"/>
                <w:vertAlign w:val="baseline"/>
                <w:lang w:val="en-US" w:eastAsia="zh-CN"/>
              </w:rPr>
              <w:t>生产工艺废气及其他废气大气污染物排放限值”中“单位周界无组织排放监控点浓度限值</w:t>
            </w:r>
            <w:r>
              <w:rPr>
                <w:rFonts w:hint="eastAsia" w:cs="Times New Roman"/>
                <w:b w:val="0"/>
                <w:bCs w:val="0"/>
                <w:color w:val="auto"/>
                <w:sz w:val="24"/>
                <w:szCs w:val="24"/>
                <w:highlight w:val="none"/>
                <w:vertAlign w:val="baseline"/>
                <w:lang w:val="en-US" w:eastAsia="zh-CN"/>
              </w:rPr>
              <w:t>”</w:t>
            </w:r>
          </w:p>
        </w:tc>
      </w:tr>
      <w:tr w14:paraId="7D21D98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354" w:type="dxa"/>
            <w:vMerge w:val="continue"/>
            <w:tcBorders>
              <w:tl2br w:val="nil"/>
              <w:tr2bl w:val="nil"/>
            </w:tcBorders>
            <w:vAlign w:val="center"/>
          </w:tcPr>
          <w:p w14:paraId="19B9747D">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color w:val="auto"/>
                <w:sz w:val="24"/>
                <w:szCs w:val="24"/>
                <w:highlight w:val="none"/>
                <w:lang w:val="en-US" w:eastAsia="zh-CN"/>
              </w:rPr>
            </w:pPr>
          </w:p>
        </w:tc>
        <w:tc>
          <w:tcPr>
            <w:tcW w:w="1560" w:type="dxa"/>
            <w:vMerge w:val="continue"/>
            <w:tcBorders>
              <w:tl2br w:val="nil"/>
              <w:tr2bl w:val="nil"/>
            </w:tcBorders>
            <w:vAlign w:val="center"/>
          </w:tcPr>
          <w:p w14:paraId="26D2073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cs="Times New Roman"/>
                <w:b w:val="0"/>
                <w:bCs w:val="0"/>
                <w:color w:val="auto"/>
                <w:sz w:val="24"/>
                <w:szCs w:val="24"/>
                <w:highlight w:val="none"/>
                <w:lang w:val="en-US" w:eastAsia="zh-CN"/>
              </w:rPr>
            </w:pPr>
          </w:p>
        </w:tc>
        <w:tc>
          <w:tcPr>
            <w:tcW w:w="1215" w:type="dxa"/>
            <w:tcBorders>
              <w:tl2br w:val="nil"/>
              <w:tr2bl w:val="nil"/>
            </w:tcBorders>
            <w:vAlign w:val="center"/>
          </w:tcPr>
          <w:p w14:paraId="2A2CD5A0">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z w:val="24"/>
                <w:szCs w:val="24"/>
                <w:highlight w:val="none"/>
                <w:lang w:val="en-US" w:eastAsia="zh-CN"/>
              </w:rPr>
            </w:pPr>
            <w:r>
              <w:rPr>
                <w:rFonts w:hint="eastAsia"/>
                <w:b w:val="0"/>
                <w:bCs w:val="0"/>
                <w:color w:val="auto"/>
                <w:sz w:val="24"/>
                <w:szCs w:val="24"/>
                <w:highlight w:val="none"/>
                <w:lang w:val="en-US" w:eastAsia="zh-CN"/>
              </w:rPr>
              <w:t>氨</w:t>
            </w:r>
          </w:p>
        </w:tc>
        <w:tc>
          <w:tcPr>
            <w:tcW w:w="2160" w:type="dxa"/>
            <w:vMerge w:val="continue"/>
            <w:tcBorders>
              <w:tl2br w:val="nil"/>
              <w:tr2bl w:val="nil"/>
            </w:tcBorders>
            <w:vAlign w:val="center"/>
          </w:tcPr>
          <w:p w14:paraId="6425CED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z w:val="24"/>
                <w:szCs w:val="24"/>
                <w:highlight w:val="none"/>
                <w:lang w:val="en-US" w:eastAsia="zh-CN"/>
              </w:rPr>
            </w:pPr>
          </w:p>
        </w:tc>
        <w:tc>
          <w:tcPr>
            <w:tcW w:w="2884" w:type="dxa"/>
            <w:vMerge w:val="continue"/>
            <w:tcBorders>
              <w:tl2br w:val="nil"/>
              <w:tr2bl w:val="nil"/>
            </w:tcBorders>
            <w:vAlign w:val="center"/>
          </w:tcPr>
          <w:p w14:paraId="7DFCC71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color w:val="auto"/>
                <w:sz w:val="24"/>
                <w:szCs w:val="24"/>
                <w:highlight w:val="none"/>
                <w:vertAlign w:val="superscript"/>
                <w:lang w:val="en-US" w:eastAsia="zh-CN"/>
              </w:rPr>
            </w:pPr>
          </w:p>
        </w:tc>
      </w:tr>
      <w:tr w14:paraId="53AC843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354" w:type="dxa"/>
            <w:vMerge w:val="continue"/>
            <w:tcBorders>
              <w:tl2br w:val="nil"/>
              <w:tr2bl w:val="nil"/>
            </w:tcBorders>
            <w:vAlign w:val="center"/>
          </w:tcPr>
          <w:p w14:paraId="6D486FC3">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color w:val="auto"/>
                <w:sz w:val="24"/>
                <w:szCs w:val="24"/>
                <w:highlight w:val="none"/>
                <w:lang w:val="en-US" w:eastAsia="zh-CN"/>
              </w:rPr>
            </w:pPr>
          </w:p>
        </w:tc>
        <w:tc>
          <w:tcPr>
            <w:tcW w:w="1560" w:type="dxa"/>
            <w:vMerge w:val="continue"/>
            <w:tcBorders>
              <w:tl2br w:val="nil"/>
              <w:tr2bl w:val="nil"/>
            </w:tcBorders>
            <w:vAlign w:val="center"/>
          </w:tcPr>
          <w:p w14:paraId="458E8DD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cs="Times New Roman"/>
                <w:b w:val="0"/>
                <w:bCs w:val="0"/>
                <w:color w:val="auto"/>
                <w:sz w:val="24"/>
                <w:szCs w:val="24"/>
                <w:highlight w:val="none"/>
                <w:lang w:val="en-US" w:eastAsia="zh-CN"/>
              </w:rPr>
            </w:pPr>
          </w:p>
        </w:tc>
        <w:tc>
          <w:tcPr>
            <w:tcW w:w="1215" w:type="dxa"/>
            <w:tcBorders>
              <w:tl2br w:val="nil"/>
              <w:tr2bl w:val="nil"/>
            </w:tcBorders>
            <w:vAlign w:val="center"/>
          </w:tcPr>
          <w:p w14:paraId="4686412D">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z w:val="24"/>
                <w:szCs w:val="24"/>
                <w:highlight w:val="none"/>
                <w:lang w:val="en-US" w:eastAsia="zh-CN"/>
              </w:rPr>
            </w:pPr>
            <w:r>
              <w:rPr>
                <w:rFonts w:hint="eastAsia"/>
                <w:b w:val="0"/>
                <w:bCs w:val="0"/>
                <w:color w:val="auto"/>
                <w:sz w:val="24"/>
                <w:szCs w:val="24"/>
                <w:highlight w:val="none"/>
                <w:lang w:val="en-US" w:eastAsia="zh-CN"/>
              </w:rPr>
              <w:t>臭气浓度</w:t>
            </w:r>
          </w:p>
        </w:tc>
        <w:tc>
          <w:tcPr>
            <w:tcW w:w="2160" w:type="dxa"/>
            <w:vMerge w:val="continue"/>
            <w:tcBorders>
              <w:tl2br w:val="nil"/>
              <w:tr2bl w:val="nil"/>
            </w:tcBorders>
            <w:vAlign w:val="center"/>
          </w:tcPr>
          <w:p w14:paraId="0BEE0E9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z w:val="24"/>
                <w:szCs w:val="24"/>
                <w:highlight w:val="none"/>
                <w:lang w:val="en-US" w:eastAsia="zh-CN"/>
              </w:rPr>
            </w:pPr>
          </w:p>
        </w:tc>
        <w:tc>
          <w:tcPr>
            <w:tcW w:w="2884" w:type="dxa"/>
            <w:vMerge w:val="continue"/>
            <w:tcBorders>
              <w:tl2br w:val="nil"/>
              <w:tr2bl w:val="nil"/>
            </w:tcBorders>
            <w:vAlign w:val="center"/>
          </w:tcPr>
          <w:p w14:paraId="74D2B65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color w:val="auto"/>
                <w:sz w:val="24"/>
                <w:szCs w:val="24"/>
                <w:highlight w:val="none"/>
                <w:vertAlign w:val="baseline"/>
                <w:lang w:val="en-US" w:eastAsia="zh-CN"/>
              </w:rPr>
            </w:pPr>
          </w:p>
        </w:tc>
      </w:tr>
      <w:tr w14:paraId="17BA164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354" w:type="dxa"/>
            <w:tcBorders>
              <w:tl2br w:val="nil"/>
              <w:tr2bl w:val="nil"/>
            </w:tcBorders>
            <w:vAlign w:val="center"/>
          </w:tcPr>
          <w:p w14:paraId="300A290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z w:val="24"/>
                <w:szCs w:val="24"/>
                <w:highlight w:val="none"/>
              </w:rPr>
            </w:pPr>
            <w:r>
              <w:rPr>
                <w:rFonts w:hint="default"/>
                <w:b w:val="0"/>
                <w:bCs w:val="0"/>
                <w:color w:val="auto"/>
                <w:sz w:val="24"/>
                <w:szCs w:val="24"/>
                <w:highlight w:val="none"/>
              </w:rPr>
              <w:t>地表水</w:t>
            </w:r>
          </w:p>
          <w:p w14:paraId="14149BCD">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z w:val="24"/>
                <w:szCs w:val="24"/>
                <w:highlight w:val="none"/>
              </w:rPr>
            </w:pPr>
            <w:r>
              <w:rPr>
                <w:rFonts w:hint="default"/>
                <w:b w:val="0"/>
                <w:bCs w:val="0"/>
                <w:color w:val="auto"/>
                <w:sz w:val="24"/>
                <w:szCs w:val="24"/>
                <w:highlight w:val="none"/>
              </w:rPr>
              <w:t>环境</w:t>
            </w:r>
          </w:p>
        </w:tc>
        <w:tc>
          <w:tcPr>
            <w:tcW w:w="1560" w:type="dxa"/>
            <w:tcBorders>
              <w:tl2br w:val="nil"/>
              <w:tr2bl w:val="nil"/>
            </w:tcBorders>
            <w:vAlign w:val="center"/>
          </w:tcPr>
          <w:p w14:paraId="21A937D5">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eastAsia="宋体"/>
                <w:b w:val="0"/>
                <w:bCs w:val="0"/>
                <w:color w:val="auto"/>
                <w:sz w:val="24"/>
                <w:szCs w:val="24"/>
                <w:highlight w:val="none"/>
                <w:lang w:val="en-US" w:eastAsia="zh-CN"/>
              </w:rPr>
            </w:pPr>
            <w:r>
              <w:rPr>
                <w:rFonts w:hint="eastAsia"/>
                <w:b w:val="0"/>
                <w:bCs w:val="0"/>
                <w:color w:val="auto"/>
                <w:sz w:val="24"/>
                <w:szCs w:val="24"/>
                <w:highlight w:val="none"/>
                <w:lang w:val="en-US" w:eastAsia="zh-CN"/>
              </w:rPr>
              <w:t>废水总排口DW001</w:t>
            </w:r>
          </w:p>
        </w:tc>
        <w:tc>
          <w:tcPr>
            <w:tcW w:w="1215" w:type="dxa"/>
            <w:tcBorders>
              <w:tl2br w:val="nil"/>
              <w:tr2bl w:val="nil"/>
            </w:tcBorders>
            <w:vAlign w:val="center"/>
          </w:tcPr>
          <w:p w14:paraId="4F16D2A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0" w:firstLineChars="0"/>
              <w:jc w:val="center"/>
              <w:textAlignment w:val="auto"/>
              <w:rPr>
                <w:rFonts w:hint="default"/>
                <w:b w:val="0"/>
                <w:bCs w:val="0"/>
                <w:color w:val="auto"/>
                <w:sz w:val="24"/>
                <w:szCs w:val="24"/>
                <w:highlight w:val="none"/>
                <w:lang w:val="en-US"/>
              </w:rPr>
            </w:pPr>
            <w:r>
              <w:rPr>
                <w:rFonts w:hint="default"/>
                <w:b w:val="0"/>
                <w:bCs w:val="0"/>
                <w:color w:val="auto"/>
                <w:spacing w:val="-10"/>
                <w:sz w:val="24"/>
                <w:szCs w:val="24"/>
                <w:highlight w:val="none"/>
                <w:vertAlign w:val="baseline"/>
                <w:lang w:val="en-US" w:eastAsia="zh-CN"/>
              </w:rPr>
              <w:t>pH</w:t>
            </w:r>
            <w:r>
              <w:rPr>
                <w:rFonts w:hint="eastAsia"/>
                <w:b w:val="0"/>
                <w:bCs w:val="0"/>
                <w:color w:val="auto"/>
                <w:spacing w:val="-10"/>
                <w:sz w:val="24"/>
                <w:szCs w:val="24"/>
                <w:highlight w:val="none"/>
                <w:vertAlign w:val="baseline"/>
                <w:lang w:val="en-US" w:eastAsia="zh-CN"/>
              </w:rPr>
              <w:t>、</w:t>
            </w:r>
            <w:r>
              <w:rPr>
                <w:rFonts w:hint="default"/>
                <w:b w:val="0"/>
                <w:bCs w:val="0"/>
                <w:color w:val="auto"/>
                <w:spacing w:val="-10"/>
                <w:sz w:val="24"/>
                <w:szCs w:val="24"/>
                <w:highlight w:val="none"/>
                <w:vertAlign w:val="baseline"/>
                <w:lang w:val="en-US" w:eastAsia="zh-CN"/>
              </w:rPr>
              <w:t>CODcr、BOD</w:t>
            </w:r>
            <w:r>
              <w:rPr>
                <w:rFonts w:hint="default"/>
                <w:b w:val="0"/>
                <w:bCs w:val="0"/>
                <w:color w:val="auto"/>
                <w:spacing w:val="-10"/>
                <w:sz w:val="24"/>
                <w:szCs w:val="24"/>
                <w:highlight w:val="none"/>
                <w:vertAlign w:val="subscript"/>
                <w:lang w:val="en-US" w:eastAsia="zh-CN"/>
              </w:rPr>
              <w:t>5</w:t>
            </w:r>
            <w:r>
              <w:rPr>
                <w:rFonts w:hint="default"/>
                <w:b w:val="0"/>
                <w:bCs w:val="0"/>
                <w:color w:val="auto"/>
                <w:spacing w:val="-10"/>
                <w:sz w:val="24"/>
                <w:szCs w:val="24"/>
                <w:highlight w:val="none"/>
                <w:vertAlign w:val="baseline"/>
                <w:lang w:val="en-US" w:eastAsia="zh-CN"/>
              </w:rPr>
              <w:t>、SS、氨氮</w:t>
            </w:r>
            <w:r>
              <w:rPr>
                <w:rFonts w:hint="eastAsia"/>
                <w:b w:val="0"/>
                <w:bCs w:val="0"/>
                <w:color w:val="auto"/>
                <w:spacing w:val="-10"/>
                <w:sz w:val="24"/>
                <w:szCs w:val="24"/>
                <w:highlight w:val="none"/>
                <w:vertAlign w:val="baseline"/>
                <w:lang w:val="en-US" w:eastAsia="zh-CN"/>
              </w:rPr>
              <w:t>、粪大肠菌群、总余氯</w:t>
            </w:r>
          </w:p>
        </w:tc>
        <w:tc>
          <w:tcPr>
            <w:tcW w:w="2160" w:type="dxa"/>
            <w:tcBorders>
              <w:tl2br w:val="nil"/>
              <w:tr2bl w:val="nil"/>
            </w:tcBorders>
            <w:vAlign w:val="center"/>
          </w:tcPr>
          <w:p w14:paraId="165DED6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eastAsia="宋体"/>
                <w:b w:val="0"/>
                <w:bCs w:val="0"/>
                <w:color w:val="auto"/>
                <w:sz w:val="24"/>
                <w:szCs w:val="24"/>
                <w:highlight w:val="none"/>
                <w:lang w:val="en-US" w:eastAsia="zh-CN"/>
              </w:rPr>
            </w:pPr>
            <w:r>
              <w:rPr>
                <w:rFonts w:hint="eastAsia"/>
                <w:b w:val="0"/>
                <w:bCs w:val="0"/>
                <w:color w:val="auto"/>
                <w:sz w:val="24"/>
                <w:szCs w:val="24"/>
                <w:highlight w:val="none"/>
                <w:lang w:val="en-US" w:eastAsia="zh-CN"/>
              </w:rPr>
              <w:t>项目产生的全部废水做为医疗废水经经新建“独立化粪池+格栅+调节池+絮凝沉淀+消毒”处理后由市政污水管网排入清河再生水厂集中处理</w:t>
            </w:r>
          </w:p>
        </w:tc>
        <w:tc>
          <w:tcPr>
            <w:tcW w:w="2884" w:type="dxa"/>
            <w:tcBorders>
              <w:tl2br w:val="nil"/>
              <w:tr2bl w:val="nil"/>
            </w:tcBorders>
            <w:vAlign w:val="center"/>
          </w:tcPr>
          <w:p w14:paraId="0DFF0111">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z w:val="24"/>
                <w:szCs w:val="24"/>
                <w:highlight w:val="none"/>
              </w:rPr>
            </w:pPr>
            <w:r>
              <w:rPr>
                <w:rFonts w:hint="default"/>
                <w:b w:val="0"/>
                <w:bCs w:val="0"/>
                <w:color w:val="auto"/>
                <w:sz w:val="24"/>
                <w:szCs w:val="24"/>
                <w:highlight w:val="none"/>
              </w:rPr>
              <w:t>《医疗机构水污染物排放标准》（GB18466-2005）中</w:t>
            </w:r>
            <w:r>
              <w:rPr>
                <w:rFonts w:hint="eastAsia"/>
                <w:b w:val="0"/>
                <w:bCs w:val="0"/>
                <w:color w:val="auto"/>
                <w:sz w:val="24"/>
                <w:szCs w:val="24"/>
                <w:highlight w:val="none"/>
                <w:lang w:eastAsia="zh-CN"/>
              </w:rPr>
              <w:t>“</w:t>
            </w:r>
            <w:r>
              <w:rPr>
                <w:rFonts w:hint="default"/>
                <w:b w:val="0"/>
                <w:bCs w:val="0"/>
                <w:color w:val="auto"/>
                <w:sz w:val="24"/>
                <w:szCs w:val="24"/>
                <w:highlight w:val="none"/>
              </w:rPr>
              <w:t>表2 综合医疗机构和其他医疗机构水污染物排放限值（日均值）</w:t>
            </w:r>
            <w:r>
              <w:rPr>
                <w:rFonts w:hint="eastAsia"/>
                <w:b w:val="0"/>
                <w:bCs w:val="0"/>
                <w:color w:val="auto"/>
                <w:sz w:val="24"/>
                <w:szCs w:val="24"/>
                <w:highlight w:val="none"/>
                <w:lang w:eastAsia="zh-CN"/>
              </w:rPr>
              <w:t>”</w:t>
            </w:r>
            <w:r>
              <w:rPr>
                <w:rFonts w:hint="default"/>
                <w:b w:val="0"/>
                <w:bCs w:val="0"/>
                <w:color w:val="auto"/>
                <w:sz w:val="24"/>
                <w:szCs w:val="24"/>
                <w:highlight w:val="none"/>
              </w:rPr>
              <w:t>中</w:t>
            </w:r>
            <w:r>
              <w:rPr>
                <w:rFonts w:hint="eastAsia"/>
                <w:b w:val="0"/>
                <w:bCs w:val="0"/>
                <w:color w:val="auto"/>
                <w:sz w:val="24"/>
                <w:szCs w:val="24"/>
                <w:highlight w:val="none"/>
                <w:lang w:eastAsia="zh-CN"/>
              </w:rPr>
              <w:t>“</w:t>
            </w:r>
            <w:r>
              <w:rPr>
                <w:rFonts w:hint="default"/>
                <w:b w:val="0"/>
                <w:bCs w:val="0"/>
                <w:color w:val="auto"/>
                <w:sz w:val="24"/>
                <w:szCs w:val="24"/>
                <w:highlight w:val="none"/>
              </w:rPr>
              <w:t>预处理标准</w:t>
            </w:r>
            <w:r>
              <w:rPr>
                <w:rFonts w:hint="eastAsia"/>
                <w:b w:val="0"/>
                <w:bCs w:val="0"/>
                <w:color w:val="auto"/>
                <w:sz w:val="24"/>
                <w:szCs w:val="24"/>
                <w:highlight w:val="none"/>
                <w:lang w:eastAsia="zh-CN"/>
              </w:rPr>
              <w:t>”</w:t>
            </w:r>
            <w:r>
              <w:rPr>
                <w:rFonts w:hint="default"/>
                <w:b w:val="0"/>
                <w:bCs w:val="0"/>
                <w:color w:val="auto"/>
                <w:sz w:val="24"/>
                <w:szCs w:val="24"/>
                <w:highlight w:val="none"/>
              </w:rPr>
              <w:t>限值；氨氮执行北京市《水污染物综合排放标准》（DB11/307-2013）中</w:t>
            </w:r>
            <w:r>
              <w:rPr>
                <w:rFonts w:hint="eastAsia"/>
                <w:b w:val="0"/>
                <w:bCs w:val="0"/>
                <w:color w:val="auto"/>
                <w:sz w:val="24"/>
                <w:szCs w:val="24"/>
                <w:highlight w:val="none"/>
                <w:lang w:eastAsia="zh-CN"/>
              </w:rPr>
              <w:t>“</w:t>
            </w:r>
            <w:r>
              <w:rPr>
                <w:rFonts w:hint="default"/>
                <w:b w:val="0"/>
                <w:bCs w:val="0"/>
                <w:color w:val="auto"/>
                <w:sz w:val="24"/>
                <w:szCs w:val="24"/>
                <w:highlight w:val="none"/>
              </w:rPr>
              <w:t>表3 排入公共污水处理系统的水污染物排放限值</w:t>
            </w:r>
            <w:r>
              <w:rPr>
                <w:rFonts w:hint="eastAsia"/>
                <w:b w:val="0"/>
                <w:bCs w:val="0"/>
                <w:color w:val="auto"/>
                <w:sz w:val="24"/>
                <w:szCs w:val="24"/>
                <w:highlight w:val="none"/>
                <w:lang w:eastAsia="zh-CN"/>
              </w:rPr>
              <w:t>”</w:t>
            </w:r>
            <w:r>
              <w:rPr>
                <w:rFonts w:hint="default"/>
                <w:b w:val="0"/>
                <w:bCs w:val="0"/>
                <w:color w:val="auto"/>
                <w:sz w:val="24"/>
                <w:szCs w:val="24"/>
                <w:highlight w:val="none"/>
              </w:rPr>
              <w:t>中限值要求</w:t>
            </w:r>
          </w:p>
        </w:tc>
      </w:tr>
      <w:tr w14:paraId="6B623D8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354" w:type="dxa"/>
            <w:tcBorders>
              <w:tl2br w:val="nil"/>
              <w:tr2bl w:val="nil"/>
            </w:tcBorders>
            <w:vAlign w:val="center"/>
          </w:tcPr>
          <w:p w14:paraId="554B8581">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z w:val="24"/>
                <w:szCs w:val="24"/>
                <w:highlight w:val="none"/>
              </w:rPr>
            </w:pPr>
            <w:r>
              <w:rPr>
                <w:rFonts w:hint="default"/>
                <w:b w:val="0"/>
                <w:bCs w:val="0"/>
                <w:color w:val="auto"/>
                <w:sz w:val="24"/>
                <w:szCs w:val="24"/>
                <w:highlight w:val="none"/>
              </w:rPr>
              <w:t>声环境</w:t>
            </w:r>
          </w:p>
        </w:tc>
        <w:tc>
          <w:tcPr>
            <w:tcW w:w="1560" w:type="dxa"/>
            <w:tcBorders>
              <w:tl2br w:val="nil"/>
              <w:tr2bl w:val="nil"/>
            </w:tcBorders>
            <w:vAlign w:val="center"/>
          </w:tcPr>
          <w:p w14:paraId="5D551A2D">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eastAsia="宋体"/>
                <w:b w:val="0"/>
                <w:bCs w:val="0"/>
                <w:color w:val="auto"/>
                <w:sz w:val="24"/>
                <w:szCs w:val="24"/>
                <w:highlight w:val="none"/>
                <w:lang w:val="en-US" w:eastAsia="zh-CN"/>
              </w:rPr>
            </w:pPr>
            <w:r>
              <w:rPr>
                <w:rFonts w:hint="eastAsia"/>
                <w:b w:val="0"/>
                <w:bCs w:val="0"/>
                <w:color w:val="auto"/>
                <w:sz w:val="24"/>
                <w:szCs w:val="24"/>
                <w:highlight w:val="none"/>
                <w:lang w:val="en-US" w:eastAsia="zh-CN"/>
              </w:rPr>
              <w:t>设备</w:t>
            </w:r>
          </w:p>
        </w:tc>
        <w:tc>
          <w:tcPr>
            <w:tcW w:w="1215" w:type="dxa"/>
            <w:tcBorders>
              <w:tl2br w:val="nil"/>
              <w:tr2bl w:val="nil"/>
            </w:tcBorders>
            <w:vAlign w:val="center"/>
          </w:tcPr>
          <w:p w14:paraId="741EB6D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eastAsia="宋体"/>
                <w:b w:val="0"/>
                <w:bCs w:val="0"/>
                <w:color w:val="auto"/>
                <w:sz w:val="24"/>
                <w:szCs w:val="24"/>
                <w:highlight w:val="none"/>
                <w:lang w:val="en-US" w:eastAsia="zh-CN"/>
              </w:rPr>
            </w:pPr>
            <w:r>
              <w:rPr>
                <w:rFonts w:hint="eastAsia"/>
                <w:b w:val="0"/>
                <w:bCs w:val="0"/>
                <w:color w:val="auto"/>
                <w:sz w:val="24"/>
                <w:szCs w:val="24"/>
                <w:highlight w:val="none"/>
                <w:lang w:val="en-US" w:eastAsia="zh-CN"/>
              </w:rPr>
              <w:t>设备噪声</w:t>
            </w:r>
          </w:p>
        </w:tc>
        <w:tc>
          <w:tcPr>
            <w:tcW w:w="2160" w:type="dxa"/>
            <w:tcBorders>
              <w:tl2br w:val="nil"/>
              <w:tr2bl w:val="nil"/>
            </w:tcBorders>
            <w:vAlign w:val="center"/>
          </w:tcPr>
          <w:p w14:paraId="556CDEFC">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z w:val="24"/>
                <w:szCs w:val="24"/>
                <w:highlight w:val="none"/>
                <w:lang w:val="en-US"/>
              </w:rPr>
            </w:pPr>
            <w:r>
              <w:rPr>
                <w:rFonts w:hint="default"/>
                <w:b w:val="0"/>
                <w:bCs w:val="0"/>
                <w:color w:val="auto"/>
                <w:sz w:val="24"/>
                <w:szCs w:val="24"/>
                <w:highlight w:val="none"/>
              </w:rPr>
              <w:t>合理布局</w:t>
            </w:r>
            <w:r>
              <w:rPr>
                <w:rFonts w:hint="eastAsia"/>
                <w:b w:val="0"/>
                <w:bCs w:val="0"/>
                <w:color w:val="auto"/>
                <w:sz w:val="24"/>
                <w:szCs w:val="24"/>
                <w:highlight w:val="none"/>
                <w:lang w:eastAsia="zh-CN"/>
              </w:rPr>
              <w:t>、</w:t>
            </w:r>
            <w:r>
              <w:rPr>
                <w:rFonts w:hint="eastAsia"/>
                <w:b w:val="0"/>
                <w:bCs w:val="0"/>
                <w:color w:val="auto"/>
                <w:sz w:val="24"/>
                <w:szCs w:val="24"/>
                <w:highlight w:val="none"/>
                <w:lang w:val="en-US" w:eastAsia="zh-CN"/>
              </w:rPr>
              <w:t>选用低噪声设备、基础减振等</w:t>
            </w:r>
          </w:p>
        </w:tc>
        <w:tc>
          <w:tcPr>
            <w:tcW w:w="2884" w:type="dxa"/>
            <w:tcBorders>
              <w:tl2br w:val="nil"/>
              <w:tr2bl w:val="nil"/>
            </w:tcBorders>
            <w:vAlign w:val="center"/>
          </w:tcPr>
          <w:p w14:paraId="18551273">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z w:val="24"/>
                <w:szCs w:val="24"/>
                <w:highlight w:val="none"/>
              </w:rPr>
            </w:pPr>
            <w:r>
              <w:rPr>
                <w:rFonts w:hint="default"/>
                <w:b w:val="0"/>
                <w:bCs w:val="0"/>
                <w:color w:val="auto"/>
                <w:sz w:val="24"/>
                <w:szCs w:val="24"/>
                <w:highlight w:val="none"/>
              </w:rPr>
              <w:t>《工业企业厂界噪声排放标准》（GB12348-2008）相应的</w:t>
            </w:r>
            <w:r>
              <w:rPr>
                <w:rFonts w:hint="eastAsia"/>
                <w:b w:val="0"/>
                <w:bCs w:val="0"/>
                <w:color w:val="auto"/>
                <w:sz w:val="24"/>
                <w:szCs w:val="24"/>
                <w:highlight w:val="none"/>
                <w:lang w:val="en-US" w:eastAsia="zh-CN"/>
              </w:rPr>
              <w:t>1</w:t>
            </w:r>
            <w:r>
              <w:rPr>
                <w:rFonts w:hint="default"/>
                <w:b w:val="0"/>
                <w:bCs w:val="0"/>
                <w:color w:val="auto"/>
                <w:sz w:val="24"/>
                <w:szCs w:val="24"/>
                <w:highlight w:val="none"/>
              </w:rPr>
              <w:t>类标准限值</w:t>
            </w:r>
          </w:p>
        </w:tc>
      </w:tr>
      <w:tr w14:paraId="5EA4BFB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354" w:type="dxa"/>
            <w:tcBorders>
              <w:tl2br w:val="nil"/>
              <w:tr2bl w:val="nil"/>
            </w:tcBorders>
            <w:vAlign w:val="center"/>
          </w:tcPr>
          <w:p w14:paraId="2DDC166E">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z w:val="24"/>
                <w:szCs w:val="24"/>
                <w:highlight w:val="none"/>
              </w:rPr>
            </w:pPr>
            <w:r>
              <w:rPr>
                <w:rFonts w:hint="default"/>
                <w:b w:val="0"/>
                <w:bCs w:val="0"/>
                <w:color w:val="auto"/>
                <w:sz w:val="24"/>
                <w:szCs w:val="24"/>
                <w:highlight w:val="none"/>
              </w:rPr>
              <w:t>电磁辐射</w:t>
            </w:r>
          </w:p>
        </w:tc>
        <w:tc>
          <w:tcPr>
            <w:tcW w:w="1560" w:type="dxa"/>
            <w:tcBorders>
              <w:tl2br w:val="nil"/>
              <w:tr2bl w:val="nil"/>
            </w:tcBorders>
            <w:vAlign w:val="center"/>
          </w:tcPr>
          <w:p w14:paraId="0CA57380">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eastAsia="宋体"/>
                <w:b w:val="0"/>
                <w:bCs w:val="0"/>
                <w:color w:val="auto"/>
                <w:sz w:val="24"/>
                <w:szCs w:val="24"/>
                <w:highlight w:val="none"/>
                <w:lang w:val="en-US" w:eastAsia="zh-CN"/>
              </w:rPr>
            </w:pPr>
            <w:r>
              <w:rPr>
                <w:rFonts w:hint="eastAsia"/>
                <w:b w:val="0"/>
                <w:bCs w:val="0"/>
                <w:color w:val="auto"/>
                <w:sz w:val="24"/>
                <w:szCs w:val="24"/>
                <w:highlight w:val="none"/>
                <w:lang w:val="en-US" w:eastAsia="zh-CN"/>
              </w:rPr>
              <w:t>/</w:t>
            </w:r>
          </w:p>
        </w:tc>
        <w:tc>
          <w:tcPr>
            <w:tcW w:w="1215" w:type="dxa"/>
            <w:tcBorders>
              <w:tl2br w:val="nil"/>
              <w:tr2bl w:val="nil"/>
            </w:tcBorders>
            <w:vAlign w:val="center"/>
          </w:tcPr>
          <w:p w14:paraId="517D7824">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eastAsia="宋体"/>
                <w:b w:val="0"/>
                <w:bCs w:val="0"/>
                <w:color w:val="auto"/>
                <w:sz w:val="24"/>
                <w:szCs w:val="24"/>
                <w:highlight w:val="none"/>
                <w:lang w:val="en-US" w:eastAsia="zh-CN"/>
              </w:rPr>
            </w:pPr>
            <w:r>
              <w:rPr>
                <w:rFonts w:hint="eastAsia"/>
                <w:b w:val="0"/>
                <w:bCs w:val="0"/>
                <w:color w:val="auto"/>
                <w:sz w:val="24"/>
                <w:szCs w:val="24"/>
                <w:highlight w:val="none"/>
                <w:lang w:val="en-US" w:eastAsia="zh-CN"/>
              </w:rPr>
              <w:t>/</w:t>
            </w:r>
          </w:p>
        </w:tc>
        <w:tc>
          <w:tcPr>
            <w:tcW w:w="2160" w:type="dxa"/>
            <w:tcBorders>
              <w:tl2br w:val="nil"/>
              <w:tr2bl w:val="nil"/>
            </w:tcBorders>
            <w:vAlign w:val="center"/>
          </w:tcPr>
          <w:p w14:paraId="2FE6F53C">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eastAsia="宋体"/>
                <w:b w:val="0"/>
                <w:bCs w:val="0"/>
                <w:color w:val="auto"/>
                <w:sz w:val="24"/>
                <w:szCs w:val="24"/>
                <w:highlight w:val="none"/>
                <w:lang w:val="en-US" w:eastAsia="zh-CN"/>
              </w:rPr>
            </w:pPr>
            <w:r>
              <w:rPr>
                <w:rFonts w:hint="eastAsia"/>
                <w:b w:val="0"/>
                <w:bCs w:val="0"/>
                <w:color w:val="auto"/>
                <w:sz w:val="24"/>
                <w:szCs w:val="24"/>
                <w:highlight w:val="none"/>
                <w:lang w:val="en-US" w:eastAsia="zh-CN"/>
              </w:rPr>
              <w:t>/</w:t>
            </w:r>
          </w:p>
        </w:tc>
        <w:tc>
          <w:tcPr>
            <w:tcW w:w="2884" w:type="dxa"/>
            <w:tcBorders>
              <w:tl2br w:val="nil"/>
              <w:tr2bl w:val="nil"/>
            </w:tcBorders>
            <w:vAlign w:val="center"/>
          </w:tcPr>
          <w:p w14:paraId="7B23048F">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eastAsia="宋体"/>
                <w:b w:val="0"/>
                <w:bCs w:val="0"/>
                <w:color w:val="auto"/>
                <w:sz w:val="24"/>
                <w:szCs w:val="24"/>
                <w:highlight w:val="none"/>
                <w:lang w:val="en-US" w:eastAsia="zh-CN"/>
              </w:rPr>
            </w:pPr>
            <w:r>
              <w:rPr>
                <w:rFonts w:hint="eastAsia"/>
                <w:b w:val="0"/>
                <w:bCs w:val="0"/>
                <w:color w:val="auto"/>
                <w:sz w:val="24"/>
                <w:szCs w:val="24"/>
                <w:highlight w:val="none"/>
                <w:lang w:val="en-US" w:eastAsia="zh-CN"/>
              </w:rPr>
              <w:t>/</w:t>
            </w:r>
          </w:p>
        </w:tc>
      </w:tr>
      <w:tr w14:paraId="5443C2A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354" w:type="dxa"/>
            <w:tcBorders>
              <w:tl2br w:val="nil"/>
              <w:tr2bl w:val="nil"/>
            </w:tcBorders>
            <w:vAlign w:val="center"/>
          </w:tcPr>
          <w:p w14:paraId="536D6D9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z w:val="24"/>
                <w:szCs w:val="24"/>
                <w:highlight w:val="none"/>
              </w:rPr>
            </w:pPr>
            <w:r>
              <w:rPr>
                <w:rFonts w:hint="default"/>
                <w:b w:val="0"/>
                <w:bCs w:val="0"/>
                <w:color w:val="auto"/>
                <w:sz w:val="24"/>
                <w:szCs w:val="24"/>
                <w:highlight w:val="none"/>
              </w:rPr>
              <w:t>固体废物</w:t>
            </w:r>
          </w:p>
        </w:tc>
        <w:tc>
          <w:tcPr>
            <w:tcW w:w="7819" w:type="dxa"/>
            <w:gridSpan w:val="4"/>
            <w:tcBorders>
              <w:tl2br w:val="nil"/>
              <w:tr2bl w:val="nil"/>
            </w:tcBorders>
            <w:vAlign w:val="center"/>
          </w:tcPr>
          <w:p w14:paraId="39AA3B9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eastAsia="宋体"/>
                <w:b w:val="0"/>
                <w:bCs w:val="0"/>
                <w:color w:val="auto"/>
                <w:sz w:val="24"/>
                <w:szCs w:val="24"/>
                <w:highlight w:val="none"/>
                <w:lang w:val="en-US" w:eastAsia="zh-CN"/>
              </w:rPr>
            </w:pPr>
            <w:r>
              <w:rPr>
                <w:rFonts w:hint="default" w:eastAsia="宋体"/>
                <w:b w:val="0"/>
                <w:bCs w:val="0"/>
                <w:color w:val="auto"/>
                <w:sz w:val="24"/>
                <w:szCs w:val="24"/>
                <w:highlight w:val="none"/>
                <w:lang w:val="en-US" w:eastAsia="zh-CN"/>
              </w:rPr>
              <w:t>生活垃圾分类收集，由专人清运至环卫部门指定场所。</w:t>
            </w:r>
          </w:p>
          <w:p w14:paraId="121F467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b w:val="0"/>
                <w:bCs w:val="0"/>
                <w:color w:val="auto"/>
                <w:sz w:val="24"/>
                <w:szCs w:val="24"/>
                <w:highlight w:val="none"/>
                <w:lang w:val="en-US" w:eastAsia="zh-CN"/>
              </w:rPr>
            </w:pPr>
            <w:r>
              <w:rPr>
                <w:rFonts w:hint="eastAsia"/>
                <w:b w:val="0"/>
                <w:bCs w:val="0"/>
                <w:color w:val="auto"/>
                <w:sz w:val="24"/>
                <w:szCs w:val="24"/>
                <w:highlight w:val="none"/>
                <w:lang w:val="en-US" w:eastAsia="zh-CN"/>
              </w:rPr>
              <w:t>一般固体废物：①无害废包装材料交由物资部门回收利用，日产日清；②未被污染的一次性输液瓶（袋）日产日清，移交回收企业回收。③消毒灯产生的废紫外线灯珠更换后直接交由厂家回收，不在医院内暂存；</w:t>
            </w:r>
          </w:p>
          <w:p w14:paraId="38253B3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eastAsia="宋体"/>
                <w:b w:val="0"/>
                <w:bCs w:val="0"/>
                <w:color w:val="auto"/>
                <w:sz w:val="24"/>
                <w:szCs w:val="24"/>
                <w:highlight w:val="none"/>
                <w:lang w:val="en-US" w:eastAsia="zh-CN"/>
              </w:rPr>
            </w:pPr>
            <w:r>
              <w:rPr>
                <w:rFonts w:hint="eastAsia"/>
                <w:b w:val="0"/>
                <w:bCs w:val="0"/>
                <w:color w:val="auto"/>
                <w:sz w:val="24"/>
                <w:szCs w:val="24"/>
                <w:highlight w:val="none"/>
                <w:lang w:val="en-US" w:eastAsia="zh-CN"/>
              </w:rPr>
              <w:t>医疗废物、其他危险废物均委托有资质单位定期清运处置。项目对固体废物的管理及处置应符合《中华人民共和国固体废物污染环境防治法》（2020年4月29日修订）、《北京市生活垃圾管理条例》（北京市人民代表大会常务委员会公告，（十五届）第39号，2020年9月25日修正）、《危险废物贮存污染控制标准》（GB18597-2023）、《医疗废物管理条例》（中华人民共和国国务院令第380号令）等规定。</w:t>
            </w:r>
          </w:p>
        </w:tc>
      </w:tr>
      <w:tr w14:paraId="47909FE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354" w:type="dxa"/>
            <w:tcBorders>
              <w:tl2br w:val="nil"/>
              <w:tr2bl w:val="nil"/>
            </w:tcBorders>
            <w:vAlign w:val="center"/>
          </w:tcPr>
          <w:p w14:paraId="1605528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z w:val="24"/>
                <w:szCs w:val="24"/>
                <w:highlight w:val="none"/>
              </w:rPr>
            </w:pPr>
            <w:r>
              <w:rPr>
                <w:rFonts w:hint="default"/>
                <w:b w:val="0"/>
                <w:bCs w:val="0"/>
                <w:color w:val="auto"/>
                <w:sz w:val="24"/>
                <w:szCs w:val="24"/>
                <w:highlight w:val="none"/>
              </w:rPr>
              <w:t>土壤及地下水污染防治措施</w:t>
            </w:r>
          </w:p>
        </w:tc>
        <w:tc>
          <w:tcPr>
            <w:tcW w:w="7819" w:type="dxa"/>
            <w:gridSpan w:val="4"/>
            <w:tcBorders>
              <w:tl2br w:val="nil"/>
              <w:tr2bl w:val="nil"/>
            </w:tcBorders>
            <w:vAlign w:val="center"/>
          </w:tcPr>
          <w:p w14:paraId="58229A2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b w:val="0"/>
                <w:bCs w:val="0"/>
                <w:color w:val="auto"/>
                <w:sz w:val="24"/>
                <w:szCs w:val="24"/>
                <w:highlight w:val="none"/>
              </w:rPr>
            </w:pPr>
            <w:r>
              <w:rPr>
                <w:rFonts w:hint="default"/>
                <w:b w:val="0"/>
                <w:bCs w:val="0"/>
                <w:color w:val="auto"/>
                <w:sz w:val="24"/>
                <w:szCs w:val="24"/>
                <w:highlight w:val="none"/>
              </w:rPr>
              <w:t>建设单位对</w:t>
            </w:r>
            <w:r>
              <w:rPr>
                <w:rFonts w:hint="eastAsia"/>
                <w:b w:val="0"/>
                <w:bCs w:val="0"/>
                <w:color w:val="auto"/>
                <w:sz w:val="24"/>
                <w:szCs w:val="24"/>
                <w:highlight w:val="none"/>
                <w:lang w:val="en-US" w:eastAsia="zh-CN"/>
              </w:rPr>
              <w:t>医疗废物暂存间</w:t>
            </w:r>
            <w:r>
              <w:rPr>
                <w:rFonts w:hint="default"/>
                <w:b w:val="0"/>
                <w:bCs w:val="0"/>
                <w:color w:val="auto"/>
                <w:sz w:val="24"/>
                <w:szCs w:val="24"/>
                <w:highlight w:val="none"/>
              </w:rPr>
              <w:t>采取地面硬化及防渗处理，防渗材料采用高密度聚乙烯防渗层，材料的渗透系数K不大于1.0×10</w:t>
            </w:r>
            <w:r>
              <w:rPr>
                <w:rFonts w:hint="default"/>
                <w:b w:val="0"/>
                <w:bCs w:val="0"/>
                <w:color w:val="auto"/>
                <w:sz w:val="24"/>
                <w:szCs w:val="24"/>
                <w:highlight w:val="none"/>
                <w:vertAlign w:val="superscript"/>
              </w:rPr>
              <w:t>-10</w:t>
            </w:r>
            <w:r>
              <w:rPr>
                <w:rFonts w:hint="default"/>
                <w:b w:val="0"/>
                <w:bCs w:val="0"/>
                <w:color w:val="auto"/>
                <w:sz w:val="24"/>
                <w:szCs w:val="24"/>
                <w:highlight w:val="none"/>
              </w:rPr>
              <w:t>cm/s，并采取墙面返高处理。化粪池</w:t>
            </w:r>
            <w:r>
              <w:rPr>
                <w:rFonts w:hint="eastAsia"/>
                <w:b w:val="0"/>
                <w:bCs w:val="0"/>
                <w:color w:val="auto"/>
                <w:sz w:val="24"/>
                <w:szCs w:val="24"/>
                <w:highlight w:val="none"/>
                <w:lang w:eastAsia="zh-CN"/>
              </w:rPr>
              <w:t>、</w:t>
            </w:r>
            <w:r>
              <w:rPr>
                <w:rFonts w:hint="eastAsia"/>
                <w:b w:val="0"/>
                <w:bCs w:val="0"/>
                <w:color w:val="auto"/>
                <w:sz w:val="24"/>
                <w:szCs w:val="24"/>
                <w:highlight w:val="none"/>
                <w:lang w:val="en-US" w:eastAsia="zh-CN"/>
              </w:rPr>
              <w:t>污水处理设施</w:t>
            </w:r>
            <w:r>
              <w:rPr>
                <w:rFonts w:hint="default"/>
                <w:b w:val="0"/>
                <w:bCs w:val="0"/>
                <w:color w:val="auto"/>
                <w:sz w:val="24"/>
                <w:szCs w:val="24"/>
                <w:highlight w:val="none"/>
              </w:rPr>
              <w:t>为地埋式，基础采取1m厚黏土层夯实</w:t>
            </w:r>
            <w:r>
              <w:rPr>
                <w:rFonts w:hint="eastAsia"/>
                <w:b w:val="0"/>
                <w:bCs w:val="0"/>
                <w:color w:val="auto"/>
                <w:sz w:val="24"/>
                <w:szCs w:val="24"/>
                <w:highlight w:val="none"/>
                <w:lang w:eastAsia="zh-CN"/>
              </w:rPr>
              <w:t>，污水处理设施</w:t>
            </w:r>
            <w:r>
              <w:rPr>
                <w:rFonts w:hint="default"/>
                <w:b w:val="0"/>
                <w:bCs w:val="0"/>
                <w:color w:val="auto"/>
                <w:sz w:val="24"/>
                <w:szCs w:val="24"/>
                <w:highlight w:val="none"/>
              </w:rPr>
              <w:t>内设自动水量、水位监测仪器以及高位报警器，对水量和水位进行监测。污水管道采用防渗、防腐管材。项目危险废物均严格执行《医疗废物管理条例》、《危险废物贮存污染控制标准》、《北京市危险废物污染环境防治条例》进行暂存，及时收集本单位产生的危险废物，并按类别分置于防渗漏、防锐器穿透的专用包装物或者密闭的容器内，防止其中的液体渗漏。生活垃圾、</w:t>
            </w:r>
            <w:r>
              <w:rPr>
                <w:rFonts w:hint="eastAsia"/>
                <w:b w:val="0"/>
                <w:bCs w:val="0"/>
                <w:color w:val="auto"/>
                <w:sz w:val="24"/>
                <w:szCs w:val="24"/>
                <w:highlight w:val="none"/>
                <w:lang w:eastAsia="zh-CN"/>
              </w:rPr>
              <w:t>一般固体废物</w:t>
            </w:r>
            <w:r>
              <w:rPr>
                <w:rFonts w:hint="default"/>
                <w:b w:val="0"/>
                <w:bCs w:val="0"/>
                <w:color w:val="auto"/>
                <w:sz w:val="24"/>
                <w:szCs w:val="24"/>
                <w:highlight w:val="none"/>
              </w:rPr>
              <w:t>设置密封垃圾箱，均不在露天堆放，并及时外运处理，以避免对地下水及土壤环境造成影响的可能。采取措施后，本项目运营过程中不会对地下水及土壤造成环境污染。</w:t>
            </w:r>
          </w:p>
        </w:tc>
      </w:tr>
      <w:tr w14:paraId="756B2F1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354" w:type="dxa"/>
            <w:tcBorders>
              <w:tl2br w:val="nil"/>
              <w:tr2bl w:val="nil"/>
            </w:tcBorders>
            <w:vAlign w:val="center"/>
          </w:tcPr>
          <w:p w14:paraId="10281D0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z w:val="24"/>
                <w:szCs w:val="24"/>
                <w:highlight w:val="none"/>
              </w:rPr>
            </w:pPr>
            <w:r>
              <w:rPr>
                <w:rFonts w:hint="default"/>
                <w:b w:val="0"/>
                <w:bCs w:val="0"/>
                <w:color w:val="auto"/>
                <w:sz w:val="24"/>
                <w:szCs w:val="24"/>
                <w:highlight w:val="none"/>
              </w:rPr>
              <w:t>生态保护措施</w:t>
            </w:r>
          </w:p>
        </w:tc>
        <w:tc>
          <w:tcPr>
            <w:tcW w:w="7819" w:type="dxa"/>
            <w:gridSpan w:val="4"/>
            <w:tcBorders>
              <w:tl2br w:val="nil"/>
              <w:tr2bl w:val="nil"/>
            </w:tcBorders>
            <w:vAlign w:val="center"/>
          </w:tcPr>
          <w:p w14:paraId="5B61766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480" w:firstLineChars="200"/>
              <w:jc w:val="both"/>
              <w:textAlignment w:val="auto"/>
              <w:rPr>
                <w:rFonts w:hint="default" w:eastAsia="宋体"/>
                <w:b w:val="0"/>
                <w:bCs w:val="0"/>
                <w:color w:val="auto"/>
                <w:sz w:val="24"/>
                <w:szCs w:val="24"/>
                <w:highlight w:val="none"/>
                <w:lang w:val="en-US" w:eastAsia="zh-CN"/>
              </w:rPr>
            </w:pPr>
            <w:r>
              <w:rPr>
                <w:rFonts w:hint="eastAsia"/>
                <w:b w:val="0"/>
                <w:bCs w:val="0"/>
                <w:color w:val="auto"/>
                <w:sz w:val="24"/>
                <w:szCs w:val="24"/>
                <w:highlight w:val="none"/>
                <w:lang w:val="en-US" w:eastAsia="zh-CN"/>
              </w:rPr>
              <w:t>无</w:t>
            </w:r>
          </w:p>
        </w:tc>
      </w:tr>
      <w:tr w14:paraId="33755B2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354" w:type="dxa"/>
            <w:tcBorders>
              <w:tl2br w:val="nil"/>
              <w:tr2bl w:val="nil"/>
            </w:tcBorders>
            <w:vAlign w:val="center"/>
          </w:tcPr>
          <w:p w14:paraId="7098797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8"/>
                <w:sz w:val="24"/>
                <w:szCs w:val="24"/>
                <w:highlight w:val="none"/>
              </w:rPr>
            </w:pPr>
            <w:r>
              <w:rPr>
                <w:rFonts w:hint="default"/>
                <w:b w:val="0"/>
                <w:bCs w:val="0"/>
                <w:color w:val="auto"/>
                <w:spacing w:val="-8"/>
                <w:sz w:val="24"/>
                <w:szCs w:val="24"/>
                <w:highlight w:val="none"/>
              </w:rPr>
              <w:t>环境风险</w:t>
            </w:r>
          </w:p>
          <w:p w14:paraId="790474F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8"/>
                <w:sz w:val="24"/>
                <w:szCs w:val="24"/>
                <w:highlight w:val="none"/>
              </w:rPr>
            </w:pPr>
            <w:r>
              <w:rPr>
                <w:rFonts w:hint="default"/>
                <w:b w:val="0"/>
                <w:bCs w:val="0"/>
                <w:color w:val="auto"/>
                <w:spacing w:val="-8"/>
                <w:sz w:val="24"/>
                <w:szCs w:val="24"/>
                <w:highlight w:val="none"/>
              </w:rPr>
              <w:t>防范措施</w:t>
            </w:r>
          </w:p>
        </w:tc>
        <w:tc>
          <w:tcPr>
            <w:tcW w:w="7819" w:type="dxa"/>
            <w:gridSpan w:val="4"/>
            <w:tcBorders>
              <w:tl2br w:val="nil"/>
              <w:tr2bl w:val="nil"/>
            </w:tcBorders>
            <w:vAlign w:val="center"/>
          </w:tcPr>
          <w:p w14:paraId="7CA78A2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b w:val="0"/>
                <w:bCs w:val="0"/>
                <w:color w:val="auto"/>
                <w:sz w:val="24"/>
                <w:szCs w:val="24"/>
                <w:highlight w:val="none"/>
                <w:lang w:eastAsia="zh-CN"/>
              </w:rPr>
            </w:pPr>
            <w:r>
              <w:rPr>
                <w:rFonts w:hint="eastAsia"/>
                <w:b w:val="0"/>
                <w:bCs w:val="0"/>
                <w:color w:val="auto"/>
                <w:sz w:val="24"/>
                <w:szCs w:val="24"/>
                <w:highlight w:val="none"/>
                <w:lang w:eastAsia="zh-CN"/>
              </w:rPr>
              <w:t>树立环境风险意识；实行全面环境安全管理制度；规范并强化化学品在储存、使用过程中的环境风险预防措施；加强巡回检查，减少项目危险物质泄漏对环境的污染；加强酒精等存放及使用管理档案管理制度；危险废物应严格按照《危险废物贮存污染控制标准》（GB18597-2023）、《危险废物污染防治技术政策》（环发[2001]199号）、《北京市危险废物污染环境防治条例》（2020年9月1日起施行）、《危险废物转移管理办法》《医疗废物管理条例》等相关规定进行规范操作和管理。</w:t>
            </w:r>
          </w:p>
        </w:tc>
      </w:tr>
      <w:tr w14:paraId="1B40AF4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354" w:type="dxa"/>
            <w:tcBorders>
              <w:tl2br w:val="nil"/>
              <w:tr2bl w:val="nil"/>
            </w:tcBorders>
            <w:vAlign w:val="center"/>
          </w:tcPr>
          <w:p w14:paraId="639A6EE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8"/>
                <w:sz w:val="24"/>
                <w:szCs w:val="24"/>
                <w:highlight w:val="none"/>
              </w:rPr>
            </w:pPr>
            <w:r>
              <w:rPr>
                <w:rFonts w:hint="default"/>
                <w:b w:val="0"/>
                <w:bCs w:val="0"/>
                <w:color w:val="auto"/>
                <w:spacing w:val="-8"/>
                <w:sz w:val="24"/>
                <w:szCs w:val="24"/>
                <w:highlight w:val="none"/>
              </w:rPr>
              <w:t>其他环境</w:t>
            </w:r>
          </w:p>
          <w:p w14:paraId="42F0F17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8"/>
                <w:sz w:val="24"/>
                <w:szCs w:val="24"/>
                <w:highlight w:val="none"/>
              </w:rPr>
            </w:pPr>
            <w:r>
              <w:rPr>
                <w:rFonts w:hint="default"/>
                <w:b w:val="0"/>
                <w:bCs w:val="0"/>
                <w:color w:val="auto"/>
                <w:spacing w:val="-8"/>
                <w:sz w:val="24"/>
                <w:szCs w:val="24"/>
                <w:highlight w:val="none"/>
              </w:rPr>
              <w:t>管理要求</w:t>
            </w:r>
          </w:p>
        </w:tc>
        <w:tc>
          <w:tcPr>
            <w:tcW w:w="7819" w:type="dxa"/>
            <w:gridSpan w:val="4"/>
            <w:tcBorders>
              <w:tl2br w:val="nil"/>
              <w:tr2bl w:val="nil"/>
            </w:tcBorders>
            <w:vAlign w:val="center"/>
          </w:tcPr>
          <w:p w14:paraId="4FA01C05">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leftChars="0" w:right="0" w:firstLine="480" w:firstLineChars="200"/>
              <w:textAlignment w:val="auto"/>
              <w:rPr>
                <w:rFonts w:hint="default" w:eastAsia="宋体"/>
                <w:b w:val="0"/>
                <w:bCs w:val="0"/>
                <w:color w:val="auto"/>
                <w:sz w:val="24"/>
                <w:szCs w:val="24"/>
                <w:highlight w:val="none"/>
                <w:lang w:val="en-US" w:eastAsia="zh-CN"/>
              </w:rPr>
            </w:pPr>
            <w:r>
              <w:rPr>
                <w:rFonts w:hint="eastAsia"/>
                <w:b w:val="0"/>
                <w:bCs w:val="0"/>
                <w:color w:val="auto"/>
                <w:sz w:val="24"/>
                <w:szCs w:val="24"/>
                <w:highlight w:val="none"/>
                <w:lang w:val="en-US" w:eastAsia="zh-CN"/>
              </w:rPr>
              <w:t>1、环境管理要求</w:t>
            </w:r>
          </w:p>
          <w:p w14:paraId="5299CE5F">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leftChars="0" w:right="0" w:firstLine="480" w:firstLineChars="200"/>
              <w:textAlignment w:val="auto"/>
              <w:rPr>
                <w:rFonts w:hint="eastAsia" w:eastAsia="宋体"/>
                <w:b w:val="0"/>
                <w:bCs w:val="0"/>
                <w:color w:val="auto"/>
                <w:sz w:val="24"/>
                <w:szCs w:val="24"/>
                <w:highlight w:val="none"/>
                <w:lang w:eastAsia="zh-CN"/>
              </w:rPr>
            </w:pPr>
            <w:r>
              <w:rPr>
                <w:rFonts w:hint="eastAsia" w:eastAsia="宋体"/>
                <w:b w:val="0"/>
                <w:bCs w:val="0"/>
                <w:color w:val="auto"/>
                <w:sz w:val="24"/>
                <w:szCs w:val="24"/>
                <w:highlight w:val="none"/>
                <w:lang w:eastAsia="zh-CN"/>
              </w:rPr>
              <w:t>运营期间，医院应配置专职管理人员，负责医院的环境管理工作，主要负责管理、维护环保设施，确保其正常运行和达标排放，并做好日常环境监测工作，及时掌握各项环保设施的运转情况、环境动态。</w:t>
            </w:r>
          </w:p>
          <w:p w14:paraId="2FA27542">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leftChars="0" w:right="0" w:firstLine="480" w:firstLineChars="200"/>
              <w:textAlignment w:val="auto"/>
              <w:rPr>
                <w:rFonts w:hint="default" w:eastAsia="宋体"/>
                <w:b w:val="0"/>
                <w:bCs w:val="0"/>
                <w:color w:val="auto"/>
                <w:sz w:val="24"/>
                <w:szCs w:val="24"/>
                <w:highlight w:val="none"/>
                <w:lang w:val="en-US" w:eastAsia="zh-CN"/>
              </w:rPr>
            </w:pPr>
            <w:r>
              <w:rPr>
                <w:rFonts w:hint="eastAsia"/>
                <w:b w:val="0"/>
                <w:bCs w:val="0"/>
                <w:color w:val="auto"/>
                <w:sz w:val="24"/>
                <w:szCs w:val="24"/>
                <w:highlight w:val="none"/>
                <w:lang w:val="en-US" w:eastAsia="zh-CN"/>
              </w:rPr>
              <w:t>2、环境管理工作</w:t>
            </w:r>
          </w:p>
          <w:p w14:paraId="6DD56058">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leftChars="0" w:right="0" w:firstLine="480" w:firstLineChars="200"/>
              <w:textAlignment w:val="auto"/>
              <w:rPr>
                <w:rFonts w:hint="eastAsia" w:eastAsia="宋体"/>
                <w:b w:val="0"/>
                <w:bCs w:val="0"/>
                <w:color w:val="auto"/>
                <w:sz w:val="24"/>
                <w:szCs w:val="24"/>
                <w:highlight w:val="none"/>
                <w:lang w:eastAsia="zh-CN"/>
              </w:rPr>
            </w:pPr>
            <w:r>
              <w:rPr>
                <w:rFonts w:hint="eastAsia" w:eastAsia="宋体"/>
                <w:b w:val="0"/>
                <w:bCs w:val="0"/>
                <w:color w:val="auto"/>
                <w:sz w:val="24"/>
                <w:szCs w:val="24"/>
                <w:highlight w:val="none"/>
                <w:lang w:eastAsia="zh-CN"/>
              </w:rPr>
              <w:t>（1）贯彻执行国家及北京市的各项环境保护政策、法规标准，制定医院的环境管理办法；</w:t>
            </w:r>
          </w:p>
          <w:p w14:paraId="42645D5D">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leftChars="0" w:right="0" w:firstLine="480" w:firstLineChars="200"/>
              <w:textAlignment w:val="auto"/>
              <w:rPr>
                <w:rFonts w:hint="eastAsia" w:eastAsia="宋体"/>
                <w:b w:val="0"/>
                <w:bCs w:val="0"/>
                <w:color w:val="auto"/>
                <w:sz w:val="24"/>
                <w:szCs w:val="24"/>
                <w:highlight w:val="none"/>
                <w:lang w:eastAsia="zh-CN"/>
              </w:rPr>
            </w:pPr>
            <w:r>
              <w:rPr>
                <w:rFonts w:hint="eastAsia" w:eastAsia="宋体"/>
                <w:b w:val="0"/>
                <w:bCs w:val="0"/>
                <w:color w:val="auto"/>
                <w:sz w:val="24"/>
                <w:szCs w:val="24"/>
                <w:highlight w:val="none"/>
                <w:lang w:eastAsia="zh-CN"/>
              </w:rPr>
              <w:t>（2）建立健全本医院的环境管理制度并实施检查和监督工作；</w:t>
            </w:r>
          </w:p>
          <w:p w14:paraId="62D476CD">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leftChars="0" w:right="0" w:firstLine="480" w:firstLineChars="200"/>
              <w:textAlignment w:val="auto"/>
              <w:rPr>
                <w:rFonts w:hint="eastAsia" w:eastAsia="宋体"/>
                <w:b w:val="0"/>
                <w:bCs w:val="0"/>
                <w:color w:val="auto"/>
                <w:sz w:val="24"/>
                <w:szCs w:val="24"/>
                <w:highlight w:val="none"/>
                <w:lang w:eastAsia="zh-CN"/>
              </w:rPr>
            </w:pPr>
            <w:r>
              <w:rPr>
                <w:rFonts w:hint="eastAsia" w:eastAsia="宋体"/>
                <w:b w:val="0"/>
                <w:bCs w:val="0"/>
                <w:color w:val="auto"/>
                <w:sz w:val="24"/>
                <w:szCs w:val="24"/>
                <w:highlight w:val="none"/>
                <w:lang w:eastAsia="zh-CN"/>
              </w:rPr>
              <w:t>（3）完成规定的监测任务，监督各排放口的污染物达标情况，保证监测质量和数据的代表性、准确性，对监测指标异常的污染物及新发现的污染物要及时上报有关部门；</w:t>
            </w:r>
          </w:p>
          <w:p w14:paraId="472560C2">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leftChars="0" w:right="0" w:firstLine="480" w:firstLineChars="200"/>
              <w:textAlignment w:val="auto"/>
              <w:rPr>
                <w:rFonts w:hint="eastAsia" w:eastAsia="宋体"/>
                <w:b w:val="0"/>
                <w:bCs w:val="0"/>
                <w:color w:val="auto"/>
                <w:sz w:val="24"/>
                <w:szCs w:val="24"/>
                <w:highlight w:val="none"/>
                <w:lang w:eastAsia="zh-CN"/>
              </w:rPr>
            </w:pPr>
            <w:r>
              <w:rPr>
                <w:rFonts w:hint="eastAsia" w:eastAsia="宋体"/>
                <w:b w:val="0"/>
                <w:bCs w:val="0"/>
                <w:color w:val="auto"/>
                <w:sz w:val="24"/>
                <w:szCs w:val="24"/>
                <w:highlight w:val="none"/>
                <w:lang w:eastAsia="zh-CN"/>
              </w:rPr>
              <w:t>（4）定期对本项目涉及的各环保设施运行情况进行全面检查，保证设施正常运行，确保无重大环境污染、泄漏事故；</w:t>
            </w:r>
          </w:p>
          <w:p w14:paraId="3DDA9F8E">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leftChars="0" w:right="0" w:firstLine="480" w:firstLineChars="200"/>
              <w:textAlignment w:val="auto"/>
              <w:rPr>
                <w:rFonts w:hint="eastAsia" w:eastAsia="宋体"/>
                <w:b w:val="0"/>
                <w:bCs w:val="0"/>
                <w:color w:val="auto"/>
                <w:sz w:val="24"/>
                <w:szCs w:val="24"/>
                <w:highlight w:val="none"/>
                <w:lang w:eastAsia="zh-CN"/>
              </w:rPr>
            </w:pPr>
            <w:r>
              <w:rPr>
                <w:rFonts w:hint="eastAsia" w:eastAsia="宋体"/>
                <w:b w:val="0"/>
                <w:bCs w:val="0"/>
                <w:color w:val="auto"/>
                <w:sz w:val="24"/>
                <w:szCs w:val="24"/>
                <w:highlight w:val="none"/>
                <w:lang w:eastAsia="zh-CN"/>
              </w:rPr>
              <w:t>（5）建立环境档案和管理方案，实行环境保护工作动态管理。</w:t>
            </w:r>
          </w:p>
          <w:p w14:paraId="1470E4B1">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leftChars="0" w:right="0" w:firstLine="480" w:firstLineChars="200"/>
              <w:textAlignment w:val="auto"/>
              <w:rPr>
                <w:rFonts w:hint="default" w:eastAsia="宋体"/>
                <w:b w:val="0"/>
                <w:bCs w:val="0"/>
                <w:color w:val="auto"/>
                <w:sz w:val="24"/>
                <w:szCs w:val="24"/>
                <w:highlight w:val="none"/>
                <w:lang w:val="en-US" w:eastAsia="zh-CN"/>
              </w:rPr>
            </w:pPr>
            <w:r>
              <w:rPr>
                <w:rFonts w:hint="eastAsia"/>
                <w:b w:val="0"/>
                <w:bCs w:val="0"/>
                <w:color w:val="auto"/>
                <w:sz w:val="24"/>
                <w:szCs w:val="24"/>
                <w:highlight w:val="none"/>
                <w:lang w:val="en-US" w:eastAsia="zh-CN"/>
              </w:rPr>
              <w:t>3、排污口标准化管理</w:t>
            </w:r>
          </w:p>
          <w:p w14:paraId="2F37802E">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leftChars="0" w:right="0" w:firstLine="480" w:firstLineChars="200"/>
              <w:textAlignment w:val="auto"/>
              <w:rPr>
                <w:rFonts w:hint="eastAsia"/>
                <w:b w:val="0"/>
                <w:bCs w:val="0"/>
                <w:color w:val="auto"/>
                <w:sz w:val="24"/>
                <w:szCs w:val="24"/>
                <w:highlight w:val="none"/>
                <w:lang w:val="en-US" w:eastAsia="zh-CN"/>
              </w:rPr>
            </w:pPr>
            <w:r>
              <w:rPr>
                <w:rFonts w:hint="eastAsia"/>
                <w:b w:val="0"/>
                <w:bCs w:val="0"/>
                <w:color w:val="auto"/>
                <w:sz w:val="24"/>
                <w:szCs w:val="24"/>
                <w:highlight w:val="none"/>
                <w:lang w:val="en-US" w:eastAsia="zh-CN"/>
              </w:rPr>
              <w:t>根据《关于看展排污口规范化整治工作的通知》（环发[1999]24号）（2006年修订）、北京市《固定污染源监测点位设置技术规范》（DB11/1195-2015）规定，对排污口进行规范化设置。</w:t>
            </w:r>
          </w:p>
          <w:tbl>
            <w:tblPr>
              <w:tblStyle w:val="13"/>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47"/>
              <w:gridCol w:w="1431"/>
              <w:gridCol w:w="1431"/>
              <w:gridCol w:w="1368"/>
              <w:gridCol w:w="1494"/>
              <w:gridCol w:w="1432"/>
            </w:tblGrid>
            <w:tr w14:paraId="78AFEB5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3" w:type="pct"/>
                  <w:tcBorders>
                    <w:tl2br w:val="nil"/>
                    <w:tr2bl w:val="nil"/>
                  </w:tcBorders>
                  <w:vAlign w:val="center"/>
                </w:tcPr>
                <w:p w14:paraId="4E21BC43">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default" w:eastAsia="宋体"/>
                      <w:b/>
                      <w:bCs/>
                      <w:color w:val="auto"/>
                      <w:sz w:val="21"/>
                      <w:szCs w:val="21"/>
                      <w:highlight w:val="none"/>
                      <w:vertAlign w:val="baseline"/>
                      <w:lang w:val="en-US" w:eastAsia="zh-CN"/>
                    </w:rPr>
                  </w:pPr>
                  <w:r>
                    <w:rPr>
                      <w:rFonts w:hint="eastAsia"/>
                      <w:b/>
                      <w:bCs/>
                      <w:color w:val="auto"/>
                      <w:sz w:val="21"/>
                      <w:szCs w:val="21"/>
                      <w:highlight w:val="none"/>
                      <w:vertAlign w:val="baseline"/>
                      <w:lang w:val="en-US" w:eastAsia="zh-CN"/>
                    </w:rPr>
                    <w:t>名称</w:t>
                  </w:r>
                </w:p>
              </w:tc>
              <w:tc>
                <w:tcPr>
                  <w:tcW w:w="941" w:type="pct"/>
                  <w:tcBorders>
                    <w:tl2br w:val="nil"/>
                    <w:tr2bl w:val="nil"/>
                  </w:tcBorders>
                  <w:vAlign w:val="center"/>
                </w:tcPr>
                <w:p w14:paraId="4AF1A03B">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default" w:eastAsia="宋体"/>
                      <w:b/>
                      <w:bCs/>
                      <w:color w:val="auto"/>
                      <w:sz w:val="21"/>
                      <w:szCs w:val="21"/>
                      <w:highlight w:val="none"/>
                      <w:vertAlign w:val="baseline"/>
                      <w:lang w:val="en-US" w:eastAsia="zh-CN"/>
                    </w:rPr>
                  </w:pPr>
                  <w:r>
                    <w:rPr>
                      <w:rFonts w:hint="eastAsia"/>
                      <w:b/>
                      <w:bCs/>
                      <w:color w:val="auto"/>
                      <w:sz w:val="21"/>
                      <w:szCs w:val="21"/>
                      <w:highlight w:val="none"/>
                      <w:vertAlign w:val="baseline"/>
                      <w:lang w:val="en-US" w:eastAsia="zh-CN"/>
                    </w:rPr>
                    <w:t>废水排放口</w:t>
                  </w:r>
                </w:p>
              </w:tc>
              <w:tc>
                <w:tcPr>
                  <w:tcW w:w="941" w:type="pct"/>
                  <w:tcBorders>
                    <w:tl2br w:val="nil"/>
                    <w:tr2bl w:val="nil"/>
                  </w:tcBorders>
                  <w:vAlign w:val="center"/>
                </w:tcPr>
                <w:p w14:paraId="769CA063">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b/>
                      <w:bCs/>
                      <w:color w:val="auto"/>
                      <w:sz w:val="21"/>
                      <w:szCs w:val="21"/>
                      <w:highlight w:val="none"/>
                      <w:vertAlign w:val="baseline"/>
                      <w:lang w:val="en-US" w:eastAsia="zh-CN"/>
                    </w:rPr>
                  </w:pPr>
                  <w:r>
                    <w:rPr>
                      <w:rFonts w:hint="eastAsia"/>
                      <w:b/>
                      <w:bCs/>
                      <w:color w:val="auto"/>
                      <w:sz w:val="21"/>
                      <w:szCs w:val="21"/>
                      <w:highlight w:val="none"/>
                      <w:vertAlign w:val="baseline"/>
                      <w:lang w:val="en-US" w:eastAsia="zh-CN"/>
                    </w:rPr>
                    <w:t>噪声排放源</w:t>
                  </w:r>
                </w:p>
              </w:tc>
              <w:tc>
                <w:tcPr>
                  <w:tcW w:w="899" w:type="pct"/>
                  <w:tcBorders>
                    <w:tl2br w:val="nil"/>
                    <w:tr2bl w:val="nil"/>
                  </w:tcBorders>
                  <w:vAlign w:val="center"/>
                </w:tcPr>
                <w:p w14:paraId="22CFDDE4">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default" w:eastAsia="宋体"/>
                      <w:b/>
                      <w:bCs/>
                      <w:color w:val="auto"/>
                      <w:sz w:val="21"/>
                      <w:szCs w:val="21"/>
                      <w:highlight w:val="none"/>
                      <w:vertAlign w:val="baseline"/>
                      <w:lang w:val="en-US" w:eastAsia="zh-CN"/>
                    </w:rPr>
                  </w:pPr>
                  <w:r>
                    <w:rPr>
                      <w:rFonts w:hint="eastAsia"/>
                      <w:b/>
                      <w:bCs/>
                      <w:color w:val="auto"/>
                      <w:sz w:val="21"/>
                      <w:szCs w:val="21"/>
                      <w:highlight w:val="none"/>
                      <w:vertAlign w:val="baseline"/>
                      <w:lang w:val="en-US" w:eastAsia="zh-CN"/>
                    </w:rPr>
                    <w:t>一般固体废物</w:t>
                  </w:r>
                </w:p>
              </w:tc>
              <w:tc>
                <w:tcPr>
                  <w:tcW w:w="982" w:type="pct"/>
                  <w:tcBorders>
                    <w:tl2br w:val="nil"/>
                    <w:tr2bl w:val="nil"/>
                  </w:tcBorders>
                  <w:vAlign w:val="center"/>
                </w:tcPr>
                <w:p w14:paraId="5167882E">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default" w:eastAsia="宋体"/>
                      <w:b/>
                      <w:bCs/>
                      <w:color w:val="auto"/>
                      <w:sz w:val="21"/>
                      <w:szCs w:val="21"/>
                      <w:highlight w:val="none"/>
                      <w:vertAlign w:val="baseline"/>
                      <w:lang w:val="en-US" w:eastAsia="zh-CN"/>
                    </w:rPr>
                  </w:pPr>
                  <w:r>
                    <w:rPr>
                      <w:rFonts w:hint="eastAsia"/>
                      <w:b/>
                      <w:bCs/>
                      <w:color w:val="auto"/>
                      <w:sz w:val="21"/>
                      <w:szCs w:val="21"/>
                      <w:highlight w:val="none"/>
                      <w:vertAlign w:val="baseline"/>
                      <w:lang w:val="en-US" w:eastAsia="zh-CN"/>
                    </w:rPr>
                    <w:t>危险废物</w:t>
                  </w:r>
                </w:p>
              </w:tc>
              <w:tc>
                <w:tcPr>
                  <w:tcW w:w="941" w:type="pct"/>
                  <w:tcBorders>
                    <w:tl2br w:val="nil"/>
                    <w:tr2bl w:val="nil"/>
                  </w:tcBorders>
                  <w:vAlign w:val="center"/>
                </w:tcPr>
                <w:p w14:paraId="02751B57">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default" w:eastAsia="宋体"/>
                      <w:b/>
                      <w:bCs/>
                      <w:color w:val="auto"/>
                      <w:sz w:val="21"/>
                      <w:szCs w:val="21"/>
                      <w:highlight w:val="none"/>
                      <w:vertAlign w:val="baseline"/>
                      <w:lang w:val="en-US" w:eastAsia="zh-CN"/>
                    </w:rPr>
                  </w:pPr>
                  <w:r>
                    <w:rPr>
                      <w:rFonts w:hint="eastAsia"/>
                      <w:b/>
                      <w:bCs/>
                      <w:color w:val="auto"/>
                      <w:sz w:val="21"/>
                      <w:szCs w:val="21"/>
                      <w:highlight w:val="none"/>
                      <w:vertAlign w:val="baseline"/>
                      <w:lang w:val="en-US" w:eastAsia="zh-CN"/>
                    </w:rPr>
                    <w:t>医疗废物</w:t>
                  </w:r>
                </w:p>
              </w:tc>
            </w:tr>
            <w:tr w14:paraId="3DD6E55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3" w:type="pct"/>
                  <w:tcBorders>
                    <w:tl2br w:val="nil"/>
                    <w:tr2bl w:val="nil"/>
                  </w:tcBorders>
                  <w:vAlign w:val="center"/>
                </w:tcPr>
                <w:p w14:paraId="3E95439F">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b w:val="0"/>
                      <w:bCs w:val="0"/>
                      <w:color w:val="auto"/>
                      <w:sz w:val="21"/>
                      <w:szCs w:val="21"/>
                      <w:highlight w:val="none"/>
                      <w:vertAlign w:val="baseline"/>
                      <w:lang w:val="en-US" w:eastAsia="zh-CN"/>
                    </w:rPr>
                  </w:pPr>
                  <w:r>
                    <w:rPr>
                      <w:rFonts w:hint="eastAsia"/>
                      <w:b w:val="0"/>
                      <w:bCs w:val="0"/>
                      <w:color w:val="auto"/>
                      <w:sz w:val="21"/>
                      <w:szCs w:val="21"/>
                      <w:highlight w:val="none"/>
                      <w:vertAlign w:val="baseline"/>
                      <w:lang w:val="en-US" w:eastAsia="zh-CN"/>
                    </w:rPr>
                    <w:t>提示</w:t>
                  </w:r>
                </w:p>
                <w:p w14:paraId="5D0EBC8C">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default" w:eastAsia="宋体"/>
                      <w:b w:val="0"/>
                      <w:bCs w:val="0"/>
                      <w:color w:val="auto"/>
                      <w:sz w:val="21"/>
                      <w:szCs w:val="21"/>
                      <w:highlight w:val="none"/>
                      <w:vertAlign w:val="baseline"/>
                      <w:lang w:val="en-US" w:eastAsia="zh-CN"/>
                    </w:rPr>
                  </w:pPr>
                  <w:r>
                    <w:rPr>
                      <w:rFonts w:hint="eastAsia"/>
                      <w:b w:val="0"/>
                      <w:bCs w:val="0"/>
                      <w:color w:val="auto"/>
                      <w:sz w:val="21"/>
                      <w:szCs w:val="21"/>
                      <w:highlight w:val="none"/>
                      <w:vertAlign w:val="baseline"/>
                      <w:lang w:val="en-US" w:eastAsia="zh-CN"/>
                    </w:rPr>
                    <w:t>符号</w:t>
                  </w:r>
                </w:p>
              </w:tc>
              <w:tc>
                <w:tcPr>
                  <w:tcW w:w="941" w:type="pct"/>
                  <w:tcBorders>
                    <w:tl2br w:val="nil"/>
                    <w:tr2bl w:val="nil"/>
                  </w:tcBorders>
                  <w:vAlign w:val="center"/>
                </w:tcPr>
                <w:p w14:paraId="75E08280">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eastAsia="宋体"/>
                      <w:b w:val="0"/>
                      <w:bCs w:val="0"/>
                      <w:color w:val="auto"/>
                      <w:sz w:val="21"/>
                      <w:szCs w:val="21"/>
                      <w:highlight w:val="none"/>
                      <w:vertAlign w:val="baseline"/>
                      <w:lang w:eastAsia="zh-CN"/>
                    </w:rPr>
                  </w:pPr>
                  <w:r>
                    <w:rPr>
                      <w:rFonts w:hint="default"/>
                      <w:color w:val="auto"/>
                    </w:rPr>
                    <w:drawing>
                      <wp:inline distT="0" distB="0" distL="114300" distR="114300">
                        <wp:extent cx="714375" cy="723900"/>
                        <wp:effectExtent l="0" t="0" r="9525" b="0"/>
                        <wp:docPr id="2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4"/>
                                <pic:cNvPicPr>
                                  <a:picLocks noChangeAspect="1"/>
                                </pic:cNvPicPr>
                              </pic:nvPicPr>
                              <pic:blipFill>
                                <a:blip r:embed="rId24"/>
                                <a:stretch>
                                  <a:fillRect/>
                                </a:stretch>
                              </pic:blipFill>
                              <pic:spPr>
                                <a:xfrm>
                                  <a:off x="0" y="0"/>
                                  <a:ext cx="714375" cy="723900"/>
                                </a:xfrm>
                                <a:prstGeom prst="rect">
                                  <a:avLst/>
                                </a:prstGeom>
                                <a:noFill/>
                                <a:ln>
                                  <a:noFill/>
                                </a:ln>
                              </pic:spPr>
                            </pic:pic>
                          </a:graphicData>
                        </a:graphic>
                      </wp:inline>
                    </w:drawing>
                  </w:r>
                </w:p>
              </w:tc>
              <w:tc>
                <w:tcPr>
                  <w:tcW w:w="941" w:type="pct"/>
                  <w:tcBorders>
                    <w:tl2br w:val="nil"/>
                    <w:tr2bl w:val="nil"/>
                  </w:tcBorders>
                  <w:vAlign w:val="center"/>
                </w:tcPr>
                <w:p w14:paraId="4C4AEC1D">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default"/>
                      <w:color w:val="auto"/>
                    </w:rPr>
                  </w:pPr>
                  <w:r>
                    <w:rPr>
                      <w:rFonts w:hint="default"/>
                      <w:color w:val="auto"/>
                    </w:rPr>
                    <w:drawing>
                      <wp:inline distT="0" distB="0" distL="114300" distR="114300">
                        <wp:extent cx="676275" cy="714375"/>
                        <wp:effectExtent l="0" t="0" r="9525" b="9525"/>
                        <wp:docPr id="2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5"/>
                                <pic:cNvPicPr>
                                  <a:picLocks noChangeAspect="1"/>
                                </pic:cNvPicPr>
                              </pic:nvPicPr>
                              <pic:blipFill>
                                <a:blip r:embed="rId25"/>
                                <a:stretch>
                                  <a:fillRect/>
                                </a:stretch>
                              </pic:blipFill>
                              <pic:spPr>
                                <a:xfrm>
                                  <a:off x="0" y="0"/>
                                  <a:ext cx="676275" cy="714375"/>
                                </a:xfrm>
                                <a:prstGeom prst="rect">
                                  <a:avLst/>
                                </a:prstGeom>
                                <a:noFill/>
                                <a:ln>
                                  <a:noFill/>
                                </a:ln>
                              </pic:spPr>
                            </pic:pic>
                          </a:graphicData>
                        </a:graphic>
                      </wp:inline>
                    </w:drawing>
                  </w:r>
                </w:p>
              </w:tc>
              <w:tc>
                <w:tcPr>
                  <w:tcW w:w="899" w:type="pct"/>
                  <w:tcBorders>
                    <w:tl2br w:val="nil"/>
                    <w:tr2bl w:val="nil"/>
                  </w:tcBorders>
                  <w:vAlign w:val="center"/>
                </w:tcPr>
                <w:p w14:paraId="0BCAA185">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eastAsia="宋体"/>
                      <w:b w:val="0"/>
                      <w:bCs w:val="0"/>
                      <w:color w:val="auto"/>
                      <w:sz w:val="21"/>
                      <w:szCs w:val="21"/>
                      <w:highlight w:val="none"/>
                      <w:vertAlign w:val="baseline"/>
                      <w:lang w:eastAsia="zh-CN"/>
                    </w:rPr>
                  </w:pPr>
                  <w:r>
                    <w:rPr>
                      <w:rFonts w:hint="default"/>
                      <w:color w:val="auto"/>
                    </w:rPr>
                    <w:drawing>
                      <wp:inline distT="0" distB="0" distL="114300" distR="114300">
                        <wp:extent cx="666750" cy="695325"/>
                        <wp:effectExtent l="0" t="0" r="0" b="9525"/>
                        <wp:docPr id="2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6"/>
                                <pic:cNvPicPr>
                                  <a:picLocks noChangeAspect="1"/>
                                </pic:cNvPicPr>
                              </pic:nvPicPr>
                              <pic:blipFill>
                                <a:blip r:embed="rId26"/>
                                <a:stretch>
                                  <a:fillRect/>
                                </a:stretch>
                              </pic:blipFill>
                              <pic:spPr>
                                <a:xfrm>
                                  <a:off x="0" y="0"/>
                                  <a:ext cx="666750" cy="695325"/>
                                </a:xfrm>
                                <a:prstGeom prst="rect">
                                  <a:avLst/>
                                </a:prstGeom>
                                <a:noFill/>
                                <a:ln>
                                  <a:noFill/>
                                </a:ln>
                              </pic:spPr>
                            </pic:pic>
                          </a:graphicData>
                        </a:graphic>
                      </wp:inline>
                    </w:drawing>
                  </w:r>
                </w:p>
              </w:tc>
              <w:tc>
                <w:tcPr>
                  <w:tcW w:w="982" w:type="pct"/>
                  <w:tcBorders>
                    <w:tl2br w:val="nil"/>
                    <w:tr2bl w:val="nil"/>
                  </w:tcBorders>
                  <w:vAlign w:val="center"/>
                </w:tcPr>
                <w:p w14:paraId="21318862">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eastAsia="宋体"/>
                      <w:b w:val="0"/>
                      <w:bCs w:val="0"/>
                      <w:color w:val="auto"/>
                      <w:sz w:val="21"/>
                      <w:szCs w:val="21"/>
                      <w:highlight w:val="none"/>
                      <w:vertAlign w:val="baseline"/>
                      <w:lang w:eastAsia="zh-CN"/>
                    </w:rPr>
                  </w:pPr>
                  <w:r>
                    <w:rPr>
                      <w:rFonts w:hint="default"/>
                      <w:color w:val="auto"/>
                    </w:rPr>
                    <w:drawing>
                      <wp:inline distT="0" distB="0" distL="114300" distR="114300">
                        <wp:extent cx="739775" cy="500380"/>
                        <wp:effectExtent l="0" t="0" r="3175" b="13970"/>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27"/>
                                <a:stretch>
                                  <a:fillRect/>
                                </a:stretch>
                              </pic:blipFill>
                              <pic:spPr>
                                <a:xfrm>
                                  <a:off x="0" y="0"/>
                                  <a:ext cx="739775" cy="500380"/>
                                </a:xfrm>
                                <a:prstGeom prst="rect">
                                  <a:avLst/>
                                </a:prstGeom>
                                <a:noFill/>
                                <a:ln>
                                  <a:noFill/>
                                </a:ln>
                              </pic:spPr>
                            </pic:pic>
                          </a:graphicData>
                        </a:graphic>
                      </wp:inline>
                    </w:drawing>
                  </w:r>
                </w:p>
              </w:tc>
              <w:tc>
                <w:tcPr>
                  <w:tcW w:w="941" w:type="pct"/>
                  <w:tcBorders>
                    <w:tl2br w:val="nil"/>
                    <w:tr2bl w:val="nil"/>
                  </w:tcBorders>
                  <w:vAlign w:val="center"/>
                </w:tcPr>
                <w:p w14:paraId="05F00ECA">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default" w:eastAsia="宋体"/>
                      <w:b w:val="0"/>
                      <w:bCs w:val="0"/>
                      <w:color w:val="auto"/>
                      <w:sz w:val="21"/>
                      <w:szCs w:val="21"/>
                      <w:highlight w:val="none"/>
                      <w:vertAlign w:val="baseline"/>
                      <w:lang w:val="en-US" w:eastAsia="zh-CN"/>
                    </w:rPr>
                  </w:pPr>
                  <w:r>
                    <w:rPr>
                      <w:rFonts w:hint="eastAsia"/>
                      <w:b w:val="0"/>
                      <w:bCs w:val="0"/>
                      <w:color w:val="auto"/>
                      <w:sz w:val="21"/>
                      <w:szCs w:val="21"/>
                      <w:highlight w:val="none"/>
                      <w:vertAlign w:val="baseline"/>
                      <w:lang w:val="en-US" w:eastAsia="zh-CN"/>
                    </w:rPr>
                    <w:t>/</w:t>
                  </w:r>
                </w:p>
              </w:tc>
            </w:tr>
            <w:tr w14:paraId="433A770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3" w:type="pct"/>
                  <w:tcBorders>
                    <w:tl2br w:val="nil"/>
                    <w:tr2bl w:val="nil"/>
                  </w:tcBorders>
                  <w:vAlign w:val="center"/>
                </w:tcPr>
                <w:p w14:paraId="206F6D86">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default" w:eastAsia="宋体"/>
                      <w:b w:val="0"/>
                      <w:bCs w:val="0"/>
                      <w:color w:val="auto"/>
                      <w:sz w:val="21"/>
                      <w:szCs w:val="21"/>
                      <w:highlight w:val="none"/>
                      <w:vertAlign w:val="baseline"/>
                      <w:lang w:val="en-US" w:eastAsia="zh-CN"/>
                    </w:rPr>
                  </w:pPr>
                  <w:r>
                    <w:rPr>
                      <w:rFonts w:hint="eastAsia"/>
                      <w:b w:val="0"/>
                      <w:bCs w:val="0"/>
                      <w:color w:val="auto"/>
                      <w:sz w:val="21"/>
                      <w:szCs w:val="21"/>
                      <w:highlight w:val="none"/>
                      <w:vertAlign w:val="baseline"/>
                      <w:lang w:val="en-US" w:eastAsia="zh-CN"/>
                    </w:rPr>
                    <w:t>警告图形符号</w:t>
                  </w:r>
                </w:p>
              </w:tc>
              <w:tc>
                <w:tcPr>
                  <w:tcW w:w="941" w:type="pct"/>
                  <w:tcBorders>
                    <w:tl2br w:val="nil"/>
                    <w:tr2bl w:val="nil"/>
                  </w:tcBorders>
                  <w:vAlign w:val="center"/>
                </w:tcPr>
                <w:p w14:paraId="3B42E4F1">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eastAsia="宋体"/>
                      <w:b w:val="0"/>
                      <w:bCs w:val="0"/>
                      <w:color w:val="auto"/>
                      <w:sz w:val="21"/>
                      <w:szCs w:val="21"/>
                      <w:highlight w:val="none"/>
                      <w:vertAlign w:val="baseline"/>
                      <w:lang w:eastAsia="zh-CN"/>
                    </w:rPr>
                  </w:pPr>
                  <w:r>
                    <w:rPr>
                      <w:rFonts w:hint="default"/>
                      <w:color w:val="auto"/>
                    </w:rPr>
                    <w:drawing>
                      <wp:inline distT="0" distB="0" distL="114300" distR="114300">
                        <wp:extent cx="733425" cy="771525"/>
                        <wp:effectExtent l="0" t="0" r="9525" b="9525"/>
                        <wp:docPr id="2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8"/>
                                <pic:cNvPicPr>
                                  <a:picLocks noChangeAspect="1"/>
                                </pic:cNvPicPr>
                              </pic:nvPicPr>
                              <pic:blipFill>
                                <a:blip r:embed="rId28"/>
                                <a:stretch>
                                  <a:fillRect/>
                                </a:stretch>
                              </pic:blipFill>
                              <pic:spPr>
                                <a:xfrm>
                                  <a:off x="0" y="0"/>
                                  <a:ext cx="733425" cy="771525"/>
                                </a:xfrm>
                                <a:prstGeom prst="rect">
                                  <a:avLst/>
                                </a:prstGeom>
                                <a:noFill/>
                                <a:ln>
                                  <a:noFill/>
                                </a:ln>
                              </pic:spPr>
                            </pic:pic>
                          </a:graphicData>
                        </a:graphic>
                      </wp:inline>
                    </w:drawing>
                  </w:r>
                </w:p>
              </w:tc>
              <w:tc>
                <w:tcPr>
                  <w:tcW w:w="941" w:type="pct"/>
                  <w:tcBorders>
                    <w:tl2br w:val="nil"/>
                    <w:tr2bl w:val="nil"/>
                  </w:tcBorders>
                  <w:vAlign w:val="center"/>
                </w:tcPr>
                <w:p w14:paraId="34C68087">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default"/>
                      <w:color w:val="auto"/>
                    </w:rPr>
                  </w:pPr>
                  <w:r>
                    <w:rPr>
                      <w:rFonts w:hint="default"/>
                      <w:color w:val="auto"/>
                    </w:rPr>
                    <w:drawing>
                      <wp:inline distT="0" distB="0" distL="114300" distR="114300">
                        <wp:extent cx="752475" cy="695325"/>
                        <wp:effectExtent l="0" t="0" r="9525" b="9525"/>
                        <wp:docPr id="25"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9"/>
                                <pic:cNvPicPr>
                                  <a:picLocks noChangeAspect="1"/>
                                </pic:cNvPicPr>
                              </pic:nvPicPr>
                              <pic:blipFill>
                                <a:blip r:embed="rId29"/>
                                <a:stretch>
                                  <a:fillRect/>
                                </a:stretch>
                              </pic:blipFill>
                              <pic:spPr>
                                <a:xfrm>
                                  <a:off x="0" y="0"/>
                                  <a:ext cx="752475" cy="695325"/>
                                </a:xfrm>
                                <a:prstGeom prst="rect">
                                  <a:avLst/>
                                </a:prstGeom>
                                <a:noFill/>
                                <a:ln>
                                  <a:noFill/>
                                </a:ln>
                              </pic:spPr>
                            </pic:pic>
                          </a:graphicData>
                        </a:graphic>
                      </wp:inline>
                    </w:drawing>
                  </w:r>
                </w:p>
              </w:tc>
              <w:tc>
                <w:tcPr>
                  <w:tcW w:w="899" w:type="pct"/>
                  <w:tcBorders>
                    <w:tl2br w:val="nil"/>
                    <w:tr2bl w:val="nil"/>
                  </w:tcBorders>
                  <w:vAlign w:val="center"/>
                </w:tcPr>
                <w:p w14:paraId="3F109507">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eastAsia="宋体"/>
                      <w:b w:val="0"/>
                      <w:bCs w:val="0"/>
                      <w:color w:val="auto"/>
                      <w:sz w:val="21"/>
                      <w:szCs w:val="21"/>
                      <w:highlight w:val="none"/>
                      <w:vertAlign w:val="baseline"/>
                      <w:lang w:eastAsia="zh-CN"/>
                    </w:rPr>
                  </w:pPr>
                  <w:r>
                    <w:rPr>
                      <w:rFonts w:hint="default"/>
                      <w:color w:val="auto"/>
                    </w:rPr>
                    <w:drawing>
                      <wp:inline distT="0" distB="0" distL="114300" distR="114300">
                        <wp:extent cx="676275" cy="676275"/>
                        <wp:effectExtent l="0" t="0" r="9525" b="9525"/>
                        <wp:docPr id="26"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0"/>
                                <pic:cNvPicPr>
                                  <a:picLocks noChangeAspect="1"/>
                                </pic:cNvPicPr>
                              </pic:nvPicPr>
                              <pic:blipFill>
                                <a:blip r:embed="rId30"/>
                                <a:stretch>
                                  <a:fillRect/>
                                </a:stretch>
                              </pic:blipFill>
                              <pic:spPr>
                                <a:xfrm>
                                  <a:off x="0" y="0"/>
                                  <a:ext cx="676275" cy="676275"/>
                                </a:xfrm>
                                <a:prstGeom prst="rect">
                                  <a:avLst/>
                                </a:prstGeom>
                                <a:noFill/>
                                <a:ln>
                                  <a:noFill/>
                                </a:ln>
                              </pic:spPr>
                            </pic:pic>
                          </a:graphicData>
                        </a:graphic>
                      </wp:inline>
                    </w:drawing>
                  </w:r>
                </w:p>
              </w:tc>
              <w:tc>
                <w:tcPr>
                  <w:tcW w:w="982" w:type="pct"/>
                  <w:tcBorders>
                    <w:tl2br w:val="nil"/>
                    <w:tr2bl w:val="nil"/>
                  </w:tcBorders>
                  <w:vAlign w:val="center"/>
                </w:tcPr>
                <w:p w14:paraId="20664F01">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eastAsia="宋体"/>
                      <w:b w:val="0"/>
                      <w:bCs w:val="0"/>
                      <w:color w:val="auto"/>
                      <w:sz w:val="21"/>
                      <w:szCs w:val="21"/>
                      <w:highlight w:val="none"/>
                      <w:vertAlign w:val="baseline"/>
                      <w:lang w:eastAsia="zh-CN"/>
                    </w:rPr>
                  </w:pPr>
                  <w:r>
                    <w:rPr>
                      <w:rFonts w:hint="default"/>
                      <w:color w:val="auto"/>
                    </w:rPr>
                    <w:drawing>
                      <wp:inline distT="0" distB="0" distL="114300" distR="114300">
                        <wp:extent cx="666750" cy="657225"/>
                        <wp:effectExtent l="0" t="0" r="0" b="9525"/>
                        <wp:docPr id="27"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1"/>
                                <pic:cNvPicPr>
                                  <a:picLocks noChangeAspect="1"/>
                                </pic:cNvPicPr>
                              </pic:nvPicPr>
                              <pic:blipFill>
                                <a:blip r:embed="rId31"/>
                                <a:stretch>
                                  <a:fillRect/>
                                </a:stretch>
                              </pic:blipFill>
                              <pic:spPr>
                                <a:xfrm>
                                  <a:off x="0" y="0"/>
                                  <a:ext cx="666750" cy="657225"/>
                                </a:xfrm>
                                <a:prstGeom prst="rect">
                                  <a:avLst/>
                                </a:prstGeom>
                                <a:noFill/>
                                <a:ln>
                                  <a:noFill/>
                                </a:ln>
                              </pic:spPr>
                            </pic:pic>
                          </a:graphicData>
                        </a:graphic>
                      </wp:inline>
                    </w:drawing>
                  </w:r>
                </w:p>
              </w:tc>
              <w:tc>
                <w:tcPr>
                  <w:tcW w:w="941" w:type="pct"/>
                  <w:tcBorders>
                    <w:tl2br w:val="nil"/>
                    <w:tr2bl w:val="nil"/>
                  </w:tcBorders>
                  <w:vAlign w:val="center"/>
                </w:tcPr>
                <w:p w14:paraId="56F8E696">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eastAsia="宋体"/>
                      <w:b w:val="0"/>
                      <w:bCs w:val="0"/>
                      <w:color w:val="auto"/>
                      <w:sz w:val="21"/>
                      <w:szCs w:val="21"/>
                      <w:highlight w:val="none"/>
                      <w:vertAlign w:val="baseline"/>
                      <w:lang w:eastAsia="zh-CN"/>
                    </w:rPr>
                  </w:pPr>
                  <w:r>
                    <w:rPr>
                      <w:rFonts w:hint="default"/>
                    </w:rPr>
                    <w:drawing>
                      <wp:inline distT="0" distB="0" distL="114300" distR="114300">
                        <wp:extent cx="539750" cy="485140"/>
                        <wp:effectExtent l="0" t="0" r="12700" b="10160"/>
                        <wp:docPr id="3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
                                <pic:cNvPicPr>
                                  <a:picLocks noChangeAspect="1"/>
                                </pic:cNvPicPr>
                              </pic:nvPicPr>
                              <pic:blipFill>
                                <a:blip r:embed="rId32"/>
                                <a:stretch>
                                  <a:fillRect/>
                                </a:stretch>
                              </pic:blipFill>
                              <pic:spPr>
                                <a:xfrm>
                                  <a:off x="0" y="0"/>
                                  <a:ext cx="539750" cy="485140"/>
                                </a:xfrm>
                                <a:prstGeom prst="rect">
                                  <a:avLst/>
                                </a:prstGeom>
                                <a:noFill/>
                                <a:ln>
                                  <a:noFill/>
                                </a:ln>
                              </pic:spPr>
                            </pic:pic>
                          </a:graphicData>
                        </a:graphic>
                      </wp:inline>
                    </w:drawing>
                  </w:r>
                </w:p>
              </w:tc>
            </w:tr>
          </w:tbl>
          <w:p w14:paraId="0E37E1A7">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leftChars="0" w:right="0" w:firstLine="480" w:firstLineChars="200"/>
              <w:textAlignment w:val="auto"/>
              <w:rPr>
                <w:rFonts w:hint="eastAsia" w:eastAsia="宋体"/>
                <w:b w:val="0"/>
                <w:bCs w:val="0"/>
                <w:color w:val="auto"/>
                <w:sz w:val="24"/>
                <w:szCs w:val="24"/>
                <w:highlight w:val="none"/>
                <w:lang w:eastAsia="zh-CN"/>
              </w:rPr>
            </w:pPr>
            <w:r>
              <w:rPr>
                <w:rFonts w:hint="eastAsia"/>
                <w:b w:val="0"/>
                <w:bCs w:val="0"/>
                <w:color w:val="auto"/>
                <w:sz w:val="24"/>
                <w:szCs w:val="24"/>
                <w:highlight w:val="none"/>
                <w:lang w:val="en-US" w:eastAsia="zh-CN"/>
              </w:rPr>
              <w:t>4</w:t>
            </w:r>
            <w:r>
              <w:rPr>
                <w:rFonts w:hint="eastAsia" w:eastAsia="宋体"/>
                <w:b w:val="0"/>
                <w:bCs w:val="0"/>
                <w:color w:val="auto"/>
                <w:sz w:val="24"/>
                <w:szCs w:val="24"/>
                <w:highlight w:val="none"/>
                <w:lang w:eastAsia="zh-CN"/>
              </w:rPr>
              <w:t>、与排污许可制衔接要求</w:t>
            </w:r>
          </w:p>
          <w:p w14:paraId="1151F921">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leftChars="0" w:right="0" w:firstLine="480" w:firstLineChars="200"/>
              <w:textAlignment w:val="auto"/>
              <w:rPr>
                <w:rFonts w:hint="eastAsia" w:eastAsia="宋体"/>
                <w:b w:val="0"/>
                <w:bCs w:val="0"/>
                <w:color w:val="auto"/>
                <w:sz w:val="24"/>
                <w:szCs w:val="24"/>
                <w:highlight w:val="none"/>
                <w:lang w:eastAsia="zh-CN"/>
              </w:rPr>
            </w:pPr>
            <w:r>
              <w:rPr>
                <w:rFonts w:hint="eastAsia" w:eastAsia="宋体"/>
                <w:b w:val="0"/>
                <w:bCs w:val="0"/>
                <w:color w:val="auto"/>
                <w:sz w:val="24"/>
                <w:szCs w:val="24"/>
                <w:highlight w:val="none"/>
                <w:lang w:eastAsia="zh-CN"/>
              </w:rPr>
              <w:t>本项目为中医医院建设项目，共设置住院床位20张。经核对《固定污染源排污许可分类管理名录（2019年版）》，本项目为107-医院841-床位100张以下的中医医院8412，排污许可分类管理名录类别为登记管理。</w:t>
            </w:r>
          </w:p>
          <w:p w14:paraId="6C043469">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Lines="0" w:beforeAutospacing="0" w:after="0" w:afterLines="0" w:afterAutospacing="0" w:line="360" w:lineRule="auto"/>
              <w:ind w:left="480" w:leftChars="200" w:right="0" w:rightChars="0"/>
              <w:textAlignment w:val="auto"/>
              <w:rPr>
                <w:rFonts w:hint="eastAsia"/>
                <w:b w:val="0"/>
                <w:bCs w:val="0"/>
                <w:color w:val="auto"/>
                <w:sz w:val="24"/>
                <w:szCs w:val="24"/>
                <w:highlight w:val="none"/>
                <w:lang w:val="en-US" w:eastAsia="zh-CN"/>
              </w:rPr>
            </w:pPr>
            <w:r>
              <w:rPr>
                <w:rFonts w:hint="eastAsia"/>
                <w:b w:val="0"/>
                <w:bCs w:val="0"/>
                <w:color w:val="auto"/>
                <w:sz w:val="24"/>
                <w:szCs w:val="24"/>
                <w:highlight w:val="none"/>
                <w:lang w:val="en-US" w:eastAsia="zh-CN"/>
              </w:rPr>
              <w:t>5、竣工环保验收</w:t>
            </w:r>
          </w:p>
          <w:p w14:paraId="6BF61D6F">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rightChars="0" w:firstLine="480" w:firstLineChars="200"/>
              <w:textAlignment w:val="auto"/>
              <w:rPr>
                <w:rFonts w:hint="eastAsia"/>
                <w:b w:val="0"/>
                <w:bCs w:val="0"/>
                <w:color w:val="auto"/>
                <w:sz w:val="24"/>
                <w:szCs w:val="24"/>
                <w:highlight w:val="none"/>
                <w:lang w:val="en-US" w:eastAsia="zh-CN"/>
              </w:rPr>
            </w:pPr>
            <w:r>
              <w:rPr>
                <w:rFonts w:hint="eastAsia"/>
                <w:b w:val="0"/>
                <w:bCs w:val="0"/>
                <w:color w:val="auto"/>
                <w:sz w:val="24"/>
                <w:szCs w:val="24"/>
                <w:highlight w:val="none"/>
                <w:lang w:val="en-US" w:eastAsia="zh-CN"/>
              </w:rPr>
              <w:t>根据生态环境保护部《关于发布&lt;建设项目竣工环境保护验收技术指南 污染影响类&gt;的公告》（生态环境部公告，2018年第9号）中附件《建设项目竣工环境保护验收技术指南 污染影响类》，建设项目竣工后，建设单位应对其环境保护设施进行验收，自行或委托技术机构编制验收报告，公开、登记相关信息并建立档案。</w:t>
            </w:r>
          </w:p>
          <w:p w14:paraId="439DDF40">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rightChars="0" w:firstLine="480" w:firstLineChars="200"/>
              <w:textAlignment w:val="auto"/>
              <w:rPr>
                <w:rFonts w:hint="eastAsia"/>
                <w:b w:val="0"/>
                <w:bCs w:val="0"/>
                <w:color w:val="auto"/>
                <w:sz w:val="24"/>
                <w:szCs w:val="24"/>
                <w:highlight w:val="none"/>
                <w:lang w:val="en-US" w:eastAsia="zh-CN"/>
              </w:rPr>
            </w:pPr>
            <w:r>
              <w:rPr>
                <w:rFonts w:hint="eastAsia"/>
                <w:b w:val="0"/>
                <w:bCs w:val="0"/>
                <w:color w:val="auto"/>
                <w:sz w:val="24"/>
                <w:szCs w:val="24"/>
                <w:highlight w:val="none"/>
                <w:lang w:val="en-US" w:eastAsia="zh-CN"/>
              </w:rPr>
              <w:t>本项目竣工验收环境保护“三同时”验收内容见下表。</w:t>
            </w:r>
          </w:p>
          <w:tbl>
            <w:tblPr>
              <w:tblStyle w:val="13"/>
              <w:tblW w:w="7604"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74"/>
              <w:gridCol w:w="1177"/>
              <w:gridCol w:w="1212"/>
              <w:gridCol w:w="1575"/>
              <w:gridCol w:w="2866"/>
            </w:tblGrid>
            <w:tr w14:paraId="4218787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4" w:type="dxa"/>
                  <w:tcBorders>
                    <w:tl2br w:val="nil"/>
                    <w:tr2bl w:val="nil"/>
                  </w:tcBorders>
                  <w:vAlign w:val="center"/>
                </w:tcPr>
                <w:p w14:paraId="198EC9EF">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rightChars="0" w:firstLine="0" w:firstLineChars="0"/>
                    <w:jc w:val="center"/>
                    <w:textAlignment w:val="auto"/>
                    <w:rPr>
                      <w:rFonts w:hint="default"/>
                      <w:b/>
                      <w:bCs/>
                      <w:color w:val="auto"/>
                      <w:sz w:val="21"/>
                      <w:szCs w:val="21"/>
                      <w:highlight w:val="none"/>
                      <w:vertAlign w:val="baseline"/>
                      <w:lang w:val="en-US" w:eastAsia="zh-CN"/>
                    </w:rPr>
                  </w:pPr>
                  <w:r>
                    <w:rPr>
                      <w:rFonts w:hint="default"/>
                      <w:b/>
                      <w:bCs/>
                      <w:color w:val="auto"/>
                      <w:sz w:val="21"/>
                      <w:szCs w:val="21"/>
                      <w:highlight w:val="none"/>
                      <w:vertAlign w:val="baseline"/>
                      <w:lang w:val="en-US" w:eastAsia="zh-CN"/>
                    </w:rPr>
                    <w:t>类别</w:t>
                  </w:r>
                </w:p>
              </w:tc>
              <w:tc>
                <w:tcPr>
                  <w:tcW w:w="1177" w:type="dxa"/>
                  <w:tcBorders>
                    <w:tl2br w:val="nil"/>
                    <w:tr2bl w:val="nil"/>
                  </w:tcBorders>
                  <w:vAlign w:val="center"/>
                </w:tcPr>
                <w:p w14:paraId="44CD49E4">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rightChars="0" w:firstLine="0" w:firstLineChars="0"/>
                    <w:jc w:val="center"/>
                    <w:textAlignment w:val="auto"/>
                    <w:rPr>
                      <w:rFonts w:hint="default"/>
                      <w:b/>
                      <w:bCs/>
                      <w:color w:val="auto"/>
                      <w:sz w:val="21"/>
                      <w:szCs w:val="21"/>
                      <w:highlight w:val="none"/>
                      <w:vertAlign w:val="baseline"/>
                      <w:lang w:val="en-US" w:eastAsia="zh-CN"/>
                    </w:rPr>
                  </w:pPr>
                  <w:r>
                    <w:rPr>
                      <w:rFonts w:hint="default"/>
                      <w:b/>
                      <w:bCs/>
                      <w:color w:val="auto"/>
                      <w:sz w:val="21"/>
                      <w:szCs w:val="21"/>
                      <w:highlight w:val="none"/>
                      <w:vertAlign w:val="baseline"/>
                      <w:lang w:val="en-US" w:eastAsia="zh-CN"/>
                    </w:rPr>
                    <w:t>污染源</w:t>
                  </w:r>
                </w:p>
              </w:tc>
              <w:tc>
                <w:tcPr>
                  <w:tcW w:w="1212" w:type="dxa"/>
                  <w:tcBorders>
                    <w:tl2br w:val="nil"/>
                    <w:tr2bl w:val="nil"/>
                  </w:tcBorders>
                  <w:vAlign w:val="center"/>
                </w:tcPr>
                <w:p w14:paraId="4E715543">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rightChars="0" w:firstLine="0" w:firstLineChars="0"/>
                    <w:jc w:val="center"/>
                    <w:textAlignment w:val="auto"/>
                    <w:rPr>
                      <w:rFonts w:hint="default"/>
                      <w:b/>
                      <w:bCs/>
                      <w:color w:val="auto"/>
                      <w:sz w:val="21"/>
                      <w:szCs w:val="21"/>
                      <w:highlight w:val="none"/>
                      <w:vertAlign w:val="baseline"/>
                      <w:lang w:val="en-US" w:eastAsia="zh-CN"/>
                    </w:rPr>
                  </w:pPr>
                  <w:r>
                    <w:rPr>
                      <w:rFonts w:hint="default"/>
                      <w:b/>
                      <w:bCs/>
                      <w:color w:val="auto"/>
                      <w:sz w:val="21"/>
                      <w:szCs w:val="21"/>
                      <w:highlight w:val="none"/>
                      <w:vertAlign w:val="baseline"/>
                      <w:lang w:val="en-US" w:eastAsia="zh-CN"/>
                    </w:rPr>
                    <w:t>污染物</w:t>
                  </w:r>
                </w:p>
              </w:tc>
              <w:tc>
                <w:tcPr>
                  <w:tcW w:w="1575" w:type="dxa"/>
                  <w:tcBorders>
                    <w:tl2br w:val="nil"/>
                    <w:tr2bl w:val="nil"/>
                  </w:tcBorders>
                  <w:vAlign w:val="center"/>
                </w:tcPr>
                <w:p w14:paraId="6191F764">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rightChars="0" w:firstLine="0" w:firstLineChars="0"/>
                    <w:jc w:val="center"/>
                    <w:textAlignment w:val="auto"/>
                    <w:rPr>
                      <w:rFonts w:hint="default"/>
                      <w:b/>
                      <w:bCs/>
                      <w:color w:val="auto"/>
                      <w:sz w:val="21"/>
                      <w:szCs w:val="21"/>
                      <w:highlight w:val="none"/>
                      <w:vertAlign w:val="baseline"/>
                      <w:lang w:val="en-US" w:eastAsia="zh-CN"/>
                    </w:rPr>
                  </w:pPr>
                  <w:r>
                    <w:rPr>
                      <w:rFonts w:hint="default"/>
                      <w:b/>
                      <w:bCs/>
                      <w:color w:val="auto"/>
                      <w:sz w:val="21"/>
                      <w:szCs w:val="21"/>
                      <w:highlight w:val="none"/>
                      <w:vertAlign w:val="baseline"/>
                      <w:lang w:val="en-US" w:eastAsia="zh-CN"/>
                    </w:rPr>
                    <w:t>验收设施</w:t>
                  </w:r>
                </w:p>
              </w:tc>
              <w:tc>
                <w:tcPr>
                  <w:tcW w:w="2866" w:type="dxa"/>
                  <w:tcBorders>
                    <w:tl2br w:val="nil"/>
                    <w:tr2bl w:val="nil"/>
                  </w:tcBorders>
                  <w:vAlign w:val="center"/>
                </w:tcPr>
                <w:p w14:paraId="41B4E3A9">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rightChars="0" w:firstLine="0" w:firstLineChars="0"/>
                    <w:jc w:val="center"/>
                    <w:textAlignment w:val="auto"/>
                    <w:rPr>
                      <w:rFonts w:hint="default"/>
                      <w:b/>
                      <w:bCs/>
                      <w:color w:val="auto"/>
                      <w:sz w:val="21"/>
                      <w:szCs w:val="21"/>
                      <w:highlight w:val="none"/>
                      <w:vertAlign w:val="baseline"/>
                      <w:lang w:val="en-US" w:eastAsia="zh-CN"/>
                    </w:rPr>
                  </w:pPr>
                  <w:r>
                    <w:rPr>
                      <w:rFonts w:hint="default"/>
                      <w:b/>
                      <w:bCs/>
                      <w:color w:val="auto"/>
                      <w:sz w:val="21"/>
                      <w:szCs w:val="21"/>
                      <w:highlight w:val="none"/>
                      <w:vertAlign w:val="baseline"/>
                      <w:lang w:val="en-US" w:eastAsia="zh-CN"/>
                    </w:rPr>
                    <w:t>验收标准</w:t>
                  </w:r>
                </w:p>
              </w:tc>
            </w:tr>
            <w:tr w14:paraId="1CF688B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4" w:type="dxa"/>
                  <w:tcBorders>
                    <w:tl2br w:val="nil"/>
                    <w:tr2bl w:val="nil"/>
                  </w:tcBorders>
                  <w:vAlign w:val="center"/>
                </w:tcPr>
                <w:p w14:paraId="480992EE">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rightChars="0" w:firstLine="0" w:firstLineChars="0"/>
                    <w:jc w:val="center"/>
                    <w:textAlignment w:val="auto"/>
                    <w:rPr>
                      <w:rFonts w:hint="default"/>
                      <w:b w:val="0"/>
                      <w:bCs w:val="0"/>
                      <w:color w:val="auto"/>
                      <w:sz w:val="21"/>
                      <w:szCs w:val="21"/>
                      <w:highlight w:val="none"/>
                      <w:vertAlign w:val="baseline"/>
                      <w:lang w:val="en-US" w:eastAsia="zh-CN"/>
                    </w:rPr>
                  </w:pPr>
                  <w:r>
                    <w:rPr>
                      <w:rFonts w:hint="eastAsia"/>
                      <w:b w:val="0"/>
                      <w:bCs w:val="0"/>
                      <w:color w:val="auto"/>
                      <w:sz w:val="21"/>
                      <w:szCs w:val="21"/>
                      <w:highlight w:val="none"/>
                      <w:vertAlign w:val="baseline"/>
                      <w:lang w:val="en-US" w:eastAsia="zh-CN"/>
                    </w:rPr>
                    <w:t>废气</w:t>
                  </w:r>
                </w:p>
              </w:tc>
              <w:tc>
                <w:tcPr>
                  <w:tcW w:w="1177" w:type="dxa"/>
                  <w:tcBorders>
                    <w:tl2br w:val="nil"/>
                    <w:tr2bl w:val="nil"/>
                  </w:tcBorders>
                  <w:vAlign w:val="center"/>
                </w:tcPr>
                <w:p w14:paraId="0F46087F">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rightChars="0" w:firstLine="0" w:firstLineChars="0"/>
                    <w:jc w:val="center"/>
                    <w:textAlignment w:val="auto"/>
                    <w:rPr>
                      <w:rFonts w:hint="eastAsia"/>
                      <w:b w:val="0"/>
                      <w:bCs w:val="0"/>
                      <w:color w:val="auto"/>
                      <w:sz w:val="21"/>
                      <w:szCs w:val="21"/>
                      <w:highlight w:val="none"/>
                      <w:vertAlign w:val="baseline"/>
                      <w:lang w:val="en-US" w:eastAsia="zh-CN"/>
                    </w:rPr>
                  </w:pPr>
                  <w:r>
                    <w:rPr>
                      <w:rFonts w:hint="eastAsia"/>
                      <w:b w:val="0"/>
                      <w:bCs w:val="0"/>
                      <w:color w:val="auto"/>
                      <w:sz w:val="21"/>
                      <w:szCs w:val="21"/>
                      <w:highlight w:val="none"/>
                      <w:vertAlign w:val="baseline"/>
                      <w:lang w:val="en-US" w:eastAsia="zh-CN"/>
                    </w:rPr>
                    <w:t>污水处理</w:t>
                  </w:r>
                </w:p>
                <w:p w14:paraId="56542341">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rightChars="0" w:firstLine="0" w:firstLineChars="0"/>
                    <w:jc w:val="center"/>
                    <w:textAlignment w:val="auto"/>
                    <w:rPr>
                      <w:rFonts w:hint="default"/>
                      <w:b w:val="0"/>
                      <w:bCs w:val="0"/>
                      <w:color w:val="auto"/>
                      <w:sz w:val="21"/>
                      <w:szCs w:val="21"/>
                      <w:highlight w:val="none"/>
                      <w:vertAlign w:val="baseline"/>
                      <w:lang w:val="en-US" w:eastAsia="zh-CN"/>
                    </w:rPr>
                  </w:pPr>
                  <w:r>
                    <w:rPr>
                      <w:rFonts w:hint="eastAsia"/>
                      <w:b w:val="0"/>
                      <w:bCs w:val="0"/>
                      <w:color w:val="auto"/>
                      <w:sz w:val="21"/>
                      <w:szCs w:val="21"/>
                      <w:highlight w:val="none"/>
                      <w:vertAlign w:val="baseline"/>
                      <w:lang w:val="en-US" w:eastAsia="zh-CN"/>
                    </w:rPr>
                    <w:t>设施</w:t>
                  </w:r>
                </w:p>
              </w:tc>
              <w:tc>
                <w:tcPr>
                  <w:tcW w:w="1212" w:type="dxa"/>
                  <w:tcBorders>
                    <w:tl2br w:val="nil"/>
                    <w:tr2bl w:val="nil"/>
                  </w:tcBorders>
                  <w:vAlign w:val="center"/>
                </w:tcPr>
                <w:p w14:paraId="2B40412B">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rightChars="0" w:firstLine="0" w:firstLineChars="0"/>
                    <w:jc w:val="center"/>
                    <w:textAlignment w:val="auto"/>
                    <w:rPr>
                      <w:rFonts w:hint="default"/>
                      <w:b w:val="0"/>
                      <w:bCs w:val="0"/>
                      <w:color w:val="auto"/>
                      <w:sz w:val="21"/>
                      <w:szCs w:val="21"/>
                      <w:highlight w:val="none"/>
                      <w:vertAlign w:val="baseline"/>
                      <w:lang w:val="en-US" w:eastAsia="zh-CN"/>
                    </w:rPr>
                  </w:pPr>
                  <w:r>
                    <w:rPr>
                      <w:rFonts w:hint="default"/>
                      <w:b w:val="0"/>
                      <w:bCs w:val="0"/>
                      <w:color w:val="auto"/>
                      <w:sz w:val="21"/>
                      <w:szCs w:val="21"/>
                      <w:highlight w:val="none"/>
                      <w:vertAlign w:val="baseline"/>
                      <w:lang w:val="en-US" w:eastAsia="zh-CN"/>
                    </w:rPr>
                    <w:t>氨、硫化氢、臭气浓度</w:t>
                  </w:r>
                </w:p>
              </w:tc>
              <w:tc>
                <w:tcPr>
                  <w:tcW w:w="1575" w:type="dxa"/>
                  <w:tcBorders>
                    <w:tl2br w:val="nil"/>
                    <w:tr2bl w:val="nil"/>
                  </w:tcBorders>
                  <w:vAlign w:val="center"/>
                </w:tcPr>
                <w:p w14:paraId="05419289">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rightChars="0" w:firstLine="0" w:firstLineChars="0"/>
                    <w:jc w:val="center"/>
                    <w:textAlignment w:val="auto"/>
                    <w:rPr>
                      <w:rFonts w:hint="default"/>
                      <w:b w:val="0"/>
                      <w:bCs w:val="0"/>
                      <w:color w:val="auto"/>
                      <w:sz w:val="21"/>
                      <w:szCs w:val="21"/>
                      <w:highlight w:val="none"/>
                      <w:vertAlign w:val="baseline"/>
                      <w:lang w:val="en-US" w:eastAsia="zh-CN"/>
                    </w:rPr>
                  </w:pPr>
                  <w:r>
                    <w:rPr>
                      <w:rFonts w:hint="eastAsia"/>
                      <w:b w:val="0"/>
                      <w:bCs w:val="0"/>
                      <w:color w:val="auto"/>
                      <w:sz w:val="21"/>
                      <w:szCs w:val="21"/>
                      <w:highlight w:val="none"/>
                      <w:vertAlign w:val="baseline"/>
                      <w:lang w:val="en-US" w:eastAsia="zh-CN"/>
                    </w:rPr>
                    <w:t>处理构筑物加盖、密闭、定期喷洒除臭剂</w:t>
                  </w:r>
                </w:p>
              </w:tc>
              <w:tc>
                <w:tcPr>
                  <w:tcW w:w="2866" w:type="dxa"/>
                  <w:tcBorders>
                    <w:tl2br w:val="nil"/>
                    <w:tr2bl w:val="nil"/>
                  </w:tcBorders>
                  <w:shd w:val="clear" w:color="auto" w:fill="auto"/>
                  <w:vAlign w:val="center"/>
                </w:tcPr>
                <w:p w14:paraId="2831A02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b w:val="0"/>
                      <w:bCs w:val="0"/>
                      <w:color w:val="auto"/>
                      <w:sz w:val="21"/>
                      <w:szCs w:val="21"/>
                      <w:highlight w:val="none"/>
                      <w:vertAlign w:val="baseline"/>
                      <w:lang w:val="en-US" w:eastAsia="zh-CN"/>
                    </w:rPr>
                    <w:t>《大气污染物综合排放标准》（DB11/501-2017）中“表3 生产工艺废气及其他废气大气污染物排放限值”中“单位周界无组织排放监控点浓度限值”</w:t>
                  </w:r>
                </w:p>
              </w:tc>
            </w:tr>
            <w:tr w14:paraId="4E1212B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4" w:type="dxa"/>
                  <w:tcBorders>
                    <w:tl2br w:val="nil"/>
                    <w:tr2bl w:val="nil"/>
                  </w:tcBorders>
                  <w:vAlign w:val="center"/>
                </w:tcPr>
                <w:p w14:paraId="3AF649D3">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rightChars="0" w:firstLine="0" w:firstLineChars="0"/>
                    <w:jc w:val="center"/>
                    <w:textAlignment w:val="auto"/>
                    <w:rPr>
                      <w:rFonts w:hint="default"/>
                      <w:b w:val="0"/>
                      <w:bCs w:val="0"/>
                      <w:color w:val="auto"/>
                      <w:sz w:val="21"/>
                      <w:szCs w:val="21"/>
                      <w:highlight w:val="none"/>
                      <w:vertAlign w:val="baseline"/>
                      <w:lang w:val="en-US" w:eastAsia="zh-CN"/>
                    </w:rPr>
                  </w:pPr>
                  <w:r>
                    <w:rPr>
                      <w:rFonts w:hint="eastAsia"/>
                      <w:b w:val="0"/>
                      <w:bCs w:val="0"/>
                      <w:color w:val="auto"/>
                      <w:sz w:val="21"/>
                      <w:szCs w:val="21"/>
                      <w:highlight w:val="none"/>
                      <w:vertAlign w:val="baseline"/>
                      <w:lang w:val="en-US" w:eastAsia="zh-CN"/>
                    </w:rPr>
                    <w:t>废水</w:t>
                  </w:r>
                </w:p>
              </w:tc>
              <w:tc>
                <w:tcPr>
                  <w:tcW w:w="1177" w:type="dxa"/>
                  <w:tcBorders>
                    <w:tl2br w:val="nil"/>
                    <w:tr2bl w:val="nil"/>
                  </w:tcBorders>
                  <w:vAlign w:val="center"/>
                </w:tcPr>
                <w:p w14:paraId="03E12101">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rightChars="0" w:firstLine="0" w:firstLineChars="0"/>
                    <w:jc w:val="center"/>
                    <w:textAlignment w:val="auto"/>
                    <w:rPr>
                      <w:rFonts w:hint="default"/>
                      <w:b w:val="0"/>
                      <w:bCs w:val="0"/>
                      <w:color w:val="auto"/>
                      <w:sz w:val="21"/>
                      <w:szCs w:val="21"/>
                      <w:highlight w:val="none"/>
                      <w:vertAlign w:val="baseline"/>
                      <w:lang w:val="en-US" w:eastAsia="zh-CN"/>
                    </w:rPr>
                  </w:pPr>
                  <w:r>
                    <w:rPr>
                      <w:rFonts w:hint="eastAsia"/>
                      <w:b w:val="0"/>
                      <w:bCs w:val="0"/>
                      <w:color w:val="auto"/>
                      <w:sz w:val="21"/>
                      <w:szCs w:val="21"/>
                      <w:highlight w:val="none"/>
                      <w:vertAlign w:val="baseline"/>
                      <w:lang w:val="en-US" w:eastAsia="zh-CN"/>
                    </w:rPr>
                    <w:t>医疗废水</w:t>
                  </w:r>
                </w:p>
              </w:tc>
              <w:tc>
                <w:tcPr>
                  <w:tcW w:w="1212" w:type="dxa"/>
                  <w:tcBorders>
                    <w:tl2br w:val="nil"/>
                    <w:tr2bl w:val="nil"/>
                  </w:tcBorders>
                  <w:vAlign w:val="center"/>
                </w:tcPr>
                <w:p w14:paraId="41ACA70E">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rightChars="0" w:firstLine="0" w:firstLineChars="0"/>
                    <w:jc w:val="center"/>
                    <w:textAlignment w:val="auto"/>
                    <w:rPr>
                      <w:rFonts w:hint="default"/>
                      <w:b w:val="0"/>
                      <w:bCs w:val="0"/>
                      <w:color w:val="auto"/>
                      <w:sz w:val="21"/>
                      <w:szCs w:val="21"/>
                      <w:highlight w:val="none"/>
                      <w:vertAlign w:val="baseline"/>
                      <w:lang w:val="en-US" w:eastAsia="zh-CN"/>
                    </w:rPr>
                  </w:pPr>
                  <w:r>
                    <w:rPr>
                      <w:rFonts w:hint="default"/>
                      <w:b w:val="0"/>
                      <w:bCs w:val="0"/>
                      <w:color w:val="auto"/>
                      <w:sz w:val="21"/>
                      <w:szCs w:val="21"/>
                      <w:highlight w:val="none"/>
                      <w:vertAlign w:val="baseline"/>
                      <w:lang w:val="en-US" w:eastAsia="zh-CN"/>
                    </w:rPr>
                    <w:t>pH、CODCr、BOD</w:t>
                  </w:r>
                  <w:r>
                    <w:rPr>
                      <w:rFonts w:hint="default"/>
                      <w:b w:val="0"/>
                      <w:bCs w:val="0"/>
                      <w:color w:val="auto"/>
                      <w:sz w:val="21"/>
                      <w:szCs w:val="21"/>
                      <w:highlight w:val="none"/>
                      <w:vertAlign w:val="subscript"/>
                      <w:lang w:val="en-US" w:eastAsia="zh-CN"/>
                    </w:rPr>
                    <w:t>5</w:t>
                  </w:r>
                  <w:r>
                    <w:rPr>
                      <w:rFonts w:hint="default"/>
                      <w:b w:val="0"/>
                      <w:bCs w:val="0"/>
                      <w:color w:val="auto"/>
                      <w:sz w:val="21"/>
                      <w:szCs w:val="21"/>
                      <w:highlight w:val="none"/>
                      <w:vertAlign w:val="baseline"/>
                      <w:lang w:val="en-US" w:eastAsia="zh-CN"/>
                    </w:rPr>
                    <w:t>、SS、氨氮、粪大肠菌群数</w:t>
                  </w:r>
                  <w:r>
                    <w:rPr>
                      <w:rFonts w:hint="eastAsia"/>
                      <w:b w:val="0"/>
                      <w:bCs w:val="0"/>
                      <w:color w:val="auto"/>
                      <w:sz w:val="21"/>
                      <w:szCs w:val="21"/>
                      <w:highlight w:val="none"/>
                      <w:vertAlign w:val="baseline"/>
                      <w:lang w:val="en-US" w:eastAsia="zh-CN"/>
                    </w:rPr>
                    <w:t>、总余氯</w:t>
                  </w:r>
                </w:p>
              </w:tc>
              <w:tc>
                <w:tcPr>
                  <w:tcW w:w="1575" w:type="dxa"/>
                  <w:tcBorders>
                    <w:tl2br w:val="nil"/>
                    <w:tr2bl w:val="nil"/>
                  </w:tcBorders>
                  <w:vAlign w:val="center"/>
                </w:tcPr>
                <w:p w14:paraId="516730D9">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rightChars="0" w:firstLine="0" w:firstLineChars="0"/>
                    <w:jc w:val="center"/>
                    <w:textAlignment w:val="auto"/>
                    <w:rPr>
                      <w:rFonts w:hint="default"/>
                      <w:b w:val="0"/>
                      <w:bCs w:val="0"/>
                      <w:color w:val="auto"/>
                      <w:sz w:val="21"/>
                      <w:szCs w:val="21"/>
                      <w:highlight w:val="none"/>
                      <w:vertAlign w:val="baseline"/>
                      <w:lang w:val="en-US" w:eastAsia="zh-CN"/>
                    </w:rPr>
                  </w:pPr>
                  <w:r>
                    <w:rPr>
                      <w:rFonts w:hint="eastAsia"/>
                      <w:b w:val="0"/>
                      <w:bCs w:val="0"/>
                      <w:color w:val="auto"/>
                      <w:sz w:val="21"/>
                      <w:szCs w:val="21"/>
                      <w:highlight w:val="none"/>
                      <w:vertAlign w:val="baseline"/>
                      <w:lang w:val="en-US" w:eastAsia="zh-CN"/>
                    </w:rPr>
                    <w:t>化粪池+污水处理设施</w:t>
                  </w:r>
                </w:p>
              </w:tc>
              <w:tc>
                <w:tcPr>
                  <w:tcW w:w="2866" w:type="dxa"/>
                  <w:tcBorders>
                    <w:tl2br w:val="nil"/>
                    <w:tr2bl w:val="nil"/>
                  </w:tcBorders>
                  <w:vAlign w:val="center"/>
                </w:tcPr>
                <w:p w14:paraId="546B6154">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rightChars="0" w:firstLine="0" w:firstLineChars="0"/>
                    <w:jc w:val="center"/>
                    <w:textAlignment w:val="auto"/>
                    <w:rPr>
                      <w:rFonts w:hint="default"/>
                      <w:b w:val="0"/>
                      <w:bCs w:val="0"/>
                      <w:color w:val="auto"/>
                      <w:sz w:val="21"/>
                      <w:szCs w:val="21"/>
                      <w:highlight w:val="none"/>
                      <w:vertAlign w:val="baseline"/>
                      <w:lang w:val="en-US" w:eastAsia="zh-CN"/>
                    </w:rPr>
                  </w:pPr>
                  <w:r>
                    <w:rPr>
                      <w:rFonts w:hint="default"/>
                      <w:b w:val="0"/>
                      <w:bCs w:val="0"/>
                      <w:color w:val="auto"/>
                      <w:sz w:val="21"/>
                      <w:szCs w:val="21"/>
                      <w:highlight w:val="none"/>
                    </w:rPr>
                    <w:t>《医疗机构水污染物排放标准》（GB18466-2005）中</w:t>
                  </w:r>
                  <w:r>
                    <w:rPr>
                      <w:rFonts w:hint="eastAsia"/>
                      <w:b w:val="0"/>
                      <w:bCs w:val="0"/>
                      <w:color w:val="auto"/>
                      <w:sz w:val="21"/>
                      <w:szCs w:val="21"/>
                      <w:highlight w:val="none"/>
                      <w:lang w:eastAsia="zh-CN"/>
                    </w:rPr>
                    <w:t>“</w:t>
                  </w:r>
                  <w:r>
                    <w:rPr>
                      <w:rFonts w:hint="default"/>
                      <w:b w:val="0"/>
                      <w:bCs w:val="0"/>
                      <w:color w:val="auto"/>
                      <w:sz w:val="21"/>
                      <w:szCs w:val="21"/>
                      <w:highlight w:val="none"/>
                    </w:rPr>
                    <w:t>表2 综合医疗机构和其他医疗机构水污染物排放限值（日均值）</w:t>
                  </w:r>
                  <w:r>
                    <w:rPr>
                      <w:rFonts w:hint="eastAsia"/>
                      <w:b w:val="0"/>
                      <w:bCs w:val="0"/>
                      <w:color w:val="auto"/>
                      <w:sz w:val="21"/>
                      <w:szCs w:val="21"/>
                      <w:highlight w:val="none"/>
                      <w:lang w:eastAsia="zh-CN"/>
                    </w:rPr>
                    <w:t>”</w:t>
                  </w:r>
                  <w:r>
                    <w:rPr>
                      <w:rFonts w:hint="default"/>
                      <w:b w:val="0"/>
                      <w:bCs w:val="0"/>
                      <w:color w:val="auto"/>
                      <w:sz w:val="21"/>
                      <w:szCs w:val="21"/>
                      <w:highlight w:val="none"/>
                    </w:rPr>
                    <w:t>中</w:t>
                  </w:r>
                  <w:r>
                    <w:rPr>
                      <w:rFonts w:hint="eastAsia"/>
                      <w:b w:val="0"/>
                      <w:bCs w:val="0"/>
                      <w:color w:val="auto"/>
                      <w:sz w:val="21"/>
                      <w:szCs w:val="21"/>
                      <w:highlight w:val="none"/>
                      <w:lang w:eastAsia="zh-CN"/>
                    </w:rPr>
                    <w:t>“</w:t>
                  </w:r>
                  <w:r>
                    <w:rPr>
                      <w:rFonts w:hint="default"/>
                      <w:b w:val="0"/>
                      <w:bCs w:val="0"/>
                      <w:color w:val="auto"/>
                      <w:sz w:val="21"/>
                      <w:szCs w:val="21"/>
                      <w:highlight w:val="none"/>
                    </w:rPr>
                    <w:t>预处理标准</w:t>
                  </w:r>
                  <w:r>
                    <w:rPr>
                      <w:rFonts w:hint="eastAsia"/>
                      <w:b w:val="0"/>
                      <w:bCs w:val="0"/>
                      <w:color w:val="auto"/>
                      <w:sz w:val="21"/>
                      <w:szCs w:val="21"/>
                      <w:highlight w:val="none"/>
                      <w:lang w:eastAsia="zh-CN"/>
                    </w:rPr>
                    <w:t>”</w:t>
                  </w:r>
                  <w:r>
                    <w:rPr>
                      <w:rFonts w:hint="default"/>
                      <w:b w:val="0"/>
                      <w:bCs w:val="0"/>
                      <w:color w:val="auto"/>
                      <w:sz w:val="21"/>
                      <w:szCs w:val="21"/>
                      <w:highlight w:val="none"/>
                    </w:rPr>
                    <w:t>限值和北京市《水污染物综合排放标准》（DB11/307-2013）中</w:t>
                  </w:r>
                  <w:r>
                    <w:rPr>
                      <w:rFonts w:hint="eastAsia"/>
                      <w:b w:val="0"/>
                      <w:bCs w:val="0"/>
                      <w:color w:val="auto"/>
                      <w:sz w:val="21"/>
                      <w:szCs w:val="21"/>
                      <w:highlight w:val="none"/>
                      <w:lang w:eastAsia="zh-CN"/>
                    </w:rPr>
                    <w:t>“</w:t>
                  </w:r>
                  <w:r>
                    <w:rPr>
                      <w:rFonts w:hint="default"/>
                      <w:b w:val="0"/>
                      <w:bCs w:val="0"/>
                      <w:color w:val="auto"/>
                      <w:sz w:val="21"/>
                      <w:szCs w:val="21"/>
                      <w:highlight w:val="none"/>
                    </w:rPr>
                    <w:t>表</w:t>
                  </w:r>
                  <w:r>
                    <w:rPr>
                      <w:rFonts w:hint="eastAsia"/>
                      <w:b w:val="0"/>
                      <w:bCs w:val="0"/>
                      <w:color w:val="auto"/>
                      <w:sz w:val="21"/>
                      <w:szCs w:val="21"/>
                      <w:highlight w:val="none"/>
                      <w:lang w:val="en-US" w:eastAsia="zh-CN"/>
                    </w:rPr>
                    <w:t>3</w:t>
                  </w:r>
                  <w:r>
                    <w:rPr>
                      <w:rFonts w:hint="default"/>
                      <w:b w:val="0"/>
                      <w:bCs w:val="0"/>
                      <w:color w:val="auto"/>
                      <w:sz w:val="21"/>
                      <w:szCs w:val="21"/>
                      <w:highlight w:val="none"/>
                    </w:rPr>
                    <w:t>排入公共污水处理系统的水污染物排放限值</w:t>
                  </w:r>
                  <w:r>
                    <w:rPr>
                      <w:rFonts w:hint="eastAsia"/>
                      <w:b w:val="0"/>
                      <w:bCs w:val="0"/>
                      <w:color w:val="auto"/>
                      <w:sz w:val="21"/>
                      <w:szCs w:val="21"/>
                      <w:highlight w:val="none"/>
                      <w:lang w:eastAsia="zh-CN"/>
                    </w:rPr>
                    <w:t>”</w:t>
                  </w:r>
                  <w:r>
                    <w:rPr>
                      <w:rFonts w:hint="default"/>
                      <w:b w:val="0"/>
                      <w:bCs w:val="0"/>
                      <w:color w:val="auto"/>
                      <w:sz w:val="21"/>
                      <w:szCs w:val="21"/>
                      <w:highlight w:val="none"/>
                    </w:rPr>
                    <w:t>中</w:t>
                  </w:r>
                  <w:r>
                    <w:rPr>
                      <w:rFonts w:hint="eastAsia"/>
                      <w:b w:val="0"/>
                      <w:bCs w:val="0"/>
                      <w:color w:val="auto"/>
                      <w:sz w:val="21"/>
                      <w:szCs w:val="21"/>
                      <w:highlight w:val="none"/>
                      <w:lang w:eastAsia="zh-CN"/>
                    </w:rPr>
                    <w:t>“</w:t>
                  </w:r>
                  <w:r>
                    <w:rPr>
                      <w:rFonts w:hint="default"/>
                      <w:b w:val="0"/>
                      <w:bCs w:val="0"/>
                      <w:color w:val="auto"/>
                      <w:sz w:val="21"/>
                      <w:szCs w:val="21"/>
                      <w:highlight w:val="none"/>
                    </w:rPr>
                    <w:t>氨氮</w:t>
                  </w:r>
                  <w:r>
                    <w:rPr>
                      <w:rFonts w:hint="eastAsia"/>
                      <w:b w:val="0"/>
                      <w:bCs w:val="0"/>
                      <w:color w:val="auto"/>
                      <w:sz w:val="21"/>
                      <w:szCs w:val="21"/>
                      <w:highlight w:val="none"/>
                      <w:lang w:eastAsia="zh-CN"/>
                    </w:rPr>
                    <w:t>”</w:t>
                  </w:r>
                  <w:r>
                    <w:rPr>
                      <w:rFonts w:hint="default"/>
                      <w:b w:val="0"/>
                      <w:bCs w:val="0"/>
                      <w:color w:val="auto"/>
                      <w:sz w:val="21"/>
                      <w:szCs w:val="21"/>
                      <w:highlight w:val="none"/>
                    </w:rPr>
                    <w:t>的限值要求</w:t>
                  </w:r>
                </w:p>
              </w:tc>
            </w:tr>
            <w:tr w14:paraId="0EFEA9A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4" w:type="dxa"/>
                  <w:tcBorders>
                    <w:tl2br w:val="nil"/>
                    <w:tr2bl w:val="nil"/>
                  </w:tcBorders>
                  <w:vAlign w:val="center"/>
                </w:tcPr>
                <w:p w14:paraId="44C2C908">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rightChars="0" w:firstLine="0" w:firstLineChars="0"/>
                    <w:jc w:val="center"/>
                    <w:textAlignment w:val="auto"/>
                    <w:rPr>
                      <w:rFonts w:hint="default"/>
                      <w:b w:val="0"/>
                      <w:bCs w:val="0"/>
                      <w:color w:val="auto"/>
                      <w:sz w:val="21"/>
                      <w:szCs w:val="21"/>
                      <w:highlight w:val="none"/>
                      <w:vertAlign w:val="baseline"/>
                      <w:lang w:val="en-US" w:eastAsia="zh-CN"/>
                    </w:rPr>
                  </w:pPr>
                  <w:r>
                    <w:rPr>
                      <w:rFonts w:hint="eastAsia"/>
                      <w:b w:val="0"/>
                      <w:bCs w:val="0"/>
                      <w:color w:val="auto"/>
                      <w:sz w:val="21"/>
                      <w:szCs w:val="21"/>
                      <w:highlight w:val="none"/>
                      <w:vertAlign w:val="baseline"/>
                      <w:lang w:val="en-US" w:eastAsia="zh-CN"/>
                    </w:rPr>
                    <w:t>噪声</w:t>
                  </w:r>
                </w:p>
              </w:tc>
              <w:tc>
                <w:tcPr>
                  <w:tcW w:w="1177" w:type="dxa"/>
                  <w:tcBorders>
                    <w:tl2br w:val="nil"/>
                    <w:tr2bl w:val="nil"/>
                  </w:tcBorders>
                  <w:vAlign w:val="center"/>
                </w:tcPr>
                <w:p w14:paraId="024FB504">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rightChars="0" w:firstLine="0" w:firstLineChars="0"/>
                    <w:jc w:val="center"/>
                    <w:textAlignment w:val="auto"/>
                    <w:rPr>
                      <w:rFonts w:hint="default"/>
                      <w:b w:val="0"/>
                      <w:bCs w:val="0"/>
                      <w:color w:val="auto"/>
                      <w:sz w:val="21"/>
                      <w:szCs w:val="21"/>
                      <w:highlight w:val="none"/>
                      <w:vertAlign w:val="baseline"/>
                      <w:lang w:val="en-US" w:eastAsia="zh-CN"/>
                    </w:rPr>
                  </w:pPr>
                  <w:r>
                    <w:rPr>
                      <w:rFonts w:hint="eastAsia"/>
                      <w:b w:val="0"/>
                      <w:bCs w:val="0"/>
                      <w:color w:val="auto"/>
                      <w:sz w:val="21"/>
                      <w:szCs w:val="21"/>
                      <w:highlight w:val="none"/>
                      <w:vertAlign w:val="baseline"/>
                      <w:lang w:val="en-US" w:eastAsia="zh-CN"/>
                    </w:rPr>
                    <w:t>设备</w:t>
                  </w:r>
                </w:p>
              </w:tc>
              <w:tc>
                <w:tcPr>
                  <w:tcW w:w="1212" w:type="dxa"/>
                  <w:tcBorders>
                    <w:tl2br w:val="nil"/>
                    <w:tr2bl w:val="nil"/>
                  </w:tcBorders>
                  <w:vAlign w:val="center"/>
                </w:tcPr>
                <w:p w14:paraId="5F95E544">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rightChars="0" w:firstLine="0" w:firstLineChars="0"/>
                    <w:jc w:val="center"/>
                    <w:textAlignment w:val="auto"/>
                    <w:rPr>
                      <w:rFonts w:hint="default"/>
                      <w:b w:val="0"/>
                      <w:bCs w:val="0"/>
                      <w:color w:val="auto"/>
                      <w:sz w:val="21"/>
                      <w:szCs w:val="21"/>
                      <w:highlight w:val="none"/>
                      <w:vertAlign w:val="baseline"/>
                      <w:lang w:val="en-US" w:eastAsia="zh-CN"/>
                    </w:rPr>
                  </w:pPr>
                  <w:r>
                    <w:rPr>
                      <w:rFonts w:hint="eastAsia"/>
                      <w:b w:val="0"/>
                      <w:bCs w:val="0"/>
                      <w:color w:val="auto"/>
                      <w:sz w:val="21"/>
                      <w:szCs w:val="21"/>
                      <w:highlight w:val="none"/>
                      <w:vertAlign w:val="baseline"/>
                      <w:lang w:val="en-US" w:eastAsia="zh-CN"/>
                    </w:rPr>
                    <w:t>噪声</w:t>
                  </w:r>
                </w:p>
              </w:tc>
              <w:tc>
                <w:tcPr>
                  <w:tcW w:w="1575" w:type="dxa"/>
                  <w:tcBorders>
                    <w:tl2br w:val="nil"/>
                    <w:tr2bl w:val="nil"/>
                  </w:tcBorders>
                  <w:vAlign w:val="center"/>
                </w:tcPr>
                <w:p w14:paraId="1232DB88">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rightChars="0" w:firstLine="0" w:firstLineChars="0"/>
                    <w:jc w:val="center"/>
                    <w:textAlignment w:val="auto"/>
                    <w:rPr>
                      <w:rFonts w:hint="default"/>
                      <w:b w:val="0"/>
                      <w:bCs w:val="0"/>
                      <w:color w:val="auto"/>
                      <w:sz w:val="21"/>
                      <w:szCs w:val="21"/>
                      <w:highlight w:val="none"/>
                      <w:vertAlign w:val="baseline"/>
                      <w:lang w:val="en-US" w:eastAsia="zh-CN"/>
                    </w:rPr>
                  </w:pPr>
                  <w:r>
                    <w:rPr>
                      <w:rFonts w:hint="eastAsia"/>
                      <w:b w:val="0"/>
                      <w:bCs w:val="0"/>
                      <w:color w:val="auto"/>
                      <w:sz w:val="21"/>
                      <w:szCs w:val="21"/>
                      <w:highlight w:val="none"/>
                      <w:vertAlign w:val="baseline"/>
                      <w:lang w:val="en-US" w:eastAsia="zh-CN"/>
                    </w:rPr>
                    <w:t>合理布局、选用低噪声设备、基础减振等</w:t>
                  </w:r>
                </w:p>
              </w:tc>
              <w:tc>
                <w:tcPr>
                  <w:tcW w:w="2866" w:type="dxa"/>
                  <w:tcBorders>
                    <w:tl2br w:val="nil"/>
                    <w:tr2bl w:val="nil"/>
                  </w:tcBorders>
                  <w:vAlign w:val="center"/>
                </w:tcPr>
                <w:p w14:paraId="6F5CBEA9">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rightChars="0" w:firstLine="0" w:firstLineChars="0"/>
                    <w:jc w:val="center"/>
                    <w:textAlignment w:val="auto"/>
                    <w:rPr>
                      <w:rFonts w:hint="default"/>
                      <w:b w:val="0"/>
                      <w:bCs w:val="0"/>
                      <w:color w:val="auto"/>
                      <w:sz w:val="21"/>
                      <w:szCs w:val="21"/>
                      <w:highlight w:val="none"/>
                      <w:vertAlign w:val="baseline"/>
                      <w:lang w:val="en-US" w:eastAsia="zh-CN"/>
                    </w:rPr>
                  </w:pPr>
                  <w:r>
                    <w:rPr>
                      <w:rFonts w:hint="default"/>
                      <w:b w:val="0"/>
                      <w:bCs w:val="0"/>
                      <w:color w:val="auto"/>
                      <w:sz w:val="21"/>
                      <w:szCs w:val="21"/>
                      <w:highlight w:val="none"/>
                    </w:rPr>
                    <w:t>《工业企业厂界噪声排放标准》（GB12348-2008）相应的</w:t>
                  </w:r>
                  <w:r>
                    <w:rPr>
                      <w:rFonts w:hint="eastAsia"/>
                      <w:b w:val="0"/>
                      <w:bCs w:val="0"/>
                      <w:color w:val="auto"/>
                      <w:sz w:val="21"/>
                      <w:szCs w:val="21"/>
                      <w:highlight w:val="none"/>
                      <w:lang w:val="en-US" w:eastAsia="zh-CN"/>
                    </w:rPr>
                    <w:t>1</w:t>
                  </w:r>
                  <w:r>
                    <w:rPr>
                      <w:rFonts w:hint="default"/>
                      <w:b w:val="0"/>
                      <w:bCs w:val="0"/>
                      <w:color w:val="auto"/>
                      <w:sz w:val="21"/>
                      <w:szCs w:val="21"/>
                      <w:highlight w:val="none"/>
                    </w:rPr>
                    <w:t>类标准限值</w:t>
                  </w:r>
                </w:p>
              </w:tc>
            </w:tr>
            <w:tr w14:paraId="1131982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4" w:type="dxa"/>
                  <w:vMerge w:val="restart"/>
                  <w:tcBorders>
                    <w:tl2br w:val="nil"/>
                    <w:tr2bl w:val="nil"/>
                  </w:tcBorders>
                  <w:vAlign w:val="center"/>
                </w:tcPr>
                <w:p w14:paraId="5C324C5A">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rightChars="0" w:firstLine="0" w:firstLineChars="0"/>
                    <w:jc w:val="center"/>
                    <w:textAlignment w:val="auto"/>
                    <w:rPr>
                      <w:rFonts w:hint="default"/>
                      <w:b w:val="0"/>
                      <w:bCs w:val="0"/>
                      <w:color w:val="auto"/>
                      <w:sz w:val="21"/>
                      <w:szCs w:val="21"/>
                      <w:highlight w:val="none"/>
                      <w:vertAlign w:val="baseline"/>
                      <w:lang w:val="en-US" w:eastAsia="zh-CN"/>
                    </w:rPr>
                  </w:pPr>
                  <w:r>
                    <w:rPr>
                      <w:rFonts w:hint="eastAsia"/>
                      <w:b w:val="0"/>
                      <w:bCs w:val="0"/>
                      <w:color w:val="auto"/>
                      <w:sz w:val="21"/>
                      <w:szCs w:val="21"/>
                      <w:highlight w:val="none"/>
                      <w:vertAlign w:val="baseline"/>
                      <w:lang w:val="en-US" w:eastAsia="zh-CN"/>
                    </w:rPr>
                    <w:t>固体废物</w:t>
                  </w:r>
                </w:p>
              </w:tc>
              <w:tc>
                <w:tcPr>
                  <w:tcW w:w="1177" w:type="dxa"/>
                  <w:tcBorders>
                    <w:tl2br w:val="nil"/>
                    <w:tr2bl w:val="nil"/>
                  </w:tcBorders>
                  <w:vAlign w:val="center"/>
                </w:tcPr>
                <w:p w14:paraId="5EA609AC">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rightChars="0" w:firstLine="0" w:firstLineChars="0"/>
                    <w:jc w:val="center"/>
                    <w:textAlignment w:val="auto"/>
                    <w:rPr>
                      <w:rFonts w:hint="default"/>
                      <w:b w:val="0"/>
                      <w:bCs w:val="0"/>
                      <w:color w:val="auto"/>
                      <w:sz w:val="21"/>
                      <w:szCs w:val="21"/>
                      <w:highlight w:val="none"/>
                      <w:vertAlign w:val="baseline"/>
                      <w:lang w:val="en-US" w:eastAsia="zh-CN"/>
                    </w:rPr>
                  </w:pPr>
                  <w:r>
                    <w:rPr>
                      <w:rFonts w:hint="default"/>
                      <w:b w:val="0"/>
                      <w:bCs w:val="0"/>
                      <w:color w:val="auto"/>
                      <w:sz w:val="21"/>
                      <w:szCs w:val="21"/>
                      <w:highlight w:val="none"/>
                      <w:vertAlign w:val="baseline"/>
                      <w:lang w:val="en-US" w:eastAsia="zh-CN"/>
                    </w:rPr>
                    <w:t>医务人员、病人生活</w:t>
                  </w:r>
                </w:p>
              </w:tc>
              <w:tc>
                <w:tcPr>
                  <w:tcW w:w="1212" w:type="dxa"/>
                  <w:tcBorders>
                    <w:tl2br w:val="nil"/>
                    <w:tr2bl w:val="nil"/>
                  </w:tcBorders>
                  <w:vAlign w:val="center"/>
                </w:tcPr>
                <w:p w14:paraId="72824EAD">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rightChars="0" w:firstLine="0" w:firstLineChars="0"/>
                    <w:jc w:val="center"/>
                    <w:textAlignment w:val="auto"/>
                    <w:rPr>
                      <w:rFonts w:hint="default"/>
                      <w:b w:val="0"/>
                      <w:bCs w:val="0"/>
                      <w:color w:val="auto"/>
                      <w:sz w:val="21"/>
                      <w:szCs w:val="21"/>
                      <w:highlight w:val="none"/>
                      <w:vertAlign w:val="baseline"/>
                      <w:lang w:val="en-US" w:eastAsia="zh-CN"/>
                    </w:rPr>
                  </w:pPr>
                  <w:r>
                    <w:rPr>
                      <w:rFonts w:hint="eastAsia"/>
                      <w:b w:val="0"/>
                      <w:bCs w:val="0"/>
                      <w:color w:val="auto"/>
                      <w:sz w:val="21"/>
                      <w:szCs w:val="21"/>
                      <w:highlight w:val="none"/>
                      <w:vertAlign w:val="baseline"/>
                      <w:lang w:val="en-US" w:eastAsia="zh-CN"/>
                    </w:rPr>
                    <w:t>生活垃圾</w:t>
                  </w:r>
                </w:p>
              </w:tc>
              <w:tc>
                <w:tcPr>
                  <w:tcW w:w="1575" w:type="dxa"/>
                  <w:tcBorders>
                    <w:tl2br w:val="nil"/>
                    <w:tr2bl w:val="nil"/>
                  </w:tcBorders>
                  <w:vAlign w:val="center"/>
                </w:tcPr>
                <w:p w14:paraId="50FE48A7">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rightChars="0" w:firstLine="0" w:firstLineChars="0"/>
                    <w:jc w:val="center"/>
                    <w:textAlignment w:val="auto"/>
                    <w:rPr>
                      <w:rFonts w:hint="default"/>
                      <w:b w:val="0"/>
                      <w:bCs w:val="0"/>
                      <w:color w:val="auto"/>
                      <w:sz w:val="21"/>
                      <w:szCs w:val="21"/>
                      <w:highlight w:val="none"/>
                      <w:vertAlign w:val="baseline"/>
                      <w:lang w:val="en-US" w:eastAsia="zh-CN"/>
                    </w:rPr>
                  </w:pPr>
                  <w:r>
                    <w:rPr>
                      <w:rFonts w:hint="default"/>
                      <w:b w:val="0"/>
                      <w:bCs w:val="0"/>
                      <w:color w:val="auto"/>
                      <w:sz w:val="21"/>
                      <w:szCs w:val="21"/>
                      <w:highlight w:val="none"/>
                      <w:vertAlign w:val="baseline"/>
                      <w:lang w:val="en-US" w:eastAsia="zh-CN"/>
                    </w:rPr>
                    <w:t>环卫部门定期清运处理</w:t>
                  </w:r>
                </w:p>
              </w:tc>
              <w:tc>
                <w:tcPr>
                  <w:tcW w:w="2866" w:type="dxa"/>
                  <w:tcBorders>
                    <w:tl2br w:val="nil"/>
                    <w:tr2bl w:val="nil"/>
                  </w:tcBorders>
                  <w:shd w:val="clear" w:color="auto" w:fill="auto"/>
                  <w:vAlign w:val="center"/>
                </w:tcPr>
                <w:p w14:paraId="77B9E304">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《中华人民共和国固体废物污染环境防治法》（2020年9月1日施行）及《北京市生活垃圾管理条例》（2020年5月1日施行）</w:t>
                  </w:r>
                </w:p>
              </w:tc>
            </w:tr>
            <w:tr w14:paraId="45BB8E7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4" w:type="dxa"/>
                  <w:vMerge w:val="continue"/>
                  <w:tcBorders>
                    <w:tl2br w:val="nil"/>
                    <w:tr2bl w:val="nil"/>
                  </w:tcBorders>
                  <w:vAlign w:val="center"/>
                </w:tcPr>
                <w:p w14:paraId="6CD4BB89">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rightChars="0" w:firstLine="0" w:firstLineChars="0"/>
                    <w:jc w:val="center"/>
                    <w:textAlignment w:val="auto"/>
                    <w:rPr>
                      <w:rFonts w:hint="eastAsia"/>
                      <w:b w:val="0"/>
                      <w:bCs w:val="0"/>
                      <w:color w:val="auto"/>
                      <w:sz w:val="21"/>
                      <w:szCs w:val="21"/>
                      <w:highlight w:val="none"/>
                      <w:vertAlign w:val="baseline"/>
                      <w:lang w:val="en-US" w:eastAsia="zh-CN"/>
                    </w:rPr>
                  </w:pPr>
                </w:p>
              </w:tc>
              <w:tc>
                <w:tcPr>
                  <w:tcW w:w="1177" w:type="dxa"/>
                  <w:tcBorders>
                    <w:tl2br w:val="nil"/>
                    <w:tr2bl w:val="nil"/>
                  </w:tcBorders>
                  <w:vAlign w:val="center"/>
                </w:tcPr>
                <w:p w14:paraId="73575C59">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rightChars="0" w:firstLine="0" w:firstLineChars="0"/>
                    <w:jc w:val="center"/>
                    <w:textAlignment w:val="auto"/>
                    <w:rPr>
                      <w:rFonts w:hint="default"/>
                      <w:b w:val="0"/>
                      <w:bCs w:val="0"/>
                      <w:color w:val="auto"/>
                      <w:sz w:val="21"/>
                      <w:szCs w:val="21"/>
                      <w:highlight w:val="none"/>
                      <w:vertAlign w:val="baseline"/>
                      <w:lang w:val="en-US" w:eastAsia="zh-CN"/>
                    </w:rPr>
                  </w:pPr>
                  <w:r>
                    <w:rPr>
                      <w:rFonts w:hint="eastAsia"/>
                      <w:b w:val="0"/>
                      <w:bCs w:val="0"/>
                      <w:color w:val="auto"/>
                      <w:sz w:val="21"/>
                      <w:szCs w:val="21"/>
                      <w:highlight w:val="none"/>
                      <w:vertAlign w:val="baseline"/>
                      <w:lang w:val="en-US" w:eastAsia="zh-CN"/>
                    </w:rPr>
                    <w:t>一般固体废物</w:t>
                  </w:r>
                </w:p>
              </w:tc>
              <w:tc>
                <w:tcPr>
                  <w:tcW w:w="1212" w:type="dxa"/>
                  <w:tcBorders>
                    <w:tl2br w:val="nil"/>
                    <w:tr2bl w:val="nil"/>
                  </w:tcBorders>
                  <w:vAlign w:val="center"/>
                </w:tcPr>
                <w:p w14:paraId="662AB5E8">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rightChars="0" w:firstLine="0" w:firstLineChars="0"/>
                    <w:jc w:val="center"/>
                    <w:textAlignment w:val="auto"/>
                    <w:rPr>
                      <w:rFonts w:hint="eastAsia"/>
                      <w:b w:val="0"/>
                      <w:bCs w:val="0"/>
                      <w:color w:val="auto"/>
                      <w:sz w:val="21"/>
                      <w:szCs w:val="21"/>
                      <w:highlight w:val="none"/>
                      <w:vertAlign w:val="baseline"/>
                      <w:lang w:val="en-US" w:eastAsia="zh-CN"/>
                    </w:rPr>
                  </w:pPr>
                  <w:r>
                    <w:rPr>
                      <w:rFonts w:hint="default"/>
                      <w:b w:val="0"/>
                      <w:bCs w:val="0"/>
                      <w:color w:val="auto"/>
                      <w:sz w:val="21"/>
                      <w:szCs w:val="21"/>
                      <w:highlight w:val="none"/>
                      <w:vertAlign w:val="baseline"/>
                      <w:lang w:val="en-US" w:eastAsia="zh-CN"/>
                    </w:rPr>
                    <w:t>①无害废包装材料②未被污染的一次性输液瓶（袋）③消毒灯产生的废紫外线灯珠</w:t>
                  </w:r>
                </w:p>
              </w:tc>
              <w:tc>
                <w:tcPr>
                  <w:tcW w:w="1575" w:type="dxa"/>
                  <w:tcBorders>
                    <w:tl2br w:val="nil"/>
                    <w:tr2bl w:val="nil"/>
                  </w:tcBorders>
                  <w:vAlign w:val="center"/>
                </w:tcPr>
                <w:p w14:paraId="0D486CF9">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rightChars="0" w:firstLine="0" w:firstLineChars="0"/>
                    <w:jc w:val="center"/>
                    <w:textAlignment w:val="auto"/>
                    <w:rPr>
                      <w:rFonts w:hint="default"/>
                      <w:b w:val="0"/>
                      <w:bCs w:val="0"/>
                      <w:color w:val="auto"/>
                      <w:sz w:val="21"/>
                      <w:szCs w:val="21"/>
                      <w:highlight w:val="none"/>
                      <w:vertAlign w:val="baseline"/>
                      <w:lang w:val="en-US" w:eastAsia="zh-CN"/>
                    </w:rPr>
                  </w:pPr>
                  <w:r>
                    <w:rPr>
                      <w:rFonts w:hint="default"/>
                      <w:b w:val="0"/>
                      <w:bCs w:val="0"/>
                      <w:color w:val="auto"/>
                      <w:sz w:val="21"/>
                      <w:szCs w:val="21"/>
                      <w:highlight w:val="none"/>
                      <w:vertAlign w:val="baseline"/>
                      <w:lang w:val="en-US" w:eastAsia="zh-CN"/>
                    </w:rPr>
                    <w:t>①无害废包装材料</w:t>
                  </w:r>
                  <w:r>
                    <w:rPr>
                      <w:rFonts w:hint="eastAsia"/>
                      <w:b w:val="0"/>
                      <w:bCs w:val="0"/>
                      <w:color w:val="auto"/>
                      <w:sz w:val="21"/>
                      <w:szCs w:val="21"/>
                      <w:highlight w:val="none"/>
                      <w:vertAlign w:val="baseline"/>
                      <w:lang w:val="en-US" w:eastAsia="zh-CN"/>
                    </w:rPr>
                    <w:t>交由物资部门回收；</w:t>
                  </w:r>
                  <w:r>
                    <w:rPr>
                      <w:rFonts w:hint="default"/>
                      <w:b w:val="0"/>
                      <w:bCs w:val="0"/>
                      <w:color w:val="auto"/>
                      <w:sz w:val="21"/>
                      <w:szCs w:val="21"/>
                      <w:highlight w:val="none"/>
                      <w:vertAlign w:val="baseline"/>
                      <w:lang w:val="en-US" w:eastAsia="zh-CN"/>
                    </w:rPr>
                    <w:t>②未被污染的一次性输液瓶（袋）</w:t>
                  </w:r>
                  <w:r>
                    <w:rPr>
                      <w:rFonts w:hint="eastAsia"/>
                      <w:b w:val="0"/>
                      <w:bCs w:val="0"/>
                      <w:color w:val="auto"/>
                      <w:sz w:val="21"/>
                      <w:szCs w:val="21"/>
                      <w:highlight w:val="none"/>
                      <w:vertAlign w:val="baseline"/>
                      <w:lang w:val="en-US" w:eastAsia="zh-CN"/>
                    </w:rPr>
                    <w:t>回收企业回收；</w:t>
                  </w:r>
                  <w:r>
                    <w:rPr>
                      <w:rFonts w:hint="default"/>
                      <w:b w:val="0"/>
                      <w:bCs w:val="0"/>
                      <w:color w:val="auto"/>
                      <w:sz w:val="21"/>
                      <w:szCs w:val="21"/>
                      <w:highlight w:val="none"/>
                      <w:vertAlign w:val="baseline"/>
                      <w:lang w:val="en-US" w:eastAsia="zh-CN"/>
                    </w:rPr>
                    <w:t>③消毒灯产生的废紫外线灯珠</w:t>
                  </w:r>
                  <w:r>
                    <w:rPr>
                      <w:rFonts w:hint="eastAsia"/>
                      <w:b w:val="0"/>
                      <w:bCs w:val="0"/>
                      <w:color w:val="auto"/>
                      <w:sz w:val="21"/>
                      <w:szCs w:val="21"/>
                      <w:highlight w:val="none"/>
                      <w:vertAlign w:val="baseline"/>
                      <w:lang w:val="en-US" w:eastAsia="zh-CN"/>
                    </w:rPr>
                    <w:t>厂家回收</w:t>
                  </w:r>
                </w:p>
              </w:tc>
              <w:tc>
                <w:tcPr>
                  <w:tcW w:w="2866" w:type="dxa"/>
                  <w:tcBorders>
                    <w:tl2br w:val="nil"/>
                    <w:tr2bl w:val="nil"/>
                  </w:tcBorders>
                  <w:shd w:val="clear" w:color="auto" w:fill="auto"/>
                  <w:vAlign w:val="center"/>
                </w:tcPr>
                <w:p w14:paraId="41AF88B5">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《中华人民共和国固体废物污染环境防治法》（2020年9月1日施行）</w:t>
                  </w:r>
                </w:p>
              </w:tc>
            </w:tr>
            <w:tr w14:paraId="4EA381F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4" w:type="dxa"/>
                  <w:vMerge w:val="continue"/>
                  <w:tcBorders>
                    <w:tl2br w:val="nil"/>
                    <w:tr2bl w:val="nil"/>
                  </w:tcBorders>
                  <w:vAlign w:val="center"/>
                </w:tcPr>
                <w:p w14:paraId="3340F7FE">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rightChars="0" w:firstLine="0" w:firstLineChars="0"/>
                    <w:jc w:val="center"/>
                    <w:textAlignment w:val="auto"/>
                    <w:rPr>
                      <w:rFonts w:hint="default"/>
                      <w:b w:val="0"/>
                      <w:bCs w:val="0"/>
                      <w:color w:val="auto"/>
                      <w:sz w:val="21"/>
                      <w:szCs w:val="21"/>
                      <w:highlight w:val="none"/>
                      <w:vertAlign w:val="baseline"/>
                      <w:lang w:val="en-US" w:eastAsia="zh-CN"/>
                    </w:rPr>
                  </w:pPr>
                </w:p>
              </w:tc>
              <w:tc>
                <w:tcPr>
                  <w:tcW w:w="1177" w:type="dxa"/>
                  <w:tcBorders>
                    <w:tl2br w:val="nil"/>
                    <w:tr2bl w:val="nil"/>
                  </w:tcBorders>
                  <w:vAlign w:val="center"/>
                </w:tcPr>
                <w:p w14:paraId="6048F241">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rightChars="0" w:firstLine="0" w:firstLineChars="0"/>
                    <w:jc w:val="center"/>
                    <w:textAlignment w:val="auto"/>
                    <w:rPr>
                      <w:rFonts w:hint="default"/>
                      <w:b w:val="0"/>
                      <w:bCs w:val="0"/>
                      <w:color w:val="auto"/>
                      <w:sz w:val="21"/>
                      <w:szCs w:val="21"/>
                      <w:highlight w:val="none"/>
                      <w:vertAlign w:val="baseline"/>
                      <w:lang w:val="en-US" w:eastAsia="zh-CN"/>
                    </w:rPr>
                  </w:pPr>
                  <w:r>
                    <w:rPr>
                      <w:rFonts w:hint="eastAsia"/>
                      <w:b w:val="0"/>
                      <w:bCs w:val="0"/>
                      <w:color w:val="auto"/>
                      <w:sz w:val="21"/>
                      <w:szCs w:val="21"/>
                      <w:highlight w:val="none"/>
                      <w:vertAlign w:val="baseline"/>
                      <w:lang w:val="en-US" w:eastAsia="zh-CN"/>
                    </w:rPr>
                    <w:t>危险废物</w:t>
                  </w:r>
                </w:p>
              </w:tc>
              <w:tc>
                <w:tcPr>
                  <w:tcW w:w="1212" w:type="dxa"/>
                  <w:tcBorders>
                    <w:tl2br w:val="nil"/>
                    <w:tr2bl w:val="nil"/>
                  </w:tcBorders>
                  <w:vAlign w:val="center"/>
                </w:tcPr>
                <w:p w14:paraId="21DA2856">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rightChars="0" w:firstLine="0" w:firstLineChars="0"/>
                    <w:jc w:val="center"/>
                    <w:textAlignment w:val="auto"/>
                    <w:rPr>
                      <w:rFonts w:hint="default"/>
                      <w:b w:val="0"/>
                      <w:bCs w:val="0"/>
                      <w:color w:val="auto"/>
                      <w:sz w:val="21"/>
                      <w:szCs w:val="21"/>
                      <w:highlight w:val="none"/>
                      <w:vertAlign w:val="baseline"/>
                      <w:lang w:val="en-US" w:eastAsia="zh-CN"/>
                    </w:rPr>
                  </w:pPr>
                  <w:r>
                    <w:rPr>
                      <w:rFonts w:hint="eastAsia"/>
                      <w:b w:val="0"/>
                      <w:bCs w:val="0"/>
                      <w:color w:val="auto"/>
                      <w:sz w:val="21"/>
                      <w:szCs w:val="21"/>
                      <w:highlight w:val="none"/>
                      <w:vertAlign w:val="baseline"/>
                      <w:lang w:val="en-US" w:eastAsia="zh-CN"/>
                    </w:rPr>
                    <w:t>医疗废物、其他危险废物（污泥、栅渣，消毒剂沾染物）</w:t>
                  </w:r>
                </w:p>
              </w:tc>
              <w:tc>
                <w:tcPr>
                  <w:tcW w:w="1575" w:type="dxa"/>
                  <w:tcBorders>
                    <w:tl2br w:val="nil"/>
                    <w:tr2bl w:val="nil"/>
                  </w:tcBorders>
                  <w:vAlign w:val="center"/>
                </w:tcPr>
                <w:p w14:paraId="7B756179">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rightChars="0" w:firstLine="0" w:firstLineChars="0"/>
                    <w:jc w:val="center"/>
                    <w:textAlignment w:val="auto"/>
                    <w:rPr>
                      <w:rFonts w:hint="default"/>
                      <w:b w:val="0"/>
                      <w:bCs w:val="0"/>
                      <w:color w:val="auto"/>
                      <w:sz w:val="21"/>
                      <w:szCs w:val="21"/>
                      <w:highlight w:val="none"/>
                      <w:vertAlign w:val="baseline"/>
                      <w:lang w:val="en-US" w:eastAsia="zh-CN"/>
                    </w:rPr>
                  </w:pPr>
                  <w:r>
                    <w:rPr>
                      <w:rFonts w:hint="eastAsia"/>
                      <w:b w:val="0"/>
                      <w:bCs w:val="0"/>
                      <w:color w:val="auto"/>
                      <w:sz w:val="21"/>
                      <w:szCs w:val="21"/>
                      <w:highlight w:val="none"/>
                      <w:vertAlign w:val="baseline"/>
                      <w:lang w:val="en-US" w:eastAsia="zh-CN"/>
                    </w:rPr>
                    <w:t>设置1间医疗废物暂存间对危险废物进行分类收集暂存，定期委托资质单位进行清运处置</w:t>
                  </w:r>
                </w:p>
              </w:tc>
              <w:tc>
                <w:tcPr>
                  <w:tcW w:w="2866" w:type="dxa"/>
                  <w:tcBorders>
                    <w:tl2br w:val="nil"/>
                    <w:tr2bl w:val="nil"/>
                  </w:tcBorders>
                  <w:shd w:val="clear" w:color="auto" w:fill="auto"/>
                  <w:vAlign w:val="center"/>
                </w:tcPr>
                <w:p w14:paraId="40D19F7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中华人民共和国固体废物污染环境防治法》（2020年4月29日修订）、《北京市生活垃圾管理条例》（北京市人民代表大会常务委员会公告，（十五届）第39号，2020年9月25日修正）、《危险废物贮存污染控制标准》（GB18597-2023）、《医疗废物管理条例》（中华人民共和国国务院令第380号令）</w:t>
                  </w:r>
                </w:p>
              </w:tc>
            </w:tr>
          </w:tbl>
          <w:p w14:paraId="0945D990">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rightChars="0" w:firstLine="480" w:firstLineChars="200"/>
              <w:textAlignment w:val="auto"/>
              <w:rPr>
                <w:rFonts w:hint="eastAsia"/>
                <w:b w:val="0"/>
                <w:bCs w:val="0"/>
                <w:color w:val="auto"/>
                <w:sz w:val="24"/>
                <w:szCs w:val="24"/>
                <w:highlight w:val="none"/>
                <w:lang w:val="en-US" w:eastAsia="zh-CN"/>
              </w:rPr>
            </w:pPr>
          </w:p>
          <w:p w14:paraId="141C536D">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rightChars="0" w:firstLine="480" w:firstLineChars="200"/>
              <w:textAlignment w:val="auto"/>
              <w:rPr>
                <w:rFonts w:hint="eastAsia"/>
                <w:b w:val="0"/>
                <w:bCs w:val="0"/>
                <w:color w:val="auto"/>
                <w:sz w:val="24"/>
                <w:szCs w:val="24"/>
                <w:highlight w:val="none"/>
                <w:lang w:val="en-US" w:eastAsia="zh-CN"/>
              </w:rPr>
            </w:pPr>
          </w:p>
          <w:p w14:paraId="3955747F">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rightChars="0" w:firstLine="480" w:firstLineChars="200"/>
              <w:textAlignment w:val="auto"/>
              <w:rPr>
                <w:rFonts w:hint="eastAsia"/>
                <w:b w:val="0"/>
                <w:bCs w:val="0"/>
                <w:color w:val="auto"/>
                <w:sz w:val="24"/>
                <w:szCs w:val="24"/>
                <w:highlight w:val="none"/>
                <w:lang w:val="en-US" w:eastAsia="zh-CN"/>
              </w:rPr>
            </w:pPr>
          </w:p>
        </w:tc>
      </w:tr>
    </w:tbl>
    <w:p w14:paraId="10B028FC">
      <w:pPr>
        <w:spacing w:before="0" w:beforeAutospacing="0" w:after="0" w:afterAutospacing="0"/>
        <w:jc w:val="center"/>
        <w:outlineLvl w:val="0"/>
        <w:rPr>
          <w:rFonts w:ascii="黑体" w:hAnsi="黑体" w:eastAsia="黑体"/>
          <w:snapToGrid w:val="0"/>
          <w:color w:val="auto"/>
          <w:sz w:val="30"/>
          <w:szCs w:val="30"/>
          <w:highlight w:val="none"/>
        </w:rPr>
      </w:pPr>
      <w:r>
        <w:rPr>
          <w:snapToGrid w:val="0"/>
          <w:color w:val="auto"/>
          <w:highlight w:val="none"/>
        </w:rPr>
        <w:br w:type="page"/>
      </w:r>
      <w:r>
        <w:rPr>
          <w:rFonts w:hint="eastAsia" w:ascii="黑体" w:hAnsi="黑体" w:eastAsia="黑体"/>
          <w:snapToGrid w:val="0"/>
          <w:color w:val="auto"/>
          <w:sz w:val="30"/>
          <w:szCs w:val="30"/>
          <w:highlight w:val="none"/>
        </w:rPr>
        <w:t>六、结论</w:t>
      </w:r>
    </w:p>
    <w:tbl>
      <w:tblPr>
        <w:tblStyle w:val="12"/>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173"/>
      </w:tblGrid>
      <w:tr w14:paraId="0FC8C13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0" w:type="auto"/>
            <w:vAlign w:val="center"/>
          </w:tcPr>
          <w:p w14:paraId="0D5A318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textAlignment w:val="auto"/>
              <w:rPr>
                <w:rFonts w:hint="default"/>
                <w:color w:val="auto"/>
              </w:rPr>
            </w:pPr>
          </w:p>
          <w:p w14:paraId="2B1DF83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textAlignment w:val="auto"/>
              <w:rPr>
                <w:rFonts w:hint="default"/>
                <w:color w:val="auto"/>
              </w:rPr>
            </w:pPr>
            <w:r>
              <w:rPr>
                <w:rFonts w:hint="default"/>
                <w:color w:val="auto"/>
              </w:rPr>
              <w:t>综上所述：本项目符合相关规划要求，符合国家及北京市相关产业政策，废气、废水、噪声治理措施可靠有效，污染物均能够达标排放，固体废物得到妥善处理处置，对环境影响较小，可以满足当地的环境功能区划的要求，在全面加强监督管理，执行环保</w:t>
            </w:r>
            <w:r>
              <w:rPr>
                <w:rFonts w:hint="eastAsia"/>
                <w:color w:val="auto"/>
                <w:lang w:eastAsia="zh-CN"/>
              </w:rPr>
              <w:t>“</w:t>
            </w:r>
            <w:r>
              <w:rPr>
                <w:rFonts w:hint="default"/>
                <w:color w:val="auto"/>
              </w:rPr>
              <w:t>三同时</w:t>
            </w:r>
            <w:r>
              <w:rPr>
                <w:rFonts w:hint="eastAsia"/>
                <w:color w:val="auto"/>
                <w:lang w:eastAsia="zh-CN"/>
              </w:rPr>
              <w:t>”</w:t>
            </w:r>
            <w:r>
              <w:rPr>
                <w:rFonts w:hint="default"/>
                <w:color w:val="auto"/>
              </w:rPr>
              <w:t>制度和认真落实各项环保措施的条件下，可实现各类污染物稳定达标排放，满足区域总量控制要求。从环境保护角度分析，项目的建设是可行的。</w:t>
            </w:r>
          </w:p>
          <w:p w14:paraId="1FB1C37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textAlignment w:val="auto"/>
              <w:rPr>
                <w:rFonts w:hint="default"/>
                <w:color w:val="auto"/>
              </w:rPr>
            </w:pPr>
          </w:p>
          <w:p w14:paraId="150581D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textAlignment w:val="auto"/>
              <w:rPr>
                <w:rFonts w:hint="default"/>
                <w:color w:val="auto"/>
              </w:rPr>
            </w:pPr>
          </w:p>
          <w:p w14:paraId="15DB551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textAlignment w:val="auto"/>
              <w:rPr>
                <w:rFonts w:hint="default"/>
                <w:color w:val="auto"/>
              </w:rPr>
            </w:pPr>
          </w:p>
          <w:p w14:paraId="6EA86E3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textAlignment w:val="auto"/>
              <w:rPr>
                <w:rFonts w:hint="default"/>
                <w:color w:val="auto"/>
              </w:rPr>
            </w:pPr>
          </w:p>
          <w:p w14:paraId="17101F6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textAlignment w:val="auto"/>
              <w:rPr>
                <w:rFonts w:hint="default"/>
                <w:color w:val="auto"/>
              </w:rPr>
            </w:pPr>
          </w:p>
          <w:p w14:paraId="7D1A407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textAlignment w:val="auto"/>
              <w:rPr>
                <w:rFonts w:hint="default"/>
                <w:color w:val="auto"/>
              </w:rPr>
            </w:pPr>
          </w:p>
          <w:p w14:paraId="2180F2F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textAlignment w:val="auto"/>
              <w:rPr>
                <w:rFonts w:hint="default"/>
                <w:color w:val="auto"/>
              </w:rPr>
            </w:pPr>
          </w:p>
          <w:p w14:paraId="6BC2863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textAlignment w:val="auto"/>
              <w:rPr>
                <w:rFonts w:hint="default"/>
                <w:color w:val="auto"/>
              </w:rPr>
            </w:pPr>
          </w:p>
          <w:p w14:paraId="4DD5F5E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textAlignment w:val="auto"/>
              <w:rPr>
                <w:rFonts w:hint="default"/>
                <w:color w:val="auto"/>
              </w:rPr>
            </w:pPr>
          </w:p>
          <w:p w14:paraId="4E62D93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textAlignment w:val="auto"/>
              <w:rPr>
                <w:rFonts w:hint="default"/>
                <w:color w:val="auto"/>
              </w:rPr>
            </w:pPr>
          </w:p>
          <w:p w14:paraId="1435954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textAlignment w:val="auto"/>
              <w:rPr>
                <w:rFonts w:hint="default"/>
                <w:color w:val="auto"/>
              </w:rPr>
            </w:pPr>
          </w:p>
          <w:p w14:paraId="28512DB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textAlignment w:val="auto"/>
              <w:rPr>
                <w:rFonts w:hint="default"/>
                <w:color w:val="auto"/>
              </w:rPr>
            </w:pPr>
          </w:p>
          <w:p w14:paraId="59A2D0F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textAlignment w:val="auto"/>
              <w:rPr>
                <w:rFonts w:hint="default"/>
                <w:color w:val="auto"/>
              </w:rPr>
            </w:pPr>
          </w:p>
          <w:p w14:paraId="50837E5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textAlignment w:val="auto"/>
              <w:rPr>
                <w:rFonts w:hint="default"/>
                <w:color w:val="auto"/>
              </w:rPr>
            </w:pPr>
          </w:p>
          <w:p w14:paraId="58AD0F2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textAlignment w:val="auto"/>
              <w:rPr>
                <w:rFonts w:hint="default"/>
                <w:color w:val="auto"/>
              </w:rPr>
            </w:pPr>
          </w:p>
          <w:p w14:paraId="13EDA55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textAlignment w:val="auto"/>
              <w:rPr>
                <w:rFonts w:hint="default"/>
                <w:color w:val="auto"/>
              </w:rPr>
            </w:pPr>
          </w:p>
          <w:p w14:paraId="3894C16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textAlignment w:val="auto"/>
              <w:rPr>
                <w:rFonts w:hint="default"/>
                <w:color w:val="auto"/>
              </w:rPr>
            </w:pPr>
          </w:p>
          <w:p w14:paraId="4254ADE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textAlignment w:val="auto"/>
              <w:rPr>
                <w:rFonts w:hint="default"/>
                <w:color w:val="auto"/>
              </w:rPr>
            </w:pPr>
          </w:p>
          <w:p w14:paraId="2029F31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textAlignment w:val="auto"/>
              <w:rPr>
                <w:rFonts w:hint="default"/>
                <w:color w:val="auto"/>
              </w:rPr>
            </w:pPr>
          </w:p>
          <w:p w14:paraId="7AD5145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textAlignment w:val="auto"/>
              <w:rPr>
                <w:rFonts w:hint="default"/>
                <w:color w:val="auto"/>
              </w:rPr>
            </w:pPr>
          </w:p>
          <w:p w14:paraId="4597E25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textAlignment w:val="auto"/>
              <w:rPr>
                <w:rFonts w:hint="default"/>
                <w:color w:val="auto"/>
              </w:rPr>
            </w:pPr>
          </w:p>
          <w:p w14:paraId="0DD708B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textAlignment w:val="auto"/>
              <w:rPr>
                <w:rFonts w:hint="default"/>
                <w:color w:val="auto"/>
              </w:rPr>
            </w:pPr>
          </w:p>
          <w:p w14:paraId="284E8B8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textAlignment w:val="auto"/>
              <w:rPr>
                <w:rFonts w:hint="default"/>
                <w:color w:val="auto"/>
              </w:rPr>
            </w:pPr>
          </w:p>
          <w:p w14:paraId="727B1F8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textAlignment w:val="auto"/>
              <w:rPr>
                <w:rFonts w:hint="default"/>
                <w:color w:val="auto"/>
              </w:rPr>
            </w:pPr>
          </w:p>
          <w:p w14:paraId="43BC6BD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textAlignment w:val="auto"/>
              <w:rPr>
                <w:rFonts w:hint="default"/>
                <w:color w:val="auto"/>
              </w:rPr>
            </w:pPr>
          </w:p>
        </w:tc>
      </w:tr>
    </w:tbl>
    <w:p w14:paraId="4C5F43B2">
      <w:pPr>
        <w:rPr>
          <w:rFonts w:ascii="宋体"/>
          <w:color w:val="auto"/>
          <w:highlight w:val="none"/>
        </w:rPr>
        <w:sectPr>
          <w:pgSz w:w="11905" w:h="16838"/>
          <w:pgMar w:top="1474" w:right="1474" w:bottom="1474" w:left="1474" w:header="850" w:footer="850" w:gutter="0"/>
          <w:pgBorders>
            <w:top w:val="none" w:sz="0" w:space="0"/>
            <w:left w:val="none" w:sz="0" w:space="0"/>
            <w:bottom w:val="none" w:sz="0" w:space="0"/>
            <w:right w:val="none" w:sz="0" w:space="0"/>
          </w:pgBorders>
          <w:pgNumType w:fmt="decimal"/>
          <w:cols w:space="0" w:num="1"/>
          <w:docGrid w:linePitch="312" w:charSpace="0"/>
        </w:sectPr>
      </w:pPr>
    </w:p>
    <w:p w14:paraId="2EF986FD">
      <w:pPr>
        <w:bidi w:val="0"/>
        <w:rPr>
          <w:rFonts w:ascii="黑体" w:hAnsi="黑体" w:eastAsia="黑体"/>
          <w:snapToGrid w:val="0"/>
          <w:color w:val="auto"/>
          <w:szCs w:val="32"/>
          <w:highlight w:val="none"/>
        </w:rPr>
      </w:pPr>
      <w:r>
        <w:rPr>
          <w:rFonts w:hint="eastAsia" w:ascii="黑体" w:hAnsi="黑体" w:eastAsia="黑体" w:cs="黑体"/>
          <w:b w:val="0"/>
          <w:bCs w:val="0"/>
          <w:sz w:val="32"/>
          <w:szCs w:val="32"/>
        </w:rPr>
        <w:t>附表</w:t>
      </w:r>
    </w:p>
    <w:p w14:paraId="5BCEB08C">
      <w:pPr>
        <w:adjustRightInd w:val="0"/>
        <w:snapToGrid w:val="0"/>
        <w:spacing w:before="0" w:beforeAutospacing="0" w:after="0" w:afterAutospacing="0"/>
        <w:jc w:val="center"/>
        <w:outlineLvl w:val="0"/>
        <w:rPr>
          <w:rFonts w:ascii="方正小标宋_GBK" w:hAnsi="黑体" w:eastAsia="方正小标宋_GBK"/>
          <w:snapToGrid w:val="0"/>
          <w:color w:val="auto"/>
          <w:sz w:val="28"/>
          <w:szCs w:val="28"/>
          <w:highlight w:val="none"/>
        </w:rPr>
      </w:pPr>
      <w:r>
        <w:rPr>
          <w:rFonts w:hint="eastAsia" w:ascii="方正小标宋_GBK" w:hAnsi="黑体" w:eastAsia="方正小标宋_GBK"/>
          <w:snapToGrid w:val="0"/>
          <w:color w:val="auto"/>
          <w:sz w:val="28"/>
          <w:szCs w:val="28"/>
          <w:highlight w:val="none"/>
        </w:rPr>
        <w:t>建设项目污染物排放量汇总表</w:t>
      </w:r>
    </w:p>
    <w:tbl>
      <w:tblPr>
        <w:tblStyle w:val="12"/>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16"/>
        <w:gridCol w:w="755"/>
        <w:gridCol w:w="1709"/>
        <w:gridCol w:w="1518"/>
        <w:gridCol w:w="1518"/>
        <w:gridCol w:w="1518"/>
        <w:gridCol w:w="1518"/>
        <w:gridCol w:w="1518"/>
        <w:gridCol w:w="1518"/>
        <w:gridCol w:w="1518"/>
      </w:tblGrid>
      <w:tr w14:paraId="464D0C0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1" w:type="dxa"/>
            <w:gridSpan w:val="2"/>
            <w:tcBorders>
              <w:tl2br w:val="single" w:color="auto" w:sz="4" w:space="0"/>
            </w:tcBorders>
            <w:tcMar>
              <w:left w:w="28" w:type="dxa"/>
              <w:right w:w="28" w:type="dxa"/>
            </w:tcMar>
            <w:vAlign w:val="center"/>
          </w:tcPr>
          <w:p w14:paraId="38DC6E5E">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right"/>
              <w:textAlignment w:val="auto"/>
              <w:rPr>
                <w:rFonts w:hint="default" w:ascii="黑体" w:hAnsi="黑体" w:eastAsia="黑体" w:cs="宋体"/>
                <w:snapToGrid w:val="0"/>
                <w:color w:val="auto"/>
                <w:spacing w:val="-6"/>
                <w:kern w:val="21"/>
                <w:sz w:val="21"/>
                <w:szCs w:val="21"/>
                <w:highlight w:val="none"/>
              </w:rPr>
            </w:pPr>
            <w:r>
              <w:rPr>
                <w:rFonts w:hint="eastAsia" w:ascii="黑体" w:hAnsi="黑体" w:eastAsia="黑体" w:cs="宋体"/>
                <w:snapToGrid w:val="0"/>
                <w:color w:val="auto"/>
                <w:spacing w:val="-6"/>
                <w:kern w:val="21"/>
                <w:sz w:val="21"/>
                <w:szCs w:val="21"/>
                <w:highlight w:val="none"/>
              </w:rPr>
              <w:t>项目</w:t>
            </w:r>
          </w:p>
          <w:p w14:paraId="5248233E">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left"/>
              <w:textAlignment w:val="auto"/>
              <w:rPr>
                <w:rFonts w:hint="default" w:ascii="黑体" w:hAnsi="黑体" w:eastAsia="黑体" w:cs="宋体"/>
                <w:snapToGrid w:val="0"/>
                <w:color w:val="auto"/>
                <w:spacing w:val="-6"/>
                <w:kern w:val="21"/>
                <w:sz w:val="21"/>
                <w:szCs w:val="21"/>
                <w:highlight w:val="none"/>
              </w:rPr>
            </w:pPr>
            <w:r>
              <w:rPr>
                <w:rFonts w:hint="eastAsia" w:ascii="黑体" w:hAnsi="黑体" w:eastAsia="黑体" w:cs="宋体"/>
                <w:snapToGrid w:val="0"/>
                <w:color w:val="auto"/>
                <w:spacing w:val="-6"/>
                <w:kern w:val="21"/>
                <w:sz w:val="21"/>
                <w:szCs w:val="21"/>
                <w:highlight w:val="none"/>
              </w:rPr>
              <w:t>分类</w:t>
            </w:r>
          </w:p>
        </w:tc>
        <w:tc>
          <w:tcPr>
            <w:tcW w:w="1709" w:type="dxa"/>
            <w:tcMar>
              <w:left w:w="28" w:type="dxa"/>
              <w:right w:w="28" w:type="dxa"/>
            </w:tcMar>
            <w:vAlign w:val="center"/>
          </w:tcPr>
          <w:p w14:paraId="69E5781D">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黑体" w:hAnsi="黑体" w:eastAsia="黑体" w:cs="宋体"/>
                <w:snapToGrid w:val="0"/>
                <w:color w:val="auto"/>
                <w:spacing w:val="-6"/>
                <w:kern w:val="21"/>
                <w:sz w:val="21"/>
                <w:szCs w:val="21"/>
                <w:highlight w:val="none"/>
              </w:rPr>
            </w:pPr>
            <w:r>
              <w:rPr>
                <w:rFonts w:hint="eastAsia" w:ascii="黑体" w:hAnsi="黑体" w:eastAsia="黑体" w:cs="宋体"/>
                <w:snapToGrid w:val="0"/>
                <w:color w:val="auto"/>
                <w:spacing w:val="-6"/>
                <w:kern w:val="21"/>
                <w:sz w:val="21"/>
                <w:szCs w:val="21"/>
                <w:highlight w:val="none"/>
              </w:rPr>
              <w:t>污染物名称</w:t>
            </w:r>
          </w:p>
        </w:tc>
        <w:tc>
          <w:tcPr>
            <w:tcW w:w="1518" w:type="dxa"/>
            <w:tcMar>
              <w:left w:w="28" w:type="dxa"/>
              <w:right w:w="28" w:type="dxa"/>
            </w:tcMar>
            <w:vAlign w:val="center"/>
          </w:tcPr>
          <w:p w14:paraId="18117A09">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黑体" w:hAnsi="黑体" w:eastAsia="黑体"/>
                <w:snapToGrid w:val="0"/>
                <w:color w:val="auto"/>
                <w:spacing w:val="-6"/>
                <w:kern w:val="21"/>
                <w:sz w:val="21"/>
                <w:szCs w:val="21"/>
                <w:highlight w:val="none"/>
              </w:rPr>
            </w:pPr>
            <w:r>
              <w:rPr>
                <w:rFonts w:hint="default" w:ascii="黑体" w:hAnsi="黑体" w:eastAsia="黑体"/>
                <w:snapToGrid w:val="0"/>
                <w:color w:val="auto"/>
                <w:spacing w:val="-6"/>
                <w:kern w:val="21"/>
                <w:sz w:val="21"/>
                <w:szCs w:val="21"/>
                <w:highlight w:val="none"/>
              </w:rPr>
              <w:t>现有工程</w:t>
            </w:r>
          </w:p>
          <w:p w14:paraId="2C743D1F">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黑体" w:hAnsi="黑体" w:eastAsia="黑体"/>
                <w:snapToGrid w:val="0"/>
                <w:color w:val="auto"/>
                <w:spacing w:val="-6"/>
                <w:kern w:val="21"/>
                <w:sz w:val="21"/>
                <w:szCs w:val="21"/>
                <w:highlight w:val="none"/>
              </w:rPr>
            </w:pPr>
            <w:r>
              <w:rPr>
                <w:rFonts w:hint="default" w:ascii="黑体" w:hAnsi="黑体" w:eastAsia="黑体"/>
                <w:snapToGrid w:val="0"/>
                <w:color w:val="auto"/>
                <w:spacing w:val="-6"/>
                <w:kern w:val="21"/>
                <w:sz w:val="21"/>
                <w:szCs w:val="21"/>
                <w:highlight w:val="none"/>
              </w:rPr>
              <w:t>排放量（固</w:t>
            </w:r>
            <w:r>
              <w:rPr>
                <w:rFonts w:hint="eastAsia" w:ascii="黑体" w:hAnsi="黑体" w:eastAsia="黑体"/>
                <w:snapToGrid w:val="0"/>
                <w:color w:val="auto"/>
                <w:spacing w:val="-6"/>
                <w:kern w:val="21"/>
                <w:sz w:val="21"/>
                <w:szCs w:val="21"/>
                <w:highlight w:val="none"/>
              </w:rPr>
              <w:t>体</w:t>
            </w:r>
            <w:r>
              <w:rPr>
                <w:rFonts w:hint="default" w:ascii="黑体" w:hAnsi="黑体" w:eastAsia="黑体"/>
                <w:snapToGrid w:val="0"/>
                <w:color w:val="auto"/>
                <w:spacing w:val="-6"/>
                <w:kern w:val="21"/>
                <w:sz w:val="21"/>
                <w:szCs w:val="21"/>
                <w:highlight w:val="none"/>
              </w:rPr>
              <w:t>废</w:t>
            </w:r>
            <w:r>
              <w:rPr>
                <w:rFonts w:hint="eastAsia" w:ascii="黑体" w:hAnsi="黑体" w:eastAsia="黑体"/>
                <w:snapToGrid w:val="0"/>
                <w:color w:val="auto"/>
                <w:spacing w:val="-6"/>
                <w:kern w:val="21"/>
                <w:sz w:val="21"/>
                <w:szCs w:val="21"/>
                <w:highlight w:val="none"/>
              </w:rPr>
              <w:t>物</w:t>
            </w:r>
            <w:r>
              <w:rPr>
                <w:rFonts w:hint="default" w:ascii="黑体" w:hAnsi="黑体" w:eastAsia="黑体"/>
                <w:snapToGrid w:val="0"/>
                <w:color w:val="auto"/>
                <w:spacing w:val="-6"/>
                <w:kern w:val="21"/>
                <w:sz w:val="21"/>
                <w:szCs w:val="21"/>
                <w:highlight w:val="none"/>
              </w:rPr>
              <w:t>产生量）</w:t>
            </w:r>
            <w:r>
              <w:rPr>
                <w:rFonts w:hint="default" w:ascii="黑体" w:hAnsi="黑体" w:eastAsia="黑体"/>
                <w:snapToGrid w:val="0"/>
                <w:color w:val="auto"/>
                <w:spacing w:val="-6"/>
                <w:kern w:val="21"/>
                <w:sz w:val="21"/>
                <w:szCs w:val="21"/>
                <w:highlight w:val="none"/>
              </w:rPr>
              <w:fldChar w:fldCharType="begin"/>
            </w:r>
            <w:r>
              <w:rPr>
                <w:rFonts w:hint="default" w:ascii="黑体" w:hAnsi="黑体" w:eastAsia="黑体"/>
                <w:snapToGrid w:val="0"/>
                <w:color w:val="auto"/>
                <w:spacing w:val="-6"/>
                <w:kern w:val="21"/>
                <w:sz w:val="21"/>
                <w:szCs w:val="21"/>
                <w:highlight w:val="none"/>
              </w:rPr>
              <w:instrText xml:space="preserve"> = 1 \* GB3 \* MERGEFORMAT </w:instrText>
            </w:r>
            <w:r>
              <w:rPr>
                <w:rFonts w:hint="default" w:ascii="黑体" w:hAnsi="黑体" w:eastAsia="黑体"/>
                <w:snapToGrid w:val="0"/>
                <w:color w:val="auto"/>
                <w:spacing w:val="-6"/>
                <w:kern w:val="21"/>
                <w:sz w:val="21"/>
                <w:szCs w:val="21"/>
                <w:highlight w:val="none"/>
              </w:rPr>
              <w:fldChar w:fldCharType="separate"/>
            </w:r>
            <w:r>
              <w:rPr>
                <w:rFonts w:hint="eastAsia" w:ascii="黑体" w:hAnsi="黑体" w:eastAsia="黑体" w:cs="宋体"/>
                <w:color w:val="auto"/>
                <w:sz w:val="21"/>
                <w:szCs w:val="21"/>
                <w:highlight w:val="none"/>
              </w:rPr>
              <w:t>①</w:t>
            </w:r>
            <w:r>
              <w:rPr>
                <w:rFonts w:hint="default" w:ascii="黑体" w:hAnsi="黑体" w:eastAsia="黑体"/>
                <w:snapToGrid w:val="0"/>
                <w:color w:val="auto"/>
                <w:spacing w:val="-6"/>
                <w:kern w:val="21"/>
                <w:sz w:val="21"/>
                <w:szCs w:val="21"/>
                <w:highlight w:val="none"/>
              </w:rPr>
              <w:fldChar w:fldCharType="end"/>
            </w:r>
          </w:p>
        </w:tc>
        <w:tc>
          <w:tcPr>
            <w:tcW w:w="1518" w:type="dxa"/>
            <w:tcMar>
              <w:left w:w="28" w:type="dxa"/>
              <w:right w:w="28" w:type="dxa"/>
            </w:tcMar>
            <w:vAlign w:val="center"/>
          </w:tcPr>
          <w:p w14:paraId="1A007140">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黑体" w:hAnsi="黑体" w:eastAsia="黑体"/>
                <w:snapToGrid w:val="0"/>
                <w:color w:val="auto"/>
                <w:spacing w:val="-6"/>
                <w:kern w:val="21"/>
                <w:sz w:val="21"/>
                <w:szCs w:val="21"/>
                <w:highlight w:val="none"/>
              </w:rPr>
            </w:pPr>
            <w:r>
              <w:rPr>
                <w:rFonts w:hint="default" w:ascii="黑体" w:hAnsi="黑体" w:eastAsia="黑体"/>
                <w:snapToGrid w:val="0"/>
                <w:color w:val="auto"/>
                <w:spacing w:val="-6"/>
                <w:kern w:val="21"/>
                <w:sz w:val="21"/>
                <w:szCs w:val="21"/>
                <w:highlight w:val="none"/>
              </w:rPr>
              <w:t>现有工程</w:t>
            </w:r>
          </w:p>
          <w:p w14:paraId="5BECB126">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黑体" w:hAnsi="黑体" w:eastAsia="黑体"/>
                <w:snapToGrid w:val="0"/>
                <w:color w:val="auto"/>
                <w:spacing w:val="-6"/>
                <w:kern w:val="21"/>
                <w:sz w:val="21"/>
                <w:szCs w:val="21"/>
                <w:highlight w:val="none"/>
              </w:rPr>
            </w:pPr>
            <w:r>
              <w:rPr>
                <w:rFonts w:hint="default" w:ascii="黑体" w:hAnsi="黑体" w:eastAsia="黑体"/>
                <w:snapToGrid w:val="0"/>
                <w:color w:val="auto"/>
                <w:spacing w:val="-6"/>
                <w:kern w:val="21"/>
                <w:sz w:val="21"/>
                <w:szCs w:val="21"/>
                <w:highlight w:val="none"/>
              </w:rPr>
              <w:t>许可排放量</w:t>
            </w:r>
          </w:p>
          <w:p w14:paraId="244E8325">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黑体" w:hAnsi="黑体" w:eastAsia="黑体"/>
                <w:snapToGrid w:val="0"/>
                <w:color w:val="auto"/>
                <w:spacing w:val="-6"/>
                <w:kern w:val="21"/>
                <w:sz w:val="21"/>
                <w:szCs w:val="21"/>
                <w:highlight w:val="none"/>
              </w:rPr>
            </w:pPr>
            <w:r>
              <w:rPr>
                <w:rFonts w:hint="default" w:ascii="黑体" w:hAnsi="黑体" w:eastAsia="黑体"/>
                <w:snapToGrid w:val="0"/>
                <w:color w:val="auto"/>
                <w:spacing w:val="-6"/>
                <w:kern w:val="21"/>
                <w:sz w:val="21"/>
                <w:szCs w:val="21"/>
                <w:highlight w:val="none"/>
              </w:rPr>
              <w:fldChar w:fldCharType="begin"/>
            </w:r>
            <w:r>
              <w:rPr>
                <w:rFonts w:hint="default" w:ascii="黑体" w:hAnsi="黑体" w:eastAsia="黑体"/>
                <w:snapToGrid w:val="0"/>
                <w:color w:val="auto"/>
                <w:spacing w:val="-6"/>
                <w:kern w:val="21"/>
                <w:sz w:val="21"/>
                <w:szCs w:val="21"/>
                <w:highlight w:val="none"/>
              </w:rPr>
              <w:instrText xml:space="preserve"> = 2 \* GB3 \* MERGEFORMAT </w:instrText>
            </w:r>
            <w:r>
              <w:rPr>
                <w:rFonts w:hint="default" w:ascii="黑体" w:hAnsi="黑体" w:eastAsia="黑体"/>
                <w:snapToGrid w:val="0"/>
                <w:color w:val="auto"/>
                <w:spacing w:val="-6"/>
                <w:kern w:val="21"/>
                <w:sz w:val="21"/>
                <w:szCs w:val="21"/>
                <w:highlight w:val="none"/>
              </w:rPr>
              <w:fldChar w:fldCharType="separate"/>
            </w:r>
            <w:r>
              <w:rPr>
                <w:rFonts w:hint="eastAsia" w:ascii="黑体" w:hAnsi="黑体" w:eastAsia="黑体" w:cs="宋体"/>
                <w:snapToGrid w:val="0"/>
                <w:color w:val="auto"/>
                <w:spacing w:val="-6"/>
                <w:kern w:val="21"/>
                <w:sz w:val="21"/>
                <w:szCs w:val="21"/>
                <w:highlight w:val="none"/>
              </w:rPr>
              <w:t>②</w:t>
            </w:r>
            <w:r>
              <w:rPr>
                <w:rFonts w:hint="default" w:ascii="黑体" w:hAnsi="黑体" w:eastAsia="黑体"/>
                <w:snapToGrid w:val="0"/>
                <w:color w:val="auto"/>
                <w:spacing w:val="-6"/>
                <w:kern w:val="21"/>
                <w:sz w:val="21"/>
                <w:szCs w:val="21"/>
                <w:highlight w:val="none"/>
              </w:rPr>
              <w:fldChar w:fldCharType="end"/>
            </w:r>
          </w:p>
        </w:tc>
        <w:tc>
          <w:tcPr>
            <w:tcW w:w="1518" w:type="dxa"/>
            <w:tcMar>
              <w:left w:w="28" w:type="dxa"/>
              <w:right w:w="28" w:type="dxa"/>
            </w:tcMar>
            <w:vAlign w:val="center"/>
          </w:tcPr>
          <w:p w14:paraId="034A8CC7">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黑体" w:hAnsi="黑体" w:eastAsia="黑体"/>
                <w:snapToGrid w:val="0"/>
                <w:color w:val="auto"/>
                <w:spacing w:val="-6"/>
                <w:kern w:val="21"/>
                <w:sz w:val="21"/>
                <w:szCs w:val="21"/>
                <w:highlight w:val="none"/>
              </w:rPr>
            </w:pPr>
            <w:r>
              <w:rPr>
                <w:rFonts w:hint="default" w:ascii="黑体" w:hAnsi="黑体" w:eastAsia="黑体"/>
                <w:snapToGrid w:val="0"/>
                <w:color w:val="auto"/>
                <w:spacing w:val="-6"/>
                <w:kern w:val="21"/>
                <w:sz w:val="21"/>
                <w:szCs w:val="21"/>
                <w:highlight w:val="none"/>
              </w:rPr>
              <w:t>在建工程</w:t>
            </w:r>
          </w:p>
          <w:p w14:paraId="7C99E85E">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黑体" w:hAnsi="黑体" w:eastAsia="黑体"/>
                <w:snapToGrid w:val="0"/>
                <w:color w:val="auto"/>
                <w:spacing w:val="-6"/>
                <w:kern w:val="21"/>
                <w:sz w:val="21"/>
                <w:szCs w:val="21"/>
                <w:highlight w:val="none"/>
              </w:rPr>
            </w:pPr>
            <w:r>
              <w:rPr>
                <w:rFonts w:hint="default" w:ascii="黑体" w:hAnsi="黑体" w:eastAsia="黑体"/>
                <w:snapToGrid w:val="0"/>
                <w:color w:val="auto"/>
                <w:spacing w:val="-6"/>
                <w:kern w:val="21"/>
                <w:sz w:val="21"/>
                <w:szCs w:val="21"/>
                <w:highlight w:val="none"/>
              </w:rPr>
              <w:t>排放量（固</w:t>
            </w:r>
            <w:r>
              <w:rPr>
                <w:rFonts w:hint="eastAsia" w:ascii="黑体" w:hAnsi="黑体" w:eastAsia="黑体"/>
                <w:snapToGrid w:val="0"/>
                <w:color w:val="auto"/>
                <w:spacing w:val="-6"/>
                <w:kern w:val="21"/>
                <w:sz w:val="21"/>
                <w:szCs w:val="21"/>
                <w:highlight w:val="none"/>
              </w:rPr>
              <w:t>体</w:t>
            </w:r>
            <w:r>
              <w:rPr>
                <w:rFonts w:hint="default" w:ascii="黑体" w:hAnsi="黑体" w:eastAsia="黑体"/>
                <w:snapToGrid w:val="0"/>
                <w:color w:val="auto"/>
                <w:spacing w:val="-6"/>
                <w:kern w:val="21"/>
                <w:sz w:val="21"/>
                <w:szCs w:val="21"/>
                <w:highlight w:val="none"/>
              </w:rPr>
              <w:t>废</w:t>
            </w:r>
            <w:r>
              <w:rPr>
                <w:rFonts w:hint="eastAsia" w:ascii="黑体" w:hAnsi="黑体" w:eastAsia="黑体"/>
                <w:snapToGrid w:val="0"/>
                <w:color w:val="auto"/>
                <w:spacing w:val="-6"/>
                <w:kern w:val="21"/>
                <w:sz w:val="21"/>
                <w:szCs w:val="21"/>
                <w:highlight w:val="none"/>
              </w:rPr>
              <w:t>物</w:t>
            </w:r>
            <w:r>
              <w:rPr>
                <w:rFonts w:hint="default" w:ascii="黑体" w:hAnsi="黑体" w:eastAsia="黑体"/>
                <w:snapToGrid w:val="0"/>
                <w:color w:val="auto"/>
                <w:spacing w:val="-6"/>
                <w:kern w:val="21"/>
                <w:sz w:val="21"/>
                <w:szCs w:val="21"/>
                <w:highlight w:val="none"/>
              </w:rPr>
              <w:t>产生量）</w:t>
            </w:r>
            <w:r>
              <w:rPr>
                <w:rFonts w:hint="default" w:ascii="黑体" w:hAnsi="黑体" w:eastAsia="黑体"/>
                <w:snapToGrid w:val="0"/>
                <w:color w:val="auto"/>
                <w:spacing w:val="-6"/>
                <w:kern w:val="21"/>
                <w:sz w:val="21"/>
                <w:szCs w:val="21"/>
                <w:highlight w:val="none"/>
              </w:rPr>
              <w:fldChar w:fldCharType="begin"/>
            </w:r>
            <w:r>
              <w:rPr>
                <w:rFonts w:hint="default" w:ascii="黑体" w:hAnsi="黑体" w:eastAsia="黑体"/>
                <w:snapToGrid w:val="0"/>
                <w:color w:val="auto"/>
                <w:spacing w:val="-6"/>
                <w:kern w:val="21"/>
                <w:sz w:val="21"/>
                <w:szCs w:val="21"/>
                <w:highlight w:val="none"/>
              </w:rPr>
              <w:instrText xml:space="preserve"> = 3 \* GB3 \* MERGEFORMAT </w:instrText>
            </w:r>
            <w:r>
              <w:rPr>
                <w:rFonts w:hint="default" w:ascii="黑体" w:hAnsi="黑体" w:eastAsia="黑体"/>
                <w:snapToGrid w:val="0"/>
                <w:color w:val="auto"/>
                <w:spacing w:val="-6"/>
                <w:kern w:val="21"/>
                <w:sz w:val="21"/>
                <w:szCs w:val="21"/>
                <w:highlight w:val="none"/>
              </w:rPr>
              <w:fldChar w:fldCharType="separate"/>
            </w:r>
            <w:r>
              <w:rPr>
                <w:rFonts w:hint="eastAsia" w:ascii="黑体" w:hAnsi="黑体" w:eastAsia="黑体" w:cs="宋体"/>
                <w:color w:val="auto"/>
                <w:sz w:val="21"/>
                <w:szCs w:val="21"/>
                <w:highlight w:val="none"/>
              </w:rPr>
              <w:t>③</w:t>
            </w:r>
            <w:r>
              <w:rPr>
                <w:rFonts w:hint="default" w:ascii="黑体" w:hAnsi="黑体" w:eastAsia="黑体"/>
                <w:snapToGrid w:val="0"/>
                <w:color w:val="auto"/>
                <w:spacing w:val="-6"/>
                <w:kern w:val="21"/>
                <w:sz w:val="21"/>
                <w:szCs w:val="21"/>
                <w:highlight w:val="none"/>
              </w:rPr>
              <w:fldChar w:fldCharType="end"/>
            </w:r>
          </w:p>
        </w:tc>
        <w:tc>
          <w:tcPr>
            <w:tcW w:w="1518" w:type="dxa"/>
            <w:tcMar>
              <w:left w:w="28" w:type="dxa"/>
              <w:right w:w="28" w:type="dxa"/>
            </w:tcMar>
            <w:vAlign w:val="center"/>
          </w:tcPr>
          <w:p w14:paraId="3EB04739">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黑体" w:hAnsi="黑体" w:eastAsia="黑体"/>
                <w:snapToGrid w:val="0"/>
                <w:color w:val="auto"/>
                <w:spacing w:val="-6"/>
                <w:kern w:val="21"/>
                <w:sz w:val="21"/>
                <w:szCs w:val="21"/>
                <w:highlight w:val="none"/>
              </w:rPr>
            </w:pPr>
            <w:r>
              <w:rPr>
                <w:rFonts w:hint="default" w:ascii="黑体" w:hAnsi="黑体" w:eastAsia="黑体"/>
                <w:snapToGrid w:val="0"/>
                <w:color w:val="auto"/>
                <w:spacing w:val="-6"/>
                <w:kern w:val="21"/>
                <w:sz w:val="21"/>
                <w:szCs w:val="21"/>
                <w:highlight w:val="none"/>
              </w:rPr>
              <w:t>本项目</w:t>
            </w:r>
          </w:p>
          <w:p w14:paraId="59431963">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黑体" w:hAnsi="黑体" w:eastAsia="黑体"/>
                <w:snapToGrid w:val="0"/>
                <w:color w:val="auto"/>
                <w:spacing w:val="-6"/>
                <w:kern w:val="21"/>
                <w:sz w:val="21"/>
                <w:szCs w:val="21"/>
                <w:highlight w:val="none"/>
              </w:rPr>
            </w:pPr>
            <w:r>
              <w:rPr>
                <w:rFonts w:hint="default" w:ascii="黑体" w:hAnsi="黑体" w:eastAsia="黑体"/>
                <w:snapToGrid w:val="0"/>
                <w:color w:val="auto"/>
                <w:spacing w:val="-6"/>
                <w:kern w:val="21"/>
                <w:sz w:val="21"/>
                <w:szCs w:val="21"/>
                <w:highlight w:val="none"/>
              </w:rPr>
              <w:t>排放量（固</w:t>
            </w:r>
            <w:r>
              <w:rPr>
                <w:rFonts w:hint="eastAsia" w:ascii="黑体" w:hAnsi="黑体" w:eastAsia="黑体"/>
                <w:snapToGrid w:val="0"/>
                <w:color w:val="auto"/>
                <w:spacing w:val="-6"/>
                <w:kern w:val="21"/>
                <w:sz w:val="21"/>
                <w:szCs w:val="21"/>
                <w:highlight w:val="none"/>
              </w:rPr>
              <w:t>体</w:t>
            </w:r>
            <w:r>
              <w:rPr>
                <w:rFonts w:hint="default" w:ascii="黑体" w:hAnsi="黑体" w:eastAsia="黑体"/>
                <w:snapToGrid w:val="0"/>
                <w:color w:val="auto"/>
                <w:spacing w:val="-6"/>
                <w:kern w:val="21"/>
                <w:sz w:val="21"/>
                <w:szCs w:val="21"/>
                <w:highlight w:val="none"/>
              </w:rPr>
              <w:t>废</w:t>
            </w:r>
            <w:r>
              <w:rPr>
                <w:rFonts w:hint="eastAsia" w:ascii="黑体" w:hAnsi="黑体" w:eastAsia="黑体"/>
                <w:snapToGrid w:val="0"/>
                <w:color w:val="auto"/>
                <w:spacing w:val="-6"/>
                <w:kern w:val="21"/>
                <w:sz w:val="21"/>
                <w:szCs w:val="21"/>
                <w:highlight w:val="none"/>
              </w:rPr>
              <w:t>物</w:t>
            </w:r>
            <w:r>
              <w:rPr>
                <w:rFonts w:hint="default" w:ascii="黑体" w:hAnsi="黑体" w:eastAsia="黑体"/>
                <w:snapToGrid w:val="0"/>
                <w:color w:val="auto"/>
                <w:spacing w:val="-6"/>
                <w:kern w:val="21"/>
                <w:sz w:val="21"/>
                <w:szCs w:val="21"/>
                <w:highlight w:val="none"/>
              </w:rPr>
              <w:t>产生量）</w:t>
            </w:r>
            <w:r>
              <w:rPr>
                <w:rFonts w:hint="default" w:ascii="黑体" w:hAnsi="黑体" w:eastAsia="黑体"/>
                <w:snapToGrid w:val="0"/>
                <w:color w:val="auto"/>
                <w:spacing w:val="-6"/>
                <w:kern w:val="21"/>
                <w:sz w:val="21"/>
                <w:szCs w:val="21"/>
                <w:highlight w:val="none"/>
              </w:rPr>
              <w:fldChar w:fldCharType="begin"/>
            </w:r>
            <w:r>
              <w:rPr>
                <w:rFonts w:hint="default" w:ascii="黑体" w:hAnsi="黑体" w:eastAsia="黑体"/>
                <w:snapToGrid w:val="0"/>
                <w:color w:val="auto"/>
                <w:spacing w:val="-6"/>
                <w:kern w:val="21"/>
                <w:sz w:val="21"/>
                <w:szCs w:val="21"/>
                <w:highlight w:val="none"/>
              </w:rPr>
              <w:instrText xml:space="preserve"> = 4 \* GB3 \* MERGEFORMAT </w:instrText>
            </w:r>
            <w:r>
              <w:rPr>
                <w:rFonts w:hint="default" w:ascii="黑体" w:hAnsi="黑体" w:eastAsia="黑体"/>
                <w:snapToGrid w:val="0"/>
                <w:color w:val="auto"/>
                <w:spacing w:val="-6"/>
                <w:kern w:val="21"/>
                <w:sz w:val="21"/>
                <w:szCs w:val="21"/>
                <w:highlight w:val="none"/>
              </w:rPr>
              <w:fldChar w:fldCharType="separate"/>
            </w:r>
            <w:r>
              <w:rPr>
                <w:rFonts w:hint="eastAsia" w:ascii="黑体" w:hAnsi="黑体" w:eastAsia="黑体" w:cs="宋体"/>
                <w:color w:val="auto"/>
                <w:sz w:val="21"/>
                <w:szCs w:val="21"/>
                <w:highlight w:val="none"/>
              </w:rPr>
              <w:t>④</w:t>
            </w:r>
            <w:r>
              <w:rPr>
                <w:rFonts w:hint="default" w:ascii="黑体" w:hAnsi="黑体" w:eastAsia="黑体"/>
                <w:snapToGrid w:val="0"/>
                <w:color w:val="auto"/>
                <w:spacing w:val="-6"/>
                <w:kern w:val="21"/>
                <w:sz w:val="21"/>
                <w:szCs w:val="21"/>
                <w:highlight w:val="none"/>
              </w:rPr>
              <w:fldChar w:fldCharType="end"/>
            </w:r>
          </w:p>
        </w:tc>
        <w:tc>
          <w:tcPr>
            <w:tcW w:w="1518" w:type="dxa"/>
            <w:tcMar>
              <w:left w:w="28" w:type="dxa"/>
              <w:right w:w="28" w:type="dxa"/>
            </w:tcMar>
            <w:vAlign w:val="center"/>
          </w:tcPr>
          <w:p w14:paraId="19B45CCD">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黑体" w:hAnsi="黑体" w:eastAsia="黑体"/>
                <w:snapToGrid w:val="0"/>
                <w:color w:val="auto"/>
                <w:spacing w:val="-16"/>
                <w:kern w:val="21"/>
                <w:sz w:val="21"/>
                <w:szCs w:val="21"/>
                <w:highlight w:val="none"/>
              </w:rPr>
            </w:pPr>
            <w:r>
              <w:rPr>
                <w:rFonts w:hint="default" w:ascii="黑体" w:hAnsi="黑体" w:eastAsia="黑体"/>
                <w:snapToGrid w:val="0"/>
                <w:color w:val="auto"/>
                <w:spacing w:val="-16"/>
                <w:kern w:val="21"/>
                <w:sz w:val="21"/>
                <w:szCs w:val="21"/>
                <w:highlight w:val="none"/>
              </w:rPr>
              <w:t>以新带老削减量</w:t>
            </w:r>
          </w:p>
          <w:p w14:paraId="0C527353">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黑体" w:hAnsi="黑体" w:eastAsia="黑体"/>
                <w:snapToGrid w:val="0"/>
                <w:color w:val="auto"/>
                <w:spacing w:val="-16"/>
                <w:kern w:val="21"/>
                <w:sz w:val="21"/>
                <w:szCs w:val="21"/>
                <w:highlight w:val="none"/>
              </w:rPr>
            </w:pPr>
            <w:r>
              <w:rPr>
                <w:rFonts w:hint="default" w:ascii="黑体" w:hAnsi="黑体" w:eastAsia="黑体"/>
                <w:snapToGrid w:val="0"/>
                <w:color w:val="auto"/>
                <w:spacing w:val="-16"/>
                <w:kern w:val="21"/>
                <w:sz w:val="21"/>
                <w:szCs w:val="21"/>
                <w:highlight w:val="none"/>
              </w:rPr>
              <w:t>（新建项目不填）</w:t>
            </w:r>
            <w:r>
              <w:rPr>
                <w:rFonts w:hint="default" w:ascii="黑体" w:hAnsi="黑体" w:eastAsia="黑体"/>
                <w:snapToGrid w:val="0"/>
                <w:color w:val="auto"/>
                <w:spacing w:val="-16"/>
                <w:kern w:val="21"/>
                <w:sz w:val="21"/>
                <w:szCs w:val="21"/>
                <w:highlight w:val="none"/>
              </w:rPr>
              <w:fldChar w:fldCharType="begin"/>
            </w:r>
            <w:r>
              <w:rPr>
                <w:rFonts w:hint="default" w:ascii="黑体" w:hAnsi="黑体" w:eastAsia="黑体"/>
                <w:snapToGrid w:val="0"/>
                <w:color w:val="auto"/>
                <w:spacing w:val="-16"/>
                <w:kern w:val="21"/>
                <w:sz w:val="21"/>
                <w:szCs w:val="21"/>
                <w:highlight w:val="none"/>
              </w:rPr>
              <w:instrText xml:space="preserve"> = 5 \* GB3 \* MERGEFORMAT </w:instrText>
            </w:r>
            <w:r>
              <w:rPr>
                <w:rFonts w:hint="default" w:ascii="黑体" w:hAnsi="黑体" w:eastAsia="黑体"/>
                <w:snapToGrid w:val="0"/>
                <w:color w:val="auto"/>
                <w:spacing w:val="-16"/>
                <w:kern w:val="21"/>
                <w:sz w:val="21"/>
                <w:szCs w:val="21"/>
                <w:highlight w:val="none"/>
              </w:rPr>
              <w:fldChar w:fldCharType="separate"/>
            </w:r>
            <w:r>
              <w:rPr>
                <w:rFonts w:hint="eastAsia" w:ascii="黑体" w:hAnsi="黑体" w:eastAsia="黑体" w:cs="宋体"/>
                <w:color w:val="auto"/>
                <w:sz w:val="21"/>
                <w:szCs w:val="21"/>
                <w:highlight w:val="none"/>
              </w:rPr>
              <w:t>⑤</w:t>
            </w:r>
            <w:r>
              <w:rPr>
                <w:rFonts w:hint="default" w:ascii="黑体" w:hAnsi="黑体" w:eastAsia="黑体"/>
                <w:snapToGrid w:val="0"/>
                <w:color w:val="auto"/>
                <w:spacing w:val="-16"/>
                <w:kern w:val="21"/>
                <w:sz w:val="21"/>
                <w:szCs w:val="21"/>
                <w:highlight w:val="none"/>
              </w:rPr>
              <w:fldChar w:fldCharType="end"/>
            </w:r>
          </w:p>
        </w:tc>
        <w:tc>
          <w:tcPr>
            <w:tcW w:w="1518" w:type="dxa"/>
            <w:tcMar>
              <w:left w:w="28" w:type="dxa"/>
              <w:right w:w="28" w:type="dxa"/>
            </w:tcMar>
            <w:vAlign w:val="center"/>
          </w:tcPr>
          <w:p w14:paraId="0F2C882C">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黑体" w:hAnsi="黑体" w:eastAsia="黑体"/>
                <w:snapToGrid w:val="0"/>
                <w:color w:val="auto"/>
                <w:spacing w:val="-16"/>
                <w:kern w:val="21"/>
                <w:sz w:val="21"/>
                <w:szCs w:val="21"/>
                <w:highlight w:val="none"/>
              </w:rPr>
            </w:pPr>
            <w:r>
              <w:rPr>
                <w:rFonts w:hint="default" w:ascii="黑体" w:hAnsi="黑体" w:eastAsia="黑体"/>
                <w:snapToGrid w:val="0"/>
                <w:color w:val="auto"/>
                <w:spacing w:val="-16"/>
                <w:kern w:val="21"/>
                <w:sz w:val="21"/>
                <w:szCs w:val="21"/>
                <w:highlight w:val="none"/>
              </w:rPr>
              <w:t>本项目建成后</w:t>
            </w:r>
          </w:p>
          <w:p w14:paraId="4CD4A525">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黑体" w:hAnsi="黑体" w:eastAsia="黑体"/>
                <w:snapToGrid w:val="0"/>
                <w:color w:val="auto"/>
                <w:spacing w:val="-16"/>
                <w:kern w:val="21"/>
                <w:sz w:val="21"/>
                <w:szCs w:val="21"/>
                <w:highlight w:val="none"/>
              </w:rPr>
            </w:pPr>
            <w:r>
              <w:rPr>
                <w:rFonts w:hint="eastAsia" w:ascii="黑体" w:hAnsi="黑体" w:eastAsia="黑体"/>
                <w:snapToGrid w:val="0"/>
                <w:color w:val="auto"/>
                <w:spacing w:val="-16"/>
                <w:kern w:val="21"/>
                <w:sz w:val="21"/>
                <w:szCs w:val="21"/>
                <w:highlight w:val="none"/>
              </w:rPr>
              <w:t>全厂</w:t>
            </w:r>
            <w:r>
              <w:rPr>
                <w:rFonts w:hint="default" w:ascii="黑体" w:hAnsi="黑体" w:eastAsia="黑体"/>
                <w:snapToGrid w:val="0"/>
                <w:color w:val="auto"/>
                <w:spacing w:val="-16"/>
                <w:kern w:val="21"/>
                <w:sz w:val="21"/>
                <w:szCs w:val="21"/>
                <w:highlight w:val="none"/>
              </w:rPr>
              <w:t>排放量（固</w:t>
            </w:r>
            <w:r>
              <w:rPr>
                <w:rFonts w:hint="eastAsia" w:ascii="黑体" w:hAnsi="黑体" w:eastAsia="黑体"/>
                <w:snapToGrid w:val="0"/>
                <w:color w:val="auto"/>
                <w:spacing w:val="-16"/>
                <w:kern w:val="21"/>
                <w:sz w:val="21"/>
                <w:szCs w:val="21"/>
                <w:highlight w:val="none"/>
              </w:rPr>
              <w:t>体</w:t>
            </w:r>
            <w:r>
              <w:rPr>
                <w:rFonts w:hint="default" w:ascii="黑体" w:hAnsi="黑体" w:eastAsia="黑体"/>
                <w:snapToGrid w:val="0"/>
                <w:color w:val="auto"/>
                <w:spacing w:val="-16"/>
                <w:kern w:val="21"/>
                <w:sz w:val="21"/>
                <w:szCs w:val="21"/>
                <w:highlight w:val="none"/>
              </w:rPr>
              <w:t>废</w:t>
            </w:r>
            <w:r>
              <w:rPr>
                <w:rFonts w:hint="eastAsia" w:ascii="黑体" w:hAnsi="黑体" w:eastAsia="黑体"/>
                <w:snapToGrid w:val="0"/>
                <w:color w:val="auto"/>
                <w:spacing w:val="-16"/>
                <w:kern w:val="21"/>
                <w:sz w:val="21"/>
                <w:szCs w:val="21"/>
                <w:highlight w:val="none"/>
              </w:rPr>
              <w:t>物</w:t>
            </w:r>
            <w:r>
              <w:rPr>
                <w:rFonts w:hint="default" w:ascii="黑体" w:hAnsi="黑体" w:eastAsia="黑体"/>
                <w:snapToGrid w:val="0"/>
                <w:color w:val="auto"/>
                <w:spacing w:val="-16"/>
                <w:kern w:val="21"/>
                <w:sz w:val="21"/>
                <w:szCs w:val="21"/>
                <w:highlight w:val="none"/>
              </w:rPr>
              <w:t>产生量）</w:t>
            </w:r>
            <w:r>
              <w:rPr>
                <w:rFonts w:hint="default" w:ascii="黑体" w:hAnsi="黑体" w:eastAsia="黑体"/>
                <w:snapToGrid w:val="0"/>
                <w:color w:val="auto"/>
                <w:spacing w:val="-16"/>
                <w:kern w:val="21"/>
                <w:sz w:val="21"/>
                <w:szCs w:val="21"/>
                <w:highlight w:val="none"/>
              </w:rPr>
              <w:fldChar w:fldCharType="begin"/>
            </w:r>
            <w:r>
              <w:rPr>
                <w:rFonts w:hint="default" w:ascii="黑体" w:hAnsi="黑体" w:eastAsia="黑体"/>
                <w:snapToGrid w:val="0"/>
                <w:color w:val="auto"/>
                <w:spacing w:val="-16"/>
                <w:kern w:val="21"/>
                <w:sz w:val="21"/>
                <w:szCs w:val="21"/>
                <w:highlight w:val="none"/>
              </w:rPr>
              <w:instrText xml:space="preserve"> = 6 \* GB3 \* MERGEFORMAT </w:instrText>
            </w:r>
            <w:r>
              <w:rPr>
                <w:rFonts w:hint="default" w:ascii="黑体" w:hAnsi="黑体" w:eastAsia="黑体"/>
                <w:snapToGrid w:val="0"/>
                <w:color w:val="auto"/>
                <w:spacing w:val="-16"/>
                <w:kern w:val="21"/>
                <w:sz w:val="21"/>
                <w:szCs w:val="21"/>
                <w:highlight w:val="none"/>
              </w:rPr>
              <w:fldChar w:fldCharType="separate"/>
            </w:r>
            <w:r>
              <w:rPr>
                <w:rFonts w:hint="eastAsia" w:ascii="黑体" w:hAnsi="黑体" w:eastAsia="黑体" w:cs="宋体"/>
                <w:color w:val="auto"/>
                <w:sz w:val="21"/>
                <w:szCs w:val="21"/>
                <w:highlight w:val="none"/>
              </w:rPr>
              <w:t>⑥</w:t>
            </w:r>
            <w:r>
              <w:rPr>
                <w:rFonts w:hint="default" w:ascii="黑体" w:hAnsi="黑体" w:eastAsia="黑体"/>
                <w:snapToGrid w:val="0"/>
                <w:color w:val="auto"/>
                <w:spacing w:val="-16"/>
                <w:kern w:val="21"/>
                <w:sz w:val="21"/>
                <w:szCs w:val="21"/>
                <w:highlight w:val="none"/>
              </w:rPr>
              <w:fldChar w:fldCharType="end"/>
            </w:r>
          </w:p>
        </w:tc>
        <w:tc>
          <w:tcPr>
            <w:tcW w:w="1518" w:type="dxa"/>
            <w:tcMar>
              <w:left w:w="28" w:type="dxa"/>
              <w:right w:w="28" w:type="dxa"/>
            </w:tcMar>
            <w:vAlign w:val="center"/>
          </w:tcPr>
          <w:p w14:paraId="4F733AB3">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黑体" w:hAnsi="黑体" w:eastAsia="黑体"/>
                <w:snapToGrid w:val="0"/>
                <w:color w:val="auto"/>
                <w:spacing w:val="-6"/>
                <w:kern w:val="21"/>
                <w:sz w:val="21"/>
                <w:szCs w:val="21"/>
                <w:highlight w:val="none"/>
              </w:rPr>
            </w:pPr>
            <w:r>
              <w:rPr>
                <w:rFonts w:hint="default" w:ascii="黑体" w:hAnsi="黑体" w:eastAsia="黑体"/>
                <w:snapToGrid w:val="0"/>
                <w:color w:val="auto"/>
                <w:spacing w:val="-6"/>
                <w:kern w:val="21"/>
                <w:sz w:val="21"/>
                <w:szCs w:val="21"/>
                <w:highlight w:val="none"/>
              </w:rPr>
              <w:t>变化量</w:t>
            </w:r>
          </w:p>
          <w:p w14:paraId="4E953DB5">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黑体" w:hAnsi="黑体" w:eastAsia="黑体"/>
                <w:snapToGrid w:val="0"/>
                <w:color w:val="auto"/>
                <w:spacing w:val="-6"/>
                <w:kern w:val="21"/>
                <w:sz w:val="21"/>
                <w:szCs w:val="21"/>
                <w:highlight w:val="none"/>
              </w:rPr>
            </w:pPr>
            <w:r>
              <w:rPr>
                <w:rFonts w:hint="default" w:ascii="黑体" w:hAnsi="黑体" w:eastAsia="黑体"/>
                <w:snapToGrid w:val="0"/>
                <w:color w:val="auto"/>
                <w:spacing w:val="-6"/>
                <w:kern w:val="21"/>
                <w:sz w:val="21"/>
                <w:szCs w:val="21"/>
                <w:highlight w:val="none"/>
              </w:rPr>
              <w:fldChar w:fldCharType="begin"/>
            </w:r>
            <w:r>
              <w:rPr>
                <w:rFonts w:hint="default" w:ascii="黑体" w:hAnsi="黑体" w:eastAsia="黑体"/>
                <w:snapToGrid w:val="0"/>
                <w:color w:val="auto"/>
                <w:spacing w:val="-6"/>
                <w:kern w:val="21"/>
                <w:sz w:val="21"/>
                <w:szCs w:val="21"/>
                <w:highlight w:val="none"/>
              </w:rPr>
              <w:instrText xml:space="preserve"> = 7 \* GB3 \* MERGEFORMAT </w:instrText>
            </w:r>
            <w:r>
              <w:rPr>
                <w:rFonts w:hint="default" w:ascii="黑体" w:hAnsi="黑体" w:eastAsia="黑体"/>
                <w:snapToGrid w:val="0"/>
                <w:color w:val="auto"/>
                <w:spacing w:val="-6"/>
                <w:kern w:val="21"/>
                <w:sz w:val="21"/>
                <w:szCs w:val="21"/>
                <w:highlight w:val="none"/>
              </w:rPr>
              <w:fldChar w:fldCharType="separate"/>
            </w:r>
            <w:r>
              <w:rPr>
                <w:rFonts w:hint="eastAsia" w:ascii="黑体" w:hAnsi="黑体" w:eastAsia="黑体" w:cs="宋体"/>
                <w:color w:val="auto"/>
                <w:sz w:val="21"/>
                <w:szCs w:val="21"/>
                <w:highlight w:val="none"/>
              </w:rPr>
              <w:t>⑦</w:t>
            </w:r>
            <w:r>
              <w:rPr>
                <w:rFonts w:hint="default" w:ascii="黑体" w:hAnsi="黑体" w:eastAsia="黑体"/>
                <w:snapToGrid w:val="0"/>
                <w:color w:val="auto"/>
                <w:spacing w:val="-6"/>
                <w:kern w:val="21"/>
                <w:sz w:val="21"/>
                <w:szCs w:val="21"/>
                <w:highlight w:val="none"/>
              </w:rPr>
              <w:fldChar w:fldCharType="end"/>
            </w:r>
          </w:p>
        </w:tc>
      </w:tr>
      <w:tr w14:paraId="76024FD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1271" w:type="dxa"/>
            <w:gridSpan w:val="2"/>
            <w:vAlign w:val="center"/>
          </w:tcPr>
          <w:p w14:paraId="5BB32E6C">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hAnsi="宋体" w:cs="宋体"/>
                <w:snapToGrid w:val="0"/>
                <w:color w:val="auto"/>
                <w:kern w:val="21"/>
                <w:sz w:val="21"/>
                <w:szCs w:val="21"/>
                <w:highlight w:val="none"/>
              </w:rPr>
            </w:pPr>
            <w:r>
              <w:rPr>
                <w:rFonts w:hint="eastAsia" w:hAnsi="宋体" w:cs="宋体"/>
                <w:snapToGrid w:val="0"/>
                <w:color w:val="auto"/>
                <w:kern w:val="21"/>
                <w:sz w:val="21"/>
                <w:szCs w:val="21"/>
                <w:highlight w:val="none"/>
              </w:rPr>
              <w:t>废气</w:t>
            </w:r>
          </w:p>
        </w:tc>
        <w:tc>
          <w:tcPr>
            <w:tcW w:w="1709" w:type="dxa"/>
            <w:vAlign w:val="center"/>
          </w:tcPr>
          <w:p w14:paraId="5A7D3750">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hAnsi="宋体" w:eastAsia="宋体" w:cs="宋体"/>
                <w:snapToGrid w:val="0"/>
                <w:color w:val="auto"/>
                <w:kern w:val="21"/>
                <w:sz w:val="21"/>
                <w:szCs w:val="21"/>
                <w:highlight w:val="none"/>
                <w:lang w:val="en-US" w:eastAsia="zh-CN"/>
              </w:rPr>
            </w:pPr>
            <w:r>
              <w:rPr>
                <w:rFonts w:hint="eastAsia" w:hAnsi="宋体" w:cs="宋体"/>
                <w:snapToGrid w:val="0"/>
                <w:color w:val="auto"/>
                <w:kern w:val="21"/>
                <w:sz w:val="21"/>
                <w:szCs w:val="21"/>
                <w:highlight w:val="none"/>
                <w:lang w:val="en-US" w:eastAsia="zh-CN"/>
              </w:rPr>
              <w:t>/</w:t>
            </w:r>
          </w:p>
        </w:tc>
        <w:tc>
          <w:tcPr>
            <w:tcW w:w="1518" w:type="dxa"/>
            <w:vAlign w:val="center"/>
          </w:tcPr>
          <w:p w14:paraId="7A00DE17">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hAnsi="宋体" w:eastAsia="宋体" w:cs="宋体"/>
                <w:snapToGrid w:val="0"/>
                <w:color w:val="auto"/>
                <w:kern w:val="21"/>
                <w:sz w:val="21"/>
                <w:szCs w:val="21"/>
                <w:highlight w:val="none"/>
                <w:lang w:val="en-US" w:eastAsia="zh-CN"/>
              </w:rPr>
            </w:pPr>
            <w:r>
              <w:rPr>
                <w:rFonts w:hint="eastAsia" w:hAnsi="宋体" w:cs="宋体"/>
                <w:snapToGrid w:val="0"/>
                <w:color w:val="auto"/>
                <w:kern w:val="21"/>
                <w:sz w:val="21"/>
                <w:szCs w:val="21"/>
                <w:highlight w:val="none"/>
                <w:lang w:val="en-US" w:eastAsia="zh-CN"/>
              </w:rPr>
              <w:t>/</w:t>
            </w:r>
          </w:p>
        </w:tc>
        <w:tc>
          <w:tcPr>
            <w:tcW w:w="1518" w:type="dxa"/>
            <w:vAlign w:val="center"/>
          </w:tcPr>
          <w:p w14:paraId="0640A9D9">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hAnsi="宋体" w:eastAsia="宋体" w:cs="宋体"/>
                <w:snapToGrid w:val="0"/>
                <w:color w:val="auto"/>
                <w:kern w:val="21"/>
                <w:sz w:val="21"/>
                <w:szCs w:val="21"/>
                <w:highlight w:val="none"/>
                <w:lang w:val="en-US" w:eastAsia="zh-CN"/>
              </w:rPr>
            </w:pPr>
            <w:r>
              <w:rPr>
                <w:rFonts w:hint="eastAsia" w:hAnsi="宋体" w:cs="宋体"/>
                <w:snapToGrid w:val="0"/>
                <w:color w:val="auto"/>
                <w:kern w:val="21"/>
                <w:sz w:val="21"/>
                <w:szCs w:val="21"/>
                <w:highlight w:val="none"/>
                <w:lang w:val="en-US" w:eastAsia="zh-CN"/>
              </w:rPr>
              <w:t>/</w:t>
            </w:r>
          </w:p>
        </w:tc>
        <w:tc>
          <w:tcPr>
            <w:tcW w:w="1518" w:type="dxa"/>
            <w:vAlign w:val="center"/>
          </w:tcPr>
          <w:p w14:paraId="157C9047">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hAnsi="宋体" w:eastAsia="宋体" w:cs="宋体"/>
                <w:snapToGrid w:val="0"/>
                <w:color w:val="auto"/>
                <w:kern w:val="21"/>
                <w:sz w:val="21"/>
                <w:szCs w:val="21"/>
                <w:highlight w:val="none"/>
                <w:lang w:val="en-US" w:eastAsia="zh-CN"/>
              </w:rPr>
            </w:pPr>
            <w:r>
              <w:rPr>
                <w:rFonts w:hint="eastAsia" w:hAnsi="宋体" w:cs="宋体"/>
                <w:snapToGrid w:val="0"/>
                <w:color w:val="auto"/>
                <w:kern w:val="21"/>
                <w:sz w:val="21"/>
                <w:szCs w:val="21"/>
                <w:highlight w:val="none"/>
                <w:lang w:val="en-US" w:eastAsia="zh-CN"/>
              </w:rPr>
              <w:t>/</w:t>
            </w:r>
          </w:p>
        </w:tc>
        <w:tc>
          <w:tcPr>
            <w:tcW w:w="1518" w:type="dxa"/>
            <w:vAlign w:val="center"/>
          </w:tcPr>
          <w:p w14:paraId="7A0476D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hAnsi="宋体" w:eastAsia="宋体" w:cs="宋体"/>
                <w:snapToGrid w:val="0"/>
                <w:color w:val="auto"/>
                <w:kern w:val="21"/>
                <w:sz w:val="21"/>
                <w:szCs w:val="21"/>
                <w:highlight w:val="none"/>
                <w:lang w:val="en-US" w:eastAsia="zh-CN"/>
              </w:rPr>
            </w:pPr>
            <w:r>
              <w:rPr>
                <w:rFonts w:hint="eastAsia" w:hAnsi="宋体" w:cs="宋体"/>
                <w:snapToGrid w:val="0"/>
                <w:color w:val="auto"/>
                <w:kern w:val="21"/>
                <w:sz w:val="21"/>
                <w:szCs w:val="21"/>
                <w:highlight w:val="none"/>
                <w:lang w:val="en-US" w:eastAsia="zh-CN"/>
              </w:rPr>
              <w:t>/</w:t>
            </w:r>
          </w:p>
        </w:tc>
        <w:tc>
          <w:tcPr>
            <w:tcW w:w="1518" w:type="dxa"/>
            <w:vAlign w:val="center"/>
          </w:tcPr>
          <w:p w14:paraId="18425C63">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hAnsi="宋体" w:eastAsia="宋体" w:cs="宋体"/>
                <w:snapToGrid w:val="0"/>
                <w:color w:val="auto"/>
                <w:kern w:val="21"/>
                <w:sz w:val="21"/>
                <w:szCs w:val="21"/>
                <w:highlight w:val="none"/>
                <w:lang w:val="en-US" w:eastAsia="zh-CN"/>
              </w:rPr>
            </w:pPr>
            <w:r>
              <w:rPr>
                <w:rFonts w:hint="eastAsia" w:hAnsi="宋体" w:cs="宋体"/>
                <w:snapToGrid w:val="0"/>
                <w:color w:val="auto"/>
                <w:kern w:val="21"/>
                <w:sz w:val="21"/>
                <w:szCs w:val="21"/>
                <w:highlight w:val="none"/>
                <w:lang w:val="en-US" w:eastAsia="zh-CN"/>
              </w:rPr>
              <w:t>/</w:t>
            </w:r>
          </w:p>
        </w:tc>
        <w:tc>
          <w:tcPr>
            <w:tcW w:w="1518" w:type="dxa"/>
            <w:vAlign w:val="center"/>
          </w:tcPr>
          <w:p w14:paraId="6E31ECA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hAnsi="宋体" w:eastAsia="宋体" w:cs="宋体"/>
                <w:snapToGrid w:val="0"/>
                <w:color w:val="auto"/>
                <w:kern w:val="21"/>
                <w:sz w:val="21"/>
                <w:szCs w:val="21"/>
                <w:highlight w:val="none"/>
                <w:lang w:val="en-US" w:eastAsia="zh-CN"/>
              </w:rPr>
            </w:pPr>
            <w:r>
              <w:rPr>
                <w:rFonts w:hint="eastAsia" w:hAnsi="宋体" w:cs="宋体"/>
                <w:snapToGrid w:val="0"/>
                <w:color w:val="auto"/>
                <w:kern w:val="21"/>
                <w:sz w:val="21"/>
                <w:szCs w:val="21"/>
                <w:highlight w:val="none"/>
                <w:lang w:val="en-US" w:eastAsia="zh-CN"/>
              </w:rPr>
              <w:t>/</w:t>
            </w:r>
          </w:p>
        </w:tc>
        <w:tc>
          <w:tcPr>
            <w:tcW w:w="1518" w:type="dxa"/>
            <w:vAlign w:val="center"/>
          </w:tcPr>
          <w:p w14:paraId="41A99EF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hAnsi="宋体" w:eastAsia="宋体" w:cs="宋体"/>
                <w:snapToGrid w:val="0"/>
                <w:color w:val="auto"/>
                <w:kern w:val="21"/>
                <w:sz w:val="21"/>
                <w:szCs w:val="21"/>
                <w:highlight w:val="none"/>
                <w:lang w:val="en-US" w:eastAsia="zh-CN"/>
              </w:rPr>
            </w:pPr>
            <w:r>
              <w:rPr>
                <w:rFonts w:hint="eastAsia" w:hAnsi="宋体" w:cs="宋体"/>
                <w:snapToGrid w:val="0"/>
                <w:color w:val="auto"/>
                <w:kern w:val="21"/>
                <w:sz w:val="21"/>
                <w:szCs w:val="21"/>
                <w:highlight w:val="none"/>
                <w:lang w:val="en-US" w:eastAsia="zh-CN"/>
              </w:rPr>
              <w:t>/</w:t>
            </w:r>
          </w:p>
        </w:tc>
      </w:tr>
      <w:tr w14:paraId="609BF59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1" w:type="dxa"/>
            <w:gridSpan w:val="2"/>
            <w:vMerge w:val="restart"/>
            <w:vAlign w:val="center"/>
          </w:tcPr>
          <w:p w14:paraId="1CF317E0">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hAnsi="宋体" w:cs="宋体"/>
                <w:snapToGrid w:val="0"/>
                <w:color w:val="auto"/>
                <w:kern w:val="21"/>
                <w:sz w:val="21"/>
                <w:szCs w:val="21"/>
                <w:highlight w:val="none"/>
              </w:rPr>
            </w:pPr>
            <w:r>
              <w:rPr>
                <w:rFonts w:hint="eastAsia" w:hAnsi="宋体" w:cs="宋体"/>
                <w:snapToGrid w:val="0"/>
                <w:color w:val="auto"/>
                <w:kern w:val="21"/>
                <w:sz w:val="21"/>
                <w:szCs w:val="21"/>
                <w:highlight w:val="none"/>
              </w:rPr>
              <w:t>废水</w:t>
            </w:r>
          </w:p>
        </w:tc>
        <w:tc>
          <w:tcPr>
            <w:tcW w:w="1709" w:type="dxa"/>
            <w:vAlign w:val="center"/>
          </w:tcPr>
          <w:p w14:paraId="49EBD68C">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hAnsi="宋体" w:cs="宋体"/>
                <w:snapToGrid w:val="0"/>
                <w:color w:val="auto"/>
                <w:kern w:val="21"/>
                <w:sz w:val="21"/>
                <w:szCs w:val="21"/>
                <w:highlight w:val="none"/>
              </w:rPr>
            </w:pPr>
            <w:r>
              <w:rPr>
                <w:rFonts w:hint="eastAsia" w:hAnsi="宋体" w:cs="宋体"/>
                <w:snapToGrid w:val="0"/>
                <w:color w:val="auto"/>
                <w:kern w:val="21"/>
                <w:sz w:val="21"/>
                <w:szCs w:val="21"/>
                <w:highlight w:val="none"/>
              </w:rPr>
              <w:t>COD</w:t>
            </w:r>
          </w:p>
        </w:tc>
        <w:tc>
          <w:tcPr>
            <w:tcW w:w="1518" w:type="dxa"/>
            <w:vAlign w:val="center"/>
          </w:tcPr>
          <w:p w14:paraId="7742493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hAnsi="宋体" w:eastAsia="宋体" w:cs="宋体"/>
                <w:snapToGrid w:val="0"/>
                <w:color w:val="auto"/>
                <w:kern w:val="21"/>
                <w:sz w:val="21"/>
                <w:szCs w:val="21"/>
                <w:highlight w:val="none"/>
                <w:lang w:val="en-US" w:eastAsia="zh-CN"/>
              </w:rPr>
            </w:pPr>
            <w:r>
              <w:rPr>
                <w:rFonts w:hint="eastAsia" w:hAnsi="宋体" w:cs="宋体"/>
                <w:snapToGrid w:val="0"/>
                <w:color w:val="auto"/>
                <w:kern w:val="21"/>
                <w:sz w:val="21"/>
                <w:szCs w:val="21"/>
                <w:highlight w:val="none"/>
                <w:lang w:val="en-US" w:eastAsia="zh-CN"/>
              </w:rPr>
              <w:t>/</w:t>
            </w:r>
          </w:p>
        </w:tc>
        <w:tc>
          <w:tcPr>
            <w:tcW w:w="1518" w:type="dxa"/>
            <w:vAlign w:val="center"/>
          </w:tcPr>
          <w:p w14:paraId="788E63AC">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hAnsi="宋体" w:eastAsia="宋体" w:cs="宋体"/>
                <w:snapToGrid w:val="0"/>
                <w:color w:val="auto"/>
                <w:kern w:val="21"/>
                <w:sz w:val="21"/>
                <w:szCs w:val="21"/>
                <w:highlight w:val="none"/>
                <w:lang w:val="en-US" w:eastAsia="zh-CN"/>
              </w:rPr>
            </w:pPr>
            <w:r>
              <w:rPr>
                <w:rFonts w:hint="eastAsia" w:hAnsi="宋体" w:cs="宋体"/>
                <w:snapToGrid w:val="0"/>
                <w:color w:val="auto"/>
                <w:kern w:val="21"/>
                <w:sz w:val="21"/>
                <w:szCs w:val="21"/>
                <w:highlight w:val="none"/>
                <w:lang w:val="en-US" w:eastAsia="zh-CN"/>
              </w:rPr>
              <w:t>/</w:t>
            </w:r>
          </w:p>
        </w:tc>
        <w:tc>
          <w:tcPr>
            <w:tcW w:w="1518" w:type="dxa"/>
            <w:vAlign w:val="center"/>
          </w:tcPr>
          <w:p w14:paraId="364EEC7F">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hAnsi="宋体" w:eastAsia="宋体" w:cs="宋体"/>
                <w:snapToGrid w:val="0"/>
                <w:color w:val="auto"/>
                <w:kern w:val="21"/>
                <w:sz w:val="21"/>
                <w:szCs w:val="21"/>
                <w:highlight w:val="none"/>
                <w:lang w:val="en-US" w:eastAsia="zh-CN"/>
              </w:rPr>
            </w:pPr>
            <w:r>
              <w:rPr>
                <w:rFonts w:hint="eastAsia" w:hAnsi="宋体" w:cs="宋体"/>
                <w:snapToGrid w:val="0"/>
                <w:color w:val="auto"/>
                <w:kern w:val="21"/>
                <w:sz w:val="21"/>
                <w:szCs w:val="21"/>
                <w:highlight w:val="none"/>
                <w:lang w:val="en-US" w:eastAsia="zh-CN"/>
              </w:rPr>
              <w:t>/</w:t>
            </w:r>
          </w:p>
        </w:tc>
        <w:tc>
          <w:tcPr>
            <w:tcW w:w="1518" w:type="dxa"/>
            <w:vAlign w:val="center"/>
          </w:tcPr>
          <w:p w14:paraId="1289AA1A">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hAnsi="宋体" w:eastAsia="宋体" w:cs="宋体"/>
                <w:snapToGrid w:val="0"/>
                <w:color w:val="auto"/>
                <w:kern w:val="21"/>
                <w:sz w:val="21"/>
                <w:szCs w:val="21"/>
                <w:highlight w:val="none"/>
                <w:lang w:val="en-US" w:eastAsia="zh-CN"/>
              </w:rPr>
            </w:pPr>
            <w:r>
              <w:rPr>
                <w:rFonts w:hint="eastAsia" w:hAnsi="宋体" w:cs="宋体"/>
                <w:snapToGrid w:val="0"/>
                <w:color w:val="auto"/>
                <w:kern w:val="21"/>
                <w:sz w:val="21"/>
                <w:szCs w:val="21"/>
                <w:highlight w:val="none"/>
                <w:lang w:val="en-US" w:eastAsia="zh-CN"/>
              </w:rPr>
              <w:t>t/a</w:t>
            </w:r>
          </w:p>
        </w:tc>
        <w:tc>
          <w:tcPr>
            <w:tcW w:w="1518" w:type="dxa"/>
            <w:vAlign w:val="center"/>
          </w:tcPr>
          <w:p w14:paraId="7F2F537D">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hAnsi="宋体" w:eastAsia="宋体" w:cs="宋体"/>
                <w:snapToGrid w:val="0"/>
                <w:color w:val="auto"/>
                <w:kern w:val="21"/>
                <w:sz w:val="21"/>
                <w:szCs w:val="21"/>
                <w:highlight w:val="none"/>
                <w:lang w:val="en-US" w:eastAsia="zh-CN"/>
              </w:rPr>
            </w:pPr>
            <w:r>
              <w:rPr>
                <w:rFonts w:hint="eastAsia" w:hAnsi="宋体" w:cs="宋体"/>
                <w:snapToGrid w:val="0"/>
                <w:color w:val="auto"/>
                <w:kern w:val="21"/>
                <w:sz w:val="21"/>
                <w:szCs w:val="21"/>
                <w:highlight w:val="none"/>
                <w:lang w:val="en-US" w:eastAsia="zh-CN"/>
              </w:rPr>
              <w:t>/</w:t>
            </w:r>
          </w:p>
        </w:tc>
        <w:tc>
          <w:tcPr>
            <w:tcW w:w="1518" w:type="dxa"/>
            <w:vAlign w:val="center"/>
          </w:tcPr>
          <w:p w14:paraId="0E6E2370">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hAnsi="宋体" w:cs="宋体"/>
                <w:snapToGrid w:val="0"/>
                <w:color w:val="auto"/>
                <w:kern w:val="21"/>
                <w:sz w:val="21"/>
                <w:szCs w:val="21"/>
                <w:highlight w:val="none"/>
                <w:lang w:val="en-US"/>
              </w:rPr>
            </w:pPr>
          </w:p>
        </w:tc>
        <w:tc>
          <w:tcPr>
            <w:tcW w:w="1518" w:type="dxa"/>
            <w:vAlign w:val="center"/>
          </w:tcPr>
          <w:p w14:paraId="3C6DB487">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hAnsi="宋体" w:eastAsia="宋体" w:cs="宋体"/>
                <w:snapToGrid w:val="0"/>
                <w:color w:val="auto"/>
                <w:kern w:val="21"/>
                <w:sz w:val="21"/>
                <w:szCs w:val="21"/>
                <w:highlight w:val="none"/>
                <w:lang w:val="en-US" w:eastAsia="zh-CN"/>
              </w:rPr>
            </w:pPr>
          </w:p>
        </w:tc>
      </w:tr>
      <w:tr w14:paraId="143E38E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1" w:type="dxa"/>
            <w:gridSpan w:val="2"/>
            <w:vMerge w:val="continue"/>
            <w:vAlign w:val="center"/>
          </w:tcPr>
          <w:p w14:paraId="255FEF98">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hAnsi="宋体" w:cs="宋体"/>
                <w:snapToGrid w:val="0"/>
                <w:color w:val="auto"/>
                <w:kern w:val="21"/>
                <w:sz w:val="21"/>
                <w:szCs w:val="21"/>
                <w:highlight w:val="none"/>
              </w:rPr>
            </w:pPr>
          </w:p>
        </w:tc>
        <w:tc>
          <w:tcPr>
            <w:tcW w:w="1709" w:type="dxa"/>
            <w:vAlign w:val="center"/>
          </w:tcPr>
          <w:p w14:paraId="08FEF9E5">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hAnsi="宋体" w:cs="宋体"/>
                <w:snapToGrid w:val="0"/>
                <w:color w:val="auto"/>
                <w:kern w:val="21"/>
                <w:sz w:val="21"/>
                <w:szCs w:val="21"/>
                <w:highlight w:val="none"/>
              </w:rPr>
            </w:pPr>
            <w:r>
              <w:rPr>
                <w:rFonts w:hint="eastAsia" w:hAnsi="宋体" w:cs="宋体"/>
                <w:snapToGrid w:val="0"/>
                <w:color w:val="auto"/>
                <w:kern w:val="21"/>
                <w:sz w:val="21"/>
                <w:szCs w:val="21"/>
                <w:highlight w:val="none"/>
              </w:rPr>
              <w:t>氨氮</w:t>
            </w:r>
          </w:p>
        </w:tc>
        <w:tc>
          <w:tcPr>
            <w:tcW w:w="1518" w:type="dxa"/>
            <w:vAlign w:val="center"/>
          </w:tcPr>
          <w:p w14:paraId="2F316D95">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hAnsi="宋体" w:eastAsia="宋体" w:cs="宋体"/>
                <w:snapToGrid w:val="0"/>
                <w:color w:val="auto"/>
                <w:kern w:val="21"/>
                <w:sz w:val="21"/>
                <w:szCs w:val="21"/>
                <w:highlight w:val="none"/>
                <w:lang w:val="en-US" w:eastAsia="zh-CN"/>
              </w:rPr>
            </w:pPr>
            <w:r>
              <w:rPr>
                <w:rFonts w:hint="eastAsia" w:hAnsi="宋体" w:cs="宋体"/>
                <w:snapToGrid w:val="0"/>
                <w:color w:val="auto"/>
                <w:kern w:val="21"/>
                <w:sz w:val="21"/>
                <w:szCs w:val="21"/>
                <w:highlight w:val="none"/>
                <w:lang w:val="en-US" w:eastAsia="zh-CN"/>
              </w:rPr>
              <w:t>/</w:t>
            </w:r>
          </w:p>
        </w:tc>
        <w:tc>
          <w:tcPr>
            <w:tcW w:w="1518" w:type="dxa"/>
            <w:vAlign w:val="center"/>
          </w:tcPr>
          <w:p w14:paraId="045E4869">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hAnsi="宋体" w:eastAsia="宋体" w:cs="宋体"/>
                <w:snapToGrid w:val="0"/>
                <w:color w:val="auto"/>
                <w:kern w:val="21"/>
                <w:sz w:val="21"/>
                <w:szCs w:val="21"/>
                <w:highlight w:val="none"/>
                <w:lang w:val="en-US" w:eastAsia="zh-CN"/>
              </w:rPr>
            </w:pPr>
            <w:r>
              <w:rPr>
                <w:rFonts w:hint="eastAsia" w:hAnsi="宋体" w:cs="宋体"/>
                <w:snapToGrid w:val="0"/>
                <w:color w:val="auto"/>
                <w:kern w:val="21"/>
                <w:sz w:val="21"/>
                <w:szCs w:val="21"/>
                <w:highlight w:val="none"/>
                <w:lang w:val="en-US" w:eastAsia="zh-CN"/>
              </w:rPr>
              <w:t>/</w:t>
            </w:r>
          </w:p>
        </w:tc>
        <w:tc>
          <w:tcPr>
            <w:tcW w:w="1518" w:type="dxa"/>
            <w:vAlign w:val="center"/>
          </w:tcPr>
          <w:p w14:paraId="2205681B">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hAnsi="宋体" w:eastAsia="宋体" w:cs="宋体"/>
                <w:snapToGrid w:val="0"/>
                <w:color w:val="auto"/>
                <w:kern w:val="21"/>
                <w:sz w:val="21"/>
                <w:szCs w:val="21"/>
                <w:highlight w:val="none"/>
                <w:lang w:val="en-US" w:eastAsia="zh-CN"/>
              </w:rPr>
            </w:pPr>
            <w:r>
              <w:rPr>
                <w:rFonts w:hint="eastAsia" w:hAnsi="宋体" w:cs="宋体"/>
                <w:snapToGrid w:val="0"/>
                <w:color w:val="auto"/>
                <w:kern w:val="21"/>
                <w:sz w:val="21"/>
                <w:szCs w:val="21"/>
                <w:highlight w:val="none"/>
                <w:lang w:val="en-US" w:eastAsia="zh-CN"/>
              </w:rPr>
              <w:t>/</w:t>
            </w:r>
          </w:p>
        </w:tc>
        <w:tc>
          <w:tcPr>
            <w:tcW w:w="1518" w:type="dxa"/>
            <w:vAlign w:val="center"/>
          </w:tcPr>
          <w:p w14:paraId="4FE2EB68">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hAnsi="宋体" w:eastAsia="宋体" w:cs="宋体"/>
                <w:snapToGrid w:val="0"/>
                <w:color w:val="auto"/>
                <w:kern w:val="21"/>
                <w:sz w:val="21"/>
                <w:szCs w:val="21"/>
                <w:highlight w:val="none"/>
                <w:lang w:val="en-US" w:eastAsia="zh-CN"/>
              </w:rPr>
            </w:pPr>
            <w:r>
              <w:rPr>
                <w:rFonts w:hint="eastAsia" w:hAnsi="宋体" w:cs="宋体"/>
                <w:snapToGrid w:val="0"/>
                <w:color w:val="auto"/>
                <w:kern w:val="21"/>
                <w:sz w:val="21"/>
                <w:szCs w:val="21"/>
                <w:highlight w:val="none"/>
                <w:lang w:val="en-US" w:eastAsia="zh-CN"/>
              </w:rPr>
              <w:t>t/a</w:t>
            </w:r>
          </w:p>
        </w:tc>
        <w:tc>
          <w:tcPr>
            <w:tcW w:w="1518" w:type="dxa"/>
            <w:vAlign w:val="center"/>
          </w:tcPr>
          <w:p w14:paraId="03146969">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hAnsi="宋体" w:eastAsia="宋体" w:cs="宋体"/>
                <w:snapToGrid w:val="0"/>
                <w:color w:val="auto"/>
                <w:kern w:val="21"/>
                <w:sz w:val="21"/>
                <w:szCs w:val="21"/>
                <w:highlight w:val="none"/>
                <w:lang w:val="en-US" w:eastAsia="zh-CN"/>
              </w:rPr>
            </w:pPr>
            <w:r>
              <w:rPr>
                <w:rFonts w:hint="eastAsia" w:hAnsi="宋体" w:cs="宋体"/>
                <w:snapToGrid w:val="0"/>
                <w:color w:val="auto"/>
                <w:kern w:val="21"/>
                <w:sz w:val="21"/>
                <w:szCs w:val="21"/>
                <w:highlight w:val="none"/>
                <w:lang w:val="en-US" w:eastAsia="zh-CN"/>
              </w:rPr>
              <w:t>/</w:t>
            </w:r>
          </w:p>
        </w:tc>
        <w:tc>
          <w:tcPr>
            <w:tcW w:w="1518" w:type="dxa"/>
            <w:vAlign w:val="center"/>
          </w:tcPr>
          <w:p w14:paraId="68B2F6BE">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hAnsi="宋体" w:cs="宋体"/>
                <w:snapToGrid w:val="0"/>
                <w:color w:val="auto"/>
                <w:kern w:val="21"/>
                <w:sz w:val="21"/>
                <w:szCs w:val="21"/>
                <w:highlight w:val="none"/>
              </w:rPr>
            </w:pPr>
          </w:p>
        </w:tc>
        <w:tc>
          <w:tcPr>
            <w:tcW w:w="1518" w:type="dxa"/>
            <w:vAlign w:val="center"/>
          </w:tcPr>
          <w:p w14:paraId="77D55871">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hAnsi="宋体" w:eastAsia="宋体" w:cs="宋体"/>
                <w:snapToGrid w:val="0"/>
                <w:color w:val="auto"/>
                <w:kern w:val="21"/>
                <w:sz w:val="21"/>
                <w:szCs w:val="21"/>
                <w:highlight w:val="none"/>
                <w:lang w:val="en-US" w:eastAsia="zh-CN"/>
              </w:rPr>
            </w:pPr>
          </w:p>
        </w:tc>
      </w:tr>
      <w:tr w14:paraId="03D4873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6" w:type="dxa"/>
            <w:vMerge w:val="restart"/>
            <w:vAlign w:val="center"/>
          </w:tcPr>
          <w:p w14:paraId="598974D0">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hAnsi="宋体" w:eastAsia="宋体" w:cs="宋体"/>
                <w:snapToGrid w:val="0"/>
                <w:color w:val="auto"/>
                <w:kern w:val="21"/>
                <w:sz w:val="21"/>
                <w:szCs w:val="21"/>
                <w:highlight w:val="none"/>
                <w:lang w:val="en-US" w:eastAsia="zh-CN"/>
              </w:rPr>
            </w:pPr>
            <w:r>
              <w:rPr>
                <w:rFonts w:hint="eastAsia" w:hAnsi="宋体" w:cs="宋体"/>
                <w:snapToGrid w:val="0"/>
                <w:color w:val="auto"/>
                <w:kern w:val="21"/>
                <w:sz w:val="21"/>
                <w:szCs w:val="21"/>
                <w:highlight w:val="none"/>
                <w:lang w:val="en-US" w:eastAsia="zh-CN"/>
              </w:rPr>
              <w:t>固体废物</w:t>
            </w:r>
          </w:p>
        </w:tc>
        <w:tc>
          <w:tcPr>
            <w:tcW w:w="2464" w:type="dxa"/>
            <w:gridSpan w:val="2"/>
            <w:vAlign w:val="center"/>
          </w:tcPr>
          <w:p w14:paraId="3CCDC526">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hAnsi="宋体" w:cs="宋体"/>
                <w:snapToGrid w:val="0"/>
                <w:color w:val="auto"/>
                <w:kern w:val="21"/>
                <w:sz w:val="21"/>
                <w:szCs w:val="21"/>
                <w:highlight w:val="none"/>
                <w:lang w:val="en-US" w:eastAsia="zh-CN" w:bidi="ar-SA"/>
              </w:rPr>
            </w:pPr>
            <w:r>
              <w:rPr>
                <w:rFonts w:hint="eastAsia" w:hAnsi="宋体" w:cs="宋体"/>
                <w:snapToGrid w:val="0"/>
                <w:color w:val="auto"/>
                <w:kern w:val="21"/>
                <w:sz w:val="21"/>
                <w:szCs w:val="21"/>
                <w:highlight w:val="none"/>
                <w:lang w:val="en-US" w:eastAsia="zh-CN" w:bidi="ar-SA"/>
              </w:rPr>
              <w:t>生活垃圾</w:t>
            </w:r>
          </w:p>
        </w:tc>
        <w:tc>
          <w:tcPr>
            <w:tcW w:w="1518" w:type="dxa"/>
            <w:vAlign w:val="center"/>
          </w:tcPr>
          <w:p w14:paraId="1D7D3620">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hAnsi="宋体" w:cs="宋体"/>
                <w:snapToGrid w:val="0"/>
                <w:color w:val="auto"/>
                <w:kern w:val="21"/>
                <w:sz w:val="21"/>
                <w:szCs w:val="21"/>
                <w:highlight w:val="none"/>
                <w:lang w:val="en-US" w:eastAsia="zh-CN"/>
              </w:rPr>
            </w:pPr>
            <w:r>
              <w:rPr>
                <w:rFonts w:hint="eastAsia" w:hAnsi="宋体" w:cs="宋体"/>
                <w:snapToGrid w:val="0"/>
                <w:color w:val="auto"/>
                <w:kern w:val="21"/>
                <w:sz w:val="21"/>
                <w:szCs w:val="21"/>
                <w:highlight w:val="none"/>
                <w:lang w:val="en-US" w:eastAsia="zh-CN"/>
              </w:rPr>
              <w:t>/</w:t>
            </w:r>
          </w:p>
        </w:tc>
        <w:tc>
          <w:tcPr>
            <w:tcW w:w="1518" w:type="dxa"/>
            <w:vAlign w:val="center"/>
          </w:tcPr>
          <w:p w14:paraId="228E83E8">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hAnsi="宋体" w:cs="宋体"/>
                <w:snapToGrid w:val="0"/>
                <w:color w:val="auto"/>
                <w:kern w:val="21"/>
                <w:sz w:val="21"/>
                <w:szCs w:val="21"/>
                <w:highlight w:val="none"/>
                <w:lang w:val="en-US" w:eastAsia="zh-CN"/>
              </w:rPr>
            </w:pPr>
            <w:r>
              <w:rPr>
                <w:rFonts w:hint="eastAsia" w:hAnsi="宋体" w:cs="宋体"/>
                <w:snapToGrid w:val="0"/>
                <w:color w:val="auto"/>
                <w:kern w:val="21"/>
                <w:sz w:val="21"/>
                <w:szCs w:val="21"/>
                <w:highlight w:val="none"/>
                <w:lang w:val="en-US" w:eastAsia="zh-CN"/>
              </w:rPr>
              <w:t>/</w:t>
            </w:r>
          </w:p>
        </w:tc>
        <w:tc>
          <w:tcPr>
            <w:tcW w:w="1518" w:type="dxa"/>
            <w:vAlign w:val="center"/>
          </w:tcPr>
          <w:p w14:paraId="46D408A5">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hAnsi="宋体" w:cs="宋体"/>
                <w:snapToGrid w:val="0"/>
                <w:color w:val="auto"/>
                <w:kern w:val="21"/>
                <w:sz w:val="21"/>
                <w:szCs w:val="21"/>
                <w:highlight w:val="none"/>
                <w:lang w:val="en-US" w:eastAsia="zh-CN"/>
              </w:rPr>
            </w:pPr>
            <w:r>
              <w:rPr>
                <w:rFonts w:hint="eastAsia" w:hAnsi="宋体" w:cs="宋体"/>
                <w:snapToGrid w:val="0"/>
                <w:color w:val="auto"/>
                <w:kern w:val="21"/>
                <w:sz w:val="21"/>
                <w:szCs w:val="21"/>
                <w:highlight w:val="none"/>
                <w:lang w:val="en-US" w:eastAsia="zh-CN"/>
              </w:rPr>
              <w:t>/</w:t>
            </w:r>
          </w:p>
        </w:tc>
        <w:tc>
          <w:tcPr>
            <w:tcW w:w="1518" w:type="dxa"/>
            <w:vAlign w:val="center"/>
          </w:tcPr>
          <w:p w14:paraId="6A5E5866">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21"/>
                <w:szCs w:val="21"/>
                <w:highlight w:val="none"/>
                <w:lang w:val="en-US" w:eastAsia="zh-CN"/>
              </w:rPr>
            </w:pPr>
            <w:r>
              <w:rPr>
                <w:rFonts w:hint="eastAsia" w:hAnsi="宋体" w:cs="宋体"/>
                <w:snapToGrid w:val="0"/>
                <w:color w:val="auto"/>
                <w:kern w:val="21"/>
                <w:sz w:val="21"/>
                <w:szCs w:val="21"/>
                <w:highlight w:val="none"/>
                <w:lang w:val="en-US" w:eastAsia="zh-CN"/>
              </w:rPr>
              <w:t>t/a</w:t>
            </w:r>
          </w:p>
        </w:tc>
        <w:tc>
          <w:tcPr>
            <w:tcW w:w="1518" w:type="dxa"/>
            <w:vAlign w:val="center"/>
          </w:tcPr>
          <w:p w14:paraId="28902919">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hAnsi="宋体" w:cs="宋体"/>
                <w:snapToGrid w:val="0"/>
                <w:color w:val="auto"/>
                <w:kern w:val="21"/>
                <w:sz w:val="21"/>
                <w:szCs w:val="21"/>
                <w:highlight w:val="none"/>
                <w:lang w:val="en-US" w:eastAsia="zh-CN"/>
              </w:rPr>
            </w:pPr>
            <w:r>
              <w:rPr>
                <w:rFonts w:hint="eastAsia" w:hAnsi="宋体" w:cs="宋体"/>
                <w:snapToGrid w:val="0"/>
                <w:color w:val="auto"/>
                <w:kern w:val="21"/>
                <w:sz w:val="21"/>
                <w:szCs w:val="21"/>
                <w:highlight w:val="none"/>
                <w:lang w:val="en-US" w:eastAsia="zh-CN"/>
              </w:rPr>
              <w:t>/</w:t>
            </w:r>
          </w:p>
        </w:tc>
        <w:tc>
          <w:tcPr>
            <w:tcW w:w="1518" w:type="dxa"/>
            <w:vAlign w:val="center"/>
          </w:tcPr>
          <w:p w14:paraId="07DE6CC8">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olor w:val="auto"/>
                <w:sz w:val="21"/>
                <w:szCs w:val="21"/>
                <w:highlight w:val="none"/>
                <w:lang w:val="en-US" w:eastAsia="zh-CN"/>
              </w:rPr>
            </w:pPr>
          </w:p>
        </w:tc>
        <w:tc>
          <w:tcPr>
            <w:tcW w:w="1518" w:type="dxa"/>
            <w:vAlign w:val="center"/>
          </w:tcPr>
          <w:p w14:paraId="3061C4FE">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s="Times New Roman"/>
                <w:color w:val="auto"/>
                <w:sz w:val="21"/>
                <w:szCs w:val="21"/>
                <w:highlight w:val="none"/>
                <w:vertAlign w:val="baseline"/>
                <w:lang w:val="en-US" w:eastAsia="zh-CN"/>
              </w:rPr>
            </w:pPr>
          </w:p>
        </w:tc>
      </w:tr>
      <w:tr w14:paraId="2E5FB12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6" w:type="dxa"/>
            <w:vMerge w:val="continue"/>
            <w:vAlign w:val="center"/>
          </w:tcPr>
          <w:p w14:paraId="27E92CA0">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hAnsi="宋体" w:eastAsia="宋体" w:cs="宋体"/>
                <w:snapToGrid w:val="0"/>
                <w:color w:val="auto"/>
                <w:kern w:val="21"/>
                <w:sz w:val="21"/>
                <w:szCs w:val="21"/>
                <w:highlight w:val="none"/>
                <w:lang w:val="en-US" w:eastAsia="zh-CN"/>
              </w:rPr>
            </w:pPr>
          </w:p>
        </w:tc>
        <w:tc>
          <w:tcPr>
            <w:tcW w:w="755" w:type="dxa"/>
            <w:vMerge w:val="restart"/>
            <w:vAlign w:val="center"/>
          </w:tcPr>
          <w:p w14:paraId="597718AC">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宋体" w:eastAsia="宋体" w:cs="宋体"/>
                <w:snapToGrid w:val="0"/>
                <w:color w:val="auto"/>
                <w:kern w:val="21"/>
                <w:sz w:val="21"/>
                <w:szCs w:val="21"/>
                <w:highlight w:val="none"/>
                <w:lang w:val="en-US" w:eastAsia="zh-CN" w:bidi="ar-SA"/>
              </w:rPr>
            </w:pPr>
            <w:r>
              <w:rPr>
                <w:rFonts w:hint="eastAsia" w:hAnsi="宋体" w:cs="宋体"/>
                <w:snapToGrid w:val="0"/>
                <w:color w:val="auto"/>
                <w:kern w:val="21"/>
                <w:sz w:val="21"/>
                <w:szCs w:val="21"/>
                <w:highlight w:val="none"/>
                <w:lang w:val="en-US" w:eastAsia="zh-CN" w:bidi="ar-SA"/>
              </w:rPr>
              <w:t>一般固体废物</w:t>
            </w:r>
          </w:p>
        </w:tc>
        <w:tc>
          <w:tcPr>
            <w:tcW w:w="1709" w:type="dxa"/>
            <w:vAlign w:val="center"/>
          </w:tcPr>
          <w:p w14:paraId="464D9423">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rPr>
            </w:pPr>
            <w:r>
              <w:rPr>
                <w:rFonts w:hint="default"/>
                <w:color w:val="auto"/>
                <w:sz w:val="21"/>
                <w:szCs w:val="21"/>
                <w:highlight w:val="none"/>
              </w:rPr>
              <w:t>无害的医药外包装物</w:t>
            </w:r>
          </w:p>
        </w:tc>
        <w:tc>
          <w:tcPr>
            <w:tcW w:w="1518" w:type="dxa"/>
            <w:vAlign w:val="center"/>
          </w:tcPr>
          <w:p w14:paraId="7830B81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hAnsi="宋体" w:eastAsia="宋体" w:cs="宋体"/>
                <w:snapToGrid w:val="0"/>
                <w:color w:val="auto"/>
                <w:kern w:val="21"/>
                <w:sz w:val="21"/>
                <w:szCs w:val="21"/>
                <w:highlight w:val="none"/>
                <w:lang w:val="en-US" w:eastAsia="zh-CN"/>
              </w:rPr>
            </w:pPr>
            <w:r>
              <w:rPr>
                <w:rFonts w:hint="eastAsia" w:hAnsi="宋体" w:cs="宋体"/>
                <w:snapToGrid w:val="0"/>
                <w:color w:val="auto"/>
                <w:kern w:val="21"/>
                <w:sz w:val="21"/>
                <w:szCs w:val="21"/>
                <w:highlight w:val="none"/>
                <w:lang w:val="en-US" w:eastAsia="zh-CN"/>
              </w:rPr>
              <w:t>/</w:t>
            </w:r>
          </w:p>
        </w:tc>
        <w:tc>
          <w:tcPr>
            <w:tcW w:w="1518" w:type="dxa"/>
            <w:vAlign w:val="center"/>
          </w:tcPr>
          <w:p w14:paraId="6363B29E">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hAnsi="宋体" w:eastAsia="宋体" w:cs="宋体"/>
                <w:snapToGrid w:val="0"/>
                <w:color w:val="auto"/>
                <w:kern w:val="21"/>
                <w:sz w:val="21"/>
                <w:szCs w:val="21"/>
                <w:highlight w:val="none"/>
                <w:lang w:val="en-US" w:eastAsia="zh-CN"/>
              </w:rPr>
            </w:pPr>
            <w:r>
              <w:rPr>
                <w:rFonts w:hint="eastAsia" w:hAnsi="宋体" w:cs="宋体"/>
                <w:snapToGrid w:val="0"/>
                <w:color w:val="auto"/>
                <w:kern w:val="21"/>
                <w:sz w:val="21"/>
                <w:szCs w:val="21"/>
                <w:highlight w:val="none"/>
                <w:lang w:val="en-US" w:eastAsia="zh-CN"/>
              </w:rPr>
              <w:t>/</w:t>
            </w:r>
          </w:p>
        </w:tc>
        <w:tc>
          <w:tcPr>
            <w:tcW w:w="1518" w:type="dxa"/>
            <w:vAlign w:val="center"/>
          </w:tcPr>
          <w:p w14:paraId="22FF1E84">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hAnsi="宋体" w:eastAsia="宋体" w:cs="宋体"/>
                <w:snapToGrid w:val="0"/>
                <w:color w:val="auto"/>
                <w:kern w:val="21"/>
                <w:sz w:val="21"/>
                <w:szCs w:val="21"/>
                <w:highlight w:val="none"/>
                <w:lang w:val="en-US" w:eastAsia="zh-CN"/>
              </w:rPr>
            </w:pPr>
            <w:r>
              <w:rPr>
                <w:rFonts w:hint="eastAsia" w:hAnsi="宋体" w:cs="宋体"/>
                <w:snapToGrid w:val="0"/>
                <w:color w:val="auto"/>
                <w:kern w:val="21"/>
                <w:sz w:val="21"/>
                <w:szCs w:val="21"/>
                <w:highlight w:val="none"/>
                <w:lang w:val="en-US" w:eastAsia="zh-CN"/>
              </w:rPr>
              <w:t>/</w:t>
            </w:r>
          </w:p>
        </w:tc>
        <w:tc>
          <w:tcPr>
            <w:tcW w:w="1518" w:type="dxa"/>
            <w:vAlign w:val="center"/>
          </w:tcPr>
          <w:p w14:paraId="356402F4">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eastAsia="宋体"/>
                <w:color w:val="auto"/>
                <w:sz w:val="21"/>
                <w:szCs w:val="21"/>
                <w:highlight w:val="none"/>
                <w:lang w:val="en-US" w:eastAsia="zh-CN"/>
              </w:rPr>
            </w:pPr>
            <w:r>
              <w:rPr>
                <w:rFonts w:hint="eastAsia" w:hAnsi="宋体" w:cs="宋体"/>
                <w:snapToGrid w:val="0"/>
                <w:color w:val="auto"/>
                <w:kern w:val="21"/>
                <w:sz w:val="21"/>
                <w:szCs w:val="21"/>
                <w:highlight w:val="none"/>
                <w:lang w:val="en-US" w:eastAsia="zh-CN"/>
              </w:rPr>
              <w:t>t/a</w:t>
            </w:r>
          </w:p>
        </w:tc>
        <w:tc>
          <w:tcPr>
            <w:tcW w:w="1518" w:type="dxa"/>
            <w:vAlign w:val="center"/>
          </w:tcPr>
          <w:p w14:paraId="1884D54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hAnsi="宋体" w:cs="宋体"/>
                <w:snapToGrid w:val="0"/>
                <w:color w:val="auto"/>
                <w:kern w:val="21"/>
                <w:sz w:val="21"/>
                <w:szCs w:val="21"/>
                <w:highlight w:val="none"/>
              </w:rPr>
            </w:pPr>
            <w:r>
              <w:rPr>
                <w:rFonts w:hint="eastAsia" w:hAnsi="宋体" w:cs="宋体"/>
                <w:snapToGrid w:val="0"/>
                <w:color w:val="auto"/>
                <w:kern w:val="21"/>
                <w:sz w:val="21"/>
                <w:szCs w:val="21"/>
                <w:highlight w:val="none"/>
                <w:lang w:val="en-US" w:eastAsia="zh-CN"/>
              </w:rPr>
              <w:t>/</w:t>
            </w:r>
          </w:p>
        </w:tc>
        <w:tc>
          <w:tcPr>
            <w:tcW w:w="1518" w:type="dxa"/>
            <w:vAlign w:val="center"/>
          </w:tcPr>
          <w:p w14:paraId="41EDD8B4">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eastAsia="宋体"/>
                <w:color w:val="auto"/>
                <w:sz w:val="21"/>
                <w:szCs w:val="21"/>
                <w:highlight w:val="none"/>
                <w:lang w:val="en-US" w:eastAsia="zh-CN"/>
              </w:rPr>
            </w:pPr>
          </w:p>
        </w:tc>
        <w:tc>
          <w:tcPr>
            <w:tcW w:w="1518" w:type="dxa"/>
            <w:vAlign w:val="center"/>
          </w:tcPr>
          <w:p w14:paraId="0E2E0216">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hAnsi="宋体" w:eastAsia="宋体" w:cs="宋体"/>
                <w:snapToGrid w:val="0"/>
                <w:color w:val="auto"/>
                <w:kern w:val="21"/>
                <w:sz w:val="21"/>
                <w:szCs w:val="21"/>
                <w:highlight w:val="none"/>
                <w:lang w:val="en-US" w:eastAsia="zh-CN"/>
              </w:rPr>
            </w:pPr>
          </w:p>
        </w:tc>
      </w:tr>
      <w:tr w14:paraId="24EEBA4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6" w:type="dxa"/>
            <w:vMerge w:val="continue"/>
            <w:vAlign w:val="center"/>
          </w:tcPr>
          <w:p w14:paraId="7A586FA5">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hAnsi="宋体" w:eastAsia="宋体" w:cs="宋体"/>
                <w:snapToGrid w:val="0"/>
                <w:color w:val="auto"/>
                <w:kern w:val="21"/>
                <w:sz w:val="21"/>
                <w:szCs w:val="21"/>
                <w:highlight w:val="none"/>
                <w:lang w:val="en-US" w:eastAsia="zh-CN"/>
              </w:rPr>
            </w:pPr>
          </w:p>
        </w:tc>
        <w:tc>
          <w:tcPr>
            <w:tcW w:w="755" w:type="dxa"/>
            <w:vMerge w:val="continue"/>
            <w:vAlign w:val="center"/>
          </w:tcPr>
          <w:p w14:paraId="2016F295">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hAnsi="宋体" w:cs="宋体"/>
                <w:snapToGrid w:val="0"/>
                <w:color w:val="auto"/>
                <w:kern w:val="21"/>
                <w:sz w:val="21"/>
                <w:szCs w:val="21"/>
                <w:highlight w:val="none"/>
                <w:lang w:val="en-US" w:eastAsia="zh-CN" w:bidi="ar-SA"/>
              </w:rPr>
            </w:pPr>
          </w:p>
        </w:tc>
        <w:tc>
          <w:tcPr>
            <w:tcW w:w="1709" w:type="dxa"/>
            <w:vAlign w:val="center"/>
          </w:tcPr>
          <w:p w14:paraId="3070A406">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rPr>
            </w:pPr>
            <w:r>
              <w:rPr>
                <w:rFonts w:hint="default"/>
                <w:color w:val="auto"/>
                <w:sz w:val="21"/>
                <w:szCs w:val="21"/>
                <w:highlight w:val="none"/>
              </w:rPr>
              <w:t>未被污染的一次性输液瓶（袋）</w:t>
            </w:r>
          </w:p>
        </w:tc>
        <w:tc>
          <w:tcPr>
            <w:tcW w:w="1518" w:type="dxa"/>
            <w:vAlign w:val="center"/>
          </w:tcPr>
          <w:p w14:paraId="074B860D">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hAnsi="宋体" w:cs="宋体"/>
                <w:snapToGrid w:val="0"/>
                <w:color w:val="auto"/>
                <w:kern w:val="21"/>
                <w:sz w:val="21"/>
                <w:szCs w:val="21"/>
                <w:highlight w:val="none"/>
                <w:lang w:val="en-US" w:eastAsia="zh-CN"/>
              </w:rPr>
            </w:pPr>
            <w:r>
              <w:rPr>
                <w:rFonts w:hint="eastAsia" w:hAnsi="宋体" w:cs="宋体"/>
                <w:snapToGrid w:val="0"/>
                <w:color w:val="auto"/>
                <w:kern w:val="21"/>
                <w:sz w:val="21"/>
                <w:szCs w:val="21"/>
                <w:highlight w:val="none"/>
                <w:lang w:val="en-US" w:eastAsia="zh-CN"/>
              </w:rPr>
              <w:t>/</w:t>
            </w:r>
          </w:p>
        </w:tc>
        <w:tc>
          <w:tcPr>
            <w:tcW w:w="1518" w:type="dxa"/>
            <w:vAlign w:val="center"/>
          </w:tcPr>
          <w:p w14:paraId="06EE96E0">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hAnsi="宋体" w:cs="宋体"/>
                <w:snapToGrid w:val="0"/>
                <w:color w:val="auto"/>
                <w:kern w:val="21"/>
                <w:sz w:val="21"/>
                <w:szCs w:val="21"/>
                <w:highlight w:val="none"/>
                <w:lang w:val="en-US" w:eastAsia="zh-CN"/>
              </w:rPr>
            </w:pPr>
            <w:r>
              <w:rPr>
                <w:rFonts w:hint="eastAsia" w:hAnsi="宋体" w:cs="宋体"/>
                <w:snapToGrid w:val="0"/>
                <w:color w:val="auto"/>
                <w:kern w:val="21"/>
                <w:sz w:val="21"/>
                <w:szCs w:val="21"/>
                <w:highlight w:val="none"/>
                <w:lang w:val="en-US" w:eastAsia="zh-CN"/>
              </w:rPr>
              <w:t>/</w:t>
            </w:r>
          </w:p>
        </w:tc>
        <w:tc>
          <w:tcPr>
            <w:tcW w:w="1518" w:type="dxa"/>
            <w:vAlign w:val="center"/>
          </w:tcPr>
          <w:p w14:paraId="13865E94">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hAnsi="宋体" w:cs="宋体"/>
                <w:snapToGrid w:val="0"/>
                <w:color w:val="auto"/>
                <w:kern w:val="21"/>
                <w:sz w:val="21"/>
                <w:szCs w:val="21"/>
                <w:highlight w:val="none"/>
                <w:lang w:val="en-US" w:eastAsia="zh-CN"/>
              </w:rPr>
            </w:pPr>
            <w:r>
              <w:rPr>
                <w:rFonts w:hint="eastAsia" w:hAnsi="宋体" w:cs="宋体"/>
                <w:snapToGrid w:val="0"/>
                <w:color w:val="auto"/>
                <w:kern w:val="21"/>
                <w:sz w:val="21"/>
                <w:szCs w:val="21"/>
                <w:highlight w:val="none"/>
                <w:lang w:val="en-US" w:eastAsia="zh-CN"/>
              </w:rPr>
              <w:t>/</w:t>
            </w:r>
          </w:p>
        </w:tc>
        <w:tc>
          <w:tcPr>
            <w:tcW w:w="1518" w:type="dxa"/>
            <w:vAlign w:val="center"/>
          </w:tcPr>
          <w:p w14:paraId="176CA5F6">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21"/>
                <w:szCs w:val="21"/>
                <w:highlight w:val="none"/>
                <w:lang w:val="en-US" w:eastAsia="zh-CN"/>
              </w:rPr>
            </w:pPr>
            <w:r>
              <w:rPr>
                <w:rFonts w:hint="eastAsia" w:hAnsi="宋体" w:cs="宋体"/>
                <w:snapToGrid w:val="0"/>
                <w:color w:val="auto"/>
                <w:kern w:val="21"/>
                <w:sz w:val="21"/>
                <w:szCs w:val="21"/>
                <w:highlight w:val="none"/>
                <w:lang w:val="en-US" w:eastAsia="zh-CN"/>
              </w:rPr>
              <w:t>t/a</w:t>
            </w:r>
          </w:p>
        </w:tc>
        <w:tc>
          <w:tcPr>
            <w:tcW w:w="1518" w:type="dxa"/>
            <w:vAlign w:val="center"/>
          </w:tcPr>
          <w:p w14:paraId="4BC90A01">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hAnsi="宋体" w:cs="宋体"/>
                <w:snapToGrid w:val="0"/>
                <w:color w:val="auto"/>
                <w:kern w:val="21"/>
                <w:sz w:val="21"/>
                <w:szCs w:val="21"/>
                <w:highlight w:val="none"/>
                <w:lang w:val="en-US" w:eastAsia="zh-CN"/>
              </w:rPr>
            </w:pPr>
            <w:r>
              <w:rPr>
                <w:rFonts w:hint="eastAsia" w:hAnsi="宋体" w:cs="宋体"/>
                <w:snapToGrid w:val="0"/>
                <w:color w:val="auto"/>
                <w:kern w:val="21"/>
                <w:sz w:val="21"/>
                <w:szCs w:val="21"/>
                <w:highlight w:val="none"/>
                <w:lang w:val="en-US" w:eastAsia="zh-CN"/>
              </w:rPr>
              <w:t>/</w:t>
            </w:r>
          </w:p>
        </w:tc>
        <w:tc>
          <w:tcPr>
            <w:tcW w:w="1518" w:type="dxa"/>
            <w:vAlign w:val="center"/>
          </w:tcPr>
          <w:p w14:paraId="00F5488F">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olor w:val="auto"/>
                <w:sz w:val="21"/>
                <w:szCs w:val="21"/>
                <w:highlight w:val="none"/>
                <w:lang w:val="en-US" w:eastAsia="zh-CN"/>
              </w:rPr>
            </w:pPr>
          </w:p>
        </w:tc>
        <w:tc>
          <w:tcPr>
            <w:tcW w:w="1518" w:type="dxa"/>
            <w:vAlign w:val="center"/>
          </w:tcPr>
          <w:p w14:paraId="11843379">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s="Times New Roman"/>
                <w:color w:val="auto"/>
                <w:sz w:val="21"/>
                <w:szCs w:val="21"/>
                <w:highlight w:val="none"/>
                <w:vertAlign w:val="baseline"/>
                <w:lang w:val="en-US" w:eastAsia="zh-CN"/>
              </w:rPr>
            </w:pPr>
          </w:p>
        </w:tc>
      </w:tr>
      <w:tr w14:paraId="4A7E2B2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6" w:type="dxa"/>
            <w:vMerge w:val="continue"/>
            <w:vAlign w:val="center"/>
          </w:tcPr>
          <w:p w14:paraId="06A230D4">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hAnsi="宋体" w:cs="宋体"/>
                <w:snapToGrid w:val="0"/>
                <w:color w:val="auto"/>
                <w:kern w:val="21"/>
                <w:sz w:val="21"/>
                <w:szCs w:val="21"/>
                <w:highlight w:val="none"/>
                <w:lang w:val="en-US" w:eastAsia="zh-CN"/>
              </w:rPr>
            </w:pPr>
          </w:p>
        </w:tc>
        <w:tc>
          <w:tcPr>
            <w:tcW w:w="755" w:type="dxa"/>
            <w:vMerge w:val="continue"/>
            <w:vAlign w:val="center"/>
          </w:tcPr>
          <w:p w14:paraId="5DE0534C">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hAnsi="宋体" w:cs="宋体"/>
                <w:snapToGrid w:val="0"/>
                <w:color w:val="auto"/>
                <w:kern w:val="21"/>
                <w:sz w:val="21"/>
                <w:szCs w:val="21"/>
                <w:highlight w:val="none"/>
                <w:lang w:val="en-US" w:eastAsia="zh-CN" w:bidi="ar-SA"/>
              </w:rPr>
            </w:pPr>
          </w:p>
        </w:tc>
        <w:tc>
          <w:tcPr>
            <w:tcW w:w="1709" w:type="dxa"/>
            <w:vAlign w:val="center"/>
          </w:tcPr>
          <w:p w14:paraId="2D6F8C9C">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hAnsi="宋体" w:cs="宋体"/>
                <w:snapToGrid w:val="0"/>
                <w:color w:val="auto"/>
                <w:kern w:val="21"/>
                <w:sz w:val="21"/>
                <w:szCs w:val="21"/>
                <w:highlight w:val="none"/>
                <w:lang w:val="en-US" w:eastAsia="zh-CN" w:bidi="ar-SA"/>
              </w:rPr>
            </w:pPr>
            <w:r>
              <w:rPr>
                <w:rFonts w:hint="default" w:hAnsi="宋体" w:cs="宋体"/>
                <w:snapToGrid w:val="0"/>
                <w:color w:val="auto"/>
                <w:kern w:val="21"/>
                <w:sz w:val="21"/>
                <w:szCs w:val="21"/>
                <w:highlight w:val="none"/>
                <w:lang w:val="en-US" w:eastAsia="zh-CN" w:bidi="ar-SA"/>
              </w:rPr>
              <w:t>废紫外线灯珠</w:t>
            </w:r>
          </w:p>
        </w:tc>
        <w:tc>
          <w:tcPr>
            <w:tcW w:w="1518" w:type="dxa"/>
            <w:vAlign w:val="center"/>
          </w:tcPr>
          <w:p w14:paraId="2672CCD3">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hAnsi="宋体" w:eastAsia="宋体" w:cs="宋体"/>
                <w:snapToGrid w:val="0"/>
                <w:color w:val="auto"/>
                <w:kern w:val="21"/>
                <w:sz w:val="21"/>
                <w:szCs w:val="21"/>
                <w:highlight w:val="none"/>
                <w:lang w:val="en-US" w:eastAsia="zh-CN"/>
              </w:rPr>
            </w:pPr>
            <w:r>
              <w:rPr>
                <w:rFonts w:hint="eastAsia" w:hAnsi="宋体" w:cs="宋体"/>
                <w:snapToGrid w:val="0"/>
                <w:color w:val="auto"/>
                <w:kern w:val="21"/>
                <w:sz w:val="21"/>
                <w:szCs w:val="21"/>
                <w:highlight w:val="none"/>
                <w:lang w:val="en-US" w:eastAsia="zh-CN"/>
              </w:rPr>
              <w:t>/</w:t>
            </w:r>
          </w:p>
        </w:tc>
        <w:tc>
          <w:tcPr>
            <w:tcW w:w="1518" w:type="dxa"/>
            <w:vAlign w:val="center"/>
          </w:tcPr>
          <w:p w14:paraId="31BA7590">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hAnsi="宋体" w:eastAsia="宋体" w:cs="宋体"/>
                <w:snapToGrid w:val="0"/>
                <w:color w:val="auto"/>
                <w:kern w:val="21"/>
                <w:sz w:val="21"/>
                <w:szCs w:val="21"/>
                <w:highlight w:val="none"/>
                <w:lang w:val="en-US" w:eastAsia="zh-CN"/>
              </w:rPr>
            </w:pPr>
            <w:r>
              <w:rPr>
                <w:rFonts w:hint="eastAsia" w:hAnsi="宋体" w:cs="宋体"/>
                <w:snapToGrid w:val="0"/>
                <w:color w:val="auto"/>
                <w:kern w:val="21"/>
                <w:sz w:val="21"/>
                <w:szCs w:val="21"/>
                <w:highlight w:val="none"/>
                <w:lang w:val="en-US" w:eastAsia="zh-CN"/>
              </w:rPr>
              <w:t>/</w:t>
            </w:r>
          </w:p>
        </w:tc>
        <w:tc>
          <w:tcPr>
            <w:tcW w:w="1518" w:type="dxa"/>
            <w:vAlign w:val="center"/>
          </w:tcPr>
          <w:p w14:paraId="3404F73D">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hAnsi="宋体" w:eastAsia="宋体" w:cs="宋体"/>
                <w:snapToGrid w:val="0"/>
                <w:color w:val="auto"/>
                <w:kern w:val="21"/>
                <w:sz w:val="21"/>
                <w:szCs w:val="21"/>
                <w:highlight w:val="none"/>
                <w:lang w:val="en-US" w:eastAsia="zh-CN"/>
              </w:rPr>
            </w:pPr>
            <w:r>
              <w:rPr>
                <w:rFonts w:hint="eastAsia" w:hAnsi="宋体" w:cs="宋体"/>
                <w:snapToGrid w:val="0"/>
                <w:color w:val="auto"/>
                <w:kern w:val="21"/>
                <w:sz w:val="21"/>
                <w:szCs w:val="21"/>
                <w:highlight w:val="none"/>
                <w:lang w:val="en-US" w:eastAsia="zh-CN"/>
              </w:rPr>
              <w:t>/</w:t>
            </w:r>
          </w:p>
        </w:tc>
        <w:tc>
          <w:tcPr>
            <w:tcW w:w="1518" w:type="dxa"/>
            <w:vAlign w:val="center"/>
          </w:tcPr>
          <w:p w14:paraId="2EDBE1F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eastAsia="宋体"/>
                <w:color w:val="auto"/>
                <w:sz w:val="21"/>
                <w:szCs w:val="21"/>
                <w:highlight w:val="none"/>
                <w:lang w:val="en-US" w:eastAsia="zh-CN"/>
              </w:rPr>
            </w:pPr>
            <w:r>
              <w:rPr>
                <w:rFonts w:hint="eastAsia" w:hAnsi="宋体" w:cs="宋体"/>
                <w:snapToGrid w:val="0"/>
                <w:color w:val="auto"/>
                <w:kern w:val="21"/>
                <w:sz w:val="21"/>
                <w:szCs w:val="21"/>
                <w:highlight w:val="none"/>
                <w:lang w:val="en-US" w:eastAsia="zh-CN"/>
              </w:rPr>
              <w:t>t/a</w:t>
            </w:r>
          </w:p>
        </w:tc>
        <w:tc>
          <w:tcPr>
            <w:tcW w:w="1518" w:type="dxa"/>
            <w:vAlign w:val="center"/>
          </w:tcPr>
          <w:p w14:paraId="15D74D33">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hAnsi="宋体" w:cs="宋体"/>
                <w:snapToGrid w:val="0"/>
                <w:color w:val="auto"/>
                <w:kern w:val="21"/>
                <w:sz w:val="21"/>
                <w:szCs w:val="21"/>
                <w:highlight w:val="none"/>
              </w:rPr>
            </w:pPr>
            <w:r>
              <w:rPr>
                <w:rFonts w:hint="eastAsia" w:hAnsi="宋体" w:cs="宋体"/>
                <w:snapToGrid w:val="0"/>
                <w:color w:val="auto"/>
                <w:kern w:val="21"/>
                <w:sz w:val="21"/>
                <w:szCs w:val="21"/>
                <w:highlight w:val="none"/>
                <w:lang w:val="en-US" w:eastAsia="zh-CN"/>
              </w:rPr>
              <w:t>/</w:t>
            </w:r>
          </w:p>
        </w:tc>
        <w:tc>
          <w:tcPr>
            <w:tcW w:w="1518" w:type="dxa"/>
            <w:vAlign w:val="center"/>
          </w:tcPr>
          <w:p w14:paraId="11693399">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eastAsia="宋体"/>
                <w:color w:val="auto"/>
                <w:sz w:val="21"/>
                <w:szCs w:val="21"/>
                <w:highlight w:val="none"/>
                <w:lang w:val="en-US" w:eastAsia="zh-CN"/>
              </w:rPr>
            </w:pPr>
          </w:p>
        </w:tc>
        <w:tc>
          <w:tcPr>
            <w:tcW w:w="1518" w:type="dxa"/>
            <w:vAlign w:val="center"/>
          </w:tcPr>
          <w:p w14:paraId="29E9611D">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hAnsi="宋体" w:eastAsia="宋体" w:cs="宋体"/>
                <w:snapToGrid w:val="0"/>
                <w:color w:val="auto"/>
                <w:kern w:val="21"/>
                <w:sz w:val="21"/>
                <w:szCs w:val="21"/>
                <w:highlight w:val="none"/>
                <w:lang w:val="en-US" w:eastAsia="zh-CN"/>
              </w:rPr>
            </w:pPr>
          </w:p>
        </w:tc>
      </w:tr>
      <w:tr w14:paraId="6F605A1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6" w:type="dxa"/>
            <w:vMerge w:val="continue"/>
            <w:vAlign w:val="center"/>
          </w:tcPr>
          <w:p w14:paraId="41AD07AE">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hAnsi="宋体" w:cs="宋体"/>
                <w:snapToGrid w:val="0"/>
                <w:color w:val="auto"/>
                <w:kern w:val="21"/>
                <w:sz w:val="21"/>
                <w:szCs w:val="21"/>
                <w:highlight w:val="none"/>
              </w:rPr>
            </w:pPr>
          </w:p>
        </w:tc>
        <w:tc>
          <w:tcPr>
            <w:tcW w:w="755" w:type="dxa"/>
            <w:vMerge w:val="restart"/>
            <w:vAlign w:val="center"/>
          </w:tcPr>
          <w:p w14:paraId="7133736C">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宋体" w:eastAsia="宋体" w:cs="宋体"/>
                <w:snapToGrid w:val="0"/>
                <w:color w:val="auto"/>
                <w:kern w:val="21"/>
                <w:sz w:val="21"/>
                <w:szCs w:val="21"/>
                <w:highlight w:val="none"/>
                <w:lang w:val="en-US" w:eastAsia="zh-CN" w:bidi="ar-SA"/>
              </w:rPr>
            </w:pPr>
            <w:r>
              <w:rPr>
                <w:rFonts w:hint="eastAsia" w:hAnsi="宋体" w:cs="宋体"/>
                <w:snapToGrid w:val="0"/>
                <w:color w:val="auto"/>
                <w:kern w:val="21"/>
                <w:sz w:val="21"/>
                <w:szCs w:val="21"/>
                <w:highlight w:val="none"/>
                <w:lang w:val="en-US" w:eastAsia="zh-CN" w:bidi="ar-SA"/>
              </w:rPr>
              <w:t>危险废物</w:t>
            </w:r>
          </w:p>
        </w:tc>
        <w:tc>
          <w:tcPr>
            <w:tcW w:w="1709" w:type="dxa"/>
            <w:vAlign w:val="center"/>
          </w:tcPr>
          <w:p w14:paraId="180EAD0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医疗废物</w:t>
            </w:r>
          </w:p>
        </w:tc>
        <w:tc>
          <w:tcPr>
            <w:tcW w:w="1518" w:type="dxa"/>
            <w:vAlign w:val="center"/>
          </w:tcPr>
          <w:p w14:paraId="19D5DE55">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hAnsi="宋体" w:eastAsia="宋体" w:cs="宋体"/>
                <w:snapToGrid w:val="0"/>
                <w:color w:val="auto"/>
                <w:kern w:val="21"/>
                <w:sz w:val="21"/>
                <w:szCs w:val="21"/>
                <w:highlight w:val="none"/>
                <w:lang w:val="en-US" w:eastAsia="zh-CN"/>
              </w:rPr>
            </w:pPr>
            <w:r>
              <w:rPr>
                <w:rFonts w:hint="eastAsia" w:hAnsi="宋体" w:cs="宋体"/>
                <w:snapToGrid w:val="0"/>
                <w:color w:val="auto"/>
                <w:kern w:val="21"/>
                <w:sz w:val="21"/>
                <w:szCs w:val="21"/>
                <w:highlight w:val="none"/>
                <w:lang w:val="en-US" w:eastAsia="zh-CN"/>
              </w:rPr>
              <w:t>/</w:t>
            </w:r>
          </w:p>
        </w:tc>
        <w:tc>
          <w:tcPr>
            <w:tcW w:w="1518" w:type="dxa"/>
            <w:vAlign w:val="center"/>
          </w:tcPr>
          <w:p w14:paraId="264E3669">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hAnsi="宋体" w:eastAsia="宋体" w:cs="宋体"/>
                <w:snapToGrid w:val="0"/>
                <w:color w:val="auto"/>
                <w:kern w:val="21"/>
                <w:sz w:val="21"/>
                <w:szCs w:val="21"/>
                <w:highlight w:val="none"/>
                <w:lang w:val="en-US" w:eastAsia="zh-CN"/>
              </w:rPr>
            </w:pPr>
            <w:r>
              <w:rPr>
                <w:rFonts w:hint="eastAsia" w:hAnsi="宋体" w:cs="宋体"/>
                <w:snapToGrid w:val="0"/>
                <w:color w:val="auto"/>
                <w:kern w:val="21"/>
                <w:sz w:val="21"/>
                <w:szCs w:val="21"/>
                <w:highlight w:val="none"/>
                <w:lang w:val="en-US" w:eastAsia="zh-CN"/>
              </w:rPr>
              <w:t>/</w:t>
            </w:r>
          </w:p>
        </w:tc>
        <w:tc>
          <w:tcPr>
            <w:tcW w:w="1518" w:type="dxa"/>
            <w:vAlign w:val="center"/>
          </w:tcPr>
          <w:p w14:paraId="11D1FB9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hAnsi="宋体" w:eastAsia="宋体" w:cs="宋体"/>
                <w:snapToGrid w:val="0"/>
                <w:color w:val="auto"/>
                <w:kern w:val="21"/>
                <w:sz w:val="21"/>
                <w:szCs w:val="21"/>
                <w:highlight w:val="none"/>
                <w:lang w:val="en-US" w:eastAsia="zh-CN"/>
              </w:rPr>
            </w:pPr>
            <w:r>
              <w:rPr>
                <w:rFonts w:hint="eastAsia" w:hAnsi="宋体" w:cs="宋体"/>
                <w:snapToGrid w:val="0"/>
                <w:color w:val="auto"/>
                <w:kern w:val="21"/>
                <w:sz w:val="21"/>
                <w:szCs w:val="21"/>
                <w:highlight w:val="none"/>
                <w:lang w:val="en-US" w:eastAsia="zh-CN"/>
              </w:rPr>
              <w:t>/</w:t>
            </w:r>
          </w:p>
        </w:tc>
        <w:tc>
          <w:tcPr>
            <w:tcW w:w="1518" w:type="dxa"/>
            <w:vAlign w:val="center"/>
          </w:tcPr>
          <w:p w14:paraId="44F28DA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eastAsia="宋体"/>
                <w:color w:val="auto"/>
                <w:sz w:val="21"/>
                <w:szCs w:val="21"/>
                <w:highlight w:val="none"/>
                <w:lang w:val="en-US" w:eastAsia="zh-CN"/>
              </w:rPr>
            </w:pPr>
            <w:r>
              <w:rPr>
                <w:rFonts w:hint="eastAsia" w:hAnsi="宋体" w:cs="宋体"/>
                <w:snapToGrid w:val="0"/>
                <w:color w:val="auto"/>
                <w:kern w:val="21"/>
                <w:sz w:val="21"/>
                <w:szCs w:val="21"/>
                <w:highlight w:val="none"/>
                <w:lang w:val="en-US" w:eastAsia="zh-CN"/>
              </w:rPr>
              <w:t>t/a</w:t>
            </w:r>
          </w:p>
        </w:tc>
        <w:tc>
          <w:tcPr>
            <w:tcW w:w="1518" w:type="dxa"/>
            <w:vAlign w:val="center"/>
          </w:tcPr>
          <w:p w14:paraId="735E41FD">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hAnsi="宋体" w:cs="宋体"/>
                <w:snapToGrid w:val="0"/>
                <w:color w:val="auto"/>
                <w:kern w:val="21"/>
                <w:sz w:val="21"/>
                <w:szCs w:val="21"/>
                <w:highlight w:val="none"/>
              </w:rPr>
            </w:pPr>
            <w:r>
              <w:rPr>
                <w:rFonts w:hint="eastAsia" w:hAnsi="宋体" w:cs="宋体"/>
                <w:snapToGrid w:val="0"/>
                <w:color w:val="auto"/>
                <w:kern w:val="21"/>
                <w:sz w:val="21"/>
                <w:szCs w:val="21"/>
                <w:highlight w:val="none"/>
                <w:lang w:val="en-US" w:eastAsia="zh-CN"/>
              </w:rPr>
              <w:t>/</w:t>
            </w:r>
          </w:p>
        </w:tc>
        <w:tc>
          <w:tcPr>
            <w:tcW w:w="1518" w:type="dxa"/>
            <w:vAlign w:val="center"/>
          </w:tcPr>
          <w:p w14:paraId="6390095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eastAsia="宋体"/>
                <w:color w:val="auto"/>
                <w:sz w:val="21"/>
                <w:szCs w:val="21"/>
                <w:highlight w:val="none"/>
                <w:lang w:val="en-US" w:eastAsia="zh-CN"/>
              </w:rPr>
            </w:pPr>
          </w:p>
        </w:tc>
        <w:tc>
          <w:tcPr>
            <w:tcW w:w="1518" w:type="dxa"/>
            <w:vAlign w:val="center"/>
          </w:tcPr>
          <w:p w14:paraId="08FCBCD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hAnsi="宋体" w:eastAsia="宋体" w:cs="宋体"/>
                <w:snapToGrid w:val="0"/>
                <w:color w:val="auto"/>
                <w:kern w:val="21"/>
                <w:sz w:val="21"/>
                <w:szCs w:val="21"/>
                <w:highlight w:val="none"/>
                <w:lang w:val="en-US" w:eastAsia="zh-CN"/>
              </w:rPr>
            </w:pPr>
          </w:p>
        </w:tc>
      </w:tr>
      <w:tr w14:paraId="1593AF2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6" w:type="dxa"/>
            <w:vMerge w:val="continue"/>
            <w:vAlign w:val="center"/>
          </w:tcPr>
          <w:p w14:paraId="757B6E89">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hAnsi="宋体" w:cs="宋体"/>
                <w:snapToGrid w:val="0"/>
                <w:color w:val="auto"/>
                <w:kern w:val="21"/>
                <w:sz w:val="21"/>
                <w:szCs w:val="21"/>
                <w:highlight w:val="none"/>
              </w:rPr>
            </w:pPr>
          </w:p>
        </w:tc>
        <w:tc>
          <w:tcPr>
            <w:tcW w:w="755" w:type="dxa"/>
            <w:vMerge w:val="continue"/>
            <w:vAlign w:val="center"/>
          </w:tcPr>
          <w:p w14:paraId="3BED6FC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hAnsi="宋体" w:cs="宋体"/>
                <w:snapToGrid w:val="0"/>
                <w:color w:val="auto"/>
                <w:kern w:val="21"/>
                <w:sz w:val="21"/>
                <w:szCs w:val="21"/>
                <w:highlight w:val="none"/>
                <w:lang w:val="en-US" w:eastAsia="zh-CN" w:bidi="ar-SA"/>
              </w:rPr>
            </w:pPr>
          </w:p>
        </w:tc>
        <w:tc>
          <w:tcPr>
            <w:tcW w:w="1709" w:type="dxa"/>
            <w:vAlign w:val="center"/>
          </w:tcPr>
          <w:p w14:paraId="1C09E75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消毒剂沾染物</w:t>
            </w:r>
          </w:p>
        </w:tc>
        <w:tc>
          <w:tcPr>
            <w:tcW w:w="1518" w:type="dxa"/>
            <w:vAlign w:val="center"/>
          </w:tcPr>
          <w:p w14:paraId="14AAE0D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hAnsi="宋体" w:cs="宋体"/>
                <w:snapToGrid w:val="0"/>
                <w:color w:val="auto"/>
                <w:kern w:val="21"/>
                <w:sz w:val="21"/>
                <w:szCs w:val="21"/>
                <w:highlight w:val="none"/>
                <w:lang w:val="en-US" w:eastAsia="zh-CN"/>
              </w:rPr>
            </w:pPr>
            <w:r>
              <w:rPr>
                <w:rFonts w:hint="eastAsia" w:hAnsi="宋体" w:cs="宋体"/>
                <w:snapToGrid w:val="0"/>
                <w:color w:val="auto"/>
                <w:kern w:val="21"/>
                <w:sz w:val="21"/>
                <w:szCs w:val="21"/>
                <w:highlight w:val="none"/>
                <w:lang w:val="en-US" w:eastAsia="zh-CN"/>
              </w:rPr>
              <w:t>/</w:t>
            </w:r>
          </w:p>
        </w:tc>
        <w:tc>
          <w:tcPr>
            <w:tcW w:w="1518" w:type="dxa"/>
            <w:vAlign w:val="center"/>
          </w:tcPr>
          <w:p w14:paraId="06B9D737">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hAnsi="宋体" w:cs="宋体"/>
                <w:snapToGrid w:val="0"/>
                <w:color w:val="auto"/>
                <w:kern w:val="21"/>
                <w:sz w:val="21"/>
                <w:szCs w:val="21"/>
                <w:highlight w:val="none"/>
                <w:lang w:val="en-US" w:eastAsia="zh-CN"/>
              </w:rPr>
            </w:pPr>
            <w:r>
              <w:rPr>
                <w:rFonts w:hint="eastAsia" w:hAnsi="宋体" w:cs="宋体"/>
                <w:snapToGrid w:val="0"/>
                <w:color w:val="auto"/>
                <w:kern w:val="21"/>
                <w:sz w:val="21"/>
                <w:szCs w:val="21"/>
                <w:highlight w:val="none"/>
                <w:lang w:val="en-US" w:eastAsia="zh-CN"/>
              </w:rPr>
              <w:t>/</w:t>
            </w:r>
          </w:p>
        </w:tc>
        <w:tc>
          <w:tcPr>
            <w:tcW w:w="1518" w:type="dxa"/>
            <w:vAlign w:val="center"/>
          </w:tcPr>
          <w:p w14:paraId="40B5B347">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hAnsi="宋体" w:cs="宋体"/>
                <w:snapToGrid w:val="0"/>
                <w:color w:val="auto"/>
                <w:kern w:val="21"/>
                <w:sz w:val="21"/>
                <w:szCs w:val="21"/>
                <w:highlight w:val="none"/>
                <w:lang w:val="en-US" w:eastAsia="zh-CN"/>
              </w:rPr>
            </w:pPr>
            <w:r>
              <w:rPr>
                <w:rFonts w:hint="eastAsia" w:hAnsi="宋体" w:cs="宋体"/>
                <w:snapToGrid w:val="0"/>
                <w:color w:val="auto"/>
                <w:kern w:val="21"/>
                <w:sz w:val="21"/>
                <w:szCs w:val="21"/>
                <w:highlight w:val="none"/>
                <w:lang w:val="en-US" w:eastAsia="zh-CN"/>
              </w:rPr>
              <w:t>/</w:t>
            </w:r>
          </w:p>
        </w:tc>
        <w:tc>
          <w:tcPr>
            <w:tcW w:w="1518" w:type="dxa"/>
            <w:vAlign w:val="center"/>
          </w:tcPr>
          <w:p w14:paraId="0313DC4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eastAsia" w:hAnsi="宋体" w:cs="宋体"/>
                <w:snapToGrid w:val="0"/>
                <w:color w:val="auto"/>
                <w:kern w:val="21"/>
                <w:sz w:val="21"/>
                <w:szCs w:val="21"/>
                <w:highlight w:val="none"/>
                <w:lang w:val="en-US" w:eastAsia="zh-CN"/>
              </w:rPr>
              <w:t>t/a</w:t>
            </w:r>
          </w:p>
        </w:tc>
        <w:tc>
          <w:tcPr>
            <w:tcW w:w="1518" w:type="dxa"/>
            <w:vAlign w:val="center"/>
          </w:tcPr>
          <w:p w14:paraId="524C72B4">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hAnsi="宋体" w:cs="宋体"/>
                <w:snapToGrid w:val="0"/>
                <w:color w:val="auto"/>
                <w:kern w:val="21"/>
                <w:sz w:val="21"/>
                <w:szCs w:val="21"/>
                <w:highlight w:val="none"/>
                <w:lang w:val="en-US" w:eastAsia="zh-CN"/>
              </w:rPr>
            </w:pPr>
            <w:r>
              <w:rPr>
                <w:rFonts w:hint="eastAsia" w:hAnsi="宋体" w:cs="宋体"/>
                <w:snapToGrid w:val="0"/>
                <w:color w:val="auto"/>
                <w:kern w:val="21"/>
                <w:sz w:val="21"/>
                <w:szCs w:val="21"/>
                <w:highlight w:val="none"/>
                <w:lang w:val="en-US" w:eastAsia="zh-CN"/>
              </w:rPr>
              <w:t>/</w:t>
            </w:r>
          </w:p>
        </w:tc>
        <w:tc>
          <w:tcPr>
            <w:tcW w:w="1518" w:type="dxa"/>
            <w:vAlign w:val="center"/>
          </w:tcPr>
          <w:p w14:paraId="6990B94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olor w:val="auto"/>
                <w:sz w:val="21"/>
                <w:szCs w:val="21"/>
                <w:highlight w:val="none"/>
                <w:lang w:val="en-US" w:eastAsia="zh-CN"/>
              </w:rPr>
            </w:pPr>
          </w:p>
        </w:tc>
        <w:tc>
          <w:tcPr>
            <w:tcW w:w="1518" w:type="dxa"/>
            <w:vAlign w:val="center"/>
          </w:tcPr>
          <w:p w14:paraId="0576135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olor w:val="auto"/>
                <w:sz w:val="21"/>
                <w:szCs w:val="21"/>
                <w:highlight w:val="none"/>
                <w:lang w:val="en-US" w:eastAsia="zh-CN"/>
              </w:rPr>
            </w:pPr>
          </w:p>
        </w:tc>
      </w:tr>
      <w:tr w14:paraId="585BA68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6" w:type="dxa"/>
            <w:vMerge w:val="continue"/>
            <w:vAlign w:val="center"/>
          </w:tcPr>
          <w:p w14:paraId="117EA014">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textAlignment w:val="auto"/>
              <w:rPr>
                <w:rFonts w:hint="default" w:hAnsi="宋体" w:cs="宋体"/>
                <w:snapToGrid w:val="0"/>
                <w:color w:val="auto"/>
                <w:kern w:val="21"/>
                <w:sz w:val="21"/>
                <w:szCs w:val="21"/>
                <w:highlight w:val="none"/>
              </w:rPr>
            </w:pPr>
          </w:p>
        </w:tc>
        <w:tc>
          <w:tcPr>
            <w:tcW w:w="755" w:type="dxa"/>
            <w:vMerge w:val="continue"/>
            <w:vAlign w:val="center"/>
          </w:tcPr>
          <w:p w14:paraId="7B5CD024">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textAlignment w:val="auto"/>
              <w:rPr>
                <w:rFonts w:hint="default" w:hAnsi="宋体" w:cs="宋体"/>
                <w:snapToGrid w:val="0"/>
                <w:color w:val="auto"/>
                <w:kern w:val="21"/>
                <w:sz w:val="21"/>
                <w:szCs w:val="21"/>
                <w:highlight w:val="none"/>
              </w:rPr>
            </w:pPr>
          </w:p>
        </w:tc>
        <w:tc>
          <w:tcPr>
            <w:tcW w:w="1709" w:type="dxa"/>
            <w:vAlign w:val="center"/>
          </w:tcPr>
          <w:p w14:paraId="01ACA96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污泥、栅渣</w:t>
            </w:r>
          </w:p>
        </w:tc>
        <w:tc>
          <w:tcPr>
            <w:tcW w:w="1518" w:type="dxa"/>
            <w:vAlign w:val="center"/>
          </w:tcPr>
          <w:p w14:paraId="0A342025">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hAnsi="宋体" w:eastAsia="宋体" w:cs="宋体"/>
                <w:snapToGrid w:val="0"/>
                <w:color w:val="auto"/>
                <w:kern w:val="21"/>
                <w:sz w:val="21"/>
                <w:szCs w:val="21"/>
                <w:highlight w:val="none"/>
                <w:lang w:val="en-US" w:eastAsia="zh-CN"/>
              </w:rPr>
            </w:pPr>
            <w:r>
              <w:rPr>
                <w:rFonts w:hint="eastAsia" w:hAnsi="宋体" w:cs="宋体"/>
                <w:snapToGrid w:val="0"/>
                <w:color w:val="auto"/>
                <w:kern w:val="21"/>
                <w:sz w:val="21"/>
                <w:szCs w:val="21"/>
                <w:highlight w:val="none"/>
                <w:lang w:val="en-US" w:eastAsia="zh-CN"/>
              </w:rPr>
              <w:t>/</w:t>
            </w:r>
          </w:p>
        </w:tc>
        <w:tc>
          <w:tcPr>
            <w:tcW w:w="1518" w:type="dxa"/>
            <w:vAlign w:val="center"/>
          </w:tcPr>
          <w:p w14:paraId="558EC865">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hAnsi="宋体" w:eastAsia="宋体" w:cs="宋体"/>
                <w:snapToGrid w:val="0"/>
                <w:color w:val="auto"/>
                <w:kern w:val="21"/>
                <w:sz w:val="21"/>
                <w:szCs w:val="21"/>
                <w:highlight w:val="none"/>
                <w:lang w:val="en-US" w:eastAsia="zh-CN"/>
              </w:rPr>
            </w:pPr>
            <w:r>
              <w:rPr>
                <w:rFonts w:hint="eastAsia" w:hAnsi="宋体" w:cs="宋体"/>
                <w:snapToGrid w:val="0"/>
                <w:color w:val="auto"/>
                <w:kern w:val="21"/>
                <w:sz w:val="21"/>
                <w:szCs w:val="21"/>
                <w:highlight w:val="none"/>
                <w:lang w:val="en-US" w:eastAsia="zh-CN"/>
              </w:rPr>
              <w:t>/</w:t>
            </w:r>
          </w:p>
        </w:tc>
        <w:tc>
          <w:tcPr>
            <w:tcW w:w="1518" w:type="dxa"/>
            <w:vAlign w:val="center"/>
          </w:tcPr>
          <w:p w14:paraId="1C47F8A6">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hAnsi="宋体" w:eastAsia="宋体" w:cs="宋体"/>
                <w:snapToGrid w:val="0"/>
                <w:color w:val="auto"/>
                <w:kern w:val="21"/>
                <w:sz w:val="21"/>
                <w:szCs w:val="21"/>
                <w:highlight w:val="none"/>
                <w:lang w:val="en-US" w:eastAsia="zh-CN"/>
              </w:rPr>
            </w:pPr>
            <w:r>
              <w:rPr>
                <w:rFonts w:hint="eastAsia" w:hAnsi="宋体" w:cs="宋体"/>
                <w:snapToGrid w:val="0"/>
                <w:color w:val="auto"/>
                <w:kern w:val="21"/>
                <w:sz w:val="21"/>
                <w:szCs w:val="21"/>
                <w:highlight w:val="none"/>
                <w:lang w:val="en-US" w:eastAsia="zh-CN"/>
              </w:rPr>
              <w:t>/</w:t>
            </w:r>
          </w:p>
        </w:tc>
        <w:tc>
          <w:tcPr>
            <w:tcW w:w="1518" w:type="dxa"/>
            <w:vAlign w:val="center"/>
          </w:tcPr>
          <w:p w14:paraId="227FDCF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eastAsia="宋体"/>
                <w:color w:val="auto"/>
                <w:sz w:val="21"/>
                <w:szCs w:val="21"/>
                <w:highlight w:val="none"/>
                <w:lang w:val="en-US" w:eastAsia="zh-CN"/>
              </w:rPr>
            </w:pPr>
            <w:r>
              <w:rPr>
                <w:rFonts w:hint="eastAsia" w:hAnsi="宋体" w:cs="宋体"/>
                <w:snapToGrid w:val="0"/>
                <w:color w:val="auto"/>
                <w:kern w:val="21"/>
                <w:sz w:val="21"/>
                <w:szCs w:val="21"/>
                <w:highlight w:val="none"/>
                <w:lang w:val="en-US" w:eastAsia="zh-CN"/>
              </w:rPr>
              <w:t>t/a</w:t>
            </w:r>
          </w:p>
        </w:tc>
        <w:tc>
          <w:tcPr>
            <w:tcW w:w="1518" w:type="dxa"/>
            <w:vAlign w:val="center"/>
          </w:tcPr>
          <w:p w14:paraId="13C16A69">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hAnsi="宋体" w:cs="宋体"/>
                <w:snapToGrid w:val="0"/>
                <w:color w:val="auto"/>
                <w:kern w:val="21"/>
                <w:sz w:val="21"/>
                <w:szCs w:val="21"/>
                <w:highlight w:val="none"/>
              </w:rPr>
            </w:pPr>
            <w:r>
              <w:rPr>
                <w:rFonts w:hint="eastAsia" w:hAnsi="宋体" w:cs="宋体"/>
                <w:snapToGrid w:val="0"/>
                <w:color w:val="auto"/>
                <w:kern w:val="21"/>
                <w:sz w:val="21"/>
                <w:szCs w:val="21"/>
                <w:highlight w:val="none"/>
                <w:lang w:val="en-US" w:eastAsia="zh-CN"/>
              </w:rPr>
              <w:t>/</w:t>
            </w:r>
          </w:p>
        </w:tc>
        <w:tc>
          <w:tcPr>
            <w:tcW w:w="1518" w:type="dxa"/>
            <w:vAlign w:val="center"/>
          </w:tcPr>
          <w:p w14:paraId="46B91C7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olor w:val="auto"/>
                <w:sz w:val="21"/>
                <w:szCs w:val="21"/>
                <w:highlight w:val="none"/>
                <w:lang w:val="en-US" w:eastAsia="zh-CN"/>
              </w:rPr>
            </w:pPr>
          </w:p>
        </w:tc>
        <w:tc>
          <w:tcPr>
            <w:tcW w:w="1518" w:type="dxa"/>
            <w:vAlign w:val="center"/>
          </w:tcPr>
          <w:p w14:paraId="7556A75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eastAsia="宋体"/>
                <w:color w:val="auto"/>
                <w:sz w:val="21"/>
                <w:szCs w:val="21"/>
                <w:highlight w:val="none"/>
                <w:lang w:val="en-US" w:eastAsia="zh-CN"/>
              </w:rPr>
            </w:pPr>
          </w:p>
        </w:tc>
      </w:tr>
    </w:tbl>
    <w:p w14:paraId="1C04DB8F">
      <w:pPr>
        <w:spacing w:before="192" w:beforeLines="80" w:after="24"/>
        <w:jc w:val="left"/>
        <w:rPr>
          <w:rFonts w:hint="eastAsia" w:hAnsi="宋体"/>
          <w:snapToGrid w:val="0"/>
          <w:color w:val="auto"/>
          <w:spacing w:val="-6"/>
          <w:kern w:val="21"/>
          <w:szCs w:val="21"/>
          <w:highlight w:val="none"/>
          <w:lang w:eastAsia="zh-CN"/>
        </w:rPr>
      </w:pPr>
      <w:r>
        <w:rPr>
          <w:rFonts w:hAnsi="宋体"/>
          <w:snapToGrid w:val="0"/>
          <w:color w:val="auto"/>
          <w:kern w:val="21"/>
          <w:szCs w:val="21"/>
          <w:highlight w:val="none"/>
        </w:rPr>
        <w:t>注：</w:t>
      </w:r>
      <w:r>
        <w:rPr>
          <w:rFonts w:hAnsi="宋体"/>
          <w:snapToGrid w:val="0"/>
          <w:color w:val="auto"/>
          <w:spacing w:val="-16"/>
          <w:kern w:val="21"/>
          <w:szCs w:val="21"/>
          <w:highlight w:val="none"/>
        </w:rPr>
        <w:fldChar w:fldCharType="begin"/>
      </w:r>
      <w:r>
        <w:rPr>
          <w:rFonts w:hAnsi="宋体"/>
          <w:snapToGrid w:val="0"/>
          <w:color w:val="auto"/>
          <w:spacing w:val="-16"/>
          <w:kern w:val="21"/>
          <w:szCs w:val="21"/>
          <w:highlight w:val="none"/>
        </w:rPr>
        <w:instrText xml:space="preserve"> = 6 \* GB3 \* MERGEFORMAT </w:instrText>
      </w:r>
      <w:r>
        <w:rPr>
          <w:rFonts w:hAnsi="宋体"/>
          <w:snapToGrid w:val="0"/>
          <w:color w:val="auto"/>
          <w:spacing w:val="-16"/>
          <w:kern w:val="21"/>
          <w:szCs w:val="21"/>
          <w:highlight w:val="none"/>
        </w:rPr>
        <w:fldChar w:fldCharType="separate"/>
      </w:r>
      <w:r>
        <w:rPr>
          <w:rFonts w:hint="eastAsia" w:hAnsi="宋体"/>
          <w:color w:val="auto"/>
          <w:szCs w:val="21"/>
          <w:highlight w:val="none"/>
        </w:rPr>
        <w:t>⑥</w:t>
      </w:r>
      <w:r>
        <w:rPr>
          <w:rFonts w:hAnsi="宋体"/>
          <w:snapToGrid w:val="0"/>
          <w:color w:val="auto"/>
          <w:spacing w:val="-16"/>
          <w:kern w:val="21"/>
          <w:szCs w:val="21"/>
          <w:highlight w:val="none"/>
        </w:rPr>
        <w:fldChar w:fldCharType="end"/>
      </w:r>
      <w:r>
        <w:rPr>
          <w:rFonts w:hAnsi="宋体"/>
          <w:snapToGrid w:val="0"/>
          <w:color w:val="auto"/>
          <w:spacing w:val="-16"/>
          <w:kern w:val="21"/>
          <w:szCs w:val="21"/>
          <w:highlight w:val="none"/>
        </w:rPr>
        <w:t>=</w:t>
      </w:r>
      <w:r>
        <w:rPr>
          <w:rFonts w:hAnsi="宋体"/>
          <w:snapToGrid w:val="0"/>
          <w:color w:val="auto"/>
          <w:spacing w:val="-6"/>
          <w:kern w:val="21"/>
          <w:szCs w:val="21"/>
          <w:highlight w:val="none"/>
        </w:rPr>
        <w:fldChar w:fldCharType="begin"/>
      </w:r>
      <w:r>
        <w:rPr>
          <w:rFonts w:hAnsi="宋体"/>
          <w:snapToGrid w:val="0"/>
          <w:color w:val="auto"/>
          <w:spacing w:val="-6"/>
          <w:kern w:val="21"/>
          <w:szCs w:val="21"/>
          <w:highlight w:val="none"/>
        </w:rPr>
        <w:instrText xml:space="preserve"> = 1 \* GB3 \* MERGEFORMAT </w:instrText>
      </w:r>
      <w:r>
        <w:rPr>
          <w:rFonts w:hAnsi="宋体"/>
          <w:snapToGrid w:val="0"/>
          <w:color w:val="auto"/>
          <w:spacing w:val="-6"/>
          <w:kern w:val="21"/>
          <w:szCs w:val="21"/>
          <w:highlight w:val="none"/>
        </w:rPr>
        <w:fldChar w:fldCharType="separate"/>
      </w:r>
      <w:r>
        <w:rPr>
          <w:rFonts w:hint="eastAsia" w:hAnsi="宋体"/>
          <w:color w:val="auto"/>
          <w:szCs w:val="21"/>
          <w:highlight w:val="none"/>
        </w:rPr>
        <w:t>①</w:t>
      </w:r>
      <w:r>
        <w:rPr>
          <w:rFonts w:hAnsi="宋体"/>
          <w:snapToGrid w:val="0"/>
          <w:color w:val="auto"/>
          <w:spacing w:val="-6"/>
          <w:kern w:val="21"/>
          <w:szCs w:val="21"/>
          <w:highlight w:val="none"/>
        </w:rPr>
        <w:fldChar w:fldCharType="end"/>
      </w:r>
      <w:r>
        <w:rPr>
          <w:rFonts w:hAnsi="宋体"/>
          <w:snapToGrid w:val="0"/>
          <w:color w:val="auto"/>
          <w:spacing w:val="-6"/>
          <w:kern w:val="21"/>
          <w:szCs w:val="21"/>
          <w:highlight w:val="none"/>
        </w:rPr>
        <w:t>+</w:t>
      </w:r>
      <w:r>
        <w:rPr>
          <w:rFonts w:hAnsi="宋体"/>
          <w:snapToGrid w:val="0"/>
          <w:color w:val="auto"/>
          <w:spacing w:val="-6"/>
          <w:kern w:val="21"/>
          <w:szCs w:val="21"/>
          <w:highlight w:val="none"/>
        </w:rPr>
        <w:fldChar w:fldCharType="begin"/>
      </w:r>
      <w:r>
        <w:rPr>
          <w:rFonts w:hAnsi="宋体"/>
          <w:snapToGrid w:val="0"/>
          <w:color w:val="auto"/>
          <w:spacing w:val="-6"/>
          <w:kern w:val="21"/>
          <w:szCs w:val="21"/>
          <w:highlight w:val="none"/>
        </w:rPr>
        <w:instrText xml:space="preserve"> = 3 \* GB3 \* MERGEFORMAT </w:instrText>
      </w:r>
      <w:r>
        <w:rPr>
          <w:rFonts w:hAnsi="宋体"/>
          <w:snapToGrid w:val="0"/>
          <w:color w:val="auto"/>
          <w:spacing w:val="-6"/>
          <w:kern w:val="21"/>
          <w:szCs w:val="21"/>
          <w:highlight w:val="none"/>
        </w:rPr>
        <w:fldChar w:fldCharType="separate"/>
      </w:r>
      <w:r>
        <w:rPr>
          <w:rFonts w:hint="eastAsia" w:hAnsi="宋体"/>
          <w:color w:val="auto"/>
          <w:szCs w:val="21"/>
          <w:highlight w:val="none"/>
        </w:rPr>
        <w:t>③</w:t>
      </w:r>
      <w:r>
        <w:rPr>
          <w:rFonts w:hAnsi="宋体"/>
          <w:snapToGrid w:val="0"/>
          <w:color w:val="auto"/>
          <w:spacing w:val="-6"/>
          <w:kern w:val="21"/>
          <w:szCs w:val="21"/>
          <w:highlight w:val="none"/>
        </w:rPr>
        <w:fldChar w:fldCharType="end"/>
      </w:r>
      <w:r>
        <w:rPr>
          <w:rFonts w:hAnsi="宋体"/>
          <w:snapToGrid w:val="0"/>
          <w:color w:val="auto"/>
          <w:spacing w:val="-6"/>
          <w:kern w:val="21"/>
          <w:szCs w:val="21"/>
          <w:highlight w:val="none"/>
        </w:rPr>
        <w:t>+</w:t>
      </w:r>
      <w:r>
        <w:rPr>
          <w:rFonts w:hAnsi="宋体"/>
          <w:snapToGrid w:val="0"/>
          <w:color w:val="auto"/>
          <w:spacing w:val="-6"/>
          <w:kern w:val="21"/>
          <w:szCs w:val="21"/>
          <w:highlight w:val="none"/>
        </w:rPr>
        <w:fldChar w:fldCharType="begin"/>
      </w:r>
      <w:r>
        <w:rPr>
          <w:rFonts w:hAnsi="宋体"/>
          <w:snapToGrid w:val="0"/>
          <w:color w:val="auto"/>
          <w:spacing w:val="-6"/>
          <w:kern w:val="21"/>
          <w:szCs w:val="21"/>
          <w:highlight w:val="none"/>
        </w:rPr>
        <w:instrText xml:space="preserve"> = 4 \* GB3 \* MERGEFORMAT </w:instrText>
      </w:r>
      <w:r>
        <w:rPr>
          <w:rFonts w:hAnsi="宋体"/>
          <w:snapToGrid w:val="0"/>
          <w:color w:val="auto"/>
          <w:spacing w:val="-6"/>
          <w:kern w:val="21"/>
          <w:szCs w:val="21"/>
          <w:highlight w:val="none"/>
        </w:rPr>
        <w:fldChar w:fldCharType="separate"/>
      </w:r>
      <w:r>
        <w:rPr>
          <w:rFonts w:hint="eastAsia" w:hAnsi="宋体"/>
          <w:color w:val="auto"/>
          <w:szCs w:val="21"/>
          <w:highlight w:val="none"/>
        </w:rPr>
        <w:t>④</w:t>
      </w:r>
      <w:r>
        <w:rPr>
          <w:rFonts w:hAnsi="宋体"/>
          <w:snapToGrid w:val="0"/>
          <w:color w:val="auto"/>
          <w:spacing w:val="-6"/>
          <w:kern w:val="21"/>
          <w:szCs w:val="21"/>
          <w:highlight w:val="none"/>
        </w:rPr>
        <w:fldChar w:fldCharType="end"/>
      </w:r>
      <w:r>
        <w:rPr>
          <w:rFonts w:hAnsi="宋体"/>
          <w:snapToGrid w:val="0"/>
          <w:color w:val="auto"/>
          <w:spacing w:val="-6"/>
          <w:kern w:val="21"/>
          <w:szCs w:val="21"/>
          <w:highlight w:val="none"/>
        </w:rPr>
        <w:t>-</w:t>
      </w:r>
      <w:r>
        <w:rPr>
          <w:rFonts w:hAnsi="宋体"/>
          <w:snapToGrid w:val="0"/>
          <w:color w:val="auto"/>
          <w:spacing w:val="-16"/>
          <w:kern w:val="21"/>
          <w:szCs w:val="21"/>
          <w:highlight w:val="none"/>
        </w:rPr>
        <w:fldChar w:fldCharType="begin"/>
      </w:r>
      <w:r>
        <w:rPr>
          <w:rFonts w:hAnsi="宋体"/>
          <w:snapToGrid w:val="0"/>
          <w:color w:val="auto"/>
          <w:spacing w:val="-16"/>
          <w:kern w:val="21"/>
          <w:szCs w:val="21"/>
          <w:highlight w:val="none"/>
        </w:rPr>
        <w:instrText xml:space="preserve"> = 5 \* GB3 \* MERGEFORMAT </w:instrText>
      </w:r>
      <w:r>
        <w:rPr>
          <w:rFonts w:hAnsi="宋体"/>
          <w:snapToGrid w:val="0"/>
          <w:color w:val="auto"/>
          <w:spacing w:val="-16"/>
          <w:kern w:val="21"/>
          <w:szCs w:val="21"/>
          <w:highlight w:val="none"/>
        </w:rPr>
        <w:fldChar w:fldCharType="separate"/>
      </w:r>
      <w:r>
        <w:rPr>
          <w:rFonts w:hint="eastAsia" w:hAnsi="宋体"/>
          <w:color w:val="auto"/>
          <w:szCs w:val="21"/>
          <w:highlight w:val="none"/>
        </w:rPr>
        <w:t>⑤</w:t>
      </w:r>
      <w:r>
        <w:rPr>
          <w:rFonts w:hAnsi="宋体"/>
          <w:snapToGrid w:val="0"/>
          <w:color w:val="auto"/>
          <w:spacing w:val="-16"/>
          <w:kern w:val="21"/>
          <w:szCs w:val="21"/>
          <w:highlight w:val="none"/>
        </w:rPr>
        <w:fldChar w:fldCharType="end"/>
      </w:r>
      <w:r>
        <w:rPr>
          <w:rFonts w:hAnsi="宋体"/>
          <w:snapToGrid w:val="0"/>
          <w:color w:val="auto"/>
          <w:spacing w:val="-16"/>
          <w:kern w:val="21"/>
          <w:szCs w:val="21"/>
          <w:highlight w:val="none"/>
        </w:rPr>
        <w:t>；</w:t>
      </w:r>
      <w:r>
        <w:rPr>
          <w:rFonts w:hAnsi="宋体"/>
          <w:snapToGrid w:val="0"/>
          <w:color w:val="auto"/>
          <w:spacing w:val="-6"/>
          <w:kern w:val="21"/>
          <w:szCs w:val="21"/>
          <w:highlight w:val="none"/>
        </w:rPr>
        <w:fldChar w:fldCharType="begin"/>
      </w:r>
      <w:r>
        <w:rPr>
          <w:rFonts w:hAnsi="宋体"/>
          <w:snapToGrid w:val="0"/>
          <w:color w:val="auto"/>
          <w:spacing w:val="-6"/>
          <w:kern w:val="21"/>
          <w:szCs w:val="21"/>
          <w:highlight w:val="none"/>
        </w:rPr>
        <w:instrText xml:space="preserve"> = 7 \* GB3 \* MERGEFORMAT </w:instrText>
      </w:r>
      <w:r>
        <w:rPr>
          <w:rFonts w:hAnsi="宋体"/>
          <w:snapToGrid w:val="0"/>
          <w:color w:val="auto"/>
          <w:spacing w:val="-6"/>
          <w:kern w:val="21"/>
          <w:szCs w:val="21"/>
          <w:highlight w:val="none"/>
        </w:rPr>
        <w:fldChar w:fldCharType="separate"/>
      </w:r>
      <w:r>
        <w:rPr>
          <w:rFonts w:hint="eastAsia" w:hAnsi="宋体"/>
          <w:color w:val="auto"/>
          <w:szCs w:val="21"/>
          <w:highlight w:val="none"/>
        </w:rPr>
        <w:t>⑦</w:t>
      </w:r>
      <w:r>
        <w:rPr>
          <w:rFonts w:hAnsi="宋体"/>
          <w:snapToGrid w:val="0"/>
          <w:color w:val="auto"/>
          <w:spacing w:val="-6"/>
          <w:kern w:val="21"/>
          <w:szCs w:val="21"/>
          <w:highlight w:val="none"/>
        </w:rPr>
        <w:fldChar w:fldCharType="end"/>
      </w:r>
      <w:r>
        <w:rPr>
          <w:rFonts w:hAnsi="宋体"/>
          <w:snapToGrid w:val="0"/>
          <w:color w:val="auto"/>
          <w:spacing w:val="-6"/>
          <w:kern w:val="21"/>
          <w:szCs w:val="21"/>
          <w:highlight w:val="none"/>
        </w:rPr>
        <w:t>=</w:t>
      </w:r>
      <w:r>
        <w:rPr>
          <w:rFonts w:hAnsi="宋体"/>
          <w:snapToGrid w:val="0"/>
          <w:color w:val="auto"/>
          <w:spacing w:val="-16"/>
          <w:kern w:val="21"/>
          <w:szCs w:val="21"/>
          <w:highlight w:val="none"/>
        </w:rPr>
        <w:fldChar w:fldCharType="begin"/>
      </w:r>
      <w:r>
        <w:rPr>
          <w:rFonts w:hAnsi="宋体"/>
          <w:snapToGrid w:val="0"/>
          <w:color w:val="auto"/>
          <w:spacing w:val="-16"/>
          <w:kern w:val="21"/>
          <w:szCs w:val="21"/>
          <w:highlight w:val="none"/>
        </w:rPr>
        <w:instrText xml:space="preserve"> = 6 \* GB3 \* MERGEFORMAT </w:instrText>
      </w:r>
      <w:r>
        <w:rPr>
          <w:rFonts w:hAnsi="宋体"/>
          <w:snapToGrid w:val="0"/>
          <w:color w:val="auto"/>
          <w:spacing w:val="-16"/>
          <w:kern w:val="21"/>
          <w:szCs w:val="21"/>
          <w:highlight w:val="none"/>
        </w:rPr>
        <w:fldChar w:fldCharType="separate"/>
      </w:r>
      <w:r>
        <w:rPr>
          <w:rFonts w:hint="eastAsia" w:hAnsi="宋体"/>
          <w:color w:val="auto"/>
          <w:szCs w:val="21"/>
          <w:highlight w:val="none"/>
        </w:rPr>
        <w:t>⑥</w:t>
      </w:r>
      <w:r>
        <w:rPr>
          <w:rFonts w:hAnsi="宋体"/>
          <w:snapToGrid w:val="0"/>
          <w:color w:val="auto"/>
          <w:spacing w:val="-16"/>
          <w:kern w:val="21"/>
          <w:szCs w:val="21"/>
          <w:highlight w:val="none"/>
        </w:rPr>
        <w:fldChar w:fldCharType="end"/>
      </w:r>
      <w:r>
        <w:rPr>
          <w:rFonts w:hAnsi="宋体"/>
          <w:snapToGrid w:val="0"/>
          <w:color w:val="auto"/>
          <w:spacing w:val="-16"/>
          <w:kern w:val="21"/>
          <w:szCs w:val="21"/>
          <w:highlight w:val="none"/>
        </w:rPr>
        <w:t>-</w:t>
      </w:r>
      <w:r>
        <w:rPr>
          <w:rFonts w:hAnsi="宋体"/>
          <w:snapToGrid w:val="0"/>
          <w:color w:val="auto"/>
          <w:spacing w:val="-6"/>
          <w:kern w:val="21"/>
          <w:szCs w:val="21"/>
          <w:highlight w:val="none"/>
        </w:rPr>
        <w:fldChar w:fldCharType="begin"/>
      </w:r>
      <w:r>
        <w:rPr>
          <w:rFonts w:hAnsi="宋体"/>
          <w:snapToGrid w:val="0"/>
          <w:color w:val="auto"/>
          <w:spacing w:val="-6"/>
          <w:kern w:val="21"/>
          <w:szCs w:val="21"/>
          <w:highlight w:val="none"/>
        </w:rPr>
        <w:instrText xml:space="preserve"> = 1 \* GB3 \* MERGEFORMAT </w:instrText>
      </w:r>
      <w:r>
        <w:rPr>
          <w:rFonts w:hAnsi="宋体"/>
          <w:snapToGrid w:val="0"/>
          <w:color w:val="auto"/>
          <w:spacing w:val="-6"/>
          <w:kern w:val="21"/>
          <w:szCs w:val="21"/>
          <w:highlight w:val="none"/>
        </w:rPr>
        <w:fldChar w:fldCharType="separate"/>
      </w:r>
      <w:r>
        <w:rPr>
          <w:rFonts w:hint="eastAsia" w:hAnsi="宋体"/>
          <w:color w:val="auto"/>
          <w:szCs w:val="21"/>
          <w:highlight w:val="none"/>
        </w:rPr>
        <w:t>①</w:t>
      </w:r>
      <w:r>
        <w:rPr>
          <w:rFonts w:hAnsi="宋体"/>
          <w:snapToGrid w:val="0"/>
          <w:color w:val="auto"/>
          <w:spacing w:val="-6"/>
          <w:kern w:val="21"/>
          <w:szCs w:val="21"/>
          <w:highlight w:val="none"/>
        </w:rPr>
        <w:fldChar w:fldCharType="end"/>
      </w:r>
      <w:r>
        <w:rPr>
          <w:rFonts w:hint="eastAsia" w:hAnsi="宋体"/>
          <w:snapToGrid w:val="0"/>
          <w:color w:val="auto"/>
          <w:spacing w:val="-6"/>
          <w:kern w:val="21"/>
          <w:szCs w:val="21"/>
          <w:highlight w:val="none"/>
          <w:lang w:eastAsia="zh-CN"/>
        </w:rPr>
        <w:t>。</w:t>
      </w:r>
    </w:p>
    <w:p w14:paraId="31487D16">
      <w:pPr>
        <w:rPr>
          <w:rFonts w:hint="eastAsia" w:hAnsi="宋体"/>
          <w:snapToGrid w:val="0"/>
          <w:color w:val="auto"/>
          <w:spacing w:val="-6"/>
          <w:kern w:val="21"/>
          <w:szCs w:val="21"/>
          <w:highlight w:val="none"/>
          <w:lang w:eastAsia="zh-CN"/>
        </w:rPr>
        <w:sectPr>
          <w:headerReference r:id="rId7" w:type="default"/>
          <w:footerReference r:id="rId8" w:type="default"/>
          <w:pgSz w:w="16838" w:h="11905" w:orient="landscape"/>
          <w:pgMar w:top="1474" w:right="1814" w:bottom="1474" w:left="1474" w:header="850" w:footer="850" w:gutter="0"/>
          <w:pgBorders>
            <w:top w:val="none" w:sz="0" w:space="0"/>
            <w:left w:val="none" w:sz="0" w:space="0"/>
            <w:bottom w:val="none" w:sz="0" w:space="0"/>
            <w:right w:val="none" w:sz="0" w:space="0"/>
          </w:pgBorders>
          <w:pgNumType w:fmt="decimal"/>
          <w:cols w:space="0" w:num="1"/>
          <w:docGrid w:linePitch="319" w:charSpace="0"/>
        </w:sectPr>
      </w:pPr>
    </w:p>
    <w:p w14:paraId="31EC95CD">
      <w:pPr>
        <w:rPr>
          <w:rFonts w:hint="eastAsia" w:hAnsi="宋体"/>
          <w:b/>
          <w:bCs/>
          <w:snapToGrid w:val="0"/>
          <w:color w:val="auto"/>
          <w:spacing w:val="-6"/>
          <w:kern w:val="21"/>
          <w:szCs w:val="21"/>
          <w:highlight w:val="none"/>
          <w:lang w:eastAsia="zh-CN"/>
        </w:rPr>
      </w:pPr>
      <w:r>
        <w:rPr>
          <w:rFonts w:hint="eastAsia" w:hAnsi="宋体"/>
          <w:b/>
          <w:bCs/>
          <w:snapToGrid w:val="0"/>
          <w:color w:val="auto"/>
          <w:spacing w:val="-6"/>
          <w:kern w:val="21"/>
          <w:szCs w:val="21"/>
          <w:highlight w:val="none"/>
          <w:lang w:eastAsia="zh-CN"/>
        </w:rPr>
        <w:t>附图</w:t>
      </w:r>
    </w:p>
    <w:p w14:paraId="7EFDADAD">
      <w:pPr>
        <w:rPr>
          <w:rFonts w:hint="eastAsia" w:hAnsi="宋体"/>
          <w:snapToGrid w:val="0"/>
          <w:color w:val="auto"/>
          <w:spacing w:val="-6"/>
          <w:kern w:val="21"/>
          <w:szCs w:val="21"/>
          <w:highlight w:val="none"/>
          <w:lang w:eastAsia="zh-CN"/>
        </w:rPr>
      </w:pPr>
      <w:r>
        <w:rPr>
          <w:rFonts w:hint="eastAsia" w:hAnsi="宋体"/>
          <w:snapToGrid w:val="0"/>
          <w:color w:val="auto"/>
          <w:spacing w:val="-6"/>
          <w:kern w:val="21"/>
          <w:szCs w:val="21"/>
          <w:highlight w:val="none"/>
          <w:lang w:eastAsia="zh-CN"/>
        </w:rPr>
        <w:t>附图1 项目地理位置图</w:t>
      </w:r>
    </w:p>
    <w:p w14:paraId="1BF2B8E5">
      <w:pPr>
        <w:rPr>
          <w:rFonts w:hint="eastAsia" w:hAnsi="宋体"/>
          <w:snapToGrid w:val="0"/>
          <w:color w:val="auto"/>
          <w:spacing w:val="-6"/>
          <w:kern w:val="21"/>
          <w:szCs w:val="21"/>
          <w:highlight w:val="none"/>
          <w:lang w:eastAsia="zh-CN"/>
        </w:rPr>
      </w:pPr>
      <w:r>
        <w:rPr>
          <w:rFonts w:hint="eastAsia" w:hAnsi="宋体"/>
          <w:snapToGrid w:val="0"/>
          <w:color w:val="auto"/>
          <w:spacing w:val="-6"/>
          <w:kern w:val="21"/>
          <w:szCs w:val="21"/>
          <w:highlight w:val="none"/>
          <w:lang w:eastAsia="zh-CN"/>
        </w:rPr>
        <w:t>附图2 项目周边关系图及运营期监测点位图</w:t>
      </w:r>
    </w:p>
    <w:p w14:paraId="546419C8">
      <w:pPr>
        <w:rPr>
          <w:rFonts w:hint="eastAsia" w:hAnsi="宋体"/>
          <w:snapToGrid w:val="0"/>
          <w:color w:val="auto"/>
          <w:spacing w:val="-6"/>
          <w:kern w:val="21"/>
          <w:szCs w:val="21"/>
          <w:highlight w:val="none"/>
          <w:lang w:eastAsia="zh-CN"/>
        </w:rPr>
      </w:pPr>
      <w:r>
        <w:rPr>
          <w:rFonts w:hint="eastAsia" w:hAnsi="宋体"/>
          <w:snapToGrid w:val="0"/>
          <w:color w:val="auto"/>
          <w:spacing w:val="-6"/>
          <w:kern w:val="21"/>
          <w:szCs w:val="21"/>
          <w:highlight w:val="none"/>
          <w:lang w:eastAsia="zh-CN"/>
        </w:rPr>
        <w:t>附图3 项目大气环境保护目标分布图</w:t>
      </w:r>
    </w:p>
    <w:p w14:paraId="324963B4">
      <w:pPr>
        <w:rPr>
          <w:rFonts w:hint="eastAsia" w:hAnsi="宋体"/>
          <w:snapToGrid w:val="0"/>
          <w:color w:val="auto"/>
          <w:spacing w:val="-6"/>
          <w:kern w:val="21"/>
          <w:szCs w:val="21"/>
          <w:highlight w:val="none"/>
          <w:lang w:eastAsia="zh-CN"/>
        </w:rPr>
      </w:pPr>
      <w:r>
        <w:rPr>
          <w:rFonts w:hint="eastAsia" w:hAnsi="宋体"/>
          <w:snapToGrid w:val="0"/>
          <w:color w:val="auto"/>
          <w:spacing w:val="-6"/>
          <w:kern w:val="21"/>
          <w:szCs w:val="21"/>
          <w:highlight w:val="none"/>
          <w:lang w:eastAsia="zh-CN"/>
        </w:rPr>
        <w:t>附图4 项目平面布置图</w:t>
      </w:r>
    </w:p>
    <w:p w14:paraId="51B7B20E">
      <w:pPr>
        <w:rPr>
          <w:rFonts w:hint="eastAsia" w:hAnsi="宋体"/>
          <w:snapToGrid w:val="0"/>
          <w:color w:val="auto"/>
          <w:spacing w:val="-6"/>
          <w:kern w:val="21"/>
          <w:szCs w:val="21"/>
          <w:highlight w:val="none"/>
          <w:lang w:eastAsia="zh-CN"/>
        </w:rPr>
      </w:pPr>
    </w:p>
    <w:p w14:paraId="7832906F">
      <w:pPr>
        <w:rPr>
          <w:rFonts w:hint="eastAsia" w:hAnsi="宋体"/>
          <w:b/>
          <w:bCs/>
          <w:snapToGrid w:val="0"/>
          <w:color w:val="auto"/>
          <w:spacing w:val="-6"/>
          <w:kern w:val="21"/>
          <w:szCs w:val="21"/>
          <w:highlight w:val="none"/>
          <w:lang w:eastAsia="zh-CN"/>
        </w:rPr>
      </w:pPr>
      <w:r>
        <w:rPr>
          <w:rFonts w:hint="eastAsia" w:hAnsi="宋体"/>
          <w:b/>
          <w:bCs/>
          <w:snapToGrid w:val="0"/>
          <w:color w:val="auto"/>
          <w:spacing w:val="-6"/>
          <w:kern w:val="21"/>
          <w:szCs w:val="21"/>
          <w:highlight w:val="none"/>
          <w:lang w:eastAsia="zh-CN"/>
        </w:rPr>
        <w:t>附件</w:t>
      </w:r>
    </w:p>
    <w:p w14:paraId="687E8E23">
      <w:pPr>
        <w:rPr>
          <w:rFonts w:hint="eastAsia" w:hAnsi="宋体"/>
          <w:snapToGrid w:val="0"/>
          <w:color w:val="auto"/>
          <w:spacing w:val="-6"/>
          <w:kern w:val="21"/>
          <w:szCs w:val="21"/>
          <w:highlight w:val="none"/>
          <w:lang w:eastAsia="zh-CN"/>
        </w:rPr>
      </w:pPr>
      <w:r>
        <w:rPr>
          <w:rFonts w:hint="eastAsia" w:hAnsi="宋体"/>
          <w:snapToGrid w:val="0"/>
          <w:color w:val="auto"/>
          <w:spacing w:val="-6"/>
          <w:kern w:val="21"/>
          <w:szCs w:val="21"/>
          <w:highlight w:val="none"/>
          <w:lang w:eastAsia="zh-CN"/>
        </w:rPr>
        <w:t>附件1 营业执照</w:t>
      </w:r>
    </w:p>
    <w:p w14:paraId="5E5EDE42">
      <w:pPr>
        <w:rPr>
          <w:rFonts w:hint="eastAsia" w:hAnsi="宋体"/>
          <w:snapToGrid w:val="0"/>
          <w:color w:val="auto"/>
          <w:spacing w:val="-6"/>
          <w:kern w:val="21"/>
          <w:szCs w:val="21"/>
          <w:highlight w:val="none"/>
          <w:lang w:eastAsia="zh-CN"/>
        </w:rPr>
      </w:pPr>
      <w:r>
        <w:rPr>
          <w:rFonts w:hint="eastAsia" w:hAnsi="宋体"/>
          <w:snapToGrid w:val="0"/>
          <w:color w:val="auto"/>
          <w:spacing w:val="-6"/>
          <w:kern w:val="21"/>
          <w:szCs w:val="21"/>
          <w:highlight w:val="none"/>
          <w:lang w:eastAsia="zh-CN"/>
        </w:rPr>
        <w:t>附件2 租赁协议</w:t>
      </w:r>
    </w:p>
    <w:p w14:paraId="6DD93FBD">
      <w:pPr>
        <w:rPr>
          <w:rFonts w:hint="eastAsia" w:hAnsi="宋体"/>
          <w:snapToGrid w:val="0"/>
          <w:color w:val="auto"/>
          <w:spacing w:val="-6"/>
          <w:kern w:val="21"/>
          <w:szCs w:val="21"/>
          <w:highlight w:val="none"/>
          <w:lang w:eastAsia="zh-CN"/>
        </w:rPr>
      </w:pPr>
      <w:r>
        <w:rPr>
          <w:rFonts w:hint="eastAsia" w:hAnsi="宋体"/>
          <w:snapToGrid w:val="0"/>
          <w:color w:val="auto"/>
          <w:spacing w:val="-6"/>
          <w:kern w:val="21"/>
          <w:szCs w:val="21"/>
          <w:highlight w:val="none"/>
          <w:lang w:eastAsia="zh-CN"/>
        </w:rPr>
        <w:t>附件3 房产证</w:t>
      </w:r>
    </w:p>
    <w:p w14:paraId="1F243C8C">
      <w:pPr>
        <w:rPr>
          <w:rFonts w:hint="eastAsia" w:hAnsi="宋体"/>
          <w:snapToGrid w:val="0"/>
          <w:color w:val="auto"/>
          <w:spacing w:val="-6"/>
          <w:kern w:val="21"/>
          <w:szCs w:val="21"/>
          <w:highlight w:val="none"/>
          <w:lang w:eastAsia="zh-CN"/>
        </w:rPr>
      </w:pPr>
      <w:r>
        <w:rPr>
          <w:rFonts w:hint="eastAsia" w:hAnsi="宋体"/>
          <w:snapToGrid w:val="0"/>
          <w:color w:val="auto"/>
          <w:spacing w:val="-6"/>
          <w:kern w:val="21"/>
          <w:szCs w:val="21"/>
          <w:highlight w:val="none"/>
          <w:lang w:eastAsia="zh-CN"/>
        </w:rPr>
        <w:t>附件4 危险废物处置协议</w:t>
      </w:r>
    </w:p>
    <w:p w14:paraId="4CFF1AA3">
      <w:pPr>
        <w:rPr>
          <w:rFonts w:hint="eastAsia" w:hAnsi="宋体"/>
          <w:snapToGrid w:val="0"/>
          <w:color w:val="auto"/>
          <w:spacing w:val="-6"/>
          <w:kern w:val="21"/>
          <w:szCs w:val="21"/>
          <w:highlight w:val="none"/>
          <w:lang w:eastAsia="zh-CN"/>
        </w:rPr>
      </w:pPr>
    </w:p>
    <w:p w14:paraId="4F1558F2">
      <w:pPr>
        <w:rPr>
          <w:rFonts w:hint="eastAsia" w:hAnsi="宋体"/>
          <w:snapToGrid w:val="0"/>
          <w:color w:val="auto"/>
          <w:spacing w:val="-6"/>
          <w:kern w:val="21"/>
          <w:szCs w:val="21"/>
          <w:highlight w:val="none"/>
          <w:lang w:eastAsia="zh-CN"/>
        </w:rPr>
        <w:sectPr>
          <w:pgSz w:w="11905" w:h="16838"/>
          <w:pgMar w:top="1814" w:right="1474" w:bottom="1474" w:left="1474" w:header="850" w:footer="850" w:gutter="0"/>
          <w:pgBorders>
            <w:top w:val="none" w:sz="0" w:space="0"/>
            <w:left w:val="none" w:sz="0" w:space="0"/>
            <w:bottom w:val="none" w:sz="0" w:space="0"/>
            <w:right w:val="none" w:sz="0" w:space="0"/>
          </w:pgBorders>
          <w:pgNumType w:fmt="decimal"/>
          <w:cols w:space="0" w:num="1"/>
          <w:docGrid w:linePitch="319" w:charSpace="0"/>
        </w:sectPr>
      </w:pPr>
    </w:p>
    <w:p w14:paraId="62D04312">
      <w:pPr>
        <w:ind w:left="0" w:leftChars="0" w:firstLine="0" w:firstLineChars="0"/>
        <w:rPr>
          <w:rFonts w:hint="eastAsia" w:hAnsi="宋体"/>
          <w:snapToGrid w:val="0"/>
          <w:color w:val="auto"/>
          <w:spacing w:val="-6"/>
          <w:kern w:val="21"/>
          <w:szCs w:val="21"/>
          <w:highlight w:val="none"/>
          <w:lang w:eastAsia="zh-CN"/>
        </w:rPr>
      </w:pPr>
      <w:r>
        <w:rPr>
          <w:sz w:val="24"/>
        </w:rPr>
        <mc:AlternateContent>
          <mc:Choice Requires="wps">
            <w:drawing>
              <wp:anchor distT="0" distB="0" distL="114300" distR="114300" simplePos="0" relativeHeight="251677696" behindDoc="0" locked="0" layoutInCell="1" allowOverlap="1">
                <wp:simplePos x="0" y="0"/>
                <wp:positionH relativeFrom="column">
                  <wp:posOffset>4387215</wp:posOffset>
                </wp:positionH>
                <wp:positionV relativeFrom="paragraph">
                  <wp:posOffset>2860040</wp:posOffset>
                </wp:positionV>
                <wp:extent cx="828040" cy="323850"/>
                <wp:effectExtent l="9525" t="483235" r="19685" b="12065"/>
                <wp:wrapNone/>
                <wp:docPr id="15" name="圆角矩形标注 15"/>
                <wp:cNvGraphicFramePr/>
                <a:graphic xmlns:a="http://schemas.openxmlformats.org/drawingml/2006/main">
                  <a:graphicData uri="http://schemas.microsoft.com/office/word/2010/wordprocessingShape">
                    <wps:wsp>
                      <wps:cNvSpPr/>
                      <wps:spPr>
                        <a:xfrm>
                          <a:off x="0" y="0"/>
                          <a:ext cx="828040" cy="323850"/>
                        </a:xfrm>
                        <a:prstGeom prst="wedgeRoundRectCallout">
                          <a:avLst>
                            <a:gd name="adj1" fmla="val -1303"/>
                            <a:gd name="adj2" fmla="val -196274"/>
                            <a:gd name="adj3" fmla="val 16667"/>
                          </a:avLst>
                        </a:prstGeom>
                        <a:noFill/>
                        <a:ln w="19050">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6F2C121D">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eastAsia" w:eastAsia="宋体"/>
                                <w:color w:val="FFFFFF" w:themeColor="background1"/>
                                <w:sz w:val="21"/>
                                <w:szCs w:val="21"/>
                                <w:lang w:val="en-US" w:eastAsia="zh-CN"/>
                                <w14:textFill>
                                  <w14:solidFill>
                                    <w14:schemeClr w14:val="bg1"/>
                                  </w14:solidFill>
                                </w14:textFill>
                              </w:rPr>
                            </w:pPr>
                            <w:r>
                              <w:rPr>
                                <w:rFonts w:hint="eastAsia"/>
                                <w:b/>
                                <w:bCs/>
                                <w:color w:val="FF0000"/>
                                <w:sz w:val="21"/>
                                <w:szCs w:val="21"/>
                                <w:lang w:val="en-US" w:eastAsia="zh-CN"/>
                              </w:rPr>
                              <w:t>项目位置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2" type="#_x0000_t62" style="position:absolute;left:0pt;margin-left:345.45pt;margin-top:225.2pt;height:25.5pt;width:65.2pt;z-index:251677696;v-text-anchor:middle;mso-width-relative:page;mso-height-relative:page;" filled="f" stroked="t" coordsize="21600,21600" o:gfxdata="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" adj="10519,-31595,14400">
                <v:fill on="f" focussize="0,0"/>
                <v:stroke weight="1.5pt" color="#FF0000 [2404]" joinstyle="round"/>
                <v:imagedata o:title=""/>
                <o:lock v:ext="edit" aspectratio="f"/>
                <v:textbox>
                  <w:txbxContent>
                    <w:p w14:paraId="6F2C121D">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eastAsia" w:eastAsia="宋体"/>
                          <w:color w:val="FFFFFF" w:themeColor="background1"/>
                          <w:sz w:val="21"/>
                          <w:szCs w:val="21"/>
                          <w:lang w:val="en-US" w:eastAsia="zh-CN"/>
                          <w14:textFill>
                            <w14:solidFill>
                              <w14:schemeClr w14:val="bg1"/>
                            </w14:solidFill>
                          </w14:textFill>
                        </w:rPr>
                      </w:pPr>
                      <w:r>
                        <w:rPr>
                          <w:rFonts w:hint="eastAsia"/>
                          <w:b/>
                          <w:bCs/>
                          <w:color w:val="FF0000"/>
                          <w:sz w:val="21"/>
                          <w:szCs w:val="21"/>
                          <w:lang w:val="en-US" w:eastAsia="zh-CN"/>
                        </w:rPr>
                        <w:t>项目位置</w:t>
                      </w:r>
                    </w:p>
                  </w:txbxContent>
                </v:textbox>
              </v:shape>
            </w:pict>
          </mc:Fallback>
        </mc:AlternateContent>
      </w:r>
      <w:r>
        <mc:AlternateContent>
          <mc:Choice Requires="wps">
            <w:drawing>
              <wp:anchor distT="0" distB="0" distL="114300" distR="114300" simplePos="0" relativeHeight="251676672" behindDoc="0" locked="0" layoutInCell="1" allowOverlap="1">
                <wp:simplePos x="0" y="0"/>
                <wp:positionH relativeFrom="column">
                  <wp:posOffset>7845425</wp:posOffset>
                </wp:positionH>
                <wp:positionV relativeFrom="paragraph">
                  <wp:posOffset>-3175</wp:posOffset>
                </wp:positionV>
                <wp:extent cx="754380" cy="1116965"/>
                <wp:effectExtent l="4445" t="4445" r="22225" b="21590"/>
                <wp:wrapNone/>
                <wp:docPr id="54" name="文本框 54"/>
                <wp:cNvGraphicFramePr/>
                <a:graphic xmlns:a="http://schemas.openxmlformats.org/drawingml/2006/main">
                  <a:graphicData uri="http://schemas.microsoft.com/office/word/2010/wordprocessingShape">
                    <wps:wsp>
                      <wps:cNvSpPr txBox="1"/>
                      <wps:spPr>
                        <a:xfrm>
                          <a:off x="0" y="0"/>
                          <a:ext cx="754380" cy="111696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04582772">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pPr>
                            <w:r>
                              <w:rPr>
                                <w:rFonts w:hint="eastAsia" w:ascii="Arial" w:hAnsi="Arial" w:cs="Arial"/>
                              </w:rPr>
                              <w:drawing>
                                <wp:inline distT="0" distB="0" distL="114300" distR="114300">
                                  <wp:extent cx="563245" cy="966470"/>
                                  <wp:effectExtent l="0" t="0" r="8255" b="5080"/>
                                  <wp:docPr id="5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3"/>
                                          <pic:cNvPicPr>
                                            <a:picLocks noChangeAspect="1"/>
                                          </pic:cNvPicPr>
                                        </pic:nvPicPr>
                                        <pic:blipFill>
                                          <a:blip r:embed="rId33"/>
                                          <a:stretch>
                                            <a:fillRect/>
                                          </a:stretch>
                                        </pic:blipFill>
                                        <pic:spPr>
                                          <a:xfrm>
                                            <a:off x="0" y="0"/>
                                            <a:ext cx="563245" cy="966470"/>
                                          </a:xfrm>
                                          <a:prstGeom prst="rect">
                                            <a:avLst/>
                                          </a:prstGeom>
                                          <a:noFill/>
                                          <a:ln w="9525">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17.75pt;margin-top:-0.25pt;height:87.95pt;width:59.4pt;z-index:251676672;mso-width-relative:page;mso-height-relative:page;" fillcolor="#FFFFFF [3201]" filled="t" stroked="t" coordsize="21600,21600" o:gfxdata="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kLtP39cA&#10;AAALAQAADwAAAAAAAAABACAAAAAiAAAAZHJzL2Rvd25yZXYueG1sUEsBAhQAFAAAAAgAh07iQOt4&#10;hQ5ZAgAAuQQAAA4AAAAAAAAAAQAgAAAAJgEAAGRycy9lMm9Eb2MueG1sUEsFBgAAAAAGAAYAWQEA&#10;APEFAAAAAA==&#10;">
                <v:fill on="t" focussize="0,0"/>
                <v:stroke weight="0.5pt" color="#000000 [3204]" joinstyle="round"/>
                <v:imagedata o:title=""/>
                <o:lock v:ext="edit" aspectratio="f"/>
                <v:textbox>
                  <w:txbxContent>
                    <w:p w14:paraId="04582772">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pPr>
                      <w:r>
                        <w:rPr>
                          <w:rFonts w:hint="eastAsia" w:ascii="Arial" w:hAnsi="Arial" w:cs="Arial"/>
                        </w:rPr>
                        <w:drawing>
                          <wp:inline distT="0" distB="0" distL="114300" distR="114300">
                            <wp:extent cx="563245" cy="966470"/>
                            <wp:effectExtent l="0" t="0" r="8255" b="5080"/>
                            <wp:docPr id="5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3"/>
                                    <pic:cNvPicPr>
                                      <a:picLocks noChangeAspect="1"/>
                                    </pic:cNvPicPr>
                                  </pic:nvPicPr>
                                  <pic:blipFill>
                                    <a:blip r:embed="rId33"/>
                                    <a:stretch>
                                      <a:fillRect/>
                                    </a:stretch>
                                  </pic:blipFill>
                                  <pic:spPr>
                                    <a:xfrm>
                                      <a:off x="0" y="0"/>
                                      <a:ext cx="563245" cy="966470"/>
                                    </a:xfrm>
                                    <a:prstGeom prst="rect">
                                      <a:avLst/>
                                    </a:prstGeom>
                                    <a:noFill/>
                                    <a:ln w="9525">
                                      <a:noFill/>
                                    </a:ln>
                                  </pic:spPr>
                                </pic:pic>
                              </a:graphicData>
                            </a:graphic>
                          </wp:inline>
                        </w:drawing>
                      </w:r>
                    </w:p>
                  </w:txbxContent>
                </v:textbox>
              </v:shape>
            </w:pict>
          </mc:Fallback>
        </mc:AlternateContent>
      </w:r>
      <w:r>
        <w:rPr>
          <w:rFonts w:hint="eastAsia" w:hAnsi="宋体"/>
          <w:snapToGrid w:val="0"/>
          <w:color w:val="auto"/>
          <w:spacing w:val="-6"/>
          <w:kern w:val="21"/>
          <w:szCs w:val="21"/>
          <w:highlight w:val="none"/>
          <w:lang w:eastAsia="zh-CN"/>
        </w:rPr>
        <w:drawing>
          <wp:inline distT="0" distB="0" distL="114300" distR="114300">
            <wp:extent cx="8596630" cy="4921885"/>
            <wp:effectExtent l="0" t="0" r="13970" b="12065"/>
            <wp:docPr id="14" name="图片 14" descr="地理"/>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地理"/>
                    <pic:cNvPicPr>
                      <a:picLocks noChangeAspect="1"/>
                    </pic:cNvPicPr>
                  </pic:nvPicPr>
                  <pic:blipFill>
                    <a:blip r:embed="rId34"/>
                    <a:stretch>
                      <a:fillRect/>
                    </a:stretch>
                  </pic:blipFill>
                  <pic:spPr>
                    <a:xfrm>
                      <a:off x="0" y="0"/>
                      <a:ext cx="8596630" cy="4921885"/>
                    </a:xfrm>
                    <a:prstGeom prst="rect">
                      <a:avLst/>
                    </a:prstGeom>
                  </pic:spPr>
                </pic:pic>
              </a:graphicData>
            </a:graphic>
          </wp:inline>
        </w:drawing>
      </w:r>
    </w:p>
    <w:p w14:paraId="0DA4B15B">
      <w:pPr>
        <w:pStyle w:val="11"/>
        <w:rPr>
          <w:rFonts w:hint="default" w:ascii="Times New Roman" w:hAnsi="Times New Roman" w:eastAsia="宋体" w:cs="Times New Roman"/>
          <w:color w:val="auto"/>
          <w:sz w:val="24"/>
          <w:szCs w:val="24"/>
          <w:highlight w:val="none"/>
        </w:rPr>
        <w:sectPr>
          <w:pgSz w:w="16838" w:h="11905" w:orient="landscape"/>
          <w:pgMar w:top="1474" w:right="1814" w:bottom="1474" w:left="1474" w:header="850" w:footer="850" w:gutter="0"/>
          <w:pgBorders>
            <w:top w:val="none" w:sz="0" w:space="0"/>
            <w:left w:val="none" w:sz="0" w:space="0"/>
            <w:bottom w:val="none" w:sz="0" w:space="0"/>
            <w:right w:val="none" w:sz="0" w:space="0"/>
          </w:pgBorders>
          <w:pgNumType w:fmt="decimal"/>
          <w:cols w:space="0" w:num="1"/>
          <w:docGrid w:linePitch="319" w:charSpace="0"/>
        </w:sectPr>
      </w:pPr>
      <w:r>
        <w:rPr>
          <w:rFonts w:hint="default" w:ascii="Times New Roman" w:hAnsi="Times New Roman" w:eastAsia="宋体" w:cs="Times New Roman"/>
          <w:color w:val="auto"/>
          <w:sz w:val="24"/>
          <w:szCs w:val="24"/>
          <w:highlight w:val="none"/>
        </w:rPr>
        <w:t>附图1 项目地理位置图</w:t>
      </w:r>
    </w:p>
    <w:p w14:paraId="1C4849CA">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宋体"/>
          <w:lang w:eastAsia="zh-CN"/>
        </w:rPr>
      </w:pPr>
      <w:r>
        <w:rPr>
          <w:sz w:val="24"/>
        </w:rPr>
        <mc:AlternateContent>
          <mc:Choice Requires="wps">
            <w:drawing>
              <wp:anchor distT="0" distB="0" distL="114300" distR="114300" simplePos="0" relativeHeight="251695104" behindDoc="0" locked="0" layoutInCell="1" allowOverlap="1">
                <wp:simplePos x="0" y="0"/>
                <wp:positionH relativeFrom="column">
                  <wp:posOffset>4599940</wp:posOffset>
                </wp:positionH>
                <wp:positionV relativeFrom="paragraph">
                  <wp:posOffset>3839210</wp:posOffset>
                </wp:positionV>
                <wp:extent cx="1237615" cy="476250"/>
                <wp:effectExtent l="0" t="0" r="0" b="0"/>
                <wp:wrapNone/>
                <wp:docPr id="37" name="文本框 37"/>
                <wp:cNvGraphicFramePr/>
                <a:graphic xmlns:a="http://schemas.openxmlformats.org/drawingml/2006/main">
                  <a:graphicData uri="http://schemas.microsoft.com/office/word/2010/wordprocessingShape">
                    <wps:wsp>
                      <wps:cNvSpPr txBox="1"/>
                      <wps:spPr>
                        <a:xfrm rot="20580000">
                          <a:off x="0" y="0"/>
                          <a:ext cx="1237615" cy="4762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CE5C0A8">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eastAsia="宋体"/>
                                <w:color w:val="FFFF00"/>
                                <w:sz w:val="21"/>
                                <w:szCs w:val="21"/>
                                <w:lang w:val="en-US" w:eastAsia="zh-CN"/>
                              </w:rPr>
                            </w:pPr>
                            <w:r>
                              <w:rPr>
                                <w:rFonts w:hint="eastAsia"/>
                                <w:b/>
                                <w:bCs/>
                                <w:color w:val="FFFF00"/>
                                <w:sz w:val="21"/>
                                <w:szCs w:val="21"/>
                                <w:lang w:val="en-US" w:eastAsia="zh-CN"/>
                              </w:rPr>
                              <w:t>宝盛里观澳园</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62.2pt;margin-top:302.3pt;height:37.5pt;width:97.45pt;rotation:-1114112f;z-index:251695104;mso-width-relative:page;mso-height-relative:page;" filled="f" stroked="f" coordsize="21600,21600" o:gfxdata="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W4SgHNsAAAALAQAADwAAAAAAAAAB&#10;ACAAAAAiAAAAZHJzL2Rvd25yZXYueG1sUEsBAhQAFAAAAAgAh07iQH81GW5GAgAAdwQAAA4AAAAA&#10;AAAAAQAgAAAAKgEAAGRycy9lMm9Eb2MueG1sUEsFBgAAAAAGAAYAWQEAAOIFAAAAAA==&#10;">
                <v:fill on="f" focussize="0,0"/>
                <v:stroke on="f" weight="0.5pt"/>
                <v:imagedata o:title=""/>
                <o:lock v:ext="edit" aspectratio="f"/>
                <v:textbox>
                  <w:txbxContent>
                    <w:p w14:paraId="4CE5C0A8">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eastAsia="宋体"/>
                          <w:color w:val="FFFF00"/>
                          <w:sz w:val="21"/>
                          <w:szCs w:val="21"/>
                          <w:lang w:val="en-US" w:eastAsia="zh-CN"/>
                        </w:rPr>
                      </w:pPr>
                      <w:r>
                        <w:rPr>
                          <w:rFonts w:hint="eastAsia"/>
                          <w:b/>
                          <w:bCs/>
                          <w:color w:val="FFFF00"/>
                          <w:sz w:val="21"/>
                          <w:szCs w:val="21"/>
                          <w:lang w:val="en-US" w:eastAsia="zh-CN"/>
                        </w:rPr>
                        <w:t>宝盛里观澳园</w:t>
                      </w:r>
                    </w:p>
                  </w:txbxContent>
                </v:textbox>
              </v:shape>
            </w:pict>
          </mc:Fallback>
        </mc:AlternateContent>
      </w:r>
      <w:r>
        <w:rPr>
          <w:sz w:val="24"/>
        </w:rPr>
        <mc:AlternateContent>
          <mc:Choice Requires="wps">
            <w:drawing>
              <wp:anchor distT="0" distB="0" distL="114300" distR="114300" simplePos="0" relativeHeight="251694080" behindDoc="0" locked="0" layoutInCell="1" allowOverlap="1">
                <wp:simplePos x="0" y="0"/>
                <wp:positionH relativeFrom="column">
                  <wp:posOffset>2466340</wp:posOffset>
                </wp:positionH>
                <wp:positionV relativeFrom="paragraph">
                  <wp:posOffset>2334260</wp:posOffset>
                </wp:positionV>
                <wp:extent cx="1237615" cy="476250"/>
                <wp:effectExtent l="0" t="0" r="0" b="0"/>
                <wp:wrapNone/>
                <wp:docPr id="36" name="文本框 36"/>
                <wp:cNvGraphicFramePr/>
                <a:graphic xmlns:a="http://schemas.openxmlformats.org/drawingml/2006/main">
                  <a:graphicData uri="http://schemas.microsoft.com/office/word/2010/wordprocessingShape">
                    <wps:wsp>
                      <wps:cNvSpPr txBox="1"/>
                      <wps:spPr>
                        <a:xfrm rot="20580000">
                          <a:off x="0" y="0"/>
                          <a:ext cx="1237615" cy="4762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AF265B">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eastAsia="宋体"/>
                                <w:color w:val="FFFF00"/>
                                <w:sz w:val="21"/>
                                <w:szCs w:val="21"/>
                                <w:lang w:val="en-US" w:eastAsia="zh-CN"/>
                              </w:rPr>
                            </w:pPr>
                            <w:r>
                              <w:rPr>
                                <w:rFonts w:hint="eastAsia"/>
                                <w:b/>
                                <w:bCs/>
                                <w:color w:val="FFFF00"/>
                                <w:sz w:val="21"/>
                                <w:szCs w:val="21"/>
                                <w:lang w:val="en-US" w:eastAsia="zh-CN"/>
                              </w:rPr>
                              <w:t>宝盛里东区</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94.2pt;margin-top:183.8pt;height:37.5pt;width:97.45pt;rotation:-1114112f;z-index:251694080;mso-width-relative:page;mso-height-relative:page;" filled="f" stroked="f" coordsize="21600,21600" o:gfxdata="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M6mQovcAAAACwEAAA8AAAAAAAAA&#10;AQAgAAAAIgAAAGRycy9kb3ducmV2LnhtbFBLAQIUABQAAAAIAIdO4kDqTxZKRgIAAHcEAAAOAAAA&#10;AAAAAAEAIAAAACsBAABkcnMvZTJvRG9jLnhtbFBLBQYAAAAABgAGAFkBAADjBQAAAAA=&#10;">
                <v:fill on="f" focussize="0,0"/>
                <v:stroke on="f" weight="0.5pt"/>
                <v:imagedata o:title=""/>
                <o:lock v:ext="edit" aspectratio="f"/>
                <v:textbox>
                  <w:txbxContent>
                    <w:p w14:paraId="5AAF265B">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eastAsia="宋体"/>
                          <w:color w:val="FFFF00"/>
                          <w:sz w:val="21"/>
                          <w:szCs w:val="21"/>
                          <w:lang w:val="en-US" w:eastAsia="zh-CN"/>
                        </w:rPr>
                      </w:pPr>
                      <w:r>
                        <w:rPr>
                          <w:rFonts w:hint="eastAsia"/>
                          <w:b/>
                          <w:bCs/>
                          <w:color w:val="FFFF00"/>
                          <w:sz w:val="21"/>
                          <w:szCs w:val="21"/>
                          <w:lang w:val="en-US" w:eastAsia="zh-CN"/>
                        </w:rPr>
                        <w:t>宝盛里东区</w:t>
                      </w:r>
                    </w:p>
                  </w:txbxContent>
                </v:textbox>
              </v:shape>
            </w:pict>
          </mc:Fallback>
        </mc:AlternateContent>
      </w:r>
      <w:r>
        <w:rPr>
          <w:sz w:val="24"/>
        </w:rPr>
        <mc:AlternateContent>
          <mc:Choice Requires="wps">
            <w:drawing>
              <wp:anchor distT="0" distB="0" distL="114300" distR="114300" simplePos="0" relativeHeight="251693056" behindDoc="0" locked="0" layoutInCell="1" allowOverlap="1">
                <wp:simplePos x="0" y="0"/>
                <wp:positionH relativeFrom="column">
                  <wp:posOffset>3761740</wp:posOffset>
                </wp:positionH>
                <wp:positionV relativeFrom="paragraph">
                  <wp:posOffset>1076960</wp:posOffset>
                </wp:positionV>
                <wp:extent cx="1237615" cy="476250"/>
                <wp:effectExtent l="0" t="0" r="0" b="0"/>
                <wp:wrapNone/>
                <wp:docPr id="33" name="文本框 33"/>
                <wp:cNvGraphicFramePr/>
                <a:graphic xmlns:a="http://schemas.openxmlformats.org/drawingml/2006/main">
                  <a:graphicData uri="http://schemas.microsoft.com/office/word/2010/wordprocessingShape">
                    <wps:wsp>
                      <wps:cNvSpPr txBox="1"/>
                      <wps:spPr>
                        <a:xfrm rot="20580000">
                          <a:off x="0" y="0"/>
                          <a:ext cx="1237615" cy="4762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B095A1F">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eastAsia="宋体"/>
                                <w:color w:val="FFFF00"/>
                                <w:sz w:val="21"/>
                                <w:szCs w:val="21"/>
                                <w:lang w:val="en-US" w:eastAsia="zh-CN"/>
                              </w:rPr>
                            </w:pPr>
                            <w:r>
                              <w:rPr>
                                <w:rFonts w:hint="eastAsia"/>
                                <w:b/>
                                <w:bCs/>
                                <w:color w:val="FFFF00"/>
                                <w:sz w:val="21"/>
                                <w:szCs w:val="21"/>
                                <w:lang w:val="en-US" w:eastAsia="zh-CN"/>
                              </w:rPr>
                              <w:t>宝盛里东区</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96.2pt;margin-top:84.8pt;height:37.5pt;width:97.45pt;rotation:-1114112f;z-index:251693056;mso-width-relative:page;mso-height-relative:page;" filled="f" stroked="f" coordsize="21600,21600" o:gfxdata="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ArSSMZ2wAAAAsBAAAPAAAAAAAAAAEA&#10;IAAAACIAAABkcnMvZG93bnJldi54bWxQSwECFAAUAAAACACHTuJAK98k/kUCAAB3BAAADgAAAAAA&#10;AAABACAAAAAqAQAAZHJzL2Uyb0RvYy54bWxQSwUGAAAAAAYABgBZAQAA4QUAAAAA&#10;">
                <v:fill on="f" focussize="0,0"/>
                <v:stroke on="f" weight="0.5pt"/>
                <v:imagedata o:title=""/>
                <o:lock v:ext="edit" aspectratio="f"/>
                <v:textbox>
                  <w:txbxContent>
                    <w:p w14:paraId="1B095A1F">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eastAsia="宋体"/>
                          <w:color w:val="FFFF00"/>
                          <w:sz w:val="21"/>
                          <w:szCs w:val="21"/>
                          <w:lang w:val="en-US" w:eastAsia="zh-CN"/>
                        </w:rPr>
                      </w:pPr>
                      <w:r>
                        <w:rPr>
                          <w:rFonts w:hint="eastAsia"/>
                          <w:b/>
                          <w:bCs/>
                          <w:color w:val="FFFF00"/>
                          <w:sz w:val="21"/>
                          <w:szCs w:val="21"/>
                          <w:lang w:val="en-US" w:eastAsia="zh-CN"/>
                        </w:rPr>
                        <w:t>宝盛里东区</w:t>
                      </w:r>
                    </w:p>
                  </w:txbxContent>
                </v:textbox>
              </v:shape>
            </w:pict>
          </mc:Fallback>
        </mc:AlternateContent>
      </w:r>
      <w:r>
        <w:rPr>
          <w:sz w:val="24"/>
        </w:rPr>
        <mc:AlternateContent>
          <mc:Choice Requires="wps">
            <w:drawing>
              <wp:anchor distT="0" distB="0" distL="114300" distR="114300" simplePos="0" relativeHeight="251692032" behindDoc="0" locked="0" layoutInCell="1" allowOverlap="1">
                <wp:simplePos x="0" y="0"/>
                <wp:positionH relativeFrom="column">
                  <wp:posOffset>4733290</wp:posOffset>
                </wp:positionH>
                <wp:positionV relativeFrom="paragraph">
                  <wp:posOffset>2677160</wp:posOffset>
                </wp:positionV>
                <wp:extent cx="1237615" cy="476250"/>
                <wp:effectExtent l="0" t="0" r="0" b="0"/>
                <wp:wrapNone/>
                <wp:docPr id="78" name="文本框 78"/>
                <wp:cNvGraphicFramePr/>
                <a:graphic xmlns:a="http://schemas.openxmlformats.org/drawingml/2006/main">
                  <a:graphicData uri="http://schemas.microsoft.com/office/word/2010/wordprocessingShape">
                    <wps:wsp>
                      <wps:cNvSpPr txBox="1"/>
                      <wps:spPr>
                        <a:xfrm rot="20280000">
                          <a:off x="0" y="0"/>
                          <a:ext cx="1237615" cy="4762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3DFE4D2">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eastAsia="宋体"/>
                                <w:color w:val="FFFFFF" w:themeColor="background1"/>
                                <w:sz w:val="21"/>
                                <w:szCs w:val="21"/>
                                <w:lang w:val="en-US" w:eastAsia="zh-CN"/>
                                <w14:textFill>
                                  <w14:solidFill>
                                    <w14:schemeClr w14:val="bg1"/>
                                  </w14:solidFill>
                                </w14:textFill>
                              </w:rPr>
                            </w:pPr>
                            <w:r>
                              <w:rPr>
                                <w:rFonts w:hint="eastAsia"/>
                                <w:b/>
                                <w:bCs/>
                                <w:color w:val="FFFFFF" w:themeColor="background1"/>
                                <w:sz w:val="21"/>
                                <w:szCs w:val="21"/>
                                <w:lang w:val="en-US" w:eastAsia="zh-CN"/>
                                <w14:textFill>
                                  <w14:solidFill>
                                    <w14:schemeClr w14:val="bg1"/>
                                  </w14:solidFill>
                                </w14:textFill>
                              </w:rPr>
                              <w:t>宝盛里公交场站</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72.7pt;margin-top:210.8pt;height:37.5pt;width:97.45pt;rotation:-1441792f;z-index:251692032;mso-width-relative:page;mso-height-relative:page;" filled="f" stroked="f" coordsize="21600,21600" o:gfxdata="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BBGi3TaAAAACwEAAA8AAAAAAAAAAQAg&#10;AAAAIgAAAGRycy9kb3ducmV2LnhtbFBLAQIUABQAAAAIAIdO4kDNZ5qaRQIAAHcEAAAOAAAAAAAA&#10;AAEAIAAAACkBAABkcnMvZTJvRG9jLnhtbFBLBQYAAAAABgAGAFkBAADgBQAAAAA=&#10;">
                <v:fill on="f" focussize="0,0"/>
                <v:stroke on="f" weight="0.5pt"/>
                <v:imagedata o:title=""/>
                <o:lock v:ext="edit" aspectratio="f"/>
                <v:textbox>
                  <w:txbxContent>
                    <w:p w14:paraId="03DFE4D2">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eastAsia="宋体"/>
                          <w:color w:val="FFFFFF" w:themeColor="background1"/>
                          <w:sz w:val="21"/>
                          <w:szCs w:val="21"/>
                          <w:lang w:val="en-US" w:eastAsia="zh-CN"/>
                          <w14:textFill>
                            <w14:solidFill>
                              <w14:schemeClr w14:val="bg1"/>
                            </w14:solidFill>
                          </w14:textFill>
                        </w:rPr>
                      </w:pPr>
                      <w:r>
                        <w:rPr>
                          <w:rFonts w:hint="eastAsia"/>
                          <w:b/>
                          <w:bCs/>
                          <w:color w:val="FFFFFF" w:themeColor="background1"/>
                          <w:sz w:val="21"/>
                          <w:szCs w:val="21"/>
                          <w:lang w:val="en-US" w:eastAsia="zh-CN"/>
                          <w14:textFill>
                            <w14:solidFill>
                              <w14:schemeClr w14:val="bg1"/>
                            </w14:solidFill>
                          </w14:textFill>
                        </w:rPr>
                        <w:t>宝盛里公交场站</w:t>
                      </w:r>
                    </w:p>
                  </w:txbxContent>
                </v:textbox>
              </v:shape>
            </w:pict>
          </mc:Fallback>
        </mc:AlternateContent>
      </w:r>
      <w:r>
        <w:rPr>
          <w:sz w:val="24"/>
        </w:rPr>
        <mc:AlternateContent>
          <mc:Choice Requires="wps">
            <w:drawing>
              <wp:anchor distT="0" distB="0" distL="114300" distR="114300" simplePos="0" relativeHeight="251691008" behindDoc="0" locked="0" layoutInCell="1" allowOverlap="1">
                <wp:simplePos x="0" y="0"/>
                <wp:positionH relativeFrom="column">
                  <wp:posOffset>5495290</wp:posOffset>
                </wp:positionH>
                <wp:positionV relativeFrom="paragraph">
                  <wp:posOffset>1501140</wp:posOffset>
                </wp:positionV>
                <wp:extent cx="295275" cy="980440"/>
                <wp:effectExtent l="0" t="0" r="0" b="0"/>
                <wp:wrapNone/>
                <wp:docPr id="76" name="文本框 76"/>
                <wp:cNvGraphicFramePr/>
                <a:graphic xmlns:a="http://schemas.openxmlformats.org/drawingml/2006/main">
                  <a:graphicData uri="http://schemas.microsoft.com/office/word/2010/wordprocessingShape">
                    <wps:wsp>
                      <wps:cNvSpPr txBox="1"/>
                      <wps:spPr>
                        <a:xfrm rot="20580000">
                          <a:off x="0" y="0"/>
                          <a:ext cx="295275" cy="9804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ABE8EC9">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eastAsia="宋体"/>
                                <w:color w:val="FF0000"/>
                                <w:sz w:val="21"/>
                                <w:szCs w:val="21"/>
                                <w:lang w:val="en-US" w:eastAsia="zh-CN"/>
                              </w:rPr>
                            </w:pPr>
                            <w:r>
                              <w:rPr>
                                <w:rFonts w:hint="eastAsia"/>
                                <w:b/>
                                <w:bCs/>
                                <w:color w:val="FF0000"/>
                                <w:sz w:val="21"/>
                                <w:szCs w:val="21"/>
                                <w:lang w:val="en-US" w:eastAsia="zh-CN"/>
                              </w:rPr>
                              <w:t>黑泉路</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32.7pt;margin-top:118.2pt;height:77.2pt;width:23.25pt;rotation:-1114112f;z-index:251691008;mso-width-relative:page;mso-height-relative:page;" filled="f" stroked="f" coordsize="21600,21600" o:gfxdata="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BfN53XcAAAACwEAAA8AAAAAAAAA&#10;AQAgAAAAIgAAAGRycy9kb3ducmV2LnhtbFBLAQIUABQAAAAIAIdO4kC1I5A8RgIAAHYEAAAOAAAA&#10;AAAAAAEAIAAAACsBAABkcnMvZTJvRG9jLnhtbFBLBQYAAAAABgAGAFkBAADjBQAAAAA=&#10;">
                <v:fill on="f" focussize="0,0"/>
                <v:stroke on="f" weight="0.5pt"/>
                <v:imagedata o:title=""/>
                <o:lock v:ext="edit" aspectratio="f"/>
                <v:textbox>
                  <w:txbxContent>
                    <w:p w14:paraId="3ABE8EC9">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eastAsia="宋体"/>
                          <w:color w:val="FF0000"/>
                          <w:sz w:val="21"/>
                          <w:szCs w:val="21"/>
                          <w:lang w:val="en-US" w:eastAsia="zh-CN"/>
                        </w:rPr>
                      </w:pPr>
                      <w:r>
                        <w:rPr>
                          <w:rFonts w:hint="eastAsia"/>
                          <w:b/>
                          <w:bCs/>
                          <w:color w:val="FF0000"/>
                          <w:sz w:val="21"/>
                          <w:szCs w:val="21"/>
                          <w:lang w:val="en-US" w:eastAsia="zh-CN"/>
                        </w:rPr>
                        <w:t>黑泉路</w:t>
                      </w:r>
                    </w:p>
                  </w:txbxContent>
                </v:textbox>
              </v:shape>
            </w:pict>
          </mc:Fallback>
        </mc:AlternateContent>
      </w:r>
      <w:r>
        <w:rPr>
          <w:sz w:val="24"/>
        </w:rPr>
        <mc:AlternateContent>
          <mc:Choice Requires="wps">
            <w:drawing>
              <wp:anchor distT="0" distB="0" distL="114300" distR="114300" simplePos="0" relativeHeight="251689984" behindDoc="0" locked="0" layoutInCell="1" allowOverlap="1">
                <wp:simplePos x="0" y="0"/>
                <wp:positionH relativeFrom="column">
                  <wp:posOffset>3519805</wp:posOffset>
                </wp:positionH>
                <wp:positionV relativeFrom="paragraph">
                  <wp:posOffset>2810510</wp:posOffset>
                </wp:positionV>
                <wp:extent cx="892175" cy="291465"/>
                <wp:effectExtent l="0" t="0" r="0" b="0"/>
                <wp:wrapNone/>
                <wp:docPr id="30" name="文本框 30"/>
                <wp:cNvGraphicFramePr/>
                <a:graphic xmlns:a="http://schemas.openxmlformats.org/drawingml/2006/main">
                  <a:graphicData uri="http://schemas.microsoft.com/office/word/2010/wordprocessingShape">
                    <wps:wsp>
                      <wps:cNvSpPr txBox="1"/>
                      <wps:spPr>
                        <a:xfrm>
                          <a:off x="0" y="0"/>
                          <a:ext cx="892175" cy="29146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9ECD2C">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eastAsia="宋体"/>
                                <w:color w:val="FF0000"/>
                                <w:sz w:val="21"/>
                                <w:szCs w:val="21"/>
                                <w:lang w:val="en-US" w:eastAsia="zh-CN"/>
                              </w:rPr>
                            </w:pPr>
                            <w:r>
                              <w:rPr>
                                <w:rFonts w:hint="eastAsia"/>
                                <w:b/>
                                <w:bCs/>
                                <w:color w:val="FFFF00"/>
                                <w:sz w:val="21"/>
                                <w:szCs w:val="21"/>
                                <w:lang w:val="en-US" w:eastAsia="zh-CN"/>
                              </w:rPr>
                              <w:t>无组织废气</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77.15pt;margin-top:221.3pt;height:22.95pt;width:70.25pt;z-index:251689984;mso-width-relative:page;mso-height-relative:page;" filled="f" stroked="f" coordsize="21600,21600" o:gfxdata="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ExmnpNwAAAALAQAADwAAAAAAAAABACAAAAAiAAAA&#10;ZHJzL2Rvd25yZXYueG1sUEsBAhQAFAAAAAgAh07iQDZsg0g8AgAAZwQAAA4AAAAAAAAAAQAgAAAA&#10;KwEAAGRycy9lMm9Eb2MueG1sUEsFBgAAAAAGAAYAWQEAANkFAAAAAA==&#10;">
                <v:fill on="f" focussize="0,0"/>
                <v:stroke on="f" weight="0.5pt"/>
                <v:imagedata o:title=""/>
                <o:lock v:ext="edit" aspectratio="f"/>
                <v:textbox>
                  <w:txbxContent>
                    <w:p w14:paraId="5A9ECD2C">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eastAsia="宋体"/>
                          <w:color w:val="FF0000"/>
                          <w:sz w:val="21"/>
                          <w:szCs w:val="21"/>
                          <w:lang w:val="en-US" w:eastAsia="zh-CN"/>
                        </w:rPr>
                      </w:pPr>
                      <w:r>
                        <w:rPr>
                          <w:rFonts w:hint="eastAsia"/>
                          <w:b/>
                          <w:bCs/>
                          <w:color w:val="FFFF00"/>
                          <w:sz w:val="21"/>
                          <w:szCs w:val="21"/>
                          <w:lang w:val="en-US" w:eastAsia="zh-CN"/>
                        </w:rPr>
                        <w:t>无组织废气</w:t>
                      </w:r>
                    </w:p>
                  </w:txbxContent>
                </v:textbox>
              </v:shape>
            </w:pict>
          </mc:Fallback>
        </mc:AlternateContent>
      </w:r>
      <w:r>
        <w:rPr>
          <w:sz w:val="24"/>
        </w:rPr>
        <mc:AlternateContent>
          <mc:Choice Requires="wps">
            <w:drawing>
              <wp:anchor distT="0" distB="0" distL="114300" distR="114300" simplePos="0" relativeHeight="251688960" behindDoc="0" locked="0" layoutInCell="1" allowOverlap="1">
                <wp:simplePos x="0" y="0"/>
                <wp:positionH relativeFrom="column">
                  <wp:posOffset>4277360</wp:posOffset>
                </wp:positionH>
                <wp:positionV relativeFrom="paragraph">
                  <wp:posOffset>2943860</wp:posOffset>
                </wp:positionV>
                <wp:extent cx="666750" cy="257175"/>
                <wp:effectExtent l="0" t="0" r="0" b="0"/>
                <wp:wrapNone/>
                <wp:docPr id="99" name="文本框 99"/>
                <wp:cNvGraphicFramePr/>
                <a:graphic xmlns:a="http://schemas.openxmlformats.org/drawingml/2006/main">
                  <a:graphicData uri="http://schemas.microsoft.com/office/word/2010/wordprocessingShape">
                    <wps:wsp>
                      <wps:cNvSpPr txBox="1"/>
                      <wps:spPr>
                        <a:xfrm>
                          <a:off x="0" y="0"/>
                          <a:ext cx="666750" cy="2571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F91E406">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eastAsia="宋体"/>
                                <w:color w:val="FF0000"/>
                                <w:sz w:val="21"/>
                                <w:szCs w:val="21"/>
                                <w:lang w:val="en-US" w:eastAsia="zh-CN"/>
                              </w:rPr>
                            </w:pPr>
                            <w:r>
                              <w:rPr>
                                <w:rFonts w:hint="eastAsia"/>
                                <w:b/>
                                <w:bCs/>
                                <w:color w:val="FFFF00"/>
                                <w:sz w:val="21"/>
                                <w:szCs w:val="21"/>
                                <w:lang w:val="en-US" w:eastAsia="zh-CN"/>
                              </w:rPr>
                              <w:t>DW001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36.8pt;margin-top:231.8pt;height:20.25pt;width:52.5pt;z-index:251688960;mso-width-relative:page;mso-height-relative:page;" filled="f" stroked="f" coordsize="21600,21600" o:gfxdata="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ATixXdsAAAALAQAADwAAAAAAAAABACAAAAAiAAAAZHJz&#10;L2Rvd25yZXYueG1sUEsBAhQAFAAAAAgAh07iQEh+RjU6AgAAZwQAAA4AAAAAAAAAAQAgAAAAKgEA&#10;AGRycy9lMm9Eb2MueG1sUEsFBgAAAAAGAAYAWQEAANYFAAAAAA==&#10;">
                <v:fill on="f" focussize="0,0"/>
                <v:stroke on="f" weight="0.5pt"/>
                <v:imagedata o:title=""/>
                <o:lock v:ext="edit" aspectratio="f"/>
                <v:textbox>
                  <w:txbxContent>
                    <w:p w14:paraId="3F91E406">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eastAsia="宋体"/>
                          <w:color w:val="FF0000"/>
                          <w:sz w:val="21"/>
                          <w:szCs w:val="21"/>
                          <w:lang w:val="en-US" w:eastAsia="zh-CN"/>
                        </w:rPr>
                      </w:pPr>
                      <w:r>
                        <w:rPr>
                          <w:rFonts w:hint="eastAsia"/>
                          <w:b/>
                          <w:bCs/>
                          <w:color w:val="FFFF00"/>
                          <w:sz w:val="21"/>
                          <w:szCs w:val="21"/>
                          <w:lang w:val="en-US" w:eastAsia="zh-CN"/>
                        </w:rPr>
                        <w:t>DW001</w:t>
                      </w:r>
                    </w:p>
                  </w:txbxContent>
                </v:textbox>
              </v:shape>
            </w:pict>
          </mc:Fallback>
        </mc:AlternateContent>
      </w:r>
      <w:r>
        <w:rPr>
          <w:sz w:val="21"/>
        </w:rPr>
        <mc:AlternateContent>
          <mc:Choice Requires="wps">
            <w:drawing>
              <wp:anchor distT="0" distB="0" distL="114300" distR="114300" simplePos="0" relativeHeight="251686912" behindDoc="0" locked="0" layoutInCell="1" allowOverlap="1">
                <wp:simplePos x="0" y="0"/>
                <wp:positionH relativeFrom="column">
                  <wp:posOffset>4334510</wp:posOffset>
                </wp:positionH>
                <wp:positionV relativeFrom="paragraph">
                  <wp:posOffset>2894330</wp:posOffset>
                </wp:positionV>
                <wp:extent cx="107950" cy="107950"/>
                <wp:effectExtent l="13970" t="13970" r="30480" b="30480"/>
                <wp:wrapNone/>
                <wp:docPr id="28" name="椭圆 28"/>
                <wp:cNvGraphicFramePr/>
                <a:graphic xmlns:a="http://schemas.openxmlformats.org/drawingml/2006/main">
                  <a:graphicData uri="http://schemas.microsoft.com/office/word/2010/wordprocessingShape">
                    <wps:wsp>
                      <wps:cNvSpPr/>
                      <wps:spPr>
                        <a:xfrm>
                          <a:off x="0" y="0"/>
                          <a:ext cx="107950" cy="107950"/>
                        </a:xfrm>
                        <a:prstGeom prst="ellipse">
                          <a:avLst/>
                        </a:prstGeom>
                        <a:solidFill>
                          <a:srgbClr val="FF0000"/>
                        </a:solidFill>
                        <a:ln w="28575">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341.3pt;margin-top:227.9pt;height:8.5pt;width:8.5pt;z-index:251686912;v-text-anchor:middle;mso-width-relative:page;mso-height-relative:page;" fillcolor="#FF0000" filled="t" stroked="t" coordsize="21600,21600" o:gfxdata="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DysaAk2QAAAAsBAAAPAAAAAAAAAAEAIAAAACIAAABkcnMvZG93bnJldi54bWxQSwECFAAU&#10;AAAACACHTuJAeyLlJGICAADhBAAADgAAAAAAAAABACAAAAAoAQAAZHJzL2Uyb0RvYy54bWxQSwUG&#10;AAAAAAYABgBZAQAA/AUAAAAA&#10;">
                <v:fill on="t" focussize="0,0"/>
                <v:stroke weight="2.25pt" color="#FFFF00 [2404]" joinstyle="round"/>
                <v:imagedata o:title=""/>
                <o:lock v:ext="edit" aspectratio="f"/>
              </v:shape>
            </w:pict>
          </mc:Fallback>
        </mc:AlternateContent>
      </w:r>
      <w:r>
        <w:rPr>
          <w:sz w:val="21"/>
        </w:rPr>
        <mc:AlternateContent>
          <mc:Choice Requires="wps">
            <w:drawing>
              <wp:anchor distT="0" distB="0" distL="114300" distR="114300" simplePos="0" relativeHeight="251687936" behindDoc="0" locked="0" layoutInCell="1" allowOverlap="1">
                <wp:simplePos x="0" y="0"/>
                <wp:positionH relativeFrom="column">
                  <wp:posOffset>4427855</wp:posOffset>
                </wp:positionH>
                <wp:positionV relativeFrom="paragraph">
                  <wp:posOffset>2862580</wp:posOffset>
                </wp:positionV>
                <wp:extent cx="107950" cy="107950"/>
                <wp:effectExtent l="13970" t="13970" r="30480" b="30480"/>
                <wp:wrapNone/>
                <wp:docPr id="29" name="椭圆 29"/>
                <wp:cNvGraphicFramePr/>
                <a:graphic xmlns:a="http://schemas.openxmlformats.org/drawingml/2006/main">
                  <a:graphicData uri="http://schemas.microsoft.com/office/word/2010/wordprocessingShape">
                    <wps:wsp>
                      <wps:cNvSpPr/>
                      <wps:spPr>
                        <a:xfrm>
                          <a:off x="0" y="0"/>
                          <a:ext cx="107950" cy="107950"/>
                        </a:xfrm>
                        <a:prstGeom prst="ellipse">
                          <a:avLst/>
                        </a:prstGeom>
                        <a:solidFill>
                          <a:srgbClr val="00B0F0"/>
                        </a:solidFill>
                        <a:ln w="28575">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348.65pt;margin-top:225.4pt;height:8.5pt;width:8.5pt;z-index:251687936;v-text-anchor:middle;mso-width-relative:page;mso-height-relative:page;" fillcolor="#00B0F0" filled="t" stroked="t" coordsize="21600,21600" o:gfxdata="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C4uEBo2wAAAAsBAAAPAAAAAAAAAAEAIAAAACIAAABkcnMvZG93bnJldi54bWxQ&#10;SwECFAAUAAAACACHTuJAaoxZFGYCAADhBAAADgAAAAAAAAABACAAAAAqAQAAZHJzL2Uyb0RvYy54&#10;bWxQSwUGAAAAAAYABgBZAQAAAgYAAAAA&#10;">
                <v:fill on="t" focussize="0,0"/>
                <v:stroke weight="2.25pt" color="#FFFF00 [2404]" joinstyle="round"/>
                <v:imagedata o:title=""/>
                <o:lock v:ext="edit" aspectratio="f"/>
              </v:shape>
            </w:pict>
          </mc:Fallback>
        </mc:AlternateContent>
      </w:r>
      <w:r>
        <w:rPr>
          <w:sz w:val="21"/>
        </w:rPr>
        <mc:AlternateContent>
          <mc:Choice Requires="wps">
            <w:drawing>
              <wp:anchor distT="0" distB="0" distL="114300" distR="114300" simplePos="0" relativeHeight="251684864" behindDoc="0" locked="0" layoutInCell="1" allowOverlap="1">
                <wp:simplePos x="0" y="0"/>
                <wp:positionH relativeFrom="column">
                  <wp:posOffset>4528820</wp:posOffset>
                </wp:positionH>
                <wp:positionV relativeFrom="paragraph">
                  <wp:posOffset>2793365</wp:posOffset>
                </wp:positionV>
                <wp:extent cx="107950" cy="107950"/>
                <wp:effectExtent l="13970" t="13970" r="30480" b="30480"/>
                <wp:wrapNone/>
                <wp:docPr id="19" name="等腰三角形 19"/>
                <wp:cNvGraphicFramePr/>
                <a:graphic xmlns:a="http://schemas.openxmlformats.org/drawingml/2006/main">
                  <a:graphicData uri="http://schemas.microsoft.com/office/word/2010/wordprocessingShape">
                    <wps:wsp>
                      <wps:cNvSpPr/>
                      <wps:spPr>
                        <a:xfrm>
                          <a:off x="0" y="0"/>
                          <a:ext cx="107950" cy="107950"/>
                        </a:xfrm>
                        <a:prstGeom prst="triangle">
                          <a:avLst/>
                        </a:prstGeom>
                        <a:solidFill>
                          <a:srgbClr val="FFFF00"/>
                        </a:solidFill>
                        <a:ln w="28575">
                          <a:solidFill>
                            <a:srgbClr val="00B0F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margin-left:356.6pt;margin-top:219.95pt;height:8.5pt;width:8.5pt;z-index:251684864;v-text-anchor:middle;mso-width-relative:page;mso-height-relative:page;" fillcolor="#FFFF00" filled="t" stroked="t" coordsize="21600,21600" o:gfxdata="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" adj="10800">
                <v:fill on="t" focussize="0,0"/>
                <v:stroke weight="2.25pt" color="#00B0F0 [2404]" joinstyle="round"/>
                <v:imagedata o:title=""/>
                <o:lock v:ext="edit" aspectratio="f"/>
              </v:shape>
            </w:pict>
          </mc:Fallback>
        </mc:AlternateContent>
      </w:r>
      <w:r>
        <w:rPr>
          <w:sz w:val="21"/>
        </w:rPr>
        <mc:AlternateContent>
          <mc:Choice Requires="wps">
            <w:drawing>
              <wp:anchor distT="0" distB="0" distL="114300" distR="114300" simplePos="0" relativeHeight="251685888" behindDoc="0" locked="0" layoutInCell="1" allowOverlap="1">
                <wp:simplePos x="0" y="0"/>
                <wp:positionH relativeFrom="column">
                  <wp:posOffset>4429760</wp:posOffset>
                </wp:positionH>
                <wp:positionV relativeFrom="paragraph">
                  <wp:posOffset>2425700</wp:posOffset>
                </wp:positionV>
                <wp:extent cx="107950" cy="107950"/>
                <wp:effectExtent l="13970" t="13970" r="30480" b="30480"/>
                <wp:wrapNone/>
                <wp:docPr id="23" name="等腰三角形 23"/>
                <wp:cNvGraphicFramePr/>
                <a:graphic xmlns:a="http://schemas.openxmlformats.org/drawingml/2006/main">
                  <a:graphicData uri="http://schemas.microsoft.com/office/word/2010/wordprocessingShape">
                    <wps:wsp>
                      <wps:cNvSpPr/>
                      <wps:spPr>
                        <a:xfrm>
                          <a:off x="0" y="0"/>
                          <a:ext cx="107950" cy="107950"/>
                        </a:xfrm>
                        <a:prstGeom prst="triangle">
                          <a:avLst/>
                        </a:prstGeom>
                        <a:solidFill>
                          <a:srgbClr val="FFFF00"/>
                        </a:solidFill>
                        <a:ln w="28575">
                          <a:solidFill>
                            <a:srgbClr val="00B0F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margin-left:348.8pt;margin-top:191pt;height:8.5pt;width:8.5pt;z-index:251685888;v-text-anchor:middle;mso-width-relative:page;mso-height-relative:page;" fillcolor="#FFFF00" filled="t" stroked="t" coordsize="21600,21600" o:gfxdata="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" adj="10800">
                <v:fill on="t" focussize="0,0"/>
                <v:stroke weight="2.25pt" color="#00B0F0 [2404]" joinstyle="round"/>
                <v:imagedata o:title=""/>
                <o:lock v:ext="edit" aspectratio="f"/>
              </v:shape>
            </w:pict>
          </mc:Fallback>
        </mc:AlternateContent>
      </w:r>
      <w:r>
        <w:rPr>
          <w:sz w:val="21"/>
        </w:rPr>
        <mc:AlternateContent>
          <mc:Choice Requires="wps">
            <w:drawing>
              <wp:anchor distT="0" distB="0" distL="114300" distR="114300" simplePos="0" relativeHeight="251683840" behindDoc="0" locked="0" layoutInCell="1" allowOverlap="1">
                <wp:simplePos x="0" y="0"/>
                <wp:positionH relativeFrom="column">
                  <wp:posOffset>133350</wp:posOffset>
                </wp:positionH>
                <wp:positionV relativeFrom="paragraph">
                  <wp:posOffset>4389755</wp:posOffset>
                </wp:positionV>
                <wp:extent cx="107950" cy="107950"/>
                <wp:effectExtent l="13970" t="13970" r="30480" b="30480"/>
                <wp:wrapNone/>
                <wp:docPr id="74" name="等腰三角形 74"/>
                <wp:cNvGraphicFramePr/>
                <a:graphic xmlns:a="http://schemas.openxmlformats.org/drawingml/2006/main">
                  <a:graphicData uri="http://schemas.microsoft.com/office/word/2010/wordprocessingShape">
                    <wps:wsp>
                      <wps:cNvSpPr/>
                      <wps:spPr>
                        <a:xfrm>
                          <a:off x="0" y="0"/>
                          <a:ext cx="107950" cy="107950"/>
                        </a:xfrm>
                        <a:prstGeom prst="triangle">
                          <a:avLst/>
                        </a:prstGeom>
                        <a:solidFill>
                          <a:srgbClr val="FFFF00"/>
                        </a:solidFill>
                        <a:ln w="28575">
                          <a:solidFill>
                            <a:srgbClr val="00B0F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margin-left:10.5pt;margin-top:345.65pt;height:8.5pt;width:8.5pt;z-index:251683840;v-text-anchor:middle;mso-width-relative:page;mso-height-relative:page;" fillcolor="#FFFF00" filled="t" stroked="t" coordsize="21600,21600" o:gfxdata="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" adj="10800">
                <v:fill on="t" focussize="0,0"/>
                <v:stroke weight="2.25pt" color="#00B0F0 [2404]" joinstyle="round"/>
                <v:imagedata o:title=""/>
                <o:lock v:ext="edit" aspectratio="f"/>
              </v:shape>
            </w:pict>
          </mc:Fallback>
        </mc:AlternateContent>
      </w:r>
      <w:r>
        <w:rPr>
          <w:sz w:val="21"/>
        </w:rPr>
        <mc:AlternateContent>
          <mc:Choice Requires="wps">
            <w:drawing>
              <wp:anchor distT="0" distB="0" distL="114300" distR="114300" simplePos="0" relativeHeight="251682816" behindDoc="0" locked="0" layoutInCell="1" allowOverlap="1">
                <wp:simplePos x="0" y="0"/>
                <wp:positionH relativeFrom="column">
                  <wp:posOffset>127000</wp:posOffset>
                </wp:positionH>
                <wp:positionV relativeFrom="paragraph">
                  <wp:posOffset>4112895</wp:posOffset>
                </wp:positionV>
                <wp:extent cx="107950" cy="107950"/>
                <wp:effectExtent l="13970" t="13970" r="30480" b="30480"/>
                <wp:wrapNone/>
                <wp:docPr id="69" name="椭圆 69"/>
                <wp:cNvGraphicFramePr/>
                <a:graphic xmlns:a="http://schemas.openxmlformats.org/drawingml/2006/main">
                  <a:graphicData uri="http://schemas.microsoft.com/office/word/2010/wordprocessingShape">
                    <wps:wsp>
                      <wps:cNvSpPr/>
                      <wps:spPr>
                        <a:xfrm>
                          <a:off x="0" y="0"/>
                          <a:ext cx="107950" cy="107950"/>
                        </a:xfrm>
                        <a:prstGeom prst="ellipse">
                          <a:avLst/>
                        </a:prstGeom>
                        <a:solidFill>
                          <a:srgbClr val="00B0F0"/>
                        </a:solidFill>
                        <a:ln w="28575">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0pt;margin-top:323.85pt;height:8.5pt;width:8.5pt;z-index:251682816;v-text-anchor:middle;mso-width-relative:page;mso-height-relative:page;" fillcolor="#00B0F0" filled="t" stroked="t" coordsize="21600,21600" o:gfxdata="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">
                <v:fill on="t" focussize="0,0"/>
                <v:stroke weight="2.25pt" color="#FFFF00 [2404]" joinstyle="round"/>
                <v:imagedata o:title=""/>
                <o:lock v:ext="edit" aspectratio="f"/>
              </v:shape>
            </w:pict>
          </mc:Fallback>
        </mc:AlternateContent>
      </w:r>
      <w:r>
        <w:rPr>
          <w:sz w:val="21"/>
        </w:rPr>
        <mc:AlternateContent>
          <mc:Choice Requires="wps">
            <w:drawing>
              <wp:anchor distT="0" distB="0" distL="114300" distR="114300" simplePos="0" relativeHeight="251681792" behindDoc="0" locked="0" layoutInCell="1" allowOverlap="1">
                <wp:simplePos x="0" y="0"/>
                <wp:positionH relativeFrom="column">
                  <wp:posOffset>121285</wp:posOffset>
                </wp:positionH>
                <wp:positionV relativeFrom="paragraph">
                  <wp:posOffset>3797935</wp:posOffset>
                </wp:positionV>
                <wp:extent cx="107950" cy="107950"/>
                <wp:effectExtent l="13970" t="13970" r="30480" b="30480"/>
                <wp:wrapNone/>
                <wp:docPr id="68" name="椭圆 68"/>
                <wp:cNvGraphicFramePr/>
                <a:graphic xmlns:a="http://schemas.openxmlformats.org/drawingml/2006/main">
                  <a:graphicData uri="http://schemas.microsoft.com/office/word/2010/wordprocessingShape">
                    <wps:wsp>
                      <wps:cNvSpPr/>
                      <wps:spPr>
                        <a:xfrm>
                          <a:off x="0" y="0"/>
                          <a:ext cx="107950" cy="107950"/>
                        </a:xfrm>
                        <a:prstGeom prst="ellipse">
                          <a:avLst/>
                        </a:prstGeom>
                        <a:solidFill>
                          <a:srgbClr val="FF0000"/>
                        </a:solidFill>
                        <a:ln w="28575">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9.55pt;margin-top:299.05pt;height:8.5pt;width:8.5pt;z-index:251681792;v-text-anchor:middle;mso-width-relative:page;mso-height-relative:page;" fillcolor="#FF0000" filled="t" stroked="t" coordsize="21600,21600" o:gfxdata="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BBM1+e2AAAAAkBAAAPAAAAAAAAAAEAIAAAACIAAABkcnMvZG93bnJldi54bWxQSwECFAAU&#10;AAAACACHTuJAO+PDJWMCAADhBAAADgAAAAAAAAABACAAAAAnAQAAZHJzL2Uyb0RvYy54bWxQSwUG&#10;AAAAAAYABgBZAQAA/AUAAAAA&#10;">
                <v:fill on="t" focussize="0,0"/>
                <v:stroke weight="2.25pt" color="#FFFF00 [2404]" joinstyle="round"/>
                <v:imagedata o:title=""/>
                <o:lock v:ext="edit" aspectratio="f"/>
              </v:shape>
            </w:pict>
          </mc:Fallback>
        </mc:AlternateContent>
      </w:r>
      <w:r>
        <w:rPr>
          <w:rFonts w:hint="default"/>
          <w:sz w:val="21"/>
        </w:rPr>
        <mc:AlternateContent>
          <mc:Choice Requires="wps">
            <w:drawing>
              <wp:anchor distT="0" distB="0" distL="114300" distR="114300" simplePos="0" relativeHeight="251680768" behindDoc="0" locked="0" layoutInCell="1" allowOverlap="1">
                <wp:simplePos x="0" y="0"/>
                <wp:positionH relativeFrom="column">
                  <wp:posOffset>90805</wp:posOffset>
                </wp:positionH>
                <wp:positionV relativeFrom="paragraph">
                  <wp:posOffset>3486785</wp:posOffset>
                </wp:positionV>
                <wp:extent cx="171450" cy="114300"/>
                <wp:effectExtent l="9525" t="9525" r="9525" b="9525"/>
                <wp:wrapNone/>
                <wp:docPr id="60" name="矩形 60"/>
                <wp:cNvGraphicFramePr/>
                <a:graphic xmlns:a="http://schemas.openxmlformats.org/drawingml/2006/main">
                  <a:graphicData uri="http://schemas.microsoft.com/office/word/2010/wordprocessingShape">
                    <wps:wsp>
                      <wps:cNvSpPr/>
                      <wps:spPr>
                        <a:xfrm>
                          <a:off x="0" y="0"/>
                          <a:ext cx="171450" cy="114300"/>
                        </a:xfrm>
                        <a:prstGeom prst="rect">
                          <a:avLst/>
                        </a:prstGeom>
                        <a:noFill/>
                        <a:ln w="19050">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7.15pt;margin-top:274.55pt;height:9pt;width:13.5pt;z-index:251680768;v-text-anchor:middle;mso-width-relative:page;mso-height-relative:page;" filled="f" stroked="t" coordsize="21600,21600" o:gfxdata="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LdMz&#10;hNcAAAAJAQAADwAAAAAAAAABACAAAAAiAAAAZHJzL2Rvd25yZXYueG1sUEsBAhQAFAAAAAgAh07i&#10;QBE93dNcAgAAtQQAAA4AAAAAAAAAAQAgAAAAJgEAAGRycy9lMm9Eb2MueG1sUEsFBgAAAAAGAAYA&#10;WQEAAPQFAAAAAA==&#10;">
                <v:fill on="f" focussize="0,0"/>
                <v:stroke weight="1.5pt" color="#FF0000 [2404]" joinstyle="round"/>
                <v:imagedata o:title=""/>
                <o:lock v:ext="edit" aspectratio="f"/>
              </v:rect>
            </w:pict>
          </mc:Fallback>
        </mc:AlternateContent>
      </w:r>
      <w:r>
        <w:rPr>
          <w:rFonts w:hint="default"/>
          <w:sz w:val="21"/>
        </w:rPr>
        <mc:AlternateContent>
          <mc:Choice Requires="wps">
            <w:drawing>
              <wp:anchor distT="0" distB="0" distL="114300" distR="114300" simplePos="0" relativeHeight="251679744" behindDoc="0" locked="0" layoutInCell="1" allowOverlap="1">
                <wp:simplePos x="0" y="0"/>
                <wp:positionH relativeFrom="column">
                  <wp:posOffset>-4445</wp:posOffset>
                </wp:positionH>
                <wp:positionV relativeFrom="paragraph">
                  <wp:posOffset>3097530</wp:posOffset>
                </wp:positionV>
                <wp:extent cx="1561465" cy="1826895"/>
                <wp:effectExtent l="4445" t="4445" r="15240" b="16510"/>
                <wp:wrapNone/>
                <wp:docPr id="18" name="文本框 18"/>
                <wp:cNvGraphicFramePr/>
                <a:graphic xmlns:a="http://schemas.openxmlformats.org/drawingml/2006/main">
                  <a:graphicData uri="http://schemas.microsoft.com/office/word/2010/wordprocessingShape">
                    <wps:wsp>
                      <wps:cNvSpPr txBox="1"/>
                      <wps:spPr>
                        <a:xfrm>
                          <a:off x="0" y="0"/>
                          <a:ext cx="1561465" cy="182689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4A542FF4">
                            <w:pPr>
                              <w:keepNext w:val="0"/>
                              <w:keepLines w:val="0"/>
                              <w:pageBreakBefore w:val="0"/>
                              <w:widowControl w:val="0"/>
                              <w:kinsoku/>
                              <w:wordWrap/>
                              <w:overflowPunct/>
                              <w:topLinePunct w:val="0"/>
                              <w:bidi w:val="0"/>
                              <w:adjustRightInd/>
                              <w:snapToGrid/>
                              <w:spacing w:line="432" w:lineRule="auto"/>
                              <w:ind w:firstLine="0" w:firstLineChars="0"/>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b/>
                                <w:bCs/>
                                <w:sz w:val="21"/>
                                <w:szCs w:val="21"/>
                                <w:lang w:val="en-US" w:eastAsia="zh-CN"/>
                              </w:rPr>
                              <w:t>图例</w:t>
                            </w:r>
                          </w:p>
                          <w:p w14:paraId="504B15A3">
                            <w:pPr>
                              <w:keepNext w:val="0"/>
                              <w:keepLines w:val="0"/>
                              <w:pageBreakBefore w:val="0"/>
                              <w:widowControl w:val="0"/>
                              <w:kinsoku/>
                              <w:wordWrap/>
                              <w:overflowPunct/>
                              <w:topLinePunct w:val="0"/>
                              <w:bidi w:val="0"/>
                              <w:adjustRightInd/>
                              <w:snapToGrid/>
                              <w:spacing w:line="432" w:lineRule="auto"/>
                              <w:ind w:firstLine="420" w:firstLineChars="200"/>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项目位置</w:t>
                            </w:r>
                          </w:p>
                          <w:p w14:paraId="166085BC">
                            <w:pPr>
                              <w:keepNext w:val="0"/>
                              <w:keepLines w:val="0"/>
                              <w:pageBreakBefore w:val="0"/>
                              <w:widowControl w:val="0"/>
                              <w:kinsoku/>
                              <w:wordWrap/>
                              <w:overflowPunct/>
                              <w:topLinePunct w:val="0"/>
                              <w:bidi w:val="0"/>
                              <w:adjustRightInd/>
                              <w:snapToGrid/>
                              <w:spacing w:line="432" w:lineRule="auto"/>
                              <w:ind w:firstLine="420" w:firstLineChars="200"/>
                              <w:textAlignment w:val="auto"/>
                              <w:rPr>
                                <w:rFonts w:hint="eastAsia" w:cs="Times New Roman"/>
                                <w:sz w:val="21"/>
                                <w:szCs w:val="21"/>
                                <w:lang w:val="en-US" w:eastAsia="zh-CN"/>
                              </w:rPr>
                            </w:pPr>
                            <w:r>
                              <w:rPr>
                                <w:rFonts w:hint="eastAsia" w:cs="Times New Roman"/>
                                <w:sz w:val="21"/>
                                <w:szCs w:val="21"/>
                                <w:lang w:val="en-US" w:eastAsia="zh-CN"/>
                              </w:rPr>
                              <w:t>废气监测点位图</w:t>
                            </w:r>
                          </w:p>
                          <w:p w14:paraId="1D40FAB4">
                            <w:pPr>
                              <w:keepNext w:val="0"/>
                              <w:keepLines w:val="0"/>
                              <w:pageBreakBefore w:val="0"/>
                              <w:widowControl w:val="0"/>
                              <w:kinsoku/>
                              <w:wordWrap/>
                              <w:overflowPunct/>
                              <w:topLinePunct w:val="0"/>
                              <w:bidi w:val="0"/>
                              <w:adjustRightInd/>
                              <w:snapToGrid/>
                              <w:spacing w:line="432" w:lineRule="auto"/>
                              <w:ind w:firstLine="420" w:firstLineChars="200"/>
                              <w:textAlignment w:val="auto"/>
                              <w:rPr>
                                <w:rFonts w:hint="eastAsia" w:cs="Times New Roman"/>
                                <w:sz w:val="21"/>
                                <w:szCs w:val="21"/>
                                <w:lang w:val="en-US" w:eastAsia="zh-CN"/>
                              </w:rPr>
                            </w:pPr>
                            <w:r>
                              <w:rPr>
                                <w:rFonts w:hint="eastAsia" w:cs="Times New Roman"/>
                                <w:sz w:val="21"/>
                                <w:szCs w:val="21"/>
                                <w:lang w:val="en-US" w:eastAsia="zh-CN"/>
                              </w:rPr>
                              <w:t>废水监测点位图</w:t>
                            </w:r>
                          </w:p>
                          <w:p w14:paraId="08984D71">
                            <w:pPr>
                              <w:keepNext w:val="0"/>
                              <w:keepLines w:val="0"/>
                              <w:pageBreakBefore w:val="0"/>
                              <w:widowControl w:val="0"/>
                              <w:kinsoku/>
                              <w:wordWrap/>
                              <w:overflowPunct/>
                              <w:topLinePunct w:val="0"/>
                              <w:bidi w:val="0"/>
                              <w:adjustRightInd/>
                              <w:snapToGrid/>
                              <w:spacing w:line="432" w:lineRule="auto"/>
                              <w:ind w:firstLine="420" w:firstLineChars="200"/>
                              <w:textAlignment w:val="auto"/>
                              <w:rPr>
                                <w:rFonts w:hint="default" w:ascii="Times New Roman" w:hAnsi="Times New Roman" w:cs="Times New Roman"/>
                                <w:sz w:val="21"/>
                                <w:szCs w:val="21"/>
                                <w:lang w:val="en-US" w:eastAsia="zh-CN"/>
                              </w:rPr>
                            </w:pPr>
                            <w:r>
                              <w:rPr>
                                <w:rFonts w:hint="eastAsia" w:cs="Times New Roman"/>
                                <w:sz w:val="21"/>
                                <w:szCs w:val="21"/>
                                <w:lang w:val="en-US" w:eastAsia="zh-CN"/>
                              </w:rPr>
                              <w:t>噪声监测点位图</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0.35pt;margin-top:243.9pt;height:143.85pt;width:122.95pt;z-index:251679744;mso-width-relative:page;mso-height-relative:page;" fillcolor="#FFFFFF [3201]" filled="t" stroked="t" coordsize="21600,21600" o:gfxdata="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FAWauTX&#10;AAAACQEAAA8AAAAAAAAAAQAgAAAAIgAAAGRycy9kb3ducmV2LnhtbFBLAQIUABQAAAAIAIdO4kD0&#10;N+ALWgIAALoEAAAOAAAAAAAAAAEAIAAAACYBAABkcnMvZTJvRG9jLnhtbFBLBQYAAAAABgAGAFkB&#10;AADyBQAAAAA=&#10;">
                <v:fill on="t" focussize="0,0"/>
                <v:stroke weight="0.5pt" color="#000000 [3204]" joinstyle="round"/>
                <v:imagedata o:title=""/>
                <o:lock v:ext="edit" aspectratio="f"/>
                <v:textbox>
                  <w:txbxContent>
                    <w:p w14:paraId="4A542FF4">
                      <w:pPr>
                        <w:keepNext w:val="0"/>
                        <w:keepLines w:val="0"/>
                        <w:pageBreakBefore w:val="0"/>
                        <w:widowControl w:val="0"/>
                        <w:kinsoku/>
                        <w:wordWrap/>
                        <w:overflowPunct/>
                        <w:topLinePunct w:val="0"/>
                        <w:bidi w:val="0"/>
                        <w:adjustRightInd/>
                        <w:snapToGrid/>
                        <w:spacing w:line="432" w:lineRule="auto"/>
                        <w:ind w:firstLine="0" w:firstLineChars="0"/>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b/>
                          <w:bCs/>
                          <w:sz w:val="21"/>
                          <w:szCs w:val="21"/>
                          <w:lang w:val="en-US" w:eastAsia="zh-CN"/>
                        </w:rPr>
                        <w:t>图例</w:t>
                      </w:r>
                    </w:p>
                    <w:p w14:paraId="504B15A3">
                      <w:pPr>
                        <w:keepNext w:val="0"/>
                        <w:keepLines w:val="0"/>
                        <w:pageBreakBefore w:val="0"/>
                        <w:widowControl w:val="0"/>
                        <w:kinsoku/>
                        <w:wordWrap/>
                        <w:overflowPunct/>
                        <w:topLinePunct w:val="0"/>
                        <w:bidi w:val="0"/>
                        <w:adjustRightInd/>
                        <w:snapToGrid/>
                        <w:spacing w:line="432" w:lineRule="auto"/>
                        <w:ind w:firstLine="420" w:firstLineChars="200"/>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项目位置</w:t>
                      </w:r>
                    </w:p>
                    <w:p w14:paraId="166085BC">
                      <w:pPr>
                        <w:keepNext w:val="0"/>
                        <w:keepLines w:val="0"/>
                        <w:pageBreakBefore w:val="0"/>
                        <w:widowControl w:val="0"/>
                        <w:kinsoku/>
                        <w:wordWrap/>
                        <w:overflowPunct/>
                        <w:topLinePunct w:val="0"/>
                        <w:bidi w:val="0"/>
                        <w:adjustRightInd/>
                        <w:snapToGrid/>
                        <w:spacing w:line="432" w:lineRule="auto"/>
                        <w:ind w:firstLine="420" w:firstLineChars="200"/>
                        <w:textAlignment w:val="auto"/>
                        <w:rPr>
                          <w:rFonts w:hint="eastAsia" w:cs="Times New Roman"/>
                          <w:sz w:val="21"/>
                          <w:szCs w:val="21"/>
                          <w:lang w:val="en-US" w:eastAsia="zh-CN"/>
                        </w:rPr>
                      </w:pPr>
                      <w:r>
                        <w:rPr>
                          <w:rFonts w:hint="eastAsia" w:cs="Times New Roman"/>
                          <w:sz w:val="21"/>
                          <w:szCs w:val="21"/>
                          <w:lang w:val="en-US" w:eastAsia="zh-CN"/>
                        </w:rPr>
                        <w:t>废气监测点位图</w:t>
                      </w:r>
                    </w:p>
                    <w:p w14:paraId="1D40FAB4">
                      <w:pPr>
                        <w:keepNext w:val="0"/>
                        <w:keepLines w:val="0"/>
                        <w:pageBreakBefore w:val="0"/>
                        <w:widowControl w:val="0"/>
                        <w:kinsoku/>
                        <w:wordWrap/>
                        <w:overflowPunct/>
                        <w:topLinePunct w:val="0"/>
                        <w:bidi w:val="0"/>
                        <w:adjustRightInd/>
                        <w:snapToGrid/>
                        <w:spacing w:line="432" w:lineRule="auto"/>
                        <w:ind w:firstLine="420" w:firstLineChars="200"/>
                        <w:textAlignment w:val="auto"/>
                        <w:rPr>
                          <w:rFonts w:hint="eastAsia" w:cs="Times New Roman"/>
                          <w:sz w:val="21"/>
                          <w:szCs w:val="21"/>
                          <w:lang w:val="en-US" w:eastAsia="zh-CN"/>
                        </w:rPr>
                      </w:pPr>
                      <w:r>
                        <w:rPr>
                          <w:rFonts w:hint="eastAsia" w:cs="Times New Roman"/>
                          <w:sz w:val="21"/>
                          <w:szCs w:val="21"/>
                          <w:lang w:val="en-US" w:eastAsia="zh-CN"/>
                        </w:rPr>
                        <w:t>废水监测点位图</w:t>
                      </w:r>
                    </w:p>
                    <w:p w14:paraId="08984D71">
                      <w:pPr>
                        <w:keepNext w:val="0"/>
                        <w:keepLines w:val="0"/>
                        <w:pageBreakBefore w:val="0"/>
                        <w:widowControl w:val="0"/>
                        <w:kinsoku/>
                        <w:wordWrap/>
                        <w:overflowPunct/>
                        <w:topLinePunct w:val="0"/>
                        <w:bidi w:val="0"/>
                        <w:adjustRightInd/>
                        <w:snapToGrid/>
                        <w:spacing w:line="432" w:lineRule="auto"/>
                        <w:ind w:firstLine="420" w:firstLineChars="200"/>
                        <w:textAlignment w:val="auto"/>
                        <w:rPr>
                          <w:rFonts w:hint="default" w:ascii="Times New Roman" w:hAnsi="Times New Roman" w:cs="Times New Roman"/>
                          <w:sz w:val="21"/>
                          <w:szCs w:val="21"/>
                          <w:lang w:val="en-US" w:eastAsia="zh-CN"/>
                        </w:rPr>
                      </w:pPr>
                      <w:r>
                        <w:rPr>
                          <w:rFonts w:hint="eastAsia" w:cs="Times New Roman"/>
                          <w:sz w:val="21"/>
                          <w:szCs w:val="21"/>
                          <w:lang w:val="en-US" w:eastAsia="zh-CN"/>
                        </w:rPr>
                        <w:t>噪声监测点位图</w:t>
                      </w:r>
                    </w:p>
                  </w:txbxContent>
                </v:textbox>
              </v:shape>
            </w:pict>
          </mc:Fallback>
        </mc:AlternateContent>
      </w:r>
      <w:r>
        <mc:AlternateContent>
          <mc:Choice Requires="wps">
            <w:drawing>
              <wp:anchor distT="0" distB="0" distL="114300" distR="114300" simplePos="0" relativeHeight="251678720" behindDoc="0" locked="0" layoutInCell="1" allowOverlap="1">
                <wp:simplePos x="0" y="0"/>
                <wp:positionH relativeFrom="column">
                  <wp:posOffset>7854950</wp:posOffset>
                </wp:positionH>
                <wp:positionV relativeFrom="paragraph">
                  <wp:posOffset>-8890</wp:posOffset>
                </wp:positionV>
                <wp:extent cx="754380" cy="1116965"/>
                <wp:effectExtent l="4445" t="4445" r="22225" b="21590"/>
                <wp:wrapNone/>
                <wp:docPr id="17" name="文本框 17"/>
                <wp:cNvGraphicFramePr/>
                <a:graphic xmlns:a="http://schemas.openxmlformats.org/drawingml/2006/main">
                  <a:graphicData uri="http://schemas.microsoft.com/office/word/2010/wordprocessingShape">
                    <wps:wsp>
                      <wps:cNvSpPr txBox="1"/>
                      <wps:spPr>
                        <a:xfrm>
                          <a:off x="0" y="0"/>
                          <a:ext cx="754380" cy="111696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2A816C2F">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pPr>
                            <w:r>
                              <w:rPr>
                                <w:rFonts w:hint="eastAsia" w:ascii="Arial" w:hAnsi="Arial" w:cs="Arial"/>
                              </w:rPr>
                              <w:drawing>
                                <wp:inline distT="0" distB="0" distL="114300" distR="114300">
                                  <wp:extent cx="563245" cy="966470"/>
                                  <wp:effectExtent l="0" t="0" r="8255" b="5080"/>
                                  <wp:docPr id="5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3"/>
                                          <pic:cNvPicPr>
                                            <a:picLocks noChangeAspect="1"/>
                                          </pic:cNvPicPr>
                                        </pic:nvPicPr>
                                        <pic:blipFill>
                                          <a:blip r:embed="rId33"/>
                                          <a:stretch>
                                            <a:fillRect/>
                                          </a:stretch>
                                        </pic:blipFill>
                                        <pic:spPr>
                                          <a:xfrm>
                                            <a:off x="0" y="0"/>
                                            <a:ext cx="563245" cy="966470"/>
                                          </a:xfrm>
                                          <a:prstGeom prst="rect">
                                            <a:avLst/>
                                          </a:prstGeom>
                                          <a:noFill/>
                                          <a:ln w="9525">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18.5pt;margin-top:-0.7pt;height:87.95pt;width:59.4pt;z-index:251678720;mso-width-relative:page;mso-height-relative:page;" fillcolor="#FFFFFF [3201]" filled="t" stroked="t" coordsize="21600,21600" o:gfxdata="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lWPRNdgA&#10;AAAMAQAADwAAAAAAAAABACAAAAAiAAAAZHJzL2Rvd25yZXYueG1sUEsBAhQAFAAAAAgAh07iQFSw&#10;nmJYAgAAuQQAAA4AAAAAAAAAAQAgAAAAJwEAAGRycy9lMm9Eb2MueG1sUEsFBgAAAAAGAAYAWQEA&#10;APEFAAAAAA==&#10;">
                <v:fill on="t" focussize="0,0"/>
                <v:stroke weight="0.5pt" color="#000000 [3204]" joinstyle="round"/>
                <v:imagedata o:title=""/>
                <o:lock v:ext="edit" aspectratio="f"/>
                <v:textbox>
                  <w:txbxContent>
                    <w:p w14:paraId="2A816C2F">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pPr>
                      <w:r>
                        <w:rPr>
                          <w:rFonts w:hint="eastAsia" w:ascii="Arial" w:hAnsi="Arial" w:cs="Arial"/>
                        </w:rPr>
                        <w:drawing>
                          <wp:inline distT="0" distB="0" distL="114300" distR="114300">
                            <wp:extent cx="563245" cy="966470"/>
                            <wp:effectExtent l="0" t="0" r="8255" b="5080"/>
                            <wp:docPr id="5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3"/>
                                    <pic:cNvPicPr>
                                      <a:picLocks noChangeAspect="1"/>
                                    </pic:cNvPicPr>
                                  </pic:nvPicPr>
                                  <pic:blipFill>
                                    <a:blip r:embed="rId33"/>
                                    <a:stretch>
                                      <a:fillRect/>
                                    </a:stretch>
                                  </pic:blipFill>
                                  <pic:spPr>
                                    <a:xfrm>
                                      <a:off x="0" y="0"/>
                                      <a:ext cx="563245" cy="966470"/>
                                    </a:xfrm>
                                    <a:prstGeom prst="rect">
                                      <a:avLst/>
                                    </a:prstGeom>
                                    <a:noFill/>
                                    <a:ln w="9525">
                                      <a:noFill/>
                                    </a:ln>
                                  </pic:spPr>
                                </pic:pic>
                              </a:graphicData>
                            </a:graphic>
                          </wp:inline>
                        </w:drawing>
                      </w:r>
                    </w:p>
                  </w:txbxContent>
                </v:textbox>
              </v:shape>
            </w:pict>
          </mc:Fallback>
        </mc:AlternateContent>
      </w:r>
      <w:r>
        <w:rPr>
          <w:rFonts w:hint="eastAsia" w:eastAsia="宋体"/>
          <w:lang w:eastAsia="zh-CN"/>
        </w:rPr>
        <w:drawing>
          <wp:inline distT="0" distB="0" distL="114300" distR="114300">
            <wp:extent cx="8596630" cy="4921885"/>
            <wp:effectExtent l="0" t="0" r="13970" b="12065"/>
            <wp:docPr id="16" name="图片 16" descr="周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周边"/>
                    <pic:cNvPicPr>
                      <a:picLocks noChangeAspect="1"/>
                    </pic:cNvPicPr>
                  </pic:nvPicPr>
                  <pic:blipFill>
                    <a:blip r:embed="rId35"/>
                    <a:stretch>
                      <a:fillRect/>
                    </a:stretch>
                  </pic:blipFill>
                  <pic:spPr>
                    <a:xfrm>
                      <a:off x="0" y="0"/>
                      <a:ext cx="8596630" cy="4921885"/>
                    </a:xfrm>
                    <a:prstGeom prst="rect">
                      <a:avLst/>
                    </a:prstGeom>
                  </pic:spPr>
                </pic:pic>
              </a:graphicData>
            </a:graphic>
          </wp:inline>
        </w:drawing>
      </w:r>
    </w:p>
    <w:p w14:paraId="7297B65A">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宋体"/>
          <w:lang w:eastAsia="zh-CN"/>
        </w:rPr>
      </w:pPr>
      <w:r>
        <w:rPr>
          <w:rFonts w:hint="eastAsia" w:eastAsia="宋体"/>
          <w:b/>
          <w:bCs/>
          <w:lang w:eastAsia="zh-CN"/>
        </w:rPr>
        <w:t>附图2 项目周边关系图及运营期监测点位图</w:t>
      </w:r>
    </w:p>
    <w:p w14:paraId="4047244A">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宋体"/>
          <w:lang w:eastAsia="zh-CN"/>
        </w:rPr>
        <w:sectPr>
          <w:pgSz w:w="16838" w:h="11905" w:orient="landscape"/>
          <w:pgMar w:top="1474" w:right="1814" w:bottom="1474" w:left="1474" w:header="850" w:footer="850" w:gutter="0"/>
          <w:pgBorders>
            <w:top w:val="none" w:sz="0" w:space="0"/>
            <w:left w:val="none" w:sz="0" w:space="0"/>
            <w:bottom w:val="none" w:sz="0" w:space="0"/>
            <w:right w:val="none" w:sz="0" w:space="0"/>
          </w:pgBorders>
          <w:pgNumType w:fmt="decimal"/>
          <w:cols w:space="0" w:num="1"/>
          <w:docGrid w:linePitch="319" w:charSpace="0"/>
        </w:sectPr>
      </w:pPr>
    </w:p>
    <w:p w14:paraId="526A8CDB">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宋体"/>
          <w:lang w:eastAsia="zh-CN"/>
        </w:rPr>
      </w:pPr>
      <w:r>
        <w:rPr>
          <w:sz w:val="24"/>
        </w:rPr>
        <mc:AlternateContent>
          <mc:Choice Requires="wps">
            <w:drawing>
              <wp:anchor distT="0" distB="0" distL="114300" distR="114300" simplePos="0" relativeHeight="251723776" behindDoc="0" locked="0" layoutInCell="1" allowOverlap="1">
                <wp:simplePos x="0" y="0"/>
                <wp:positionH relativeFrom="column">
                  <wp:posOffset>3766820</wp:posOffset>
                </wp:positionH>
                <wp:positionV relativeFrom="paragraph">
                  <wp:posOffset>4162425</wp:posOffset>
                </wp:positionV>
                <wp:extent cx="1237615" cy="673100"/>
                <wp:effectExtent l="0" t="0" r="0" b="0"/>
                <wp:wrapNone/>
                <wp:docPr id="90" name="文本框 90"/>
                <wp:cNvGraphicFramePr/>
                <a:graphic xmlns:a="http://schemas.openxmlformats.org/drawingml/2006/main">
                  <a:graphicData uri="http://schemas.microsoft.com/office/word/2010/wordprocessingShape">
                    <wps:wsp>
                      <wps:cNvSpPr txBox="1"/>
                      <wps:spPr>
                        <a:xfrm>
                          <a:off x="0" y="0"/>
                          <a:ext cx="1237615" cy="6731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0E82DD2">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eastAsia"/>
                                <w:b/>
                                <w:bCs/>
                                <w:color w:val="FFFF00"/>
                                <w:sz w:val="18"/>
                                <w:szCs w:val="18"/>
                                <w:lang w:val="en-US" w:eastAsia="zh-CN"/>
                              </w:rPr>
                            </w:pPr>
                            <w:r>
                              <w:rPr>
                                <w:rFonts w:hint="eastAsia"/>
                                <w:b/>
                                <w:bCs/>
                                <w:color w:val="FFFF00"/>
                                <w:sz w:val="18"/>
                                <w:szCs w:val="18"/>
                                <w:lang w:val="en-US" w:eastAsia="zh-CN"/>
                              </w:rPr>
                              <w:t>燕京神学院</w:t>
                            </w:r>
                          </w:p>
                          <w:p w14:paraId="09036D09">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b/>
                                <w:bCs/>
                                <w:color w:val="FFFF00"/>
                                <w:sz w:val="18"/>
                                <w:szCs w:val="18"/>
                                <w:lang w:val="en-US" w:eastAsia="zh-CN"/>
                              </w:rPr>
                            </w:pPr>
                            <w:r>
                              <w:rPr>
                                <w:rFonts w:hint="eastAsia"/>
                                <w:b/>
                                <w:bCs/>
                                <w:color w:val="FFFF00"/>
                                <w:sz w:val="18"/>
                                <w:szCs w:val="18"/>
                                <w:lang w:val="en-US" w:eastAsia="zh-CN"/>
                              </w:rPr>
                              <w:t>345m</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96.6pt;margin-top:327.75pt;height:53pt;width:97.45pt;z-index:251723776;mso-width-relative:page;mso-height-relative:page;" filled="f" stroked="f" coordsize="21600,21600" o:gfxdata="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MIDu17cAAAACwEAAA8AAAAAAAAAAQAgAAAAIgAA&#10;AGRycy9kb3ducmV2LnhtbFBLAQIUABQAAAAIAIdO4kBHVyrVPQIAAGgEAAAOAAAAAAAAAAEAIAAA&#10;ACsBAABkcnMvZTJvRG9jLnhtbFBLBQYAAAAABgAGAFkBAADaBQAAAAA=&#10;">
                <v:fill on="f" focussize="0,0"/>
                <v:stroke on="f" weight="0.5pt"/>
                <v:imagedata o:title=""/>
                <o:lock v:ext="edit" aspectratio="f"/>
                <v:textbox>
                  <w:txbxContent>
                    <w:p w14:paraId="30E82DD2">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eastAsia"/>
                          <w:b/>
                          <w:bCs/>
                          <w:color w:val="FFFF00"/>
                          <w:sz w:val="18"/>
                          <w:szCs w:val="18"/>
                          <w:lang w:val="en-US" w:eastAsia="zh-CN"/>
                        </w:rPr>
                      </w:pPr>
                      <w:r>
                        <w:rPr>
                          <w:rFonts w:hint="eastAsia"/>
                          <w:b/>
                          <w:bCs/>
                          <w:color w:val="FFFF00"/>
                          <w:sz w:val="18"/>
                          <w:szCs w:val="18"/>
                          <w:lang w:val="en-US" w:eastAsia="zh-CN"/>
                        </w:rPr>
                        <w:t>燕京神学院</w:t>
                      </w:r>
                    </w:p>
                    <w:p w14:paraId="09036D09">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b/>
                          <w:bCs/>
                          <w:color w:val="FFFF00"/>
                          <w:sz w:val="18"/>
                          <w:szCs w:val="18"/>
                          <w:lang w:val="en-US" w:eastAsia="zh-CN"/>
                        </w:rPr>
                      </w:pPr>
                      <w:r>
                        <w:rPr>
                          <w:rFonts w:hint="eastAsia"/>
                          <w:b/>
                          <w:bCs/>
                          <w:color w:val="FFFF00"/>
                          <w:sz w:val="18"/>
                          <w:szCs w:val="18"/>
                          <w:lang w:val="en-US" w:eastAsia="zh-CN"/>
                        </w:rPr>
                        <w:t>345m</w:t>
                      </w:r>
                    </w:p>
                  </w:txbxContent>
                </v:textbox>
              </v:shape>
            </w:pict>
          </mc:Fallback>
        </mc:AlternateContent>
      </w:r>
      <w:r>
        <w:rPr>
          <w:sz w:val="24"/>
        </w:rPr>
        <mc:AlternateContent>
          <mc:Choice Requires="wps">
            <w:drawing>
              <wp:anchor distT="0" distB="0" distL="114300" distR="114300" simplePos="0" relativeHeight="251725824" behindDoc="0" locked="0" layoutInCell="1" allowOverlap="1">
                <wp:simplePos x="0" y="0"/>
                <wp:positionH relativeFrom="column">
                  <wp:posOffset>4102735</wp:posOffset>
                </wp:positionH>
                <wp:positionV relativeFrom="paragraph">
                  <wp:posOffset>3950970</wp:posOffset>
                </wp:positionV>
                <wp:extent cx="513080" cy="607695"/>
                <wp:effectExtent l="12700" t="12700" r="26670" b="27305"/>
                <wp:wrapNone/>
                <wp:docPr id="92" name="任意多边形 92"/>
                <wp:cNvGraphicFramePr/>
                <a:graphic xmlns:a="http://schemas.openxmlformats.org/drawingml/2006/main">
                  <a:graphicData uri="http://schemas.microsoft.com/office/word/2010/wordprocessingShape">
                    <wps:wsp>
                      <wps:cNvSpPr/>
                      <wps:spPr>
                        <a:xfrm>
                          <a:off x="5038725" y="4886960"/>
                          <a:ext cx="513080" cy="607695"/>
                        </a:xfrm>
                        <a:custGeom>
                          <a:avLst/>
                          <a:gdLst>
                            <a:gd name="connisteX0" fmla="*/ 0 w 513080"/>
                            <a:gd name="connsiteY0" fmla="*/ 73025 h 607695"/>
                            <a:gd name="connisteX1" fmla="*/ 0 w 513080"/>
                            <a:gd name="connsiteY1" fmla="*/ 607695 h 607695"/>
                            <a:gd name="connisteX2" fmla="*/ 513080 w 513080"/>
                            <a:gd name="connsiteY2" fmla="*/ 467995 h 607695"/>
                            <a:gd name="connisteX3" fmla="*/ 476250 w 513080"/>
                            <a:gd name="connsiteY3" fmla="*/ 307975 h 607695"/>
                            <a:gd name="connisteX4" fmla="*/ 307975 w 513080"/>
                            <a:gd name="connsiteY4" fmla="*/ 0 h 607695"/>
                            <a:gd name="connisteX5" fmla="*/ 0 w 513080"/>
                            <a:gd name="connsiteY5" fmla="*/ 73025 h 607695"/>
                          </a:gdLst>
                          <a:ahLst/>
                          <a:cxnLst>
                            <a:cxn ang="0">
                              <a:pos x="connisteX0" y="connsiteY0"/>
                            </a:cxn>
                            <a:cxn ang="0">
                              <a:pos x="connisteX1" y="connsiteY1"/>
                            </a:cxn>
                            <a:cxn ang="0">
                              <a:pos x="connisteX2" y="connsiteY2"/>
                            </a:cxn>
                            <a:cxn ang="0">
                              <a:pos x="connisteX3" y="connsiteY3"/>
                            </a:cxn>
                            <a:cxn ang="0">
                              <a:pos x="connisteX4" y="connsiteY4"/>
                            </a:cxn>
                            <a:cxn ang="0">
                              <a:pos x="connisteX5" y="connsiteY5"/>
                            </a:cxn>
                          </a:cxnLst>
                          <a:rect l="l" t="t" r="r" b="b"/>
                          <a:pathLst>
                            <a:path w="513080" h="607695">
                              <a:moveTo>
                                <a:pt x="0" y="73025"/>
                              </a:moveTo>
                              <a:lnTo>
                                <a:pt x="0" y="607695"/>
                              </a:lnTo>
                              <a:lnTo>
                                <a:pt x="513080" y="467995"/>
                              </a:lnTo>
                              <a:lnTo>
                                <a:pt x="476250" y="307975"/>
                              </a:lnTo>
                              <a:lnTo>
                                <a:pt x="307975" y="0"/>
                              </a:lnTo>
                              <a:lnTo>
                                <a:pt x="0" y="73025"/>
                              </a:lnTo>
                              <a:close/>
                            </a:path>
                          </a:pathLst>
                        </a:custGeom>
                        <a:noFill/>
                        <a:ln w="12700">
                          <a:solidFill>
                            <a:srgbClr val="00B050"/>
                          </a:solidFill>
                        </a:ln>
                      </wps:spPr>
                      <wps:style>
                        <a:lnRef idx="2">
                          <a:schemeClr val="accent1">
                            <a:lumMod val="75000"/>
                          </a:schemeClr>
                        </a:lnRef>
                        <a:fillRef idx="1">
                          <a:schemeClr val="accent1"/>
                        </a:fillRef>
                        <a:effectRef idx="0">
                          <a:srgbClr val="FFFFFF"/>
                        </a:effectRef>
                        <a:fontRef idx="minor">
                          <a:schemeClr val="lt1"/>
                        </a:fontRef>
                      </wps:style>
                      <wps:bodyPr/>
                    </wps:wsp>
                  </a:graphicData>
                </a:graphic>
              </wp:anchor>
            </w:drawing>
          </mc:Choice>
          <mc:Fallback>
            <w:pict>
              <v:shape id="_x0000_s1026" o:spid="_x0000_s1026" o:spt="100" style="position:absolute;left:0pt;margin-left:323.05pt;margin-top:311.1pt;height:47.85pt;width:40.4pt;z-index:251725824;mso-width-relative:page;mso-height-relative:page;" filled="f" stroked="t" coordsize="513080,607695" o:gfxdata="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" path="m0,73025l0,607695,513080,467995,476250,307975,307975,0,0,73025xe">
                <v:path o:connectlocs="0,73025;0,607695;513080,467995;476250,307975;307975,0;0,73025" o:connectangles="0,0,0,0,0,0"/>
                <v:fill on="f" focussize="0,0"/>
                <v:stroke weight="1pt" color="#00B050 [2404]" joinstyle="round"/>
                <v:imagedata o:title=""/>
                <o:lock v:ext="edit" aspectratio="f"/>
              </v:shape>
            </w:pict>
          </mc:Fallback>
        </mc:AlternateContent>
      </w:r>
      <w:r>
        <w:rPr>
          <w:sz w:val="24"/>
        </w:rPr>
        <mc:AlternateContent>
          <mc:Choice Requires="wps">
            <w:drawing>
              <wp:anchor distT="0" distB="0" distL="114300" distR="114300" simplePos="0" relativeHeight="251724800" behindDoc="0" locked="0" layoutInCell="1" allowOverlap="1">
                <wp:simplePos x="0" y="0"/>
                <wp:positionH relativeFrom="column">
                  <wp:posOffset>3801745</wp:posOffset>
                </wp:positionH>
                <wp:positionV relativeFrom="paragraph">
                  <wp:posOffset>3215640</wp:posOffset>
                </wp:positionV>
                <wp:extent cx="996950" cy="673100"/>
                <wp:effectExtent l="0" t="0" r="0" b="0"/>
                <wp:wrapNone/>
                <wp:docPr id="91" name="文本框 91"/>
                <wp:cNvGraphicFramePr/>
                <a:graphic xmlns:a="http://schemas.openxmlformats.org/drawingml/2006/main">
                  <a:graphicData uri="http://schemas.microsoft.com/office/word/2010/wordprocessingShape">
                    <wps:wsp>
                      <wps:cNvSpPr txBox="1"/>
                      <wps:spPr>
                        <a:xfrm>
                          <a:off x="0" y="0"/>
                          <a:ext cx="996950" cy="6731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F67CBD">
                            <w:pPr>
                              <w:keepNext w:val="0"/>
                              <w:keepLines w:val="0"/>
                              <w:pageBreakBefore w:val="0"/>
                              <w:widowControl w:val="0"/>
                              <w:kinsoku/>
                              <w:wordWrap/>
                              <w:overflowPunct/>
                              <w:topLinePunct w:val="0"/>
                              <w:bidi w:val="0"/>
                              <w:adjustRightInd w:val="0"/>
                              <w:snapToGrid w:val="0"/>
                              <w:spacing w:line="240" w:lineRule="auto"/>
                              <w:ind w:left="0" w:leftChars="0" w:firstLine="0" w:firstLineChars="0"/>
                              <w:jc w:val="center"/>
                              <w:textAlignment w:val="auto"/>
                              <w:rPr>
                                <w:rFonts w:hint="eastAsia"/>
                                <w:b/>
                                <w:bCs/>
                                <w:color w:val="FFFF00"/>
                                <w:sz w:val="18"/>
                                <w:szCs w:val="18"/>
                                <w:lang w:val="en-US" w:eastAsia="zh-CN"/>
                              </w:rPr>
                            </w:pPr>
                            <w:r>
                              <w:rPr>
                                <w:rFonts w:hint="eastAsia"/>
                                <w:b/>
                                <w:bCs/>
                                <w:color w:val="FFFF00"/>
                                <w:sz w:val="18"/>
                                <w:szCs w:val="18"/>
                                <w:lang w:val="en-US" w:eastAsia="zh-CN"/>
                              </w:rPr>
                              <w:t>北京师大二附中</w:t>
                            </w:r>
                          </w:p>
                          <w:p w14:paraId="1A59E3CC">
                            <w:pPr>
                              <w:keepNext w:val="0"/>
                              <w:keepLines w:val="0"/>
                              <w:pageBreakBefore w:val="0"/>
                              <w:widowControl w:val="0"/>
                              <w:kinsoku/>
                              <w:wordWrap/>
                              <w:overflowPunct/>
                              <w:topLinePunct w:val="0"/>
                              <w:bidi w:val="0"/>
                              <w:adjustRightInd w:val="0"/>
                              <w:snapToGrid w:val="0"/>
                              <w:spacing w:line="240" w:lineRule="auto"/>
                              <w:ind w:left="0" w:leftChars="0" w:firstLine="0" w:firstLineChars="0"/>
                              <w:jc w:val="center"/>
                              <w:textAlignment w:val="auto"/>
                              <w:rPr>
                                <w:rFonts w:hint="eastAsia"/>
                                <w:b/>
                                <w:bCs/>
                                <w:color w:val="FFFF00"/>
                                <w:sz w:val="18"/>
                                <w:szCs w:val="18"/>
                                <w:lang w:val="en-US" w:eastAsia="zh-CN"/>
                              </w:rPr>
                            </w:pPr>
                            <w:r>
                              <w:rPr>
                                <w:rFonts w:hint="eastAsia"/>
                                <w:b/>
                                <w:bCs/>
                                <w:color w:val="FFFF00"/>
                                <w:sz w:val="18"/>
                                <w:szCs w:val="18"/>
                                <w:lang w:val="en-US" w:eastAsia="zh-CN"/>
                              </w:rPr>
                              <w:t>国际部</w:t>
                            </w:r>
                          </w:p>
                          <w:p w14:paraId="701FD743">
                            <w:pPr>
                              <w:keepNext w:val="0"/>
                              <w:keepLines w:val="0"/>
                              <w:pageBreakBefore w:val="0"/>
                              <w:widowControl w:val="0"/>
                              <w:kinsoku/>
                              <w:wordWrap/>
                              <w:overflowPunct/>
                              <w:topLinePunct w:val="0"/>
                              <w:bidi w:val="0"/>
                              <w:adjustRightInd w:val="0"/>
                              <w:snapToGrid w:val="0"/>
                              <w:spacing w:line="240" w:lineRule="auto"/>
                              <w:ind w:left="0" w:leftChars="0" w:firstLine="0" w:firstLineChars="0"/>
                              <w:jc w:val="center"/>
                              <w:textAlignment w:val="auto"/>
                              <w:rPr>
                                <w:rFonts w:hint="default"/>
                                <w:b/>
                                <w:bCs/>
                                <w:color w:val="FFFF00"/>
                                <w:sz w:val="18"/>
                                <w:szCs w:val="18"/>
                                <w:lang w:val="en-US" w:eastAsia="zh-CN"/>
                              </w:rPr>
                            </w:pPr>
                            <w:r>
                              <w:rPr>
                                <w:rFonts w:hint="eastAsia"/>
                                <w:b/>
                                <w:bCs/>
                                <w:color w:val="FFFF00"/>
                                <w:sz w:val="18"/>
                                <w:szCs w:val="18"/>
                                <w:lang w:val="en-US" w:eastAsia="zh-CN"/>
                              </w:rPr>
                              <w:t>114m</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99.35pt;margin-top:253.2pt;height:53pt;width:78.5pt;z-index:251724800;mso-width-relative:page;mso-height-relative:page;" filled="f" stroked="f" coordsize="21600,21600" o:gfxdata="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BHanq12wAAAAsBAAAPAAAAAAAAAAEAIAAAACIAAABkcnMv&#10;ZG93bnJldi54bWxQSwECFAAUAAAACACHTuJA0kKXojkCAABnBAAADgAAAAAAAAABACAAAAAqAQAA&#10;ZHJzL2Uyb0RvYy54bWxQSwUGAAAAAAYABgBZAQAA1QUAAAAA&#10;">
                <v:fill on="f" focussize="0,0"/>
                <v:stroke on="f" weight="0.5pt"/>
                <v:imagedata o:title=""/>
                <o:lock v:ext="edit" aspectratio="f"/>
                <v:textbox>
                  <w:txbxContent>
                    <w:p w14:paraId="37F67CBD">
                      <w:pPr>
                        <w:keepNext w:val="0"/>
                        <w:keepLines w:val="0"/>
                        <w:pageBreakBefore w:val="0"/>
                        <w:widowControl w:val="0"/>
                        <w:kinsoku/>
                        <w:wordWrap/>
                        <w:overflowPunct/>
                        <w:topLinePunct w:val="0"/>
                        <w:bidi w:val="0"/>
                        <w:adjustRightInd w:val="0"/>
                        <w:snapToGrid w:val="0"/>
                        <w:spacing w:line="240" w:lineRule="auto"/>
                        <w:ind w:left="0" w:leftChars="0" w:firstLine="0" w:firstLineChars="0"/>
                        <w:jc w:val="center"/>
                        <w:textAlignment w:val="auto"/>
                        <w:rPr>
                          <w:rFonts w:hint="eastAsia"/>
                          <w:b/>
                          <w:bCs/>
                          <w:color w:val="FFFF00"/>
                          <w:sz w:val="18"/>
                          <w:szCs w:val="18"/>
                          <w:lang w:val="en-US" w:eastAsia="zh-CN"/>
                        </w:rPr>
                      </w:pPr>
                      <w:r>
                        <w:rPr>
                          <w:rFonts w:hint="eastAsia"/>
                          <w:b/>
                          <w:bCs/>
                          <w:color w:val="FFFF00"/>
                          <w:sz w:val="18"/>
                          <w:szCs w:val="18"/>
                          <w:lang w:val="en-US" w:eastAsia="zh-CN"/>
                        </w:rPr>
                        <w:t>北京师大二附中</w:t>
                      </w:r>
                    </w:p>
                    <w:p w14:paraId="1A59E3CC">
                      <w:pPr>
                        <w:keepNext w:val="0"/>
                        <w:keepLines w:val="0"/>
                        <w:pageBreakBefore w:val="0"/>
                        <w:widowControl w:val="0"/>
                        <w:kinsoku/>
                        <w:wordWrap/>
                        <w:overflowPunct/>
                        <w:topLinePunct w:val="0"/>
                        <w:bidi w:val="0"/>
                        <w:adjustRightInd w:val="0"/>
                        <w:snapToGrid w:val="0"/>
                        <w:spacing w:line="240" w:lineRule="auto"/>
                        <w:ind w:left="0" w:leftChars="0" w:firstLine="0" w:firstLineChars="0"/>
                        <w:jc w:val="center"/>
                        <w:textAlignment w:val="auto"/>
                        <w:rPr>
                          <w:rFonts w:hint="eastAsia"/>
                          <w:b/>
                          <w:bCs/>
                          <w:color w:val="FFFF00"/>
                          <w:sz w:val="18"/>
                          <w:szCs w:val="18"/>
                          <w:lang w:val="en-US" w:eastAsia="zh-CN"/>
                        </w:rPr>
                      </w:pPr>
                      <w:r>
                        <w:rPr>
                          <w:rFonts w:hint="eastAsia"/>
                          <w:b/>
                          <w:bCs/>
                          <w:color w:val="FFFF00"/>
                          <w:sz w:val="18"/>
                          <w:szCs w:val="18"/>
                          <w:lang w:val="en-US" w:eastAsia="zh-CN"/>
                        </w:rPr>
                        <w:t>国际部</w:t>
                      </w:r>
                    </w:p>
                    <w:p w14:paraId="701FD743">
                      <w:pPr>
                        <w:keepNext w:val="0"/>
                        <w:keepLines w:val="0"/>
                        <w:pageBreakBefore w:val="0"/>
                        <w:widowControl w:val="0"/>
                        <w:kinsoku/>
                        <w:wordWrap/>
                        <w:overflowPunct/>
                        <w:topLinePunct w:val="0"/>
                        <w:bidi w:val="0"/>
                        <w:adjustRightInd w:val="0"/>
                        <w:snapToGrid w:val="0"/>
                        <w:spacing w:line="240" w:lineRule="auto"/>
                        <w:ind w:left="0" w:leftChars="0" w:firstLine="0" w:firstLineChars="0"/>
                        <w:jc w:val="center"/>
                        <w:textAlignment w:val="auto"/>
                        <w:rPr>
                          <w:rFonts w:hint="default"/>
                          <w:b/>
                          <w:bCs/>
                          <w:color w:val="FFFF00"/>
                          <w:sz w:val="18"/>
                          <w:szCs w:val="18"/>
                          <w:lang w:val="en-US" w:eastAsia="zh-CN"/>
                        </w:rPr>
                      </w:pPr>
                      <w:r>
                        <w:rPr>
                          <w:rFonts w:hint="eastAsia"/>
                          <w:b/>
                          <w:bCs/>
                          <w:color w:val="FFFF00"/>
                          <w:sz w:val="18"/>
                          <w:szCs w:val="18"/>
                          <w:lang w:val="en-US" w:eastAsia="zh-CN"/>
                        </w:rPr>
                        <w:t>114m</w:t>
                      </w:r>
                    </w:p>
                  </w:txbxContent>
                </v:textbox>
              </v:shape>
            </w:pict>
          </mc:Fallback>
        </mc:AlternateContent>
      </w:r>
      <w:r>
        <w:rPr>
          <w:sz w:val="24"/>
        </w:rPr>
        <mc:AlternateContent>
          <mc:Choice Requires="wps">
            <w:drawing>
              <wp:anchor distT="0" distB="0" distL="114300" distR="114300" simplePos="0" relativeHeight="251722752" behindDoc="0" locked="0" layoutInCell="1" allowOverlap="1">
                <wp:simplePos x="0" y="0"/>
                <wp:positionH relativeFrom="column">
                  <wp:posOffset>5892165</wp:posOffset>
                </wp:positionH>
                <wp:positionV relativeFrom="paragraph">
                  <wp:posOffset>2486025</wp:posOffset>
                </wp:positionV>
                <wp:extent cx="1237615" cy="673100"/>
                <wp:effectExtent l="0" t="0" r="0" b="0"/>
                <wp:wrapNone/>
                <wp:docPr id="89" name="文本框 89"/>
                <wp:cNvGraphicFramePr/>
                <a:graphic xmlns:a="http://schemas.openxmlformats.org/drawingml/2006/main">
                  <a:graphicData uri="http://schemas.microsoft.com/office/word/2010/wordprocessingShape">
                    <wps:wsp>
                      <wps:cNvSpPr txBox="1"/>
                      <wps:spPr>
                        <a:xfrm>
                          <a:off x="0" y="0"/>
                          <a:ext cx="1237615" cy="6731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9AEF24E">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eastAsia"/>
                                <w:b/>
                                <w:bCs/>
                                <w:color w:val="FFFF00"/>
                                <w:sz w:val="18"/>
                                <w:szCs w:val="18"/>
                                <w:lang w:val="en-US" w:eastAsia="zh-CN"/>
                              </w:rPr>
                            </w:pPr>
                            <w:r>
                              <w:rPr>
                                <w:rFonts w:hint="eastAsia"/>
                                <w:b/>
                                <w:bCs/>
                                <w:color w:val="FFFF00"/>
                                <w:sz w:val="18"/>
                                <w:szCs w:val="18"/>
                                <w:lang w:val="en-US" w:eastAsia="zh-CN"/>
                              </w:rPr>
                              <w:t>北京石油学院附属实验小学</w:t>
                            </w:r>
                          </w:p>
                          <w:p w14:paraId="779793A9">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b/>
                                <w:bCs/>
                                <w:color w:val="FFFF00"/>
                                <w:sz w:val="18"/>
                                <w:szCs w:val="18"/>
                                <w:lang w:val="en-US" w:eastAsia="zh-CN"/>
                              </w:rPr>
                            </w:pPr>
                            <w:r>
                              <w:rPr>
                                <w:rFonts w:hint="eastAsia"/>
                                <w:b/>
                                <w:bCs/>
                                <w:color w:val="FFFF00"/>
                                <w:sz w:val="18"/>
                                <w:szCs w:val="18"/>
                                <w:lang w:val="en-US" w:eastAsia="zh-CN"/>
                              </w:rPr>
                              <w:t>384m</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63.95pt;margin-top:195.75pt;height:53pt;width:97.45pt;z-index:251722752;mso-width-relative:page;mso-height-relative:page;" filled="f" stroked="f" coordsize="21600,21600" o:gfxdata="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BY0fztwAAAAMAQAADwAAAAAAAAABACAAAAAiAAAA&#10;ZHJzL2Rvd25yZXYueG1sUEsBAhQAFAAAAAgAh07iQEzUB188AgAAaAQAAA4AAAAAAAAAAQAgAAAA&#10;KwEAAGRycy9lMm9Eb2MueG1sUEsFBgAAAAAGAAYAWQEAANkFAAAAAA==&#10;">
                <v:fill on="f" focussize="0,0"/>
                <v:stroke on="f" weight="0.5pt"/>
                <v:imagedata o:title=""/>
                <o:lock v:ext="edit" aspectratio="f"/>
                <v:textbox>
                  <w:txbxContent>
                    <w:p w14:paraId="79AEF24E">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eastAsia"/>
                          <w:b/>
                          <w:bCs/>
                          <w:color w:val="FFFF00"/>
                          <w:sz w:val="18"/>
                          <w:szCs w:val="18"/>
                          <w:lang w:val="en-US" w:eastAsia="zh-CN"/>
                        </w:rPr>
                      </w:pPr>
                      <w:r>
                        <w:rPr>
                          <w:rFonts w:hint="eastAsia"/>
                          <w:b/>
                          <w:bCs/>
                          <w:color w:val="FFFF00"/>
                          <w:sz w:val="18"/>
                          <w:szCs w:val="18"/>
                          <w:lang w:val="en-US" w:eastAsia="zh-CN"/>
                        </w:rPr>
                        <w:t>北京石油学院附属实验小学</w:t>
                      </w:r>
                    </w:p>
                    <w:p w14:paraId="779793A9">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b/>
                          <w:bCs/>
                          <w:color w:val="FFFF00"/>
                          <w:sz w:val="18"/>
                          <w:szCs w:val="18"/>
                          <w:lang w:val="en-US" w:eastAsia="zh-CN"/>
                        </w:rPr>
                      </w:pPr>
                      <w:r>
                        <w:rPr>
                          <w:rFonts w:hint="eastAsia"/>
                          <w:b/>
                          <w:bCs/>
                          <w:color w:val="FFFF00"/>
                          <w:sz w:val="18"/>
                          <w:szCs w:val="18"/>
                          <w:lang w:val="en-US" w:eastAsia="zh-CN"/>
                        </w:rPr>
                        <w:t>384m</w:t>
                      </w:r>
                    </w:p>
                  </w:txbxContent>
                </v:textbox>
              </v:shape>
            </w:pict>
          </mc:Fallback>
        </mc:AlternateContent>
      </w:r>
      <w:r>
        <w:rPr>
          <w:sz w:val="24"/>
        </w:rPr>
        <mc:AlternateContent>
          <mc:Choice Requires="wps">
            <w:drawing>
              <wp:anchor distT="0" distB="0" distL="114300" distR="114300" simplePos="0" relativeHeight="251721728" behindDoc="0" locked="0" layoutInCell="1" allowOverlap="1">
                <wp:simplePos x="0" y="0"/>
                <wp:positionH relativeFrom="column">
                  <wp:posOffset>2357755</wp:posOffset>
                </wp:positionH>
                <wp:positionV relativeFrom="paragraph">
                  <wp:posOffset>1384300</wp:posOffset>
                </wp:positionV>
                <wp:extent cx="886460" cy="688340"/>
                <wp:effectExtent l="0" t="0" r="0" b="0"/>
                <wp:wrapNone/>
                <wp:docPr id="88" name="文本框 88"/>
                <wp:cNvGraphicFramePr/>
                <a:graphic xmlns:a="http://schemas.openxmlformats.org/drawingml/2006/main">
                  <a:graphicData uri="http://schemas.microsoft.com/office/word/2010/wordprocessingShape">
                    <wps:wsp>
                      <wps:cNvSpPr txBox="1"/>
                      <wps:spPr>
                        <a:xfrm>
                          <a:off x="0" y="0"/>
                          <a:ext cx="886460" cy="6883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17A7105">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eastAsia"/>
                                <w:b/>
                                <w:bCs/>
                                <w:color w:val="FFFF00"/>
                                <w:sz w:val="21"/>
                                <w:szCs w:val="21"/>
                                <w:lang w:val="en-US" w:eastAsia="zh-CN"/>
                              </w:rPr>
                            </w:pPr>
                            <w:r>
                              <w:rPr>
                                <w:rFonts w:hint="eastAsia"/>
                                <w:b/>
                                <w:bCs/>
                                <w:color w:val="FFFF00"/>
                                <w:sz w:val="21"/>
                                <w:szCs w:val="21"/>
                                <w:lang w:val="en-US" w:eastAsia="zh-CN"/>
                              </w:rPr>
                              <w:t>永泰庄东路8号院</w:t>
                            </w:r>
                          </w:p>
                          <w:p w14:paraId="1F15A219">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b/>
                                <w:bCs/>
                                <w:color w:val="FFFF00"/>
                                <w:sz w:val="21"/>
                                <w:szCs w:val="21"/>
                                <w:lang w:val="en-US" w:eastAsia="zh-CN"/>
                              </w:rPr>
                            </w:pPr>
                            <w:r>
                              <w:rPr>
                                <w:rFonts w:hint="eastAsia"/>
                                <w:b/>
                                <w:bCs/>
                                <w:color w:val="FFFF00"/>
                                <w:sz w:val="21"/>
                                <w:szCs w:val="21"/>
                                <w:lang w:val="en-US" w:eastAsia="zh-CN"/>
                              </w:rPr>
                              <w:t>332m</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5.65pt;margin-top:109pt;height:54.2pt;width:69.8pt;z-index:251721728;mso-width-relative:page;mso-height-relative:page;" filled="f" stroked="f" coordsize="21600,21600" o:gfxdata="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C2cAxz2wAAAAsBAAAPAAAAAAAAAAEAIAAAACIAAABk&#10;cnMvZG93bnJldi54bWxQSwECFAAUAAAACACHTuJABvP69zwCAABnBAAADgAAAAAAAAABACAAAAAq&#10;AQAAZHJzL2Uyb0RvYy54bWxQSwUGAAAAAAYABgBZAQAA2AUAAAAA&#10;">
                <v:fill on="f" focussize="0,0"/>
                <v:stroke on="f" weight="0.5pt"/>
                <v:imagedata o:title=""/>
                <o:lock v:ext="edit" aspectratio="f"/>
                <v:textbox>
                  <w:txbxContent>
                    <w:p w14:paraId="617A7105">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eastAsia"/>
                          <w:b/>
                          <w:bCs/>
                          <w:color w:val="FFFF00"/>
                          <w:sz w:val="21"/>
                          <w:szCs w:val="21"/>
                          <w:lang w:val="en-US" w:eastAsia="zh-CN"/>
                        </w:rPr>
                      </w:pPr>
                      <w:r>
                        <w:rPr>
                          <w:rFonts w:hint="eastAsia"/>
                          <w:b/>
                          <w:bCs/>
                          <w:color w:val="FFFF00"/>
                          <w:sz w:val="21"/>
                          <w:szCs w:val="21"/>
                          <w:lang w:val="en-US" w:eastAsia="zh-CN"/>
                        </w:rPr>
                        <w:t>永泰庄东路8号院</w:t>
                      </w:r>
                    </w:p>
                    <w:p w14:paraId="1F15A219">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b/>
                          <w:bCs/>
                          <w:color w:val="FFFF00"/>
                          <w:sz w:val="21"/>
                          <w:szCs w:val="21"/>
                          <w:lang w:val="en-US" w:eastAsia="zh-CN"/>
                        </w:rPr>
                      </w:pPr>
                      <w:r>
                        <w:rPr>
                          <w:rFonts w:hint="eastAsia"/>
                          <w:b/>
                          <w:bCs/>
                          <w:color w:val="FFFF00"/>
                          <w:sz w:val="21"/>
                          <w:szCs w:val="21"/>
                          <w:lang w:val="en-US" w:eastAsia="zh-CN"/>
                        </w:rPr>
                        <w:t>332m</w:t>
                      </w:r>
                    </w:p>
                  </w:txbxContent>
                </v:textbox>
              </v:shape>
            </w:pict>
          </mc:Fallback>
        </mc:AlternateContent>
      </w:r>
      <w:r>
        <w:rPr>
          <w:sz w:val="24"/>
        </w:rPr>
        <mc:AlternateContent>
          <mc:Choice Requires="wps">
            <w:drawing>
              <wp:anchor distT="0" distB="0" distL="114300" distR="114300" simplePos="0" relativeHeight="251720704" behindDoc="0" locked="0" layoutInCell="1" allowOverlap="1">
                <wp:simplePos x="0" y="0"/>
                <wp:positionH relativeFrom="column">
                  <wp:posOffset>2066925</wp:posOffset>
                </wp:positionH>
                <wp:positionV relativeFrom="paragraph">
                  <wp:posOffset>1093470</wp:posOffset>
                </wp:positionV>
                <wp:extent cx="1406525" cy="1128395"/>
                <wp:effectExtent l="6350" t="6350" r="15875" b="8255"/>
                <wp:wrapNone/>
                <wp:docPr id="87" name="任意多边形 87"/>
                <wp:cNvGraphicFramePr/>
                <a:graphic xmlns:a="http://schemas.openxmlformats.org/drawingml/2006/main">
                  <a:graphicData uri="http://schemas.microsoft.com/office/word/2010/wordprocessingShape">
                    <wps:wsp>
                      <wps:cNvSpPr/>
                      <wps:spPr>
                        <a:xfrm>
                          <a:off x="3002915" y="2029460"/>
                          <a:ext cx="1406525" cy="1128395"/>
                        </a:xfrm>
                        <a:custGeom>
                          <a:avLst/>
                          <a:gdLst>
                            <a:gd name="connisteX0" fmla="*/ 1098550 w 1406525"/>
                            <a:gd name="connsiteY0" fmla="*/ 36195 h 1128395"/>
                            <a:gd name="connisteX1" fmla="*/ 0 w 1406525"/>
                            <a:gd name="connsiteY1" fmla="*/ 358775 h 1128395"/>
                            <a:gd name="connisteX2" fmla="*/ 226695 w 1406525"/>
                            <a:gd name="connsiteY2" fmla="*/ 1128395 h 1128395"/>
                            <a:gd name="connisteX3" fmla="*/ 1406525 w 1406525"/>
                            <a:gd name="connsiteY3" fmla="*/ 762000 h 1128395"/>
                            <a:gd name="connisteX4" fmla="*/ 1179195 w 1406525"/>
                            <a:gd name="connsiteY4" fmla="*/ 13970 h 1128395"/>
                            <a:gd name="connisteX5" fmla="*/ 1172210 w 1406525"/>
                            <a:gd name="connsiteY5" fmla="*/ 0 h 1128395"/>
                            <a:gd name="connisteX6" fmla="*/ 1098550 w 1406525"/>
                            <a:gd name="connsiteY6" fmla="*/ 36195 h 1128395"/>
                          </a:gdLst>
                          <a:ahLst/>
                          <a:cxnLst>
                            <a:cxn ang="0">
                              <a:pos x="connisteX0" y="connsiteY0"/>
                            </a:cxn>
                            <a:cxn ang="0">
                              <a:pos x="connisteX1" y="connsiteY1"/>
                            </a:cxn>
                            <a:cxn ang="0">
                              <a:pos x="connisteX2" y="connsiteY2"/>
                            </a:cxn>
                            <a:cxn ang="0">
                              <a:pos x="connisteX3" y="connsiteY3"/>
                            </a:cxn>
                            <a:cxn ang="0">
                              <a:pos x="connisteX4" y="connsiteY4"/>
                            </a:cxn>
                            <a:cxn ang="0">
                              <a:pos x="connisteX5" y="connsiteY5"/>
                            </a:cxn>
                            <a:cxn ang="0">
                              <a:pos x="connisteX6" y="connsiteY6"/>
                            </a:cxn>
                          </a:cxnLst>
                          <a:rect l="l" t="t" r="r" b="b"/>
                          <a:pathLst>
                            <a:path w="1406525" h="1128395">
                              <a:moveTo>
                                <a:pt x="1098550" y="36195"/>
                              </a:moveTo>
                              <a:lnTo>
                                <a:pt x="0" y="358775"/>
                              </a:lnTo>
                              <a:lnTo>
                                <a:pt x="226695" y="1128395"/>
                              </a:lnTo>
                              <a:lnTo>
                                <a:pt x="1406525" y="762000"/>
                              </a:lnTo>
                              <a:lnTo>
                                <a:pt x="1179195" y="13970"/>
                              </a:lnTo>
                              <a:lnTo>
                                <a:pt x="1172210" y="0"/>
                              </a:lnTo>
                              <a:lnTo>
                                <a:pt x="1098550" y="36195"/>
                              </a:lnTo>
                              <a:close/>
                            </a:path>
                          </a:pathLst>
                        </a:custGeom>
                        <a:noFill/>
                        <a:ln w="12700">
                          <a:solidFill>
                            <a:srgbClr val="00B050"/>
                          </a:solidFill>
                        </a:ln>
                      </wps:spPr>
                      <wps:style>
                        <a:lnRef idx="2">
                          <a:schemeClr val="accent1">
                            <a:lumMod val="75000"/>
                          </a:schemeClr>
                        </a:lnRef>
                        <a:fillRef idx="1">
                          <a:schemeClr val="accent1"/>
                        </a:fillRef>
                        <a:effectRef idx="0">
                          <a:srgbClr val="FFFFFF"/>
                        </a:effectRef>
                        <a:fontRef idx="minor">
                          <a:schemeClr val="lt1"/>
                        </a:fontRef>
                      </wps:style>
                      <wps:bodyPr/>
                    </wps:wsp>
                  </a:graphicData>
                </a:graphic>
              </wp:anchor>
            </w:drawing>
          </mc:Choice>
          <mc:Fallback>
            <w:pict>
              <v:shape id="_x0000_s1026" o:spid="_x0000_s1026" o:spt="100" style="position:absolute;left:0pt;margin-left:162.75pt;margin-top:86.1pt;height:88.85pt;width:110.75pt;z-index:251720704;mso-width-relative:page;mso-height-relative:page;" filled="f" stroked="t" coordsize="1406525,1128395" o:gfxdata="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" path="m1098550,36195l0,358775,226695,1128395,1406525,762000,1179195,13970,1172210,0,1098550,36195xe">
                <v:path o:connectlocs="1098550,36195;0,358775;226695,1128395;1406525,762000;1179195,13970;1172210,0;1098550,36195" o:connectangles="0,0,0,0,0,0,0"/>
                <v:fill on="f" focussize="0,0"/>
                <v:stroke weight="1pt" color="#00B050 [2404]" joinstyle="round"/>
                <v:imagedata o:title=""/>
                <o:lock v:ext="edit" aspectratio="f"/>
              </v:shape>
            </w:pict>
          </mc:Fallback>
        </mc:AlternateContent>
      </w:r>
      <w:r>
        <w:rPr>
          <w:sz w:val="24"/>
        </w:rPr>
        <mc:AlternateContent>
          <mc:Choice Requires="wps">
            <w:drawing>
              <wp:anchor distT="0" distB="0" distL="114300" distR="114300" simplePos="0" relativeHeight="251719680" behindDoc="0" locked="0" layoutInCell="1" allowOverlap="1">
                <wp:simplePos x="0" y="0"/>
                <wp:positionH relativeFrom="column">
                  <wp:posOffset>3197860</wp:posOffset>
                </wp:positionH>
                <wp:positionV relativeFrom="paragraph">
                  <wp:posOffset>3887470</wp:posOffset>
                </wp:positionV>
                <wp:extent cx="732790" cy="688340"/>
                <wp:effectExtent l="0" t="0" r="0" b="0"/>
                <wp:wrapNone/>
                <wp:docPr id="86" name="文本框 86"/>
                <wp:cNvGraphicFramePr/>
                <a:graphic xmlns:a="http://schemas.openxmlformats.org/drawingml/2006/main">
                  <a:graphicData uri="http://schemas.microsoft.com/office/word/2010/wordprocessingShape">
                    <wps:wsp>
                      <wps:cNvSpPr txBox="1"/>
                      <wps:spPr>
                        <a:xfrm>
                          <a:off x="0" y="0"/>
                          <a:ext cx="732790" cy="6883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1B31B8">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b/>
                                <w:bCs/>
                                <w:color w:val="FFFF00"/>
                                <w:sz w:val="21"/>
                                <w:szCs w:val="21"/>
                                <w:lang w:val="en-US" w:eastAsia="zh-CN"/>
                              </w:rPr>
                            </w:pPr>
                            <w:r>
                              <w:rPr>
                                <w:rFonts w:hint="eastAsia"/>
                                <w:b/>
                                <w:bCs/>
                                <w:color w:val="FFFF00"/>
                                <w:sz w:val="21"/>
                                <w:szCs w:val="21"/>
                                <w:lang w:val="en-US" w:eastAsia="zh-CN"/>
                              </w:rPr>
                              <w:t>泰欣苑327m</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51.8pt;margin-top:306.1pt;height:54.2pt;width:57.7pt;z-index:251719680;mso-width-relative:page;mso-height-relative:page;" filled="f" stroked="f" coordsize="21600,21600" o:gfxdata="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ImpidzcAAAACwEAAA8AAAAAAAAAAQAgAAAAIgAA&#10;AGRycy9kb3ducmV2LnhtbFBLAQIUABQAAAAIAIdO4kCqUt1wPQIAAGcEAAAOAAAAAAAAAAEAIAAA&#10;ACsBAABkcnMvZTJvRG9jLnhtbFBLBQYAAAAABgAGAFkBAADaBQAAAAA=&#10;">
                <v:fill on="f" focussize="0,0"/>
                <v:stroke on="f" weight="0.5pt"/>
                <v:imagedata o:title=""/>
                <o:lock v:ext="edit" aspectratio="f"/>
                <v:textbox>
                  <w:txbxContent>
                    <w:p w14:paraId="581B31B8">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b/>
                          <w:bCs/>
                          <w:color w:val="FFFF00"/>
                          <w:sz w:val="21"/>
                          <w:szCs w:val="21"/>
                          <w:lang w:val="en-US" w:eastAsia="zh-CN"/>
                        </w:rPr>
                      </w:pPr>
                      <w:r>
                        <w:rPr>
                          <w:rFonts w:hint="eastAsia"/>
                          <w:b/>
                          <w:bCs/>
                          <w:color w:val="FFFF00"/>
                          <w:sz w:val="21"/>
                          <w:szCs w:val="21"/>
                          <w:lang w:val="en-US" w:eastAsia="zh-CN"/>
                        </w:rPr>
                        <w:t>泰欣苑327m</w:t>
                      </w:r>
                    </w:p>
                  </w:txbxContent>
                </v:textbox>
              </v:shape>
            </w:pict>
          </mc:Fallback>
        </mc:AlternateContent>
      </w:r>
      <w:r>
        <w:rPr>
          <w:sz w:val="24"/>
        </w:rPr>
        <mc:AlternateContent>
          <mc:Choice Requires="wps">
            <w:drawing>
              <wp:anchor distT="0" distB="0" distL="114300" distR="114300" simplePos="0" relativeHeight="251718656" behindDoc="0" locked="0" layoutInCell="1" allowOverlap="1">
                <wp:simplePos x="0" y="0"/>
                <wp:positionH relativeFrom="column">
                  <wp:posOffset>4525645</wp:posOffset>
                </wp:positionH>
                <wp:positionV relativeFrom="paragraph">
                  <wp:posOffset>3698240</wp:posOffset>
                </wp:positionV>
                <wp:extent cx="732790" cy="688340"/>
                <wp:effectExtent l="0" t="0" r="0" b="0"/>
                <wp:wrapNone/>
                <wp:docPr id="85" name="文本框 85"/>
                <wp:cNvGraphicFramePr/>
                <a:graphic xmlns:a="http://schemas.openxmlformats.org/drawingml/2006/main">
                  <a:graphicData uri="http://schemas.microsoft.com/office/word/2010/wordprocessingShape">
                    <wps:wsp>
                      <wps:cNvSpPr txBox="1"/>
                      <wps:spPr>
                        <a:xfrm>
                          <a:off x="0" y="0"/>
                          <a:ext cx="732790" cy="6883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ABD7958">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eastAsia"/>
                                <w:b/>
                                <w:bCs/>
                                <w:color w:val="FFFF00"/>
                                <w:sz w:val="21"/>
                                <w:szCs w:val="21"/>
                                <w:lang w:val="en-US" w:eastAsia="zh-CN"/>
                              </w:rPr>
                            </w:pPr>
                            <w:r>
                              <w:rPr>
                                <w:rFonts w:hint="eastAsia"/>
                                <w:b/>
                                <w:bCs/>
                                <w:color w:val="FFFF00"/>
                                <w:sz w:val="21"/>
                                <w:szCs w:val="21"/>
                                <w:lang w:val="en-US" w:eastAsia="zh-CN"/>
                              </w:rPr>
                              <w:t>宝盛里</w:t>
                            </w:r>
                          </w:p>
                          <w:p w14:paraId="088FED10">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b/>
                                <w:bCs/>
                                <w:color w:val="FFFF00"/>
                                <w:sz w:val="21"/>
                                <w:szCs w:val="21"/>
                                <w:lang w:val="en-US" w:eastAsia="zh-CN"/>
                              </w:rPr>
                            </w:pPr>
                            <w:r>
                              <w:rPr>
                                <w:rFonts w:hint="eastAsia"/>
                                <w:b/>
                                <w:bCs/>
                                <w:color w:val="FFFF00"/>
                                <w:sz w:val="21"/>
                                <w:szCs w:val="21"/>
                                <w:lang w:val="en-US" w:eastAsia="zh-CN"/>
                              </w:rPr>
                              <w:t>观澳园127m</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6.35pt;margin-top:291.2pt;height:54.2pt;width:57.7pt;z-index:251718656;mso-width-relative:page;mso-height-relative:page;" filled="f" stroked="f" coordsize="21600,21600" o:gfxdata="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CLToFHcAAAACwEAAA8AAAAAAAAAAQAgAAAAIgAA&#10;AGRycy9kb3ducmV2LnhtbFBLAQIUABQAAAAIAIdO4kAF1emSPQIAAGcEAAAOAAAAAAAAAAEAIAAA&#10;ACsBAABkcnMvZTJvRG9jLnhtbFBLBQYAAAAABgAGAFkBAADaBQAAAAA=&#10;">
                <v:fill on="f" focussize="0,0"/>
                <v:stroke on="f" weight="0.5pt"/>
                <v:imagedata o:title=""/>
                <o:lock v:ext="edit" aspectratio="f"/>
                <v:textbox>
                  <w:txbxContent>
                    <w:p w14:paraId="6ABD7958">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eastAsia"/>
                          <w:b/>
                          <w:bCs/>
                          <w:color w:val="FFFF00"/>
                          <w:sz w:val="21"/>
                          <w:szCs w:val="21"/>
                          <w:lang w:val="en-US" w:eastAsia="zh-CN"/>
                        </w:rPr>
                      </w:pPr>
                      <w:r>
                        <w:rPr>
                          <w:rFonts w:hint="eastAsia"/>
                          <w:b/>
                          <w:bCs/>
                          <w:color w:val="FFFF00"/>
                          <w:sz w:val="21"/>
                          <w:szCs w:val="21"/>
                          <w:lang w:val="en-US" w:eastAsia="zh-CN"/>
                        </w:rPr>
                        <w:t>宝盛里</w:t>
                      </w:r>
                    </w:p>
                    <w:p w14:paraId="088FED10">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b/>
                          <w:bCs/>
                          <w:color w:val="FFFF00"/>
                          <w:sz w:val="21"/>
                          <w:szCs w:val="21"/>
                          <w:lang w:val="en-US" w:eastAsia="zh-CN"/>
                        </w:rPr>
                      </w:pPr>
                      <w:r>
                        <w:rPr>
                          <w:rFonts w:hint="eastAsia"/>
                          <w:b/>
                          <w:bCs/>
                          <w:color w:val="FFFF00"/>
                          <w:sz w:val="21"/>
                          <w:szCs w:val="21"/>
                          <w:lang w:val="en-US" w:eastAsia="zh-CN"/>
                        </w:rPr>
                        <w:t>观澳园127m</w:t>
                      </w:r>
                    </w:p>
                  </w:txbxContent>
                </v:textbox>
              </v:shape>
            </w:pict>
          </mc:Fallback>
        </mc:AlternateContent>
      </w:r>
      <w:r>
        <w:rPr>
          <w:sz w:val="24"/>
        </w:rPr>
        <mc:AlternateContent>
          <mc:Choice Requires="wps">
            <w:drawing>
              <wp:anchor distT="0" distB="0" distL="114300" distR="114300" simplePos="0" relativeHeight="251717632" behindDoc="0" locked="0" layoutInCell="1" allowOverlap="1">
                <wp:simplePos x="0" y="0"/>
                <wp:positionH relativeFrom="column">
                  <wp:posOffset>5543550</wp:posOffset>
                </wp:positionH>
                <wp:positionV relativeFrom="paragraph">
                  <wp:posOffset>3266440</wp:posOffset>
                </wp:positionV>
                <wp:extent cx="732790" cy="688340"/>
                <wp:effectExtent l="0" t="0" r="0" b="0"/>
                <wp:wrapNone/>
                <wp:docPr id="84" name="文本框 84"/>
                <wp:cNvGraphicFramePr/>
                <a:graphic xmlns:a="http://schemas.openxmlformats.org/drawingml/2006/main">
                  <a:graphicData uri="http://schemas.microsoft.com/office/word/2010/wordprocessingShape">
                    <wps:wsp>
                      <wps:cNvSpPr txBox="1"/>
                      <wps:spPr>
                        <a:xfrm>
                          <a:off x="0" y="0"/>
                          <a:ext cx="732790" cy="6883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55B7D5E">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b/>
                                <w:bCs/>
                                <w:color w:val="FFFF00"/>
                                <w:sz w:val="21"/>
                                <w:szCs w:val="21"/>
                                <w:lang w:val="en-US" w:eastAsia="zh-CN"/>
                              </w:rPr>
                            </w:pPr>
                            <w:r>
                              <w:rPr>
                                <w:rFonts w:hint="eastAsia"/>
                                <w:b/>
                                <w:bCs/>
                                <w:color w:val="FFFF00"/>
                                <w:sz w:val="21"/>
                                <w:szCs w:val="21"/>
                                <w:lang w:val="en-US" w:eastAsia="zh-CN"/>
                              </w:rPr>
                              <w:t>芳清园276m</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36.5pt;margin-top:257.2pt;height:54.2pt;width:57.7pt;z-index:251717632;mso-width-relative:page;mso-height-relative:page;" filled="f" stroked="f" coordsize="21600,21600" o:gfxdata="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I5Cb7vcAAAACwEAAA8AAAAAAAAAAQAgAAAAIgAA&#10;AGRycy9kb3ducmV2LnhtbFBLAQIUABQAAAAIAIdO4kBfqip6PQIAAGcEAAAOAAAAAAAAAAEAIAAA&#10;ACsBAABkcnMvZTJvRG9jLnhtbFBLBQYAAAAABgAGAFkBAADaBQAAAAA=&#10;">
                <v:fill on="f" focussize="0,0"/>
                <v:stroke on="f" weight="0.5pt"/>
                <v:imagedata o:title=""/>
                <o:lock v:ext="edit" aspectratio="f"/>
                <v:textbox>
                  <w:txbxContent>
                    <w:p w14:paraId="455B7D5E">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b/>
                          <w:bCs/>
                          <w:color w:val="FFFF00"/>
                          <w:sz w:val="21"/>
                          <w:szCs w:val="21"/>
                          <w:lang w:val="en-US" w:eastAsia="zh-CN"/>
                        </w:rPr>
                      </w:pPr>
                      <w:r>
                        <w:rPr>
                          <w:rFonts w:hint="eastAsia"/>
                          <w:b/>
                          <w:bCs/>
                          <w:color w:val="FFFF00"/>
                          <w:sz w:val="21"/>
                          <w:szCs w:val="21"/>
                          <w:lang w:val="en-US" w:eastAsia="zh-CN"/>
                        </w:rPr>
                        <w:t>芳清园276m</w:t>
                      </w:r>
                    </w:p>
                  </w:txbxContent>
                </v:textbox>
              </v:shape>
            </w:pict>
          </mc:Fallback>
        </mc:AlternateContent>
      </w:r>
      <w:r>
        <w:rPr>
          <w:sz w:val="24"/>
        </w:rPr>
        <mc:AlternateContent>
          <mc:Choice Requires="wps">
            <w:drawing>
              <wp:anchor distT="0" distB="0" distL="114300" distR="114300" simplePos="0" relativeHeight="251716608" behindDoc="0" locked="0" layoutInCell="1" allowOverlap="1">
                <wp:simplePos x="0" y="0"/>
                <wp:positionH relativeFrom="column">
                  <wp:posOffset>5750560</wp:posOffset>
                </wp:positionH>
                <wp:positionV relativeFrom="paragraph">
                  <wp:posOffset>1802130</wp:posOffset>
                </wp:positionV>
                <wp:extent cx="732790" cy="688340"/>
                <wp:effectExtent l="0" t="0" r="0" b="0"/>
                <wp:wrapNone/>
                <wp:docPr id="83" name="文本框 83"/>
                <wp:cNvGraphicFramePr/>
                <a:graphic xmlns:a="http://schemas.openxmlformats.org/drawingml/2006/main">
                  <a:graphicData uri="http://schemas.microsoft.com/office/word/2010/wordprocessingShape">
                    <wps:wsp>
                      <wps:cNvSpPr txBox="1"/>
                      <wps:spPr>
                        <a:xfrm>
                          <a:off x="0" y="0"/>
                          <a:ext cx="732790" cy="6883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927F227">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eastAsia"/>
                                <w:b/>
                                <w:bCs/>
                                <w:color w:val="FFFF00"/>
                                <w:sz w:val="21"/>
                                <w:szCs w:val="21"/>
                                <w:lang w:val="en-US" w:eastAsia="zh-CN"/>
                              </w:rPr>
                            </w:pPr>
                            <w:r>
                              <w:rPr>
                                <w:rFonts w:hint="eastAsia"/>
                                <w:b/>
                                <w:bCs/>
                                <w:color w:val="FFFF00"/>
                                <w:sz w:val="21"/>
                                <w:szCs w:val="21"/>
                                <w:lang w:val="en-US" w:eastAsia="zh-CN"/>
                              </w:rPr>
                              <w:t>宝盛里</w:t>
                            </w:r>
                          </w:p>
                          <w:p w14:paraId="4543A4A3">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b/>
                                <w:bCs/>
                                <w:color w:val="FFFF00"/>
                                <w:sz w:val="21"/>
                                <w:szCs w:val="21"/>
                                <w:lang w:val="en-US" w:eastAsia="zh-CN"/>
                              </w:rPr>
                            </w:pPr>
                            <w:r>
                              <w:rPr>
                                <w:rFonts w:hint="eastAsia"/>
                                <w:b/>
                                <w:bCs/>
                                <w:color w:val="FFFF00"/>
                                <w:sz w:val="21"/>
                                <w:szCs w:val="21"/>
                                <w:lang w:val="en-US" w:eastAsia="zh-CN"/>
                              </w:rPr>
                              <w:t>观景园172m</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52.8pt;margin-top:141.9pt;height:54.2pt;width:57.7pt;z-index:251716608;mso-width-relative:page;mso-height-relative:page;" filled="f" stroked="f" coordsize="21600,21600" o:gfxdata="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MCMvFHcAAAADAEAAA8AAAAAAAAAAQAgAAAAIgAA&#10;AGRycy9kb3ducmV2LnhtbFBLAQIUABQAAAAIAIdO4kAa3PGNPQIAAGcEAAAOAAAAAAAAAAEAIAAA&#10;ACsBAABkcnMvZTJvRG9jLnhtbFBLBQYAAAAABgAGAFkBAADaBQAAAAA=&#10;">
                <v:fill on="f" focussize="0,0"/>
                <v:stroke on="f" weight="0.5pt"/>
                <v:imagedata o:title=""/>
                <o:lock v:ext="edit" aspectratio="f"/>
                <v:textbox>
                  <w:txbxContent>
                    <w:p w14:paraId="5927F227">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eastAsia"/>
                          <w:b/>
                          <w:bCs/>
                          <w:color w:val="FFFF00"/>
                          <w:sz w:val="21"/>
                          <w:szCs w:val="21"/>
                          <w:lang w:val="en-US" w:eastAsia="zh-CN"/>
                        </w:rPr>
                      </w:pPr>
                      <w:r>
                        <w:rPr>
                          <w:rFonts w:hint="eastAsia"/>
                          <w:b/>
                          <w:bCs/>
                          <w:color w:val="FFFF00"/>
                          <w:sz w:val="21"/>
                          <w:szCs w:val="21"/>
                          <w:lang w:val="en-US" w:eastAsia="zh-CN"/>
                        </w:rPr>
                        <w:t>宝盛里</w:t>
                      </w:r>
                    </w:p>
                    <w:p w14:paraId="4543A4A3">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b/>
                          <w:bCs/>
                          <w:color w:val="FFFF00"/>
                          <w:sz w:val="21"/>
                          <w:szCs w:val="21"/>
                          <w:lang w:val="en-US" w:eastAsia="zh-CN"/>
                        </w:rPr>
                      </w:pPr>
                      <w:r>
                        <w:rPr>
                          <w:rFonts w:hint="eastAsia"/>
                          <w:b/>
                          <w:bCs/>
                          <w:color w:val="FFFF00"/>
                          <w:sz w:val="21"/>
                          <w:szCs w:val="21"/>
                          <w:lang w:val="en-US" w:eastAsia="zh-CN"/>
                        </w:rPr>
                        <w:t>观景园172m</w:t>
                      </w:r>
                    </w:p>
                  </w:txbxContent>
                </v:textbox>
              </v:shape>
            </w:pict>
          </mc:Fallback>
        </mc:AlternateContent>
      </w:r>
      <w:r>
        <w:rPr>
          <w:sz w:val="24"/>
        </w:rPr>
        <mc:AlternateContent>
          <mc:Choice Requires="wps">
            <w:drawing>
              <wp:anchor distT="0" distB="0" distL="114300" distR="114300" simplePos="0" relativeHeight="251715584" behindDoc="0" locked="0" layoutInCell="1" allowOverlap="1">
                <wp:simplePos x="0" y="0"/>
                <wp:positionH relativeFrom="column">
                  <wp:posOffset>5151120</wp:posOffset>
                </wp:positionH>
                <wp:positionV relativeFrom="paragraph">
                  <wp:posOffset>323215</wp:posOffset>
                </wp:positionV>
                <wp:extent cx="732790" cy="688340"/>
                <wp:effectExtent l="0" t="0" r="0" b="0"/>
                <wp:wrapNone/>
                <wp:docPr id="82" name="文本框 82"/>
                <wp:cNvGraphicFramePr/>
                <a:graphic xmlns:a="http://schemas.openxmlformats.org/drawingml/2006/main">
                  <a:graphicData uri="http://schemas.microsoft.com/office/word/2010/wordprocessingShape">
                    <wps:wsp>
                      <wps:cNvSpPr txBox="1"/>
                      <wps:spPr>
                        <a:xfrm>
                          <a:off x="0" y="0"/>
                          <a:ext cx="732790" cy="6883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415A244">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eastAsia"/>
                                <w:b/>
                                <w:bCs/>
                                <w:color w:val="FFFF00"/>
                                <w:sz w:val="21"/>
                                <w:szCs w:val="21"/>
                                <w:lang w:val="en-US" w:eastAsia="zh-CN"/>
                              </w:rPr>
                            </w:pPr>
                            <w:r>
                              <w:rPr>
                                <w:rFonts w:hint="eastAsia"/>
                                <w:b/>
                                <w:bCs/>
                                <w:color w:val="FFFF00"/>
                                <w:sz w:val="21"/>
                                <w:szCs w:val="21"/>
                                <w:lang w:val="en-US" w:eastAsia="zh-CN"/>
                              </w:rPr>
                              <w:t>宝盛里</w:t>
                            </w:r>
                          </w:p>
                          <w:p w14:paraId="582FD027">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b/>
                                <w:bCs/>
                                <w:color w:val="FFFF00"/>
                                <w:sz w:val="21"/>
                                <w:szCs w:val="21"/>
                                <w:lang w:val="en-US" w:eastAsia="zh-CN"/>
                              </w:rPr>
                            </w:pPr>
                            <w:r>
                              <w:rPr>
                                <w:rFonts w:hint="eastAsia"/>
                                <w:b/>
                                <w:bCs/>
                                <w:color w:val="FFFF00"/>
                                <w:sz w:val="21"/>
                                <w:szCs w:val="21"/>
                                <w:lang w:val="en-US" w:eastAsia="zh-CN"/>
                              </w:rPr>
                              <w:t>观林园304m</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05.6pt;margin-top:25.45pt;height:54.2pt;width:57.7pt;z-index:251715584;mso-width-relative:page;mso-height-relative:page;" filled="f" stroked="f" coordsize="21600,21600" o:gfxdata="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CTVKDY2gAAAAoBAAAPAAAAAAAAAAEAIAAAACIAAABk&#10;cnMvZG93bnJldi54bWxQSwECFAAUAAAACACHTuJAQKMyZT0CAABnBAAADgAAAAAAAAABACAAAAAp&#10;AQAAZHJzL2Uyb0RvYy54bWxQSwUGAAAAAAYABgBZAQAA2AUAAAAA&#10;">
                <v:fill on="f" focussize="0,0"/>
                <v:stroke on="f" weight="0.5pt"/>
                <v:imagedata o:title=""/>
                <o:lock v:ext="edit" aspectratio="f"/>
                <v:textbox>
                  <w:txbxContent>
                    <w:p w14:paraId="6415A244">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eastAsia"/>
                          <w:b/>
                          <w:bCs/>
                          <w:color w:val="FFFF00"/>
                          <w:sz w:val="21"/>
                          <w:szCs w:val="21"/>
                          <w:lang w:val="en-US" w:eastAsia="zh-CN"/>
                        </w:rPr>
                      </w:pPr>
                      <w:r>
                        <w:rPr>
                          <w:rFonts w:hint="eastAsia"/>
                          <w:b/>
                          <w:bCs/>
                          <w:color w:val="FFFF00"/>
                          <w:sz w:val="21"/>
                          <w:szCs w:val="21"/>
                          <w:lang w:val="en-US" w:eastAsia="zh-CN"/>
                        </w:rPr>
                        <w:t>宝盛里</w:t>
                      </w:r>
                    </w:p>
                    <w:p w14:paraId="582FD027">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b/>
                          <w:bCs/>
                          <w:color w:val="FFFF00"/>
                          <w:sz w:val="21"/>
                          <w:szCs w:val="21"/>
                          <w:lang w:val="en-US" w:eastAsia="zh-CN"/>
                        </w:rPr>
                      </w:pPr>
                      <w:r>
                        <w:rPr>
                          <w:rFonts w:hint="eastAsia"/>
                          <w:b/>
                          <w:bCs/>
                          <w:color w:val="FFFF00"/>
                          <w:sz w:val="21"/>
                          <w:szCs w:val="21"/>
                          <w:lang w:val="en-US" w:eastAsia="zh-CN"/>
                        </w:rPr>
                        <w:t>观林园304m</w:t>
                      </w:r>
                    </w:p>
                  </w:txbxContent>
                </v:textbox>
              </v:shape>
            </w:pict>
          </mc:Fallback>
        </mc:AlternateContent>
      </w:r>
      <w:r>
        <w:rPr>
          <w:sz w:val="24"/>
        </w:rPr>
        <mc:AlternateContent>
          <mc:Choice Requires="wps">
            <w:drawing>
              <wp:anchor distT="0" distB="0" distL="114300" distR="114300" simplePos="0" relativeHeight="251714560" behindDoc="0" locked="0" layoutInCell="1" allowOverlap="1">
                <wp:simplePos x="0" y="0"/>
                <wp:positionH relativeFrom="column">
                  <wp:posOffset>2703830</wp:posOffset>
                </wp:positionH>
                <wp:positionV relativeFrom="paragraph">
                  <wp:posOffset>2616835</wp:posOffset>
                </wp:positionV>
                <wp:extent cx="886460" cy="688340"/>
                <wp:effectExtent l="0" t="0" r="0" b="0"/>
                <wp:wrapNone/>
                <wp:docPr id="81" name="文本框 81"/>
                <wp:cNvGraphicFramePr/>
                <a:graphic xmlns:a="http://schemas.openxmlformats.org/drawingml/2006/main">
                  <a:graphicData uri="http://schemas.microsoft.com/office/word/2010/wordprocessingShape">
                    <wps:wsp>
                      <wps:cNvSpPr txBox="1"/>
                      <wps:spPr>
                        <a:xfrm>
                          <a:off x="0" y="0"/>
                          <a:ext cx="886460" cy="6883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92F1C04">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b/>
                                <w:bCs/>
                                <w:color w:val="FFFF00"/>
                                <w:sz w:val="21"/>
                                <w:szCs w:val="21"/>
                                <w:lang w:val="en-US" w:eastAsia="zh-CN"/>
                              </w:rPr>
                            </w:pPr>
                            <w:r>
                              <w:rPr>
                                <w:rFonts w:hint="eastAsia"/>
                                <w:b/>
                                <w:bCs/>
                                <w:color w:val="FFFF00"/>
                                <w:sz w:val="21"/>
                                <w:szCs w:val="21"/>
                                <w:lang w:val="en-US" w:eastAsia="zh-CN"/>
                              </w:rPr>
                              <w:t>宝盛里西区</w:t>
                            </w:r>
                          </w:p>
                          <w:p w14:paraId="072B0ACB">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b/>
                                <w:bCs/>
                                <w:color w:val="FFFF00"/>
                                <w:sz w:val="21"/>
                                <w:szCs w:val="21"/>
                                <w:lang w:val="en-US" w:eastAsia="zh-CN"/>
                              </w:rPr>
                            </w:pPr>
                            <w:r>
                              <w:rPr>
                                <w:rFonts w:hint="eastAsia"/>
                                <w:b/>
                                <w:bCs/>
                                <w:color w:val="FFFF00"/>
                                <w:sz w:val="21"/>
                                <w:szCs w:val="21"/>
                                <w:lang w:val="en-US" w:eastAsia="zh-CN"/>
                              </w:rPr>
                              <w:t>205m</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12.9pt;margin-top:206.05pt;height:54.2pt;width:69.8pt;z-index:251714560;mso-width-relative:page;mso-height-relative:page;" filled="f" stroked="f" coordsize="21600,21600" o:gfxdata="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&#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MZ8TxzbAAAACwEAAA8AAAAAAAAAAQAgAAAAIgAAAGRy&#10;cy9kb3ducmV2LnhtbFBLAQIUABQAAAAIAIdO4kCIb+Y0OwIAAGcEAAAOAAAAAAAAAAEAIAAAACoB&#10;AABkcnMvZTJvRG9jLnhtbFBLBQYAAAAABgAGAFkBAADXBQAAAAA=&#10;">
                <v:fill on="f" focussize="0,0"/>
                <v:stroke on="f" weight="0.5pt"/>
                <v:imagedata o:title=""/>
                <o:lock v:ext="edit" aspectratio="f"/>
                <v:textbox>
                  <w:txbxContent>
                    <w:p w14:paraId="592F1C04">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b/>
                          <w:bCs/>
                          <w:color w:val="FFFF00"/>
                          <w:sz w:val="21"/>
                          <w:szCs w:val="21"/>
                          <w:lang w:val="en-US" w:eastAsia="zh-CN"/>
                        </w:rPr>
                      </w:pPr>
                      <w:r>
                        <w:rPr>
                          <w:rFonts w:hint="eastAsia"/>
                          <w:b/>
                          <w:bCs/>
                          <w:color w:val="FFFF00"/>
                          <w:sz w:val="21"/>
                          <w:szCs w:val="21"/>
                          <w:lang w:val="en-US" w:eastAsia="zh-CN"/>
                        </w:rPr>
                        <w:t>宝盛里西区</w:t>
                      </w:r>
                    </w:p>
                    <w:p w14:paraId="072B0ACB">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b/>
                          <w:bCs/>
                          <w:color w:val="FFFF00"/>
                          <w:sz w:val="21"/>
                          <w:szCs w:val="21"/>
                          <w:lang w:val="en-US" w:eastAsia="zh-CN"/>
                        </w:rPr>
                      </w:pPr>
                      <w:r>
                        <w:rPr>
                          <w:rFonts w:hint="eastAsia"/>
                          <w:b/>
                          <w:bCs/>
                          <w:color w:val="FFFF00"/>
                          <w:sz w:val="21"/>
                          <w:szCs w:val="21"/>
                          <w:lang w:val="en-US" w:eastAsia="zh-CN"/>
                        </w:rPr>
                        <w:t>205m</w:t>
                      </w:r>
                    </w:p>
                  </w:txbxContent>
                </v:textbox>
              </v:shape>
            </w:pict>
          </mc:Fallback>
        </mc:AlternateContent>
      </w:r>
      <w:r>
        <w:rPr>
          <w:sz w:val="24"/>
        </w:rPr>
        <mc:AlternateContent>
          <mc:Choice Requires="wps">
            <w:drawing>
              <wp:anchor distT="0" distB="0" distL="114300" distR="114300" simplePos="0" relativeHeight="251713536" behindDoc="0" locked="0" layoutInCell="1" allowOverlap="1">
                <wp:simplePos x="0" y="0"/>
                <wp:positionH relativeFrom="column">
                  <wp:posOffset>3562350</wp:posOffset>
                </wp:positionH>
                <wp:positionV relativeFrom="paragraph">
                  <wp:posOffset>2141855</wp:posOffset>
                </wp:positionV>
                <wp:extent cx="732790" cy="688340"/>
                <wp:effectExtent l="0" t="0" r="0" b="0"/>
                <wp:wrapNone/>
                <wp:docPr id="80" name="文本框 80"/>
                <wp:cNvGraphicFramePr/>
                <a:graphic xmlns:a="http://schemas.openxmlformats.org/drawingml/2006/main">
                  <a:graphicData uri="http://schemas.microsoft.com/office/word/2010/wordprocessingShape">
                    <wps:wsp>
                      <wps:cNvSpPr txBox="1"/>
                      <wps:spPr>
                        <a:xfrm>
                          <a:off x="0" y="0"/>
                          <a:ext cx="732790" cy="6883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17BA3F3">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eastAsia"/>
                                <w:b/>
                                <w:bCs/>
                                <w:color w:val="FFFF00"/>
                                <w:sz w:val="21"/>
                                <w:szCs w:val="21"/>
                                <w:lang w:val="en-US" w:eastAsia="zh-CN"/>
                              </w:rPr>
                            </w:pPr>
                            <w:r>
                              <w:rPr>
                                <w:rFonts w:hint="eastAsia"/>
                                <w:b/>
                                <w:bCs/>
                                <w:color w:val="FFFF00"/>
                                <w:sz w:val="21"/>
                                <w:szCs w:val="21"/>
                                <w:lang w:val="en-US" w:eastAsia="zh-CN"/>
                              </w:rPr>
                              <w:t>宝盛里</w:t>
                            </w:r>
                          </w:p>
                          <w:p w14:paraId="7023F987">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b/>
                                <w:bCs/>
                                <w:color w:val="FFFF00"/>
                                <w:sz w:val="21"/>
                                <w:szCs w:val="21"/>
                                <w:lang w:val="en-US" w:eastAsia="zh-CN"/>
                              </w:rPr>
                            </w:pPr>
                            <w:r>
                              <w:rPr>
                                <w:rFonts w:hint="eastAsia"/>
                                <w:b/>
                                <w:bCs/>
                                <w:color w:val="FFFF00"/>
                                <w:sz w:val="21"/>
                                <w:szCs w:val="21"/>
                                <w:lang w:val="en-US" w:eastAsia="zh-CN"/>
                              </w:rPr>
                              <w:t>东区</w:t>
                            </w:r>
                          </w:p>
                          <w:p w14:paraId="0BF3C8D3">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b/>
                                <w:bCs/>
                                <w:color w:val="FFFF00"/>
                                <w:sz w:val="21"/>
                                <w:szCs w:val="21"/>
                                <w:lang w:val="en-US" w:eastAsia="zh-CN"/>
                              </w:rPr>
                            </w:pPr>
                            <w:r>
                              <w:rPr>
                                <w:rFonts w:hint="eastAsia"/>
                                <w:b/>
                                <w:bCs/>
                                <w:color w:val="FFFF00"/>
                                <w:sz w:val="21"/>
                                <w:szCs w:val="21"/>
                                <w:lang w:val="en-US" w:eastAsia="zh-CN"/>
                              </w:rPr>
                              <w:t>65m</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0.5pt;margin-top:168.65pt;height:54.2pt;width:57.7pt;z-index:251713536;mso-width-relative:page;mso-height-relative:page;" filled="f" stroked="f" coordsize="21600,21600" o:gfxdata="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RtEGDNwAAAALAQAADwAAAAAAAAABACAAAAAiAAAA&#10;ZHJzL2Rvd25yZXYueG1sUEsBAhQAFAAAAAgAh07iQLVbxW88AgAAZwQAAA4AAAAAAAAAAQAgAAAA&#10;KwEAAGRycy9lMm9Eb2MueG1sUEsFBgAAAAAGAAYAWQEAANkFAAAAAA==&#10;">
                <v:fill on="f" focussize="0,0"/>
                <v:stroke on="f" weight="0.5pt"/>
                <v:imagedata o:title=""/>
                <o:lock v:ext="edit" aspectratio="f"/>
                <v:textbox>
                  <w:txbxContent>
                    <w:p w14:paraId="217BA3F3">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eastAsia"/>
                          <w:b/>
                          <w:bCs/>
                          <w:color w:val="FFFF00"/>
                          <w:sz w:val="21"/>
                          <w:szCs w:val="21"/>
                          <w:lang w:val="en-US" w:eastAsia="zh-CN"/>
                        </w:rPr>
                      </w:pPr>
                      <w:r>
                        <w:rPr>
                          <w:rFonts w:hint="eastAsia"/>
                          <w:b/>
                          <w:bCs/>
                          <w:color w:val="FFFF00"/>
                          <w:sz w:val="21"/>
                          <w:szCs w:val="21"/>
                          <w:lang w:val="en-US" w:eastAsia="zh-CN"/>
                        </w:rPr>
                        <w:t>宝盛里</w:t>
                      </w:r>
                    </w:p>
                    <w:p w14:paraId="7023F987">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b/>
                          <w:bCs/>
                          <w:color w:val="FFFF00"/>
                          <w:sz w:val="21"/>
                          <w:szCs w:val="21"/>
                          <w:lang w:val="en-US" w:eastAsia="zh-CN"/>
                        </w:rPr>
                      </w:pPr>
                      <w:r>
                        <w:rPr>
                          <w:rFonts w:hint="eastAsia"/>
                          <w:b/>
                          <w:bCs/>
                          <w:color w:val="FFFF00"/>
                          <w:sz w:val="21"/>
                          <w:szCs w:val="21"/>
                          <w:lang w:val="en-US" w:eastAsia="zh-CN"/>
                        </w:rPr>
                        <w:t>东区</w:t>
                      </w:r>
                    </w:p>
                    <w:p w14:paraId="0BF3C8D3">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b/>
                          <w:bCs/>
                          <w:color w:val="FFFF00"/>
                          <w:sz w:val="21"/>
                          <w:szCs w:val="21"/>
                          <w:lang w:val="en-US" w:eastAsia="zh-CN"/>
                        </w:rPr>
                      </w:pPr>
                      <w:r>
                        <w:rPr>
                          <w:rFonts w:hint="eastAsia"/>
                          <w:b/>
                          <w:bCs/>
                          <w:color w:val="FFFF00"/>
                          <w:sz w:val="21"/>
                          <w:szCs w:val="21"/>
                          <w:lang w:val="en-US" w:eastAsia="zh-CN"/>
                        </w:rPr>
                        <w:t>65m</w:t>
                      </w:r>
                    </w:p>
                  </w:txbxContent>
                </v:textbox>
              </v:shape>
            </w:pict>
          </mc:Fallback>
        </mc:AlternateContent>
      </w:r>
      <w:r>
        <w:rPr>
          <w:sz w:val="24"/>
        </w:rPr>
        <mc:AlternateContent>
          <mc:Choice Requires="wps">
            <w:drawing>
              <wp:anchor distT="0" distB="0" distL="114300" distR="114300" simplePos="0" relativeHeight="251712512" behindDoc="0" locked="0" layoutInCell="1" allowOverlap="1">
                <wp:simplePos x="0" y="0"/>
                <wp:positionH relativeFrom="column">
                  <wp:posOffset>3898265</wp:posOffset>
                </wp:positionH>
                <wp:positionV relativeFrom="paragraph">
                  <wp:posOffset>2983865</wp:posOffset>
                </wp:positionV>
                <wp:extent cx="835025" cy="1010285"/>
                <wp:effectExtent l="6350" t="6350" r="15875" b="12065"/>
                <wp:wrapNone/>
                <wp:docPr id="79" name="任意多边形 79"/>
                <wp:cNvGraphicFramePr/>
                <a:graphic xmlns:a="http://schemas.openxmlformats.org/drawingml/2006/main">
                  <a:graphicData uri="http://schemas.microsoft.com/office/word/2010/wordprocessingShape">
                    <wps:wsp>
                      <wps:cNvSpPr/>
                      <wps:spPr>
                        <a:xfrm>
                          <a:off x="4834255" y="3919855"/>
                          <a:ext cx="835025" cy="1010285"/>
                        </a:xfrm>
                        <a:custGeom>
                          <a:avLst/>
                          <a:gdLst>
                            <a:gd name="connisteX0" fmla="*/ 0 w 835025"/>
                            <a:gd name="connsiteY0" fmla="*/ 168275 h 1010285"/>
                            <a:gd name="connisteX1" fmla="*/ 227330 w 835025"/>
                            <a:gd name="connsiteY1" fmla="*/ 1010285 h 1010285"/>
                            <a:gd name="connisteX2" fmla="*/ 835025 w 835025"/>
                            <a:gd name="connsiteY2" fmla="*/ 805815 h 1010285"/>
                            <a:gd name="connisteX3" fmla="*/ 710565 w 835025"/>
                            <a:gd name="connsiteY3" fmla="*/ 248285 h 1010285"/>
                            <a:gd name="connisteX4" fmla="*/ 564515 w 835025"/>
                            <a:gd name="connsiteY4" fmla="*/ 0 h 1010285"/>
                            <a:gd name="connisteX5" fmla="*/ 0 w 835025"/>
                            <a:gd name="connsiteY5" fmla="*/ 168275 h 1010285"/>
                          </a:gdLst>
                          <a:ahLst/>
                          <a:cxnLst>
                            <a:cxn ang="0">
                              <a:pos x="connisteX0" y="connsiteY0"/>
                            </a:cxn>
                            <a:cxn ang="0">
                              <a:pos x="connisteX1" y="connsiteY1"/>
                            </a:cxn>
                            <a:cxn ang="0">
                              <a:pos x="connisteX2" y="connsiteY2"/>
                            </a:cxn>
                            <a:cxn ang="0">
                              <a:pos x="connisteX3" y="connsiteY3"/>
                            </a:cxn>
                            <a:cxn ang="0">
                              <a:pos x="connisteX4" y="connsiteY4"/>
                            </a:cxn>
                            <a:cxn ang="0">
                              <a:pos x="connisteX5" y="connsiteY5"/>
                            </a:cxn>
                          </a:cxnLst>
                          <a:rect l="l" t="t" r="r" b="b"/>
                          <a:pathLst>
                            <a:path w="835025" h="1010285">
                              <a:moveTo>
                                <a:pt x="0" y="168275"/>
                              </a:moveTo>
                              <a:lnTo>
                                <a:pt x="227330" y="1010285"/>
                              </a:lnTo>
                              <a:lnTo>
                                <a:pt x="835025" y="805815"/>
                              </a:lnTo>
                              <a:lnTo>
                                <a:pt x="710565" y="248285"/>
                              </a:lnTo>
                              <a:lnTo>
                                <a:pt x="564515" y="0"/>
                              </a:lnTo>
                              <a:lnTo>
                                <a:pt x="0" y="168275"/>
                              </a:lnTo>
                              <a:close/>
                            </a:path>
                          </a:pathLst>
                        </a:custGeom>
                        <a:noFill/>
                        <a:ln w="12700">
                          <a:solidFill>
                            <a:srgbClr val="00B050"/>
                          </a:solidFill>
                        </a:ln>
                      </wps:spPr>
                      <wps:style>
                        <a:lnRef idx="2">
                          <a:schemeClr val="accent1">
                            <a:lumMod val="75000"/>
                          </a:schemeClr>
                        </a:lnRef>
                        <a:fillRef idx="1">
                          <a:schemeClr val="accent1"/>
                        </a:fillRef>
                        <a:effectRef idx="0">
                          <a:srgbClr val="FFFFFF"/>
                        </a:effectRef>
                        <a:fontRef idx="minor">
                          <a:schemeClr val="lt1"/>
                        </a:fontRef>
                      </wps:style>
                      <wps:bodyPr/>
                    </wps:wsp>
                  </a:graphicData>
                </a:graphic>
              </wp:anchor>
            </w:drawing>
          </mc:Choice>
          <mc:Fallback>
            <w:pict>
              <v:shape id="_x0000_s1026" o:spid="_x0000_s1026" o:spt="100" style="position:absolute;left:0pt;margin-left:306.95pt;margin-top:234.95pt;height:79.55pt;width:65.75pt;z-index:251712512;mso-width-relative:page;mso-height-relative:page;" filled="f" stroked="t" coordsize="835025,1010285" o:gfxdata="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" path="m0,168275l227330,1010285,835025,805815,710565,248285,564515,0,0,168275xe">
                <v:path o:connectlocs="0,168275;227330,1010285;835025,805815;710565,248285;564515,0;0,168275" o:connectangles="0,0,0,0,0,0"/>
                <v:fill on="f" focussize="0,0"/>
                <v:stroke weight="1pt" color="#00B050 [2404]" joinstyle="round"/>
                <v:imagedata o:title=""/>
                <o:lock v:ext="edit" aspectratio="f"/>
              </v:shape>
            </w:pict>
          </mc:Fallback>
        </mc:AlternateContent>
      </w:r>
      <w:r>
        <w:rPr>
          <w:sz w:val="24"/>
        </w:rPr>
        <mc:AlternateContent>
          <mc:Choice Requires="wps">
            <w:drawing>
              <wp:anchor distT="0" distB="0" distL="114300" distR="114300" simplePos="0" relativeHeight="251711488" behindDoc="0" locked="0" layoutInCell="1" allowOverlap="1">
                <wp:simplePos x="0" y="0"/>
                <wp:positionH relativeFrom="column">
                  <wp:posOffset>2960370</wp:posOffset>
                </wp:positionH>
                <wp:positionV relativeFrom="paragraph">
                  <wp:posOffset>3665220</wp:posOffset>
                </wp:positionV>
                <wp:extent cx="1113790" cy="952500"/>
                <wp:effectExtent l="6350" t="6350" r="22860" b="12700"/>
                <wp:wrapNone/>
                <wp:docPr id="77" name="任意多边形 77"/>
                <wp:cNvGraphicFramePr/>
                <a:graphic xmlns:a="http://schemas.openxmlformats.org/drawingml/2006/main">
                  <a:graphicData uri="http://schemas.microsoft.com/office/word/2010/wordprocessingShape">
                    <wps:wsp>
                      <wps:cNvSpPr/>
                      <wps:spPr>
                        <a:xfrm>
                          <a:off x="3896360" y="4601210"/>
                          <a:ext cx="1113790" cy="952500"/>
                        </a:xfrm>
                        <a:custGeom>
                          <a:avLst/>
                          <a:gdLst>
                            <a:gd name="connisteX0" fmla="*/ 608330 w 1113790"/>
                            <a:gd name="connsiteY0" fmla="*/ 0 h 952500"/>
                            <a:gd name="connisteX1" fmla="*/ 337185 w 1113790"/>
                            <a:gd name="connsiteY1" fmla="*/ 212725 h 952500"/>
                            <a:gd name="connisteX2" fmla="*/ 0 w 1113790"/>
                            <a:gd name="connsiteY2" fmla="*/ 344170 h 952500"/>
                            <a:gd name="connisteX3" fmla="*/ 198120 w 1113790"/>
                            <a:gd name="connsiteY3" fmla="*/ 952500 h 952500"/>
                            <a:gd name="connisteX4" fmla="*/ 1113790 w 1113790"/>
                            <a:gd name="connsiteY4" fmla="*/ 805180 h 952500"/>
                            <a:gd name="connisteX5" fmla="*/ 1099185 w 1113790"/>
                            <a:gd name="connsiteY5" fmla="*/ 146685 h 952500"/>
                            <a:gd name="connisteX6" fmla="*/ 681355 w 1113790"/>
                            <a:gd name="connsiteY6" fmla="*/ 117475 h 952500"/>
                            <a:gd name="connisteX7" fmla="*/ 608330 w 1113790"/>
                            <a:gd name="connsiteY7" fmla="*/ 0 h 952500"/>
                          </a:gdLst>
                          <a:ahLst/>
                          <a:cxnLst>
                            <a:cxn ang="0">
                              <a:pos x="connisteX0" y="connsiteY0"/>
                            </a:cxn>
                            <a:cxn ang="0">
                              <a:pos x="connisteX1" y="connsiteY1"/>
                            </a:cxn>
                            <a:cxn ang="0">
                              <a:pos x="connisteX2" y="connsiteY2"/>
                            </a:cxn>
                            <a:cxn ang="0">
                              <a:pos x="connisteX3" y="connsiteY3"/>
                            </a:cxn>
                            <a:cxn ang="0">
                              <a:pos x="connisteX4" y="connsiteY4"/>
                            </a:cxn>
                            <a:cxn ang="0">
                              <a:pos x="connisteX5" y="connsiteY5"/>
                            </a:cxn>
                            <a:cxn ang="0">
                              <a:pos x="connisteX6" y="connsiteY6"/>
                            </a:cxn>
                            <a:cxn ang="0">
                              <a:pos x="connisteX7" y="connsiteY7"/>
                            </a:cxn>
                          </a:cxnLst>
                          <a:rect l="l" t="t" r="r" b="b"/>
                          <a:pathLst>
                            <a:path w="1113790" h="952500">
                              <a:moveTo>
                                <a:pt x="608330" y="0"/>
                              </a:moveTo>
                              <a:lnTo>
                                <a:pt x="337185" y="212725"/>
                              </a:lnTo>
                              <a:lnTo>
                                <a:pt x="0" y="344170"/>
                              </a:lnTo>
                              <a:lnTo>
                                <a:pt x="198120" y="952500"/>
                              </a:lnTo>
                              <a:lnTo>
                                <a:pt x="1113790" y="805180"/>
                              </a:lnTo>
                              <a:lnTo>
                                <a:pt x="1099185" y="146685"/>
                              </a:lnTo>
                              <a:lnTo>
                                <a:pt x="681355" y="117475"/>
                              </a:lnTo>
                              <a:lnTo>
                                <a:pt x="608330" y="0"/>
                              </a:lnTo>
                              <a:close/>
                            </a:path>
                          </a:pathLst>
                        </a:custGeom>
                        <a:noFill/>
                        <a:ln w="12700">
                          <a:solidFill>
                            <a:srgbClr val="00B050"/>
                          </a:solidFill>
                        </a:ln>
                      </wps:spPr>
                      <wps:style>
                        <a:lnRef idx="2">
                          <a:schemeClr val="accent1">
                            <a:lumMod val="75000"/>
                          </a:schemeClr>
                        </a:lnRef>
                        <a:fillRef idx="1">
                          <a:schemeClr val="accent1"/>
                        </a:fillRef>
                        <a:effectRef idx="0">
                          <a:srgbClr val="FFFFFF"/>
                        </a:effectRef>
                        <a:fontRef idx="minor">
                          <a:schemeClr val="lt1"/>
                        </a:fontRef>
                      </wps:style>
                      <wps:bodyPr/>
                    </wps:wsp>
                  </a:graphicData>
                </a:graphic>
              </wp:anchor>
            </w:drawing>
          </mc:Choice>
          <mc:Fallback>
            <w:pict>
              <v:shape id="_x0000_s1026" o:spid="_x0000_s1026" o:spt="100" style="position:absolute;left:0pt;margin-left:233.1pt;margin-top:288.6pt;height:75pt;width:87.7pt;z-index:251711488;mso-width-relative:page;mso-height-relative:page;" filled="f" stroked="t" coordsize="1113790,952500" o:gfxdata="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" path="m608330,0l337185,212725,0,344170,198120,952500,1113790,805180,1099185,146685,681355,117475,608330,0xe">
                <v:path o:connectlocs="608330,0;337185,212725;0,344170;198120,952500;1113790,805180;1099185,146685;681355,117475;608330,0" o:connectangles="0,0,0,0,0,0,0,0"/>
                <v:fill on="f" focussize="0,0"/>
                <v:stroke weight="1pt" color="#00B050 [2404]" joinstyle="round"/>
                <v:imagedata o:title=""/>
                <o:lock v:ext="edit" aspectratio="f"/>
              </v:shape>
            </w:pict>
          </mc:Fallback>
        </mc:AlternateContent>
      </w:r>
      <w:r>
        <w:rPr>
          <w:sz w:val="24"/>
        </w:rPr>
        <mc:AlternateContent>
          <mc:Choice Requires="wps">
            <w:drawing>
              <wp:anchor distT="0" distB="0" distL="114300" distR="114300" simplePos="0" relativeHeight="251710464" behindDoc="0" locked="0" layoutInCell="1" allowOverlap="1">
                <wp:simplePos x="0" y="0"/>
                <wp:positionH relativeFrom="column">
                  <wp:posOffset>4440555</wp:posOffset>
                </wp:positionH>
                <wp:positionV relativeFrom="paragraph">
                  <wp:posOffset>2807970</wp:posOffset>
                </wp:positionV>
                <wp:extent cx="805815" cy="1524000"/>
                <wp:effectExtent l="6350" t="6350" r="6985" b="12700"/>
                <wp:wrapNone/>
                <wp:docPr id="75" name="任意多边形 75"/>
                <wp:cNvGraphicFramePr/>
                <a:graphic xmlns:a="http://schemas.openxmlformats.org/drawingml/2006/main">
                  <a:graphicData uri="http://schemas.microsoft.com/office/word/2010/wordprocessingShape">
                    <wps:wsp>
                      <wps:cNvSpPr/>
                      <wps:spPr>
                        <a:xfrm>
                          <a:off x="5376545" y="3743960"/>
                          <a:ext cx="805815" cy="1524000"/>
                        </a:xfrm>
                        <a:custGeom>
                          <a:avLst/>
                          <a:gdLst>
                            <a:gd name="connisteX0" fmla="*/ 505460 w 805815"/>
                            <a:gd name="connsiteY0" fmla="*/ 0 h 1524000"/>
                            <a:gd name="connisteX1" fmla="*/ 51435 w 805815"/>
                            <a:gd name="connsiteY1" fmla="*/ 168275 h 1524000"/>
                            <a:gd name="connisteX2" fmla="*/ 175895 w 805815"/>
                            <a:gd name="connsiteY2" fmla="*/ 344170 h 1524000"/>
                            <a:gd name="connisteX3" fmla="*/ 248920 w 805815"/>
                            <a:gd name="connsiteY3" fmla="*/ 498475 h 1524000"/>
                            <a:gd name="connisteX4" fmla="*/ 337185 w 805815"/>
                            <a:gd name="connsiteY4" fmla="*/ 995680 h 1524000"/>
                            <a:gd name="connisteX5" fmla="*/ 0 w 805815"/>
                            <a:gd name="connsiteY5" fmla="*/ 1120775 h 1524000"/>
                            <a:gd name="connisteX6" fmla="*/ 182880 w 805815"/>
                            <a:gd name="connsiteY6" fmla="*/ 1524000 h 1524000"/>
                            <a:gd name="connisteX7" fmla="*/ 805815 w 805815"/>
                            <a:gd name="connsiteY7" fmla="*/ 1333500 h 1524000"/>
                            <a:gd name="connisteX8" fmla="*/ 505460 w 805815"/>
                            <a:gd name="connsiteY8" fmla="*/ 0 h 1524000"/>
                          </a:gdLst>
                          <a:ahLst/>
                          <a:cxnLst>
                            <a:cxn ang="0">
                              <a:pos x="connisteX0" y="connsiteY0"/>
                            </a:cxn>
                            <a:cxn ang="0">
                              <a:pos x="connisteX1" y="connsiteY1"/>
                            </a:cxn>
                            <a:cxn ang="0">
                              <a:pos x="connisteX2" y="connsiteY2"/>
                            </a:cxn>
                            <a:cxn ang="0">
                              <a:pos x="connisteX3" y="connsiteY3"/>
                            </a:cxn>
                            <a:cxn ang="0">
                              <a:pos x="connisteX4" y="connsiteY4"/>
                            </a:cxn>
                            <a:cxn ang="0">
                              <a:pos x="connisteX5" y="connsiteY5"/>
                            </a:cxn>
                            <a:cxn ang="0">
                              <a:pos x="connisteX6" y="connsiteY6"/>
                            </a:cxn>
                            <a:cxn ang="0">
                              <a:pos x="connisteX7" y="connsiteY7"/>
                            </a:cxn>
                            <a:cxn ang="0">
                              <a:pos x="connisteX8" y="connsiteY8"/>
                            </a:cxn>
                          </a:cxnLst>
                          <a:rect l="l" t="t" r="r" b="b"/>
                          <a:pathLst>
                            <a:path w="805815" h="1524000">
                              <a:moveTo>
                                <a:pt x="505460" y="0"/>
                              </a:moveTo>
                              <a:lnTo>
                                <a:pt x="51435" y="168275"/>
                              </a:lnTo>
                              <a:lnTo>
                                <a:pt x="175895" y="344170"/>
                              </a:lnTo>
                              <a:lnTo>
                                <a:pt x="248920" y="498475"/>
                              </a:lnTo>
                              <a:lnTo>
                                <a:pt x="337185" y="995680"/>
                              </a:lnTo>
                              <a:lnTo>
                                <a:pt x="0" y="1120775"/>
                              </a:lnTo>
                              <a:lnTo>
                                <a:pt x="182880" y="1524000"/>
                              </a:lnTo>
                              <a:lnTo>
                                <a:pt x="805815" y="1333500"/>
                              </a:lnTo>
                              <a:lnTo>
                                <a:pt x="505460" y="0"/>
                              </a:lnTo>
                              <a:close/>
                            </a:path>
                          </a:pathLst>
                        </a:custGeom>
                        <a:noFill/>
                        <a:ln w="12700">
                          <a:solidFill>
                            <a:srgbClr val="00B050"/>
                          </a:solidFill>
                        </a:ln>
                      </wps:spPr>
                      <wps:style>
                        <a:lnRef idx="2">
                          <a:schemeClr val="accent1">
                            <a:lumMod val="75000"/>
                          </a:schemeClr>
                        </a:lnRef>
                        <a:fillRef idx="1">
                          <a:schemeClr val="accent1"/>
                        </a:fillRef>
                        <a:effectRef idx="0">
                          <a:srgbClr val="FFFFFF"/>
                        </a:effectRef>
                        <a:fontRef idx="minor">
                          <a:schemeClr val="lt1"/>
                        </a:fontRef>
                      </wps:style>
                      <wps:bodyPr/>
                    </wps:wsp>
                  </a:graphicData>
                </a:graphic>
              </wp:anchor>
            </w:drawing>
          </mc:Choice>
          <mc:Fallback>
            <w:pict>
              <v:shape id="_x0000_s1026" o:spid="_x0000_s1026" o:spt="100" style="position:absolute;left:0pt;margin-left:349.65pt;margin-top:221.1pt;height:120pt;width:63.45pt;z-index:251710464;mso-width-relative:page;mso-height-relative:page;" filled="f" stroked="t" coordsize="805815,1524000" o:gfxdata="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" path="m505460,0l51435,168275,175895,344170,248920,498475,337185,995680,0,1120775,182880,1524000,805815,1333500,505460,0xe">
                <v:path o:connectlocs="505460,0;51435,168275;175895,344170;248920,498475;337185,995680;0,1120775;182880,1524000;805815,1333500;505460,0" o:connectangles="0,0,0,0,0,0,0,0,0"/>
                <v:fill on="f" focussize="0,0"/>
                <v:stroke weight="1pt" color="#00B050 [2404]" joinstyle="round"/>
                <v:imagedata o:title=""/>
                <o:lock v:ext="edit" aspectratio="f"/>
              </v:shape>
            </w:pict>
          </mc:Fallback>
        </mc:AlternateContent>
      </w:r>
      <w:r>
        <w:rPr>
          <w:sz w:val="24"/>
        </w:rPr>
        <mc:AlternateContent>
          <mc:Choice Requires="wps">
            <w:drawing>
              <wp:anchor distT="0" distB="0" distL="114300" distR="114300" simplePos="0" relativeHeight="251709440" behindDoc="0" locked="0" layoutInCell="1" allowOverlap="1">
                <wp:simplePos x="0" y="0"/>
                <wp:positionH relativeFrom="column">
                  <wp:posOffset>6118225</wp:posOffset>
                </wp:positionH>
                <wp:positionV relativeFrom="paragraph">
                  <wp:posOffset>2383155</wp:posOffset>
                </wp:positionV>
                <wp:extent cx="828040" cy="651510"/>
                <wp:effectExtent l="6350" t="6350" r="22860" b="8890"/>
                <wp:wrapNone/>
                <wp:docPr id="72" name="任意多边形 72"/>
                <wp:cNvGraphicFramePr/>
                <a:graphic xmlns:a="http://schemas.openxmlformats.org/drawingml/2006/main">
                  <a:graphicData uri="http://schemas.microsoft.com/office/word/2010/wordprocessingShape">
                    <wps:wsp>
                      <wps:cNvSpPr/>
                      <wps:spPr>
                        <a:xfrm>
                          <a:off x="7054215" y="3319145"/>
                          <a:ext cx="828040" cy="651510"/>
                        </a:xfrm>
                        <a:custGeom>
                          <a:avLst/>
                          <a:gdLst>
                            <a:gd name="connisteX0" fmla="*/ 0 w 828040"/>
                            <a:gd name="connsiteY0" fmla="*/ 219710 h 651510"/>
                            <a:gd name="connisteX1" fmla="*/ 109855 w 828040"/>
                            <a:gd name="connsiteY1" fmla="*/ 651510 h 651510"/>
                            <a:gd name="connisteX2" fmla="*/ 828040 w 828040"/>
                            <a:gd name="connsiteY2" fmla="*/ 432435 h 651510"/>
                            <a:gd name="connisteX3" fmla="*/ 681355 w 828040"/>
                            <a:gd name="connsiteY3" fmla="*/ 0 h 651510"/>
                            <a:gd name="connisteX4" fmla="*/ 0 w 828040"/>
                            <a:gd name="connsiteY4" fmla="*/ 219710 h 651510"/>
                          </a:gdLst>
                          <a:ahLst/>
                          <a:cxnLst>
                            <a:cxn ang="0">
                              <a:pos x="connisteX0" y="connsiteY0"/>
                            </a:cxn>
                            <a:cxn ang="0">
                              <a:pos x="connisteX1" y="connsiteY1"/>
                            </a:cxn>
                            <a:cxn ang="0">
                              <a:pos x="connisteX2" y="connsiteY2"/>
                            </a:cxn>
                            <a:cxn ang="0">
                              <a:pos x="connisteX3" y="connsiteY3"/>
                            </a:cxn>
                            <a:cxn ang="0">
                              <a:pos x="connisteX4" y="connsiteY4"/>
                            </a:cxn>
                          </a:cxnLst>
                          <a:rect l="l" t="t" r="r" b="b"/>
                          <a:pathLst>
                            <a:path w="828040" h="651510">
                              <a:moveTo>
                                <a:pt x="0" y="219710"/>
                              </a:moveTo>
                              <a:lnTo>
                                <a:pt x="109855" y="651510"/>
                              </a:lnTo>
                              <a:lnTo>
                                <a:pt x="828040" y="432435"/>
                              </a:lnTo>
                              <a:lnTo>
                                <a:pt x="681355" y="0"/>
                              </a:lnTo>
                              <a:lnTo>
                                <a:pt x="0" y="219710"/>
                              </a:lnTo>
                              <a:close/>
                            </a:path>
                          </a:pathLst>
                        </a:custGeom>
                        <a:noFill/>
                        <a:ln w="12700">
                          <a:solidFill>
                            <a:srgbClr val="00B050"/>
                          </a:solidFill>
                        </a:ln>
                      </wps:spPr>
                      <wps:style>
                        <a:lnRef idx="2">
                          <a:schemeClr val="accent1">
                            <a:lumMod val="75000"/>
                          </a:schemeClr>
                        </a:lnRef>
                        <a:fillRef idx="1">
                          <a:schemeClr val="accent1"/>
                        </a:fillRef>
                        <a:effectRef idx="0">
                          <a:srgbClr val="FFFFFF"/>
                        </a:effectRef>
                        <a:fontRef idx="minor">
                          <a:schemeClr val="lt1"/>
                        </a:fontRef>
                      </wps:style>
                      <wps:bodyPr/>
                    </wps:wsp>
                  </a:graphicData>
                </a:graphic>
              </wp:anchor>
            </w:drawing>
          </mc:Choice>
          <mc:Fallback>
            <w:pict>
              <v:shape id="_x0000_s1026" o:spid="_x0000_s1026" o:spt="100" style="position:absolute;left:0pt;margin-left:481.75pt;margin-top:187.65pt;height:51.3pt;width:65.2pt;z-index:251709440;mso-width-relative:page;mso-height-relative:page;" filled="f" stroked="t" coordsize="828040,651510" o:gfxdata="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" path="m0,219710l109855,651510,828040,432435,681355,0,0,219710xe">
                <v:path o:connectlocs="0,219710;109855,651510;828040,432435;681355,0;0,219710" o:connectangles="0,0,0,0,0"/>
                <v:fill on="f" focussize="0,0"/>
                <v:stroke weight="1pt" color="#00B050 [2404]" joinstyle="round"/>
                <v:imagedata o:title=""/>
                <o:lock v:ext="edit" aspectratio="f"/>
              </v:shape>
            </w:pict>
          </mc:Fallback>
        </mc:AlternateContent>
      </w:r>
      <w:r>
        <w:rPr>
          <w:sz w:val="24"/>
        </w:rPr>
        <mc:AlternateContent>
          <mc:Choice Requires="wps">
            <w:drawing>
              <wp:anchor distT="0" distB="0" distL="114300" distR="114300" simplePos="0" relativeHeight="251708416" behindDoc="0" locked="0" layoutInCell="1" allowOverlap="1">
                <wp:simplePos x="0" y="0"/>
                <wp:positionH relativeFrom="column">
                  <wp:posOffset>5349240</wp:posOffset>
                </wp:positionH>
                <wp:positionV relativeFrom="paragraph">
                  <wp:posOffset>2983865</wp:posOffset>
                </wp:positionV>
                <wp:extent cx="1135380" cy="1127760"/>
                <wp:effectExtent l="6350" t="6350" r="20320" b="8890"/>
                <wp:wrapNone/>
                <wp:docPr id="71" name="任意多边形 71"/>
                <wp:cNvGraphicFramePr/>
                <a:graphic xmlns:a="http://schemas.openxmlformats.org/drawingml/2006/main">
                  <a:graphicData uri="http://schemas.microsoft.com/office/word/2010/wordprocessingShape">
                    <wps:wsp>
                      <wps:cNvSpPr/>
                      <wps:spPr>
                        <a:xfrm>
                          <a:off x="6285230" y="3919855"/>
                          <a:ext cx="1135380" cy="1127760"/>
                        </a:xfrm>
                        <a:custGeom>
                          <a:avLst/>
                          <a:gdLst>
                            <a:gd name="connisteX0" fmla="*/ 0 w 1135380"/>
                            <a:gd name="connsiteY0" fmla="*/ 227330 h 1127760"/>
                            <a:gd name="connisteX1" fmla="*/ 205105 w 1135380"/>
                            <a:gd name="connsiteY1" fmla="*/ 1127760 h 1127760"/>
                            <a:gd name="connisteX2" fmla="*/ 1135380 w 1135380"/>
                            <a:gd name="connsiteY2" fmla="*/ 908050 h 1127760"/>
                            <a:gd name="connisteX3" fmla="*/ 842645 w 1135380"/>
                            <a:gd name="connsiteY3" fmla="*/ 0 h 1127760"/>
                            <a:gd name="connisteX4" fmla="*/ 0 w 1135380"/>
                            <a:gd name="connsiteY4" fmla="*/ 227330 h 1127760"/>
                          </a:gdLst>
                          <a:ahLst/>
                          <a:cxnLst>
                            <a:cxn ang="0">
                              <a:pos x="connisteX0" y="connsiteY0"/>
                            </a:cxn>
                            <a:cxn ang="0">
                              <a:pos x="connisteX1" y="connsiteY1"/>
                            </a:cxn>
                            <a:cxn ang="0">
                              <a:pos x="connisteX2" y="connsiteY2"/>
                            </a:cxn>
                            <a:cxn ang="0">
                              <a:pos x="connisteX3" y="connsiteY3"/>
                            </a:cxn>
                            <a:cxn ang="0">
                              <a:pos x="connisteX4" y="connsiteY4"/>
                            </a:cxn>
                          </a:cxnLst>
                          <a:rect l="l" t="t" r="r" b="b"/>
                          <a:pathLst>
                            <a:path w="1135380" h="1127760">
                              <a:moveTo>
                                <a:pt x="0" y="227330"/>
                              </a:moveTo>
                              <a:lnTo>
                                <a:pt x="205105" y="1127760"/>
                              </a:lnTo>
                              <a:lnTo>
                                <a:pt x="1135380" y="908050"/>
                              </a:lnTo>
                              <a:lnTo>
                                <a:pt x="842645" y="0"/>
                              </a:lnTo>
                              <a:lnTo>
                                <a:pt x="0" y="227330"/>
                              </a:lnTo>
                              <a:close/>
                            </a:path>
                          </a:pathLst>
                        </a:custGeom>
                        <a:noFill/>
                        <a:ln w="12700">
                          <a:solidFill>
                            <a:srgbClr val="00B050"/>
                          </a:solidFill>
                        </a:ln>
                      </wps:spPr>
                      <wps:style>
                        <a:lnRef idx="2">
                          <a:schemeClr val="accent1">
                            <a:lumMod val="75000"/>
                          </a:schemeClr>
                        </a:lnRef>
                        <a:fillRef idx="1">
                          <a:schemeClr val="accent1"/>
                        </a:fillRef>
                        <a:effectRef idx="0">
                          <a:srgbClr val="FFFFFF"/>
                        </a:effectRef>
                        <a:fontRef idx="minor">
                          <a:schemeClr val="lt1"/>
                        </a:fontRef>
                      </wps:style>
                      <wps:bodyPr/>
                    </wps:wsp>
                  </a:graphicData>
                </a:graphic>
              </wp:anchor>
            </w:drawing>
          </mc:Choice>
          <mc:Fallback>
            <w:pict>
              <v:shape id="_x0000_s1026" o:spid="_x0000_s1026" o:spt="100" style="position:absolute;left:0pt;margin-left:421.2pt;margin-top:234.95pt;height:88.8pt;width:89.4pt;z-index:251708416;mso-width-relative:page;mso-height-relative:page;" filled="f" stroked="t" coordsize="1135380,1127760" o:gfxdata="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" path="m0,227330l205105,1127760,1135380,908050,842645,0,0,227330xe">
                <v:path o:connectlocs="0,227330;205105,1127760;1135380,908050;842645,0;0,227330" o:connectangles="0,0,0,0,0"/>
                <v:fill on="f" focussize="0,0"/>
                <v:stroke weight="1pt" color="#00B050 [2404]" joinstyle="round"/>
                <v:imagedata o:title=""/>
                <o:lock v:ext="edit" aspectratio="f"/>
              </v:shape>
            </w:pict>
          </mc:Fallback>
        </mc:AlternateContent>
      </w:r>
      <w:r>
        <w:rPr>
          <w:sz w:val="24"/>
        </w:rPr>
        <mc:AlternateContent>
          <mc:Choice Requires="wps">
            <w:drawing>
              <wp:anchor distT="0" distB="0" distL="114300" distR="114300" simplePos="0" relativeHeight="251707392" behindDoc="0" locked="0" layoutInCell="1" allowOverlap="1">
                <wp:simplePos x="0" y="0"/>
                <wp:positionH relativeFrom="column">
                  <wp:posOffset>5173345</wp:posOffset>
                </wp:positionH>
                <wp:positionV relativeFrom="paragraph">
                  <wp:posOffset>1166495</wp:posOffset>
                </wp:positionV>
                <wp:extent cx="1590040" cy="1883410"/>
                <wp:effectExtent l="6350" t="6350" r="22860" b="15240"/>
                <wp:wrapNone/>
                <wp:docPr id="70" name="任意多边形 70"/>
                <wp:cNvGraphicFramePr/>
                <a:graphic xmlns:a="http://schemas.openxmlformats.org/drawingml/2006/main">
                  <a:graphicData uri="http://schemas.microsoft.com/office/word/2010/wordprocessingShape">
                    <wps:wsp>
                      <wps:cNvSpPr/>
                      <wps:spPr>
                        <a:xfrm>
                          <a:off x="6109335" y="2102485"/>
                          <a:ext cx="1590040" cy="1883410"/>
                        </a:xfrm>
                        <a:custGeom>
                          <a:avLst/>
                          <a:gdLst>
                            <a:gd name="connisteX0" fmla="*/ 534670 w 1590040"/>
                            <a:gd name="connsiteY0" fmla="*/ 153670 h 1883410"/>
                            <a:gd name="connisteX1" fmla="*/ 688340 w 1590040"/>
                            <a:gd name="connsiteY1" fmla="*/ 827405 h 1883410"/>
                            <a:gd name="connisteX2" fmla="*/ 0 w 1590040"/>
                            <a:gd name="connsiteY2" fmla="*/ 996950 h 1883410"/>
                            <a:gd name="connisteX3" fmla="*/ 234315 w 1590040"/>
                            <a:gd name="connsiteY3" fmla="*/ 1883410 h 1883410"/>
                            <a:gd name="connisteX4" fmla="*/ 952500 w 1590040"/>
                            <a:gd name="connsiteY4" fmla="*/ 1677670 h 1883410"/>
                            <a:gd name="connisteX5" fmla="*/ 893445 w 1590040"/>
                            <a:gd name="connsiteY5" fmla="*/ 1377950 h 1883410"/>
                            <a:gd name="connisteX6" fmla="*/ 1590040 w 1590040"/>
                            <a:gd name="connsiteY6" fmla="*/ 1187450 h 1883410"/>
                            <a:gd name="connisteX7" fmla="*/ 1252855 w 1590040"/>
                            <a:gd name="connsiteY7" fmla="*/ 0 h 1883410"/>
                            <a:gd name="connisteX8" fmla="*/ 534670 w 1590040"/>
                            <a:gd name="connsiteY8" fmla="*/ 153670 h 1883410"/>
                          </a:gdLst>
                          <a:ahLst/>
                          <a:cxnLst>
                            <a:cxn ang="0">
                              <a:pos x="connisteX0" y="connsiteY0"/>
                            </a:cxn>
                            <a:cxn ang="0">
                              <a:pos x="connisteX1" y="connsiteY1"/>
                            </a:cxn>
                            <a:cxn ang="0">
                              <a:pos x="connisteX2" y="connsiteY2"/>
                            </a:cxn>
                            <a:cxn ang="0">
                              <a:pos x="connisteX3" y="connsiteY3"/>
                            </a:cxn>
                            <a:cxn ang="0">
                              <a:pos x="connisteX4" y="connsiteY4"/>
                            </a:cxn>
                            <a:cxn ang="0">
                              <a:pos x="connisteX5" y="connsiteY5"/>
                            </a:cxn>
                            <a:cxn ang="0">
                              <a:pos x="connisteX6" y="connsiteY6"/>
                            </a:cxn>
                            <a:cxn ang="0">
                              <a:pos x="connisteX7" y="connsiteY7"/>
                            </a:cxn>
                            <a:cxn ang="0">
                              <a:pos x="connisteX8" y="connsiteY8"/>
                            </a:cxn>
                          </a:cxnLst>
                          <a:rect l="l" t="t" r="r" b="b"/>
                          <a:pathLst>
                            <a:path w="1590040" h="1883410">
                              <a:moveTo>
                                <a:pt x="534670" y="153670"/>
                              </a:moveTo>
                              <a:lnTo>
                                <a:pt x="688340" y="827405"/>
                              </a:lnTo>
                              <a:lnTo>
                                <a:pt x="0" y="996950"/>
                              </a:lnTo>
                              <a:lnTo>
                                <a:pt x="234315" y="1883410"/>
                              </a:lnTo>
                              <a:lnTo>
                                <a:pt x="952500" y="1677670"/>
                              </a:lnTo>
                              <a:lnTo>
                                <a:pt x="893445" y="1377950"/>
                              </a:lnTo>
                              <a:lnTo>
                                <a:pt x="1590040" y="1187450"/>
                              </a:lnTo>
                              <a:lnTo>
                                <a:pt x="1252855" y="0"/>
                              </a:lnTo>
                              <a:lnTo>
                                <a:pt x="534670" y="153670"/>
                              </a:lnTo>
                              <a:close/>
                            </a:path>
                          </a:pathLst>
                        </a:custGeom>
                        <a:noFill/>
                        <a:ln w="12700">
                          <a:solidFill>
                            <a:srgbClr val="00B050"/>
                          </a:solidFill>
                        </a:ln>
                      </wps:spPr>
                      <wps:style>
                        <a:lnRef idx="2">
                          <a:schemeClr val="accent1">
                            <a:lumMod val="75000"/>
                          </a:schemeClr>
                        </a:lnRef>
                        <a:fillRef idx="1">
                          <a:schemeClr val="accent1"/>
                        </a:fillRef>
                        <a:effectRef idx="0">
                          <a:srgbClr val="FFFFFF"/>
                        </a:effectRef>
                        <a:fontRef idx="minor">
                          <a:schemeClr val="lt1"/>
                        </a:fontRef>
                      </wps:style>
                      <wps:bodyPr/>
                    </wps:wsp>
                  </a:graphicData>
                </a:graphic>
              </wp:anchor>
            </w:drawing>
          </mc:Choice>
          <mc:Fallback>
            <w:pict>
              <v:shape id="_x0000_s1026" o:spid="_x0000_s1026" o:spt="100" style="position:absolute;left:0pt;margin-left:407.35pt;margin-top:91.85pt;height:148.3pt;width:125.2pt;z-index:251707392;mso-width-relative:page;mso-height-relative:page;" filled="f" stroked="t" coordsize="1590040,1883410" o:gfxdata="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" path="m534670,153670l688340,827405,0,996950,234315,1883410,952500,1677670,893445,1377950,1590040,1187450,1252855,0,534670,153670xe">
                <v:path o:connectlocs="534670,153670;688340,827405;0,996950;234315,1883410;952500,1677670;893445,1377950;1590040,1187450;1252855,0;534670,153670" o:connectangles="0,0,0,0,0,0,0,0,0"/>
                <v:fill on="f" focussize="0,0"/>
                <v:stroke weight="1pt" color="#00B050 [2404]" joinstyle="round"/>
                <v:imagedata o:title=""/>
                <o:lock v:ext="edit" aspectratio="f"/>
              </v:shape>
            </w:pict>
          </mc:Fallback>
        </mc:AlternateContent>
      </w:r>
      <w:r>
        <w:rPr>
          <w:sz w:val="24"/>
        </w:rPr>
        <mc:AlternateContent>
          <mc:Choice Requires="wps">
            <w:drawing>
              <wp:anchor distT="0" distB="0" distL="114300" distR="114300" simplePos="0" relativeHeight="251706368" behindDoc="0" locked="0" layoutInCell="1" allowOverlap="1">
                <wp:simplePos x="0" y="0"/>
                <wp:positionH relativeFrom="column">
                  <wp:posOffset>2425700</wp:posOffset>
                </wp:positionH>
                <wp:positionV relativeFrom="paragraph">
                  <wp:posOffset>2024380</wp:posOffset>
                </wp:positionV>
                <wp:extent cx="1391920" cy="1802765"/>
                <wp:effectExtent l="6350" t="6350" r="11430" b="19685"/>
                <wp:wrapNone/>
                <wp:docPr id="65" name="任意多边形 65"/>
                <wp:cNvGraphicFramePr/>
                <a:graphic xmlns:a="http://schemas.openxmlformats.org/drawingml/2006/main">
                  <a:graphicData uri="http://schemas.microsoft.com/office/word/2010/wordprocessingShape">
                    <wps:wsp>
                      <wps:cNvSpPr/>
                      <wps:spPr>
                        <a:xfrm>
                          <a:off x="3361690" y="2960370"/>
                          <a:ext cx="1391920" cy="1802765"/>
                        </a:xfrm>
                        <a:custGeom>
                          <a:avLst/>
                          <a:gdLst>
                            <a:gd name="connisteX0" fmla="*/ 1018540 w 1391920"/>
                            <a:gd name="connsiteY0" fmla="*/ 0 h 1802765"/>
                            <a:gd name="connisteX1" fmla="*/ 0 w 1391920"/>
                            <a:gd name="connsiteY1" fmla="*/ 387985 h 1802765"/>
                            <a:gd name="connisteX2" fmla="*/ 497840 w 1391920"/>
                            <a:gd name="connsiteY2" fmla="*/ 1802765 h 1802765"/>
                            <a:gd name="connisteX3" fmla="*/ 1062355 w 1391920"/>
                            <a:gd name="connsiteY3" fmla="*/ 1530985 h 1802765"/>
                            <a:gd name="connisteX4" fmla="*/ 1391920 w 1391920"/>
                            <a:gd name="connsiteY4" fmla="*/ 1032510 h 1802765"/>
                            <a:gd name="connisteX5" fmla="*/ 1018540 w 1391920"/>
                            <a:gd name="connsiteY5" fmla="*/ 0 h 1802765"/>
                          </a:gdLst>
                          <a:ahLst/>
                          <a:cxnLst>
                            <a:cxn ang="0">
                              <a:pos x="connisteX0" y="connsiteY0"/>
                            </a:cxn>
                            <a:cxn ang="0">
                              <a:pos x="connisteX1" y="connsiteY1"/>
                            </a:cxn>
                            <a:cxn ang="0">
                              <a:pos x="connisteX2" y="connsiteY2"/>
                            </a:cxn>
                            <a:cxn ang="0">
                              <a:pos x="connisteX3" y="connsiteY3"/>
                            </a:cxn>
                            <a:cxn ang="0">
                              <a:pos x="connisteX4" y="connsiteY4"/>
                            </a:cxn>
                            <a:cxn ang="0">
                              <a:pos x="connisteX5" y="connsiteY5"/>
                            </a:cxn>
                          </a:cxnLst>
                          <a:rect l="l" t="t" r="r" b="b"/>
                          <a:pathLst>
                            <a:path w="1391920" h="1802765">
                              <a:moveTo>
                                <a:pt x="1018540" y="0"/>
                              </a:moveTo>
                              <a:lnTo>
                                <a:pt x="0" y="387985"/>
                              </a:lnTo>
                              <a:lnTo>
                                <a:pt x="497840" y="1802765"/>
                              </a:lnTo>
                              <a:lnTo>
                                <a:pt x="1062355" y="1530985"/>
                              </a:lnTo>
                              <a:lnTo>
                                <a:pt x="1391920" y="1032510"/>
                              </a:lnTo>
                              <a:lnTo>
                                <a:pt x="1018540" y="0"/>
                              </a:lnTo>
                              <a:close/>
                            </a:path>
                          </a:pathLst>
                        </a:custGeom>
                        <a:noFill/>
                        <a:ln w="12700">
                          <a:solidFill>
                            <a:srgbClr val="00B050"/>
                          </a:solidFill>
                        </a:ln>
                      </wps:spPr>
                      <wps:style>
                        <a:lnRef idx="2">
                          <a:schemeClr val="accent1">
                            <a:lumMod val="75000"/>
                          </a:schemeClr>
                        </a:lnRef>
                        <a:fillRef idx="1">
                          <a:schemeClr val="accent1"/>
                        </a:fillRef>
                        <a:effectRef idx="0">
                          <a:srgbClr val="FFFFFF"/>
                        </a:effectRef>
                        <a:fontRef idx="minor">
                          <a:schemeClr val="lt1"/>
                        </a:fontRef>
                      </wps:style>
                      <wps:bodyPr/>
                    </wps:wsp>
                  </a:graphicData>
                </a:graphic>
              </wp:anchor>
            </w:drawing>
          </mc:Choice>
          <mc:Fallback>
            <w:pict>
              <v:shape id="_x0000_s1026" o:spid="_x0000_s1026" o:spt="100" style="position:absolute;left:0pt;margin-left:191pt;margin-top:159.4pt;height:141.95pt;width:109.6pt;z-index:251706368;mso-width-relative:page;mso-height-relative:page;" filled="f" stroked="t" coordsize="1391920,1802765" o:gfxdata="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" path="m1018540,0l0,387985,497840,1802765,1062355,1530985,1391920,1032510,1018540,0xe">
                <v:path o:connectlocs="1018540,0;0,387985;497840,1802765;1062355,1530985;1391920,1032510;1018540,0" o:connectangles="0,0,0,0,0,0"/>
                <v:fill on="f" focussize="0,0"/>
                <v:stroke weight="1pt" color="#00B050 [2404]" joinstyle="round"/>
                <v:imagedata o:title=""/>
                <o:lock v:ext="edit" aspectratio="f"/>
              </v:shape>
            </w:pict>
          </mc:Fallback>
        </mc:AlternateContent>
      </w:r>
      <w:r>
        <w:rPr>
          <w:sz w:val="24"/>
        </w:rPr>
        <mc:AlternateContent>
          <mc:Choice Requires="wps">
            <w:drawing>
              <wp:anchor distT="0" distB="0" distL="114300" distR="114300" simplePos="0" relativeHeight="251705344" behindDoc="0" locked="0" layoutInCell="1" allowOverlap="1">
                <wp:simplePos x="0" y="0"/>
                <wp:positionH relativeFrom="column">
                  <wp:posOffset>3539490</wp:posOffset>
                </wp:positionH>
                <wp:positionV relativeFrom="paragraph">
                  <wp:posOffset>1591945</wp:posOffset>
                </wp:positionV>
                <wp:extent cx="1216025" cy="1341120"/>
                <wp:effectExtent l="6350" t="6350" r="15875" b="24130"/>
                <wp:wrapNone/>
                <wp:docPr id="63" name="任意多边形 63"/>
                <wp:cNvGraphicFramePr/>
                <a:graphic xmlns:a="http://schemas.openxmlformats.org/drawingml/2006/main">
                  <a:graphicData uri="http://schemas.microsoft.com/office/word/2010/wordprocessingShape">
                    <wps:wsp>
                      <wps:cNvSpPr/>
                      <wps:spPr>
                        <a:xfrm>
                          <a:off x="4475480" y="2527935"/>
                          <a:ext cx="1216025" cy="1341120"/>
                        </a:xfrm>
                        <a:custGeom>
                          <a:avLst/>
                          <a:gdLst>
                            <a:gd name="connisteX0" fmla="*/ 1149985 w 1216025"/>
                            <a:gd name="connsiteY0" fmla="*/ 0 h 1341120"/>
                            <a:gd name="connisteX1" fmla="*/ 0 w 1216025"/>
                            <a:gd name="connsiteY1" fmla="*/ 394970 h 1341120"/>
                            <a:gd name="connisteX2" fmla="*/ 307340 w 1216025"/>
                            <a:gd name="connsiteY2" fmla="*/ 1341120 h 1341120"/>
                            <a:gd name="connisteX3" fmla="*/ 805815 w 1216025"/>
                            <a:gd name="connsiteY3" fmla="*/ 1187450 h 1341120"/>
                            <a:gd name="connisteX4" fmla="*/ 571500 w 1216025"/>
                            <a:gd name="connsiteY4" fmla="*/ 534670 h 1341120"/>
                            <a:gd name="connisteX5" fmla="*/ 1216025 w 1216025"/>
                            <a:gd name="connsiteY5" fmla="*/ 264160 h 1341120"/>
                            <a:gd name="connisteX6" fmla="*/ 1149985 w 1216025"/>
                            <a:gd name="connsiteY6" fmla="*/ 0 h 1341120"/>
                          </a:gdLst>
                          <a:ahLst/>
                          <a:cxnLst>
                            <a:cxn ang="0">
                              <a:pos x="connisteX0" y="connsiteY0"/>
                            </a:cxn>
                            <a:cxn ang="0">
                              <a:pos x="connisteX1" y="connsiteY1"/>
                            </a:cxn>
                            <a:cxn ang="0">
                              <a:pos x="connisteX2" y="connsiteY2"/>
                            </a:cxn>
                            <a:cxn ang="0">
                              <a:pos x="connisteX3" y="connsiteY3"/>
                            </a:cxn>
                            <a:cxn ang="0">
                              <a:pos x="connisteX4" y="connsiteY4"/>
                            </a:cxn>
                            <a:cxn ang="0">
                              <a:pos x="connisteX5" y="connsiteY5"/>
                            </a:cxn>
                            <a:cxn ang="0">
                              <a:pos x="connisteX6" y="connsiteY6"/>
                            </a:cxn>
                          </a:cxnLst>
                          <a:rect l="l" t="t" r="r" b="b"/>
                          <a:pathLst>
                            <a:path w="1216025" h="1341120">
                              <a:moveTo>
                                <a:pt x="1149985" y="0"/>
                              </a:moveTo>
                              <a:lnTo>
                                <a:pt x="0" y="394970"/>
                              </a:lnTo>
                              <a:lnTo>
                                <a:pt x="307340" y="1341120"/>
                              </a:lnTo>
                              <a:lnTo>
                                <a:pt x="805815" y="1187450"/>
                              </a:lnTo>
                              <a:lnTo>
                                <a:pt x="571500" y="534670"/>
                              </a:lnTo>
                              <a:lnTo>
                                <a:pt x="1216025" y="264160"/>
                              </a:lnTo>
                              <a:lnTo>
                                <a:pt x="1149985" y="0"/>
                              </a:lnTo>
                              <a:close/>
                            </a:path>
                          </a:pathLst>
                        </a:custGeom>
                        <a:noFill/>
                        <a:ln w="12700">
                          <a:solidFill>
                            <a:srgbClr val="00B050"/>
                          </a:solidFill>
                        </a:ln>
                      </wps:spPr>
                      <wps:style>
                        <a:lnRef idx="2">
                          <a:schemeClr val="accent1">
                            <a:lumMod val="75000"/>
                          </a:schemeClr>
                        </a:lnRef>
                        <a:fillRef idx="1">
                          <a:schemeClr val="accent1"/>
                        </a:fillRef>
                        <a:effectRef idx="0">
                          <a:srgbClr val="FFFFFF"/>
                        </a:effectRef>
                        <a:fontRef idx="minor">
                          <a:schemeClr val="lt1"/>
                        </a:fontRef>
                      </wps:style>
                      <wps:bodyPr/>
                    </wps:wsp>
                  </a:graphicData>
                </a:graphic>
              </wp:anchor>
            </w:drawing>
          </mc:Choice>
          <mc:Fallback>
            <w:pict>
              <v:shape id="_x0000_s1026" o:spid="_x0000_s1026" o:spt="100" style="position:absolute;left:0pt;margin-left:278.7pt;margin-top:125.35pt;height:105.6pt;width:95.75pt;z-index:251705344;mso-width-relative:page;mso-height-relative:page;" filled="f" stroked="t" coordsize="1216025,1341120" o:gfxdata="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" path="m1149985,0l0,394970,307340,1341120,805815,1187450,571500,534670,1216025,264160,1149985,0xe">
                <v:path o:connectlocs="1149985,0;0,394970;307340,1341120;805815,1187450;571500,534670;1216025,264160;1149985,0" o:connectangles="0,0,0,0,0,0,0"/>
                <v:fill on="f" focussize="0,0"/>
                <v:stroke weight="1pt" color="#00B050 [2404]" joinstyle="round"/>
                <v:imagedata o:title=""/>
                <o:lock v:ext="edit" aspectratio="f"/>
              </v:shape>
            </w:pict>
          </mc:Fallback>
        </mc:AlternateContent>
      </w:r>
      <w:r>
        <w:rPr>
          <w:sz w:val="24"/>
        </w:rPr>
        <mc:AlternateContent>
          <mc:Choice Requires="wps">
            <w:drawing>
              <wp:anchor distT="0" distB="0" distL="114300" distR="114300" simplePos="0" relativeHeight="251704320" behindDoc="0" locked="0" layoutInCell="1" allowOverlap="1">
                <wp:simplePos x="0" y="0"/>
                <wp:positionH relativeFrom="column">
                  <wp:posOffset>4681855</wp:posOffset>
                </wp:positionH>
                <wp:positionV relativeFrom="paragraph">
                  <wp:posOffset>17145</wp:posOffset>
                </wp:positionV>
                <wp:extent cx="1677670" cy="1238250"/>
                <wp:effectExtent l="6350" t="6350" r="11430" b="12700"/>
                <wp:wrapNone/>
                <wp:docPr id="62" name="任意多边形 62"/>
                <wp:cNvGraphicFramePr/>
                <a:graphic xmlns:a="http://schemas.openxmlformats.org/drawingml/2006/main">
                  <a:graphicData uri="http://schemas.microsoft.com/office/word/2010/wordprocessingShape">
                    <wps:wsp>
                      <wps:cNvSpPr/>
                      <wps:spPr>
                        <a:xfrm>
                          <a:off x="5617845" y="953135"/>
                          <a:ext cx="1677670" cy="1238250"/>
                        </a:xfrm>
                        <a:custGeom>
                          <a:avLst/>
                          <a:gdLst>
                            <a:gd name="connisteX0" fmla="*/ 0 w 1677670"/>
                            <a:gd name="connsiteY0" fmla="*/ 13970 h 1238250"/>
                            <a:gd name="connisteX1" fmla="*/ 314960 w 1677670"/>
                            <a:gd name="connsiteY1" fmla="*/ 1238250 h 1238250"/>
                            <a:gd name="connisteX2" fmla="*/ 1677670 w 1677670"/>
                            <a:gd name="connsiteY2" fmla="*/ 952500 h 1238250"/>
                            <a:gd name="connisteX3" fmla="*/ 1398905 w 1677670"/>
                            <a:gd name="connsiteY3" fmla="*/ 0 h 1238250"/>
                            <a:gd name="connisteX4" fmla="*/ 0 w 1677670"/>
                            <a:gd name="connsiteY4" fmla="*/ 13970 h 1238250"/>
                          </a:gdLst>
                          <a:ahLst/>
                          <a:cxnLst>
                            <a:cxn ang="0">
                              <a:pos x="connisteX0" y="connsiteY0"/>
                            </a:cxn>
                            <a:cxn ang="0">
                              <a:pos x="connisteX1" y="connsiteY1"/>
                            </a:cxn>
                            <a:cxn ang="0">
                              <a:pos x="connisteX2" y="connsiteY2"/>
                            </a:cxn>
                            <a:cxn ang="0">
                              <a:pos x="connisteX3" y="connsiteY3"/>
                            </a:cxn>
                            <a:cxn ang="0">
                              <a:pos x="connisteX4" y="connsiteY4"/>
                            </a:cxn>
                          </a:cxnLst>
                          <a:rect l="l" t="t" r="r" b="b"/>
                          <a:pathLst>
                            <a:path w="1677670" h="1238250">
                              <a:moveTo>
                                <a:pt x="0" y="13970"/>
                              </a:moveTo>
                              <a:lnTo>
                                <a:pt x="314960" y="1238250"/>
                              </a:lnTo>
                              <a:lnTo>
                                <a:pt x="1677670" y="952500"/>
                              </a:lnTo>
                              <a:lnTo>
                                <a:pt x="1398905" y="0"/>
                              </a:lnTo>
                              <a:lnTo>
                                <a:pt x="0" y="13970"/>
                              </a:lnTo>
                              <a:close/>
                            </a:path>
                          </a:pathLst>
                        </a:custGeom>
                        <a:noFill/>
                        <a:ln w="12700">
                          <a:solidFill>
                            <a:srgbClr val="00B050"/>
                          </a:solidFill>
                        </a:ln>
                      </wps:spPr>
                      <wps:style>
                        <a:lnRef idx="2">
                          <a:schemeClr val="accent1">
                            <a:lumMod val="75000"/>
                          </a:schemeClr>
                        </a:lnRef>
                        <a:fillRef idx="1">
                          <a:schemeClr val="accent1"/>
                        </a:fillRef>
                        <a:effectRef idx="0">
                          <a:srgbClr val="FFFFFF"/>
                        </a:effectRef>
                        <a:fontRef idx="minor">
                          <a:schemeClr val="lt1"/>
                        </a:fontRef>
                      </wps:style>
                      <wps:bodyPr/>
                    </wps:wsp>
                  </a:graphicData>
                </a:graphic>
              </wp:anchor>
            </w:drawing>
          </mc:Choice>
          <mc:Fallback>
            <w:pict>
              <v:shape id="_x0000_s1026" o:spid="_x0000_s1026" o:spt="100" style="position:absolute;left:0pt;margin-left:368.65pt;margin-top:1.35pt;height:97.5pt;width:132.1pt;z-index:251704320;mso-width-relative:page;mso-height-relative:page;" filled="f" stroked="t" coordsize="1677670,1238250" o:gfxdata="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" path="m0,13970l314960,1238250,1677670,952500,1398905,0,0,13970xe">
                <v:path o:connectlocs="0,13970;314960,1238250;1677670,952500;1398905,0;0,13970" o:connectangles="0,0,0,0,0"/>
                <v:fill on="f" focussize="0,0"/>
                <v:stroke weight="1pt" color="#00B050 [2404]" joinstyle="round"/>
                <v:imagedata o:title=""/>
                <o:lock v:ext="edit" aspectratio="f"/>
              </v:shape>
            </w:pict>
          </mc:Fallback>
        </mc:AlternateContent>
      </w:r>
      <w:r>
        <w:rPr>
          <w:sz w:val="24"/>
        </w:rPr>
        <mc:AlternateContent>
          <mc:Choice Requires="wps">
            <w:drawing>
              <wp:anchor distT="0" distB="0" distL="114300" distR="114300" simplePos="0" relativeHeight="251703296" behindDoc="0" locked="0" layoutInCell="1" allowOverlap="1">
                <wp:simplePos x="0" y="0"/>
                <wp:positionH relativeFrom="column">
                  <wp:posOffset>3285490</wp:posOffset>
                </wp:positionH>
                <wp:positionV relativeFrom="paragraph">
                  <wp:posOffset>655320</wp:posOffset>
                </wp:positionV>
                <wp:extent cx="1237615" cy="476250"/>
                <wp:effectExtent l="0" t="0" r="0" b="0"/>
                <wp:wrapNone/>
                <wp:docPr id="59" name="文本框 59"/>
                <wp:cNvGraphicFramePr/>
                <a:graphic xmlns:a="http://schemas.openxmlformats.org/drawingml/2006/main">
                  <a:graphicData uri="http://schemas.microsoft.com/office/word/2010/wordprocessingShape">
                    <wps:wsp>
                      <wps:cNvSpPr txBox="1"/>
                      <wps:spPr>
                        <a:xfrm>
                          <a:off x="0" y="0"/>
                          <a:ext cx="1237615" cy="4762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D24F0C1">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eastAsia"/>
                                <w:b/>
                                <w:bCs/>
                                <w:color w:val="FFFF00"/>
                                <w:sz w:val="21"/>
                                <w:szCs w:val="21"/>
                                <w:lang w:val="en-US" w:eastAsia="zh-CN"/>
                              </w:rPr>
                            </w:pPr>
                            <w:r>
                              <w:rPr>
                                <w:rFonts w:hint="eastAsia"/>
                                <w:b/>
                                <w:bCs/>
                                <w:color w:val="FFFF00"/>
                                <w:sz w:val="21"/>
                                <w:szCs w:val="21"/>
                                <w:lang w:val="en-US" w:eastAsia="zh-CN"/>
                              </w:rPr>
                              <w:t>宝盛北里</w:t>
                            </w:r>
                          </w:p>
                          <w:p w14:paraId="19204578">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b/>
                                <w:bCs/>
                                <w:color w:val="FFFF00"/>
                                <w:sz w:val="21"/>
                                <w:szCs w:val="21"/>
                                <w:lang w:val="en-US" w:eastAsia="zh-CN"/>
                              </w:rPr>
                            </w:pPr>
                            <w:r>
                              <w:rPr>
                                <w:rFonts w:hint="eastAsia"/>
                                <w:b/>
                                <w:bCs/>
                                <w:color w:val="FFFF00"/>
                                <w:sz w:val="21"/>
                                <w:szCs w:val="21"/>
                                <w:lang w:val="en-US" w:eastAsia="zh-CN"/>
                              </w:rPr>
                              <w:t>225m</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58.7pt;margin-top:51.6pt;height:37.5pt;width:97.45pt;z-index:251703296;mso-width-relative:page;mso-height-relative:page;" filled="f" stroked="f" coordsize="21600,21600" o:gfxdata="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dxuO1dsAAAALAQAADwAAAAAAAAABACAAAAAiAAAA&#10;ZHJzL2Rvd25yZXYueG1sUEsBAhQAFAAAAAgAh07iQO8jjSA9AgAAaAQAAA4AAAAAAAAAAQAgAAAA&#10;KgEAAGRycy9lMm9Eb2MueG1sUEsFBgAAAAAGAAYAWQEAANkFAAAAAA==&#10;">
                <v:fill on="f" focussize="0,0"/>
                <v:stroke on="f" weight="0.5pt"/>
                <v:imagedata o:title=""/>
                <o:lock v:ext="edit" aspectratio="f"/>
                <v:textbox>
                  <w:txbxContent>
                    <w:p w14:paraId="1D24F0C1">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eastAsia"/>
                          <w:b/>
                          <w:bCs/>
                          <w:color w:val="FFFF00"/>
                          <w:sz w:val="21"/>
                          <w:szCs w:val="21"/>
                          <w:lang w:val="en-US" w:eastAsia="zh-CN"/>
                        </w:rPr>
                      </w:pPr>
                      <w:r>
                        <w:rPr>
                          <w:rFonts w:hint="eastAsia"/>
                          <w:b/>
                          <w:bCs/>
                          <w:color w:val="FFFF00"/>
                          <w:sz w:val="21"/>
                          <w:szCs w:val="21"/>
                          <w:lang w:val="en-US" w:eastAsia="zh-CN"/>
                        </w:rPr>
                        <w:t>宝盛北里</w:t>
                      </w:r>
                    </w:p>
                    <w:p w14:paraId="19204578">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b/>
                          <w:bCs/>
                          <w:color w:val="FFFF00"/>
                          <w:sz w:val="21"/>
                          <w:szCs w:val="21"/>
                          <w:lang w:val="en-US" w:eastAsia="zh-CN"/>
                        </w:rPr>
                      </w:pPr>
                      <w:r>
                        <w:rPr>
                          <w:rFonts w:hint="eastAsia"/>
                          <w:b/>
                          <w:bCs/>
                          <w:color w:val="FFFF00"/>
                          <w:sz w:val="21"/>
                          <w:szCs w:val="21"/>
                          <w:lang w:val="en-US" w:eastAsia="zh-CN"/>
                        </w:rPr>
                        <w:t>225m</w:t>
                      </w:r>
                    </w:p>
                  </w:txbxContent>
                </v:textbox>
              </v:shape>
            </w:pict>
          </mc:Fallback>
        </mc:AlternateContent>
      </w:r>
      <w:r>
        <w:rPr>
          <w:sz w:val="24"/>
        </w:rPr>
        <mc:AlternateContent>
          <mc:Choice Requires="wps">
            <w:drawing>
              <wp:anchor distT="0" distB="0" distL="114300" distR="114300" simplePos="0" relativeHeight="251702272" behindDoc="0" locked="0" layoutInCell="1" allowOverlap="1">
                <wp:simplePos x="0" y="0"/>
                <wp:positionH relativeFrom="column">
                  <wp:posOffset>3114675</wp:posOffset>
                </wp:positionH>
                <wp:positionV relativeFrom="paragraph">
                  <wp:posOffset>23495</wp:posOffset>
                </wp:positionV>
                <wp:extent cx="1499870" cy="1690370"/>
                <wp:effectExtent l="6350" t="6350" r="17780" b="17780"/>
                <wp:wrapNone/>
                <wp:docPr id="56" name="任意多边形 56"/>
                <wp:cNvGraphicFramePr/>
                <a:graphic xmlns:a="http://schemas.openxmlformats.org/drawingml/2006/main">
                  <a:graphicData uri="http://schemas.microsoft.com/office/word/2010/wordprocessingShape">
                    <wps:wsp>
                      <wps:cNvSpPr/>
                      <wps:spPr>
                        <a:xfrm>
                          <a:off x="4050665" y="959485"/>
                          <a:ext cx="1499870" cy="1690370"/>
                        </a:xfrm>
                        <a:custGeom>
                          <a:avLst/>
                          <a:gdLst>
                            <a:gd name="connisteX0" fmla="*/ 0 w 1499870"/>
                            <a:gd name="connsiteY0" fmla="*/ 232410 h 1690370"/>
                            <a:gd name="connisteX1" fmla="*/ 488315 w 1499870"/>
                            <a:gd name="connsiteY1" fmla="*/ 1690370 h 1690370"/>
                            <a:gd name="connisteX2" fmla="*/ 1499870 w 1499870"/>
                            <a:gd name="connsiteY2" fmla="*/ 1339850 h 1690370"/>
                            <a:gd name="connisteX3" fmla="*/ 1208405 w 1499870"/>
                            <a:gd name="connsiteY3" fmla="*/ 0 h 1690370"/>
                            <a:gd name="connisteX4" fmla="*/ 666750 w 1499870"/>
                            <a:gd name="connsiteY4" fmla="*/ 6350 h 1690370"/>
                            <a:gd name="connisteX5" fmla="*/ 0 w 1499870"/>
                            <a:gd name="connsiteY5" fmla="*/ 232410 h 1690370"/>
                          </a:gdLst>
                          <a:ahLst/>
                          <a:cxnLst>
                            <a:cxn ang="0">
                              <a:pos x="connisteX0" y="connsiteY0"/>
                            </a:cxn>
                            <a:cxn ang="0">
                              <a:pos x="connisteX1" y="connsiteY1"/>
                            </a:cxn>
                            <a:cxn ang="0">
                              <a:pos x="connisteX2" y="connsiteY2"/>
                            </a:cxn>
                            <a:cxn ang="0">
                              <a:pos x="connisteX3" y="connsiteY3"/>
                            </a:cxn>
                            <a:cxn ang="0">
                              <a:pos x="connisteX4" y="connsiteY4"/>
                            </a:cxn>
                            <a:cxn ang="0">
                              <a:pos x="connisteX5" y="connsiteY5"/>
                            </a:cxn>
                          </a:cxnLst>
                          <a:rect l="l" t="t" r="r" b="b"/>
                          <a:pathLst>
                            <a:path w="1499870" h="1690370">
                              <a:moveTo>
                                <a:pt x="0" y="232410"/>
                              </a:moveTo>
                              <a:lnTo>
                                <a:pt x="488315" y="1690370"/>
                              </a:lnTo>
                              <a:lnTo>
                                <a:pt x="1499870" y="1339850"/>
                              </a:lnTo>
                              <a:lnTo>
                                <a:pt x="1208405" y="0"/>
                              </a:lnTo>
                              <a:lnTo>
                                <a:pt x="666750" y="6350"/>
                              </a:lnTo>
                              <a:lnTo>
                                <a:pt x="0" y="232410"/>
                              </a:lnTo>
                              <a:close/>
                            </a:path>
                          </a:pathLst>
                        </a:custGeom>
                        <a:noFill/>
                        <a:ln w="12700">
                          <a:solidFill>
                            <a:srgbClr val="00B050"/>
                          </a:solidFill>
                        </a:ln>
                      </wps:spPr>
                      <wps:style>
                        <a:lnRef idx="2">
                          <a:schemeClr val="accent1">
                            <a:lumMod val="75000"/>
                          </a:schemeClr>
                        </a:lnRef>
                        <a:fillRef idx="1">
                          <a:schemeClr val="accent1"/>
                        </a:fillRef>
                        <a:effectRef idx="0">
                          <a:srgbClr val="FFFFFF"/>
                        </a:effectRef>
                        <a:fontRef idx="minor">
                          <a:schemeClr val="lt1"/>
                        </a:fontRef>
                      </wps:style>
                      <wps:bodyPr/>
                    </wps:wsp>
                  </a:graphicData>
                </a:graphic>
              </wp:anchor>
            </w:drawing>
          </mc:Choice>
          <mc:Fallback>
            <w:pict>
              <v:shape id="_x0000_s1026" o:spid="_x0000_s1026" o:spt="100" style="position:absolute;left:0pt;margin-left:245.25pt;margin-top:1.85pt;height:133.1pt;width:118.1pt;z-index:251702272;mso-width-relative:page;mso-height-relative:page;" filled="f" stroked="t" coordsize="1499870,1690370" o:gfxdata="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" path="m0,232410l488315,1690370,1499870,1339850,1208405,0,666750,6350,0,232410xe">
                <v:path o:connectlocs="0,232410;488315,1690370;1499870,1339850;1208405,0;666750,6350;0,232410" o:connectangles="0,0,0,0,0,0"/>
                <v:fill on="f" focussize="0,0"/>
                <v:stroke weight="1pt" color="#00B050 [2404]" joinstyle="round"/>
                <v:imagedata o:title=""/>
                <o:lock v:ext="edit" aspectratio="f"/>
              </v:shape>
            </w:pict>
          </mc:Fallback>
        </mc:AlternateContent>
      </w:r>
      <w:r>
        <w:rPr>
          <w:sz w:val="24"/>
        </w:rPr>
        <mc:AlternateContent>
          <mc:Choice Requires="wps">
            <w:drawing>
              <wp:anchor distT="0" distB="0" distL="114300" distR="114300" simplePos="0" relativeHeight="251701248" behindDoc="0" locked="0" layoutInCell="1" allowOverlap="1">
                <wp:simplePos x="0" y="0"/>
                <wp:positionH relativeFrom="column">
                  <wp:posOffset>5047615</wp:posOffset>
                </wp:positionH>
                <wp:positionV relativeFrom="paragraph">
                  <wp:posOffset>3728720</wp:posOffset>
                </wp:positionV>
                <wp:extent cx="571500" cy="304800"/>
                <wp:effectExtent l="0" t="0" r="0" b="0"/>
                <wp:wrapNone/>
                <wp:docPr id="42" name="文本框 42"/>
                <wp:cNvGraphicFramePr/>
                <a:graphic xmlns:a="http://schemas.openxmlformats.org/drawingml/2006/main">
                  <a:graphicData uri="http://schemas.microsoft.com/office/word/2010/wordprocessingShape">
                    <wps:wsp>
                      <wps:cNvSpPr txBox="1"/>
                      <wps:spPr>
                        <a:xfrm>
                          <a:off x="0" y="0"/>
                          <a:ext cx="571500" cy="304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3B0026A">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eastAsia="宋体"/>
                                <w:sz w:val="21"/>
                                <w:szCs w:val="21"/>
                                <w:lang w:val="en-US" w:eastAsia="zh-CN"/>
                              </w:rPr>
                            </w:pPr>
                            <w:r>
                              <w:rPr>
                                <w:rFonts w:hint="eastAsia"/>
                                <w:b/>
                                <w:bCs/>
                                <w:color w:val="FFFF00"/>
                                <w:sz w:val="21"/>
                                <w:szCs w:val="21"/>
                                <w:lang w:val="en-US" w:eastAsia="zh-CN"/>
                              </w:rPr>
                              <w:t>500m</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97.45pt;margin-top:293.6pt;height:24pt;width:45pt;z-index:251701248;mso-width-relative:page;mso-height-relative:page;" filled="f" stroked="f" coordsize="21600,21600" o:gfxdata="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AuK6oZ3AAAAAsBAAAPAAAAAAAAAAEAIAAAACIAAABk&#10;cnMvZG93bnJldi54bWxQSwECFAAUAAAACACHTuJAbKU9UDsCAABnBAAADgAAAAAAAAABACAAAAAr&#10;AQAAZHJzL2Uyb0RvYy54bWxQSwUGAAAAAAYABgBZAQAA2AUAAAAA&#10;">
                <v:fill on="f" focussize="0,0"/>
                <v:stroke on="f" weight="0.5pt"/>
                <v:imagedata o:title=""/>
                <o:lock v:ext="edit" aspectratio="f"/>
                <v:textbox>
                  <w:txbxContent>
                    <w:p w14:paraId="03B0026A">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eastAsia="宋体"/>
                          <w:sz w:val="21"/>
                          <w:szCs w:val="21"/>
                          <w:lang w:val="en-US" w:eastAsia="zh-CN"/>
                        </w:rPr>
                      </w:pPr>
                      <w:r>
                        <w:rPr>
                          <w:rFonts w:hint="eastAsia"/>
                          <w:b/>
                          <w:bCs/>
                          <w:color w:val="FFFF00"/>
                          <w:sz w:val="21"/>
                          <w:szCs w:val="21"/>
                          <w:lang w:val="en-US" w:eastAsia="zh-CN"/>
                        </w:rPr>
                        <w:t>500m</w:t>
                      </w:r>
                    </w:p>
                  </w:txbxContent>
                </v:textbox>
              </v:shape>
            </w:pict>
          </mc:Fallback>
        </mc:AlternateContent>
      </w:r>
      <w:r>
        <w:rPr>
          <w:sz w:val="21"/>
        </w:rPr>
        <mc:AlternateContent>
          <mc:Choice Requires="wps">
            <w:drawing>
              <wp:anchor distT="0" distB="0" distL="114300" distR="114300" simplePos="0" relativeHeight="251700224" behindDoc="0" locked="0" layoutInCell="1" allowOverlap="1">
                <wp:simplePos x="0" y="0"/>
                <wp:positionH relativeFrom="column">
                  <wp:posOffset>4494530</wp:posOffset>
                </wp:positionH>
                <wp:positionV relativeFrom="paragraph">
                  <wp:posOffset>2508885</wp:posOffset>
                </wp:positionV>
                <wp:extent cx="952500" cy="1914525"/>
                <wp:effectExtent l="6350" t="0" r="12700" b="9525"/>
                <wp:wrapNone/>
                <wp:docPr id="39" name="直接箭头连接符 39"/>
                <wp:cNvGraphicFramePr/>
                <a:graphic xmlns:a="http://schemas.openxmlformats.org/drawingml/2006/main">
                  <a:graphicData uri="http://schemas.microsoft.com/office/word/2010/wordprocessingShape">
                    <wps:wsp>
                      <wps:cNvCnPr/>
                      <wps:spPr>
                        <a:xfrm>
                          <a:off x="5430520" y="3444875"/>
                          <a:ext cx="952500" cy="1914525"/>
                        </a:xfrm>
                        <a:prstGeom prst="straightConnector1">
                          <a:avLst/>
                        </a:prstGeom>
                        <a:ln w="12700">
                          <a:solidFill>
                            <a:srgbClr val="FFFF00"/>
                          </a:solidFill>
                          <a:headEnd type="arrow"/>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353.9pt;margin-top:197.55pt;height:150.75pt;width:75pt;z-index:251700224;mso-width-relative:page;mso-height-relative:page;" filled="f" stroked="t" coordsize="21600,21600" o:gfxdata="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DXrlAe2AAAAAsBAAAPAAAAAAAA&#10;AAEAIAAAACIAAABkcnMvZG93bnJldi54bWxQSwECFAAUAAAACACHTuJAXLI/gRICAAD0AwAADgAA&#10;AAAAAAABACAAAAAnAQAAZHJzL2Uyb0RvYy54bWxQSwUGAAAAAAYABgBZAQAAqwUAAAAA&#10;">
                <v:fill on="f" focussize="0,0"/>
                <v:stroke weight="1pt" color="#FFFF00 [3204]" joinstyle="round" startarrow="open" endarrow="open"/>
                <v:imagedata o:title=""/>
                <o:lock v:ext="edit" aspectratio="f"/>
              </v:shape>
            </w:pict>
          </mc:Fallback>
        </mc:AlternateContent>
      </w:r>
      <w:r>
        <w:rPr>
          <w:rFonts w:hint="default"/>
          <w:sz w:val="21"/>
        </w:rPr>
        <mc:AlternateContent>
          <mc:Choice Requires="wps">
            <w:drawing>
              <wp:anchor distT="0" distB="0" distL="114300" distR="114300" simplePos="0" relativeHeight="251699200" behindDoc="0" locked="0" layoutInCell="1" allowOverlap="1">
                <wp:simplePos x="0" y="0"/>
                <wp:positionH relativeFrom="column">
                  <wp:posOffset>90805</wp:posOffset>
                </wp:positionH>
                <wp:positionV relativeFrom="paragraph">
                  <wp:posOffset>4319270</wp:posOffset>
                </wp:positionV>
                <wp:extent cx="171450" cy="114300"/>
                <wp:effectExtent l="9525" t="9525" r="9525" b="9525"/>
                <wp:wrapNone/>
                <wp:docPr id="67" name="矩形 67"/>
                <wp:cNvGraphicFramePr/>
                <a:graphic xmlns:a="http://schemas.openxmlformats.org/drawingml/2006/main">
                  <a:graphicData uri="http://schemas.microsoft.com/office/word/2010/wordprocessingShape">
                    <wps:wsp>
                      <wps:cNvSpPr/>
                      <wps:spPr>
                        <a:xfrm>
                          <a:off x="0" y="0"/>
                          <a:ext cx="171450" cy="114300"/>
                        </a:xfrm>
                        <a:prstGeom prst="rect">
                          <a:avLst/>
                        </a:prstGeom>
                        <a:noFill/>
                        <a:ln w="19050">
                          <a:solidFill>
                            <a:srgbClr val="00B05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7.15pt;margin-top:340.1pt;height:9pt;width:13.5pt;z-index:251699200;v-text-anchor:middle;mso-width-relative:page;mso-height-relative:page;" filled="f" stroked="t" coordsize="21600,21600" o:gfxdata="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BZRQDR&#10;1gAAAAkBAAAPAAAAAAAAAAEAIAAAACIAAABkcnMvZG93bnJldi54bWxQSwECFAAUAAAACACHTuJA&#10;QgIonVwCAAC1BAAADgAAAAAAAAABACAAAAAlAQAAZHJzL2Uyb0RvYy54bWxQSwUGAAAAAAYABgBZ&#10;AQAA8wUAAAAA&#10;">
                <v:fill on="f" focussize="0,0"/>
                <v:stroke weight="1.5pt" color="#00B050 [2404]" joinstyle="round"/>
                <v:imagedata o:title=""/>
                <o:lock v:ext="edit" aspectratio="f"/>
              </v:rect>
            </w:pict>
          </mc:Fallback>
        </mc:AlternateContent>
      </w:r>
      <w:r>
        <w:rPr>
          <w:rFonts w:hint="default"/>
          <w:sz w:val="21"/>
        </w:rPr>
        <mc:AlternateContent>
          <mc:Choice Requires="wps">
            <w:drawing>
              <wp:anchor distT="0" distB="0" distL="114300" distR="114300" simplePos="0" relativeHeight="251698176" behindDoc="0" locked="0" layoutInCell="1" allowOverlap="1">
                <wp:simplePos x="0" y="0"/>
                <wp:positionH relativeFrom="column">
                  <wp:posOffset>90805</wp:posOffset>
                </wp:positionH>
                <wp:positionV relativeFrom="paragraph">
                  <wp:posOffset>4014470</wp:posOffset>
                </wp:positionV>
                <wp:extent cx="171450" cy="114300"/>
                <wp:effectExtent l="9525" t="9525" r="9525" b="9525"/>
                <wp:wrapNone/>
                <wp:docPr id="66" name="矩形 66"/>
                <wp:cNvGraphicFramePr/>
                <a:graphic xmlns:a="http://schemas.openxmlformats.org/drawingml/2006/main">
                  <a:graphicData uri="http://schemas.microsoft.com/office/word/2010/wordprocessingShape">
                    <wps:wsp>
                      <wps:cNvSpPr/>
                      <wps:spPr>
                        <a:xfrm>
                          <a:off x="0" y="0"/>
                          <a:ext cx="171450" cy="114300"/>
                        </a:xfrm>
                        <a:prstGeom prst="rect">
                          <a:avLst/>
                        </a:prstGeom>
                        <a:noFill/>
                        <a:ln w="19050">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7.15pt;margin-top:316.1pt;height:9pt;width:13.5pt;z-index:251698176;v-text-anchor:middle;mso-width-relative:page;mso-height-relative:page;" filled="f" stroked="t" coordsize="21600,21600" o:gfxdata="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IPU&#10;o6PXAAAACQEAAA8AAAAAAAAAAQAgAAAAIgAAAGRycy9kb3ducmV2LnhtbFBLAQIUABQAAAAIAIdO&#10;4kAEvONrXQIAALUEAAAOAAAAAAAAAAEAIAAAACYBAABkcnMvZTJvRG9jLnhtbFBLBQYAAAAABgAG&#10;AFkBAAD1BQAAAAA=&#10;">
                <v:fill on="f" focussize="0,0"/>
                <v:stroke weight="1.5pt" color="#FF0000 [2404]" joinstyle="round"/>
                <v:imagedata o:title=""/>
                <o:lock v:ext="edit" aspectratio="f"/>
              </v:rect>
            </w:pict>
          </mc:Fallback>
        </mc:AlternateContent>
      </w:r>
      <w:r>
        <w:rPr>
          <w:rFonts w:hint="default"/>
          <w:sz w:val="21"/>
        </w:rPr>
        <mc:AlternateContent>
          <mc:Choice Requires="wps">
            <w:drawing>
              <wp:anchor distT="0" distB="0" distL="114300" distR="114300" simplePos="0" relativeHeight="251697152" behindDoc="0" locked="0" layoutInCell="1" allowOverlap="1">
                <wp:simplePos x="0" y="0"/>
                <wp:positionH relativeFrom="column">
                  <wp:posOffset>14605</wp:posOffset>
                </wp:positionH>
                <wp:positionV relativeFrom="paragraph">
                  <wp:posOffset>3625215</wp:posOffset>
                </wp:positionV>
                <wp:extent cx="1561465" cy="1284605"/>
                <wp:effectExtent l="4445" t="4445" r="15240" b="6350"/>
                <wp:wrapNone/>
                <wp:docPr id="64" name="文本框 64"/>
                <wp:cNvGraphicFramePr/>
                <a:graphic xmlns:a="http://schemas.openxmlformats.org/drawingml/2006/main">
                  <a:graphicData uri="http://schemas.microsoft.com/office/word/2010/wordprocessingShape">
                    <wps:wsp>
                      <wps:cNvSpPr txBox="1"/>
                      <wps:spPr>
                        <a:xfrm>
                          <a:off x="0" y="0"/>
                          <a:ext cx="1561465" cy="128460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05220CB6">
                            <w:pPr>
                              <w:keepNext w:val="0"/>
                              <w:keepLines w:val="0"/>
                              <w:pageBreakBefore w:val="0"/>
                              <w:widowControl w:val="0"/>
                              <w:kinsoku/>
                              <w:wordWrap/>
                              <w:overflowPunct/>
                              <w:topLinePunct w:val="0"/>
                              <w:bidi w:val="0"/>
                              <w:adjustRightInd/>
                              <w:snapToGrid/>
                              <w:spacing w:line="432" w:lineRule="auto"/>
                              <w:ind w:firstLine="0" w:firstLineChars="0"/>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b/>
                                <w:bCs/>
                                <w:sz w:val="21"/>
                                <w:szCs w:val="21"/>
                                <w:lang w:val="en-US" w:eastAsia="zh-CN"/>
                              </w:rPr>
                              <w:t>图例</w:t>
                            </w:r>
                          </w:p>
                          <w:p w14:paraId="145DD953">
                            <w:pPr>
                              <w:keepNext w:val="0"/>
                              <w:keepLines w:val="0"/>
                              <w:pageBreakBefore w:val="0"/>
                              <w:widowControl w:val="0"/>
                              <w:kinsoku/>
                              <w:wordWrap/>
                              <w:overflowPunct/>
                              <w:topLinePunct w:val="0"/>
                              <w:bidi w:val="0"/>
                              <w:adjustRightInd/>
                              <w:snapToGrid/>
                              <w:spacing w:line="432" w:lineRule="auto"/>
                              <w:ind w:firstLine="420" w:firstLineChars="200"/>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项目位置</w:t>
                            </w:r>
                          </w:p>
                          <w:p w14:paraId="64A664F7">
                            <w:pPr>
                              <w:keepNext w:val="0"/>
                              <w:keepLines w:val="0"/>
                              <w:pageBreakBefore w:val="0"/>
                              <w:widowControl w:val="0"/>
                              <w:kinsoku/>
                              <w:wordWrap/>
                              <w:overflowPunct/>
                              <w:topLinePunct w:val="0"/>
                              <w:bidi w:val="0"/>
                              <w:adjustRightInd/>
                              <w:snapToGrid/>
                              <w:spacing w:line="432" w:lineRule="auto"/>
                              <w:ind w:firstLine="420" w:firstLineChars="200"/>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大气环境保护目标</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5pt;margin-top:285.45pt;height:101.15pt;width:122.95pt;z-index:251697152;mso-width-relative:page;mso-height-relative:page;" fillcolor="#FFFFFF [3201]" filled="t" stroked="t" coordsize="21600,21600" o:gfxdata="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sMV9n9YA&#10;AAAJAQAADwAAAAAAAAABACAAAAAiAAAAZHJzL2Rvd25yZXYueG1sUEsBAhQAFAAAAAgAh07iQCju&#10;YSdaAgAAugQAAA4AAAAAAAAAAQAgAAAAJQEAAGRycy9lMm9Eb2MueG1sUEsFBgAAAAAGAAYAWQEA&#10;APEFAAAAAA==&#10;">
                <v:fill on="t" focussize="0,0"/>
                <v:stroke weight="0.5pt" color="#000000 [3204]" joinstyle="round"/>
                <v:imagedata o:title=""/>
                <o:lock v:ext="edit" aspectratio="f"/>
                <v:textbox>
                  <w:txbxContent>
                    <w:p w14:paraId="05220CB6">
                      <w:pPr>
                        <w:keepNext w:val="0"/>
                        <w:keepLines w:val="0"/>
                        <w:pageBreakBefore w:val="0"/>
                        <w:widowControl w:val="0"/>
                        <w:kinsoku/>
                        <w:wordWrap/>
                        <w:overflowPunct/>
                        <w:topLinePunct w:val="0"/>
                        <w:bidi w:val="0"/>
                        <w:adjustRightInd/>
                        <w:snapToGrid/>
                        <w:spacing w:line="432" w:lineRule="auto"/>
                        <w:ind w:firstLine="0" w:firstLineChars="0"/>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b/>
                          <w:bCs/>
                          <w:sz w:val="21"/>
                          <w:szCs w:val="21"/>
                          <w:lang w:val="en-US" w:eastAsia="zh-CN"/>
                        </w:rPr>
                        <w:t>图例</w:t>
                      </w:r>
                    </w:p>
                    <w:p w14:paraId="145DD953">
                      <w:pPr>
                        <w:keepNext w:val="0"/>
                        <w:keepLines w:val="0"/>
                        <w:pageBreakBefore w:val="0"/>
                        <w:widowControl w:val="0"/>
                        <w:kinsoku/>
                        <w:wordWrap/>
                        <w:overflowPunct/>
                        <w:topLinePunct w:val="0"/>
                        <w:bidi w:val="0"/>
                        <w:adjustRightInd/>
                        <w:snapToGrid/>
                        <w:spacing w:line="432" w:lineRule="auto"/>
                        <w:ind w:firstLine="420" w:firstLineChars="200"/>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项目位置</w:t>
                      </w:r>
                    </w:p>
                    <w:p w14:paraId="64A664F7">
                      <w:pPr>
                        <w:keepNext w:val="0"/>
                        <w:keepLines w:val="0"/>
                        <w:pageBreakBefore w:val="0"/>
                        <w:widowControl w:val="0"/>
                        <w:kinsoku/>
                        <w:wordWrap/>
                        <w:overflowPunct/>
                        <w:topLinePunct w:val="0"/>
                        <w:bidi w:val="0"/>
                        <w:adjustRightInd/>
                        <w:snapToGrid/>
                        <w:spacing w:line="432" w:lineRule="auto"/>
                        <w:ind w:firstLine="420" w:firstLineChars="200"/>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大气环境保护目标</w:t>
                      </w:r>
                    </w:p>
                  </w:txbxContent>
                </v:textbox>
              </v:shape>
            </w:pict>
          </mc:Fallback>
        </mc:AlternateContent>
      </w:r>
      <w:r>
        <mc:AlternateContent>
          <mc:Choice Requires="wps">
            <w:drawing>
              <wp:anchor distT="0" distB="0" distL="114300" distR="114300" simplePos="0" relativeHeight="251696128" behindDoc="0" locked="0" layoutInCell="1" allowOverlap="1">
                <wp:simplePos x="0" y="0"/>
                <wp:positionH relativeFrom="column">
                  <wp:posOffset>7845425</wp:posOffset>
                </wp:positionH>
                <wp:positionV relativeFrom="paragraph">
                  <wp:posOffset>-8890</wp:posOffset>
                </wp:positionV>
                <wp:extent cx="754380" cy="1116965"/>
                <wp:effectExtent l="4445" t="4445" r="22225" b="21590"/>
                <wp:wrapNone/>
                <wp:docPr id="115" name="文本框 115"/>
                <wp:cNvGraphicFramePr/>
                <a:graphic xmlns:a="http://schemas.openxmlformats.org/drawingml/2006/main">
                  <a:graphicData uri="http://schemas.microsoft.com/office/word/2010/wordprocessingShape">
                    <wps:wsp>
                      <wps:cNvSpPr txBox="1"/>
                      <wps:spPr>
                        <a:xfrm>
                          <a:off x="0" y="0"/>
                          <a:ext cx="754380" cy="111696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057C3A10">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pPr>
                            <w:r>
                              <w:rPr>
                                <w:rFonts w:hint="eastAsia" w:ascii="Arial" w:hAnsi="Arial" w:cs="Arial"/>
                              </w:rPr>
                              <w:drawing>
                                <wp:inline distT="0" distB="0" distL="114300" distR="114300">
                                  <wp:extent cx="563245" cy="966470"/>
                                  <wp:effectExtent l="0" t="0" r="8255" b="5080"/>
                                  <wp:docPr id="11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3"/>
                                          <pic:cNvPicPr>
                                            <a:picLocks noChangeAspect="1"/>
                                          </pic:cNvPicPr>
                                        </pic:nvPicPr>
                                        <pic:blipFill>
                                          <a:blip r:embed="rId33"/>
                                          <a:stretch>
                                            <a:fillRect/>
                                          </a:stretch>
                                        </pic:blipFill>
                                        <pic:spPr>
                                          <a:xfrm>
                                            <a:off x="0" y="0"/>
                                            <a:ext cx="563245" cy="966470"/>
                                          </a:xfrm>
                                          <a:prstGeom prst="rect">
                                            <a:avLst/>
                                          </a:prstGeom>
                                          <a:noFill/>
                                          <a:ln w="9525">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17.75pt;margin-top:-0.7pt;height:87.95pt;width:59.4pt;z-index:251696128;mso-width-relative:page;mso-height-relative:page;" fillcolor="#FFFFFF [3201]" filled="t" stroked="t" coordsize="21600,21600" o:gfxdata="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Cqw&#10;y9DYAAAADAEAAA8AAAAAAAAAAQAgAAAAIgAAAGRycy9kb3ducmV2LnhtbFBLAQIUABQAAAAIAIdO&#10;4kD1IEp0XAIAALsEAAAOAAAAAAAAAAEAIAAAACcBAABkcnMvZTJvRG9jLnhtbFBLBQYAAAAABgAG&#10;AFkBAAD1BQAAAAA=&#10;">
                <v:fill on="t" focussize="0,0"/>
                <v:stroke weight="0.5pt" color="#000000 [3204]" joinstyle="round"/>
                <v:imagedata o:title=""/>
                <o:lock v:ext="edit" aspectratio="f"/>
                <v:textbox>
                  <w:txbxContent>
                    <w:p w14:paraId="057C3A10">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pPr>
                      <w:r>
                        <w:rPr>
                          <w:rFonts w:hint="eastAsia" w:ascii="Arial" w:hAnsi="Arial" w:cs="Arial"/>
                        </w:rPr>
                        <w:drawing>
                          <wp:inline distT="0" distB="0" distL="114300" distR="114300">
                            <wp:extent cx="563245" cy="966470"/>
                            <wp:effectExtent l="0" t="0" r="8255" b="5080"/>
                            <wp:docPr id="11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3"/>
                                    <pic:cNvPicPr>
                                      <a:picLocks noChangeAspect="1"/>
                                    </pic:cNvPicPr>
                                  </pic:nvPicPr>
                                  <pic:blipFill>
                                    <a:blip r:embed="rId33"/>
                                    <a:stretch>
                                      <a:fillRect/>
                                    </a:stretch>
                                  </pic:blipFill>
                                  <pic:spPr>
                                    <a:xfrm>
                                      <a:off x="0" y="0"/>
                                      <a:ext cx="563245" cy="966470"/>
                                    </a:xfrm>
                                    <a:prstGeom prst="rect">
                                      <a:avLst/>
                                    </a:prstGeom>
                                    <a:noFill/>
                                    <a:ln w="9525">
                                      <a:noFill/>
                                    </a:ln>
                                  </pic:spPr>
                                </pic:pic>
                              </a:graphicData>
                            </a:graphic>
                          </wp:inline>
                        </w:drawing>
                      </w:r>
                    </w:p>
                  </w:txbxContent>
                </v:textbox>
              </v:shape>
            </w:pict>
          </mc:Fallback>
        </mc:AlternateContent>
      </w:r>
      <w:r>
        <w:rPr>
          <w:rFonts w:hint="eastAsia" w:eastAsia="宋体"/>
          <w:lang w:eastAsia="zh-CN"/>
        </w:rPr>
        <w:drawing>
          <wp:inline distT="0" distB="0" distL="114300" distR="114300">
            <wp:extent cx="8596630" cy="4921885"/>
            <wp:effectExtent l="0" t="0" r="13970" b="12065"/>
            <wp:docPr id="38" name="图片 38" descr="环境"/>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环境"/>
                    <pic:cNvPicPr>
                      <a:picLocks noChangeAspect="1"/>
                    </pic:cNvPicPr>
                  </pic:nvPicPr>
                  <pic:blipFill>
                    <a:blip r:embed="rId36"/>
                    <a:stretch>
                      <a:fillRect/>
                    </a:stretch>
                  </pic:blipFill>
                  <pic:spPr>
                    <a:xfrm>
                      <a:off x="0" y="0"/>
                      <a:ext cx="8596630" cy="4921885"/>
                    </a:xfrm>
                    <a:prstGeom prst="rect">
                      <a:avLst/>
                    </a:prstGeom>
                  </pic:spPr>
                </pic:pic>
              </a:graphicData>
            </a:graphic>
          </wp:inline>
        </w:drawing>
      </w:r>
    </w:p>
    <w:p w14:paraId="3CA8E24D">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宋体"/>
          <w:lang w:eastAsia="zh-CN"/>
        </w:rPr>
        <w:sectPr>
          <w:pgSz w:w="16838" w:h="11905" w:orient="landscape"/>
          <w:pgMar w:top="1474" w:right="1814" w:bottom="1474" w:left="1474" w:header="850" w:footer="850" w:gutter="0"/>
          <w:pgBorders>
            <w:top w:val="none" w:sz="0" w:space="0"/>
            <w:left w:val="none" w:sz="0" w:space="0"/>
            <w:bottom w:val="none" w:sz="0" w:space="0"/>
            <w:right w:val="none" w:sz="0" w:space="0"/>
          </w:pgBorders>
          <w:pgNumType w:fmt="decimal"/>
          <w:cols w:space="0" w:num="1"/>
          <w:docGrid w:linePitch="319" w:charSpace="0"/>
        </w:sectPr>
      </w:pPr>
      <w:r>
        <w:rPr>
          <w:rFonts w:hint="eastAsia" w:eastAsia="宋体"/>
          <w:b/>
          <w:bCs/>
          <w:lang w:eastAsia="zh-CN"/>
        </w:rPr>
        <w:t>附图3 项目大气环境保护目标分布图</w:t>
      </w:r>
    </w:p>
    <w:p w14:paraId="648FA92A">
      <w:pPr>
        <w:keepNext w:val="0"/>
        <w:keepLines w:val="0"/>
        <w:pageBreakBefore w:val="0"/>
        <w:widowControl w:val="0"/>
        <w:kinsoku/>
        <w:wordWrap/>
        <w:overflowPunct/>
        <w:topLinePunct w:val="0"/>
        <w:autoSpaceDE/>
        <w:autoSpaceDN/>
        <w:bidi w:val="0"/>
        <w:adjustRightInd/>
        <w:snapToGrid/>
        <w:ind w:firstLine="0" w:firstLineChars="0"/>
        <w:jc w:val="center"/>
        <w:textAlignment w:val="auto"/>
      </w:pPr>
      <w:r>
        <mc:AlternateContent>
          <mc:Choice Requires="wps">
            <w:drawing>
              <wp:anchor distT="0" distB="0" distL="114300" distR="114300" simplePos="0" relativeHeight="251726848" behindDoc="0" locked="0" layoutInCell="1" allowOverlap="1">
                <wp:simplePos x="0" y="0"/>
                <wp:positionH relativeFrom="column">
                  <wp:posOffset>7721600</wp:posOffset>
                </wp:positionH>
                <wp:positionV relativeFrom="paragraph">
                  <wp:posOffset>-37465</wp:posOffset>
                </wp:positionV>
                <wp:extent cx="754380" cy="1116965"/>
                <wp:effectExtent l="4445" t="4445" r="22225" b="21590"/>
                <wp:wrapNone/>
                <wp:docPr id="94" name="文本框 94"/>
                <wp:cNvGraphicFramePr/>
                <a:graphic xmlns:a="http://schemas.openxmlformats.org/drawingml/2006/main">
                  <a:graphicData uri="http://schemas.microsoft.com/office/word/2010/wordprocessingShape">
                    <wps:wsp>
                      <wps:cNvSpPr txBox="1"/>
                      <wps:spPr>
                        <a:xfrm>
                          <a:off x="0" y="0"/>
                          <a:ext cx="754380" cy="111696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6A76E0EA">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pPr>
                            <w:r>
                              <w:rPr>
                                <w:rFonts w:hint="eastAsia" w:ascii="Arial" w:hAnsi="Arial" w:cs="Arial"/>
                              </w:rPr>
                              <w:drawing>
                                <wp:inline distT="0" distB="0" distL="114300" distR="114300">
                                  <wp:extent cx="563245" cy="966470"/>
                                  <wp:effectExtent l="0" t="0" r="8255" b="5080"/>
                                  <wp:docPr id="9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3"/>
                                          <pic:cNvPicPr>
                                            <a:picLocks noChangeAspect="1"/>
                                          </pic:cNvPicPr>
                                        </pic:nvPicPr>
                                        <pic:blipFill>
                                          <a:blip r:embed="rId33"/>
                                          <a:stretch>
                                            <a:fillRect/>
                                          </a:stretch>
                                        </pic:blipFill>
                                        <pic:spPr>
                                          <a:xfrm>
                                            <a:off x="0" y="0"/>
                                            <a:ext cx="563245" cy="966470"/>
                                          </a:xfrm>
                                          <a:prstGeom prst="rect">
                                            <a:avLst/>
                                          </a:prstGeom>
                                          <a:noFill/>
                                          <a:ln w="9525">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08pt;margin-top:-2.95pt;height:87.95pt;width:59.4pt;z-index:251726848;mso-width-relative:page;mso-height-relative:page;" fillcolor="#FFFFFF [3201]" filled="t" stroked="t" coordsize="21600,21600" o:gfxdata="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GWW5T3Y&#10;AAAADAEAAA8AAAAAAAAAAQAgAAAAIgAAAGRycy9kb3ducmV2LnhtbFBLAQIUABQAAAAIAIdO4kAV&#10;fMTUWQIAALkEAAAOAAAAAAAAAAEAIAAAACcBAABkcnMvZTJvRG9jLnhtbFBLBQYAAAAABgAGAFkB&#10;AADyBQAAAAA=&#10;">
                <v:fill on="t" focussize="0,0"/>
                <v:stroke weight="0.5pt" color="#000000 [3204]" joinstyle="round"/>
                <v:imagedata o:title=""/>
                <o:lock v:ext="edit" aspectratio="f"/>
                <v:textbox>
                  <w:txbxContent>
                    <w:p w14:paraId="6A76E0EA">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pPr>
                      <w:r>
                        <w:rPr>
                          <w:rFonts w:hint="eastAsia" w:ascii="Arial" w:hAnsi="Arial" w:cs="Arial"/>
                        </w:rPr>
                        <w:drawing>
                          <wp:inline distT="0" distB="0" distL="114300" distR="114300">
                            <wp:extent cx="563245" cy="966470"/>
                            <wp:effectExtent l="0" t="0" r="8255" b="5080"/>
                            <wp:docPr id="9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3"/>
                                    <pic:cNvPicPr>
                                      <a:picLocks noChangeAspect="1"/>
                                    </pic:cNvPicPr>
                                  </pic:nvPicPr>
                                  <pic:blipFill>
                                    <a:blip r:embed="rId33"/>
                                    <a:stretch>
                                      <a:fillRect/>
                                    </a:stretch>
                                  </pic:blipFill>
                                  <pic:spPr>
                                    <a:xfrm>
                                      <a:off x="0" y="0"/>
                                      <a:ext cx="563245" cy="966470"/>
                                    </a:xfrm>
                                    <a:prstGeom prst="rect">
                                      <a:avLst/>
                                    </a:prstGeom>
                                    <a:noFill/>
                                    <a:ln w="9525">
                                      <a:noFill/>
                                    </a:ln>
                                  </pic:spPr>
                                </pic:pic>
                              </a:graphicData>
                            </a:graphic>
                          </wp:inline>
                        </w:drawing>
                      </w:r>
                    </w:p>
                  </w:txbxContent>
                </v:textbox>
              </v:shape>
            </w:pict>
          </mc:Fallback>
        </mc:AlternateContent>
      </w:r>
      <w:r>
        <w:drawing>
          <wp:inline distT="0" distB="0" distL="114300" distR="114300">
            <wp:extent cx="8594725" cy="5298440"/>
            <wp:effectExtent l="0" t="0" r="0" b="0"/>
            <wp:docPr id="9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3"/>
                    <pic:cNvPicPr>
                      <a:picLocks noChangeAspect="1"/>
                    </pic:cNvPicPr>
                  </pic:nvPicPr>
                  <pic:blipFill>
                    <a:blip r:embed="rId37"/>
                    <a:srcRect b="3971"/>
                    <a:stretch>
                      <a:fillRect/>
                    </a:stretch>
                  </pic:blipFill>
                  <pic:spPr>
                    <a:xfrm>
                      <a:off x="0" y="0"/>
                      <a:ext cx="8594725" cy="5298440"/>
                    </a:xfrm>
                    <a:prstGeom prst="rect">
                      <a:avLst/>
                    </a:prstGeom>
                    <a:noFill/>
                    <a:ln>
                      <a:noFill/>
                    </a:ln>
                  </pic:spPr>
                </pic:pic>
              </a:graphicData>
            </a:graphic>
          </wp:inline>
        </w:drawing>
      </w:r>
    </w:p>
    <w:p w14:paraId="37FD43E9">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lang w:eastAsia="zh-CN"/>
        </w:rPr>
      </w:pPr>
      <w:r>
        <w:rPr>
          <w:rFonts w:hint="eastAsia"/>
          <w:b/>
          <w:bCs/>
          <w:lang w:eastAsia="zh-CN"/>
        </w:rPr>
        <w:t>附图4 项目平面布置图</w:t>
      </w:r>
    </w:p>
    <w:sectPr>
      <w:pgSz w:w="16838" w:h="11905" w:orient="landscape"/>
      <w:pgMar w:top="1474" w:right="1814" w:bottom="1474" w:left="1474" w:header="850" w:footer="850" w:gutter="0"/>
      <w:pgBorders>
        <w:top w:val="none" w:sz="0" w:space="0"/>
        <w:left w:val="none" w:sz="0" w:space="0"/>
        <w:bottom w:val="none" w:sz="0" w:space="0"/>
        <w:right w:val="none" w:sz="0" w:space="0"/>
      </w:pgBorders>
      <w:pgNumType w:fmt="decimal"/>
      <w:cols w:space="0" w:num="1"/>
      <w:docGrid w:linePitch="319"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93B8239B-0F1D-4B1E-A491-E8B41CA96CC5}"/>
  </w:font>
  <w:font w:name="Arial">
    <w:panose1 w:val="020B0604020202020204"/>
    <w:charset w:val="01"/>
    <w:family w:val="swiss"/>
    <w:pitch w:val="default"/>
    <w:sig w:usb0="E0002EFF" w:usb1="C000785B" w:usb2="00000009" w:usb3="00000000" w:csb0="400001FF" w:csb1="FFFF0000"/>
    <w:embedRegular r:id="rId2" w:fontKey="{B1A5EAFE-64E9-4F89-B3EC-84D40F79FCE0}"/>
  </w:font>
  <w:font w:name="黑体">
    <w:panose1 w:val="02010609060101010101"/>
    <w:charset w:val="86"/>
    <w:family w:val="auto"/>
    <w:pitch w:val="default"/>
    <w:sig w:usb0="800002BF" w:usb1="38CF7CFA" w:usb2="00000016" w:usb3="00000000" w:csb0="00040001" w:csb1="00000000"/>
    <w:embedRegular r:id="rId3" w:fontKey="{86CCF9CF-A066-4E2A-B26A-DEAFE65E3FF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auto"/>
    <w:pitch w:val="default"/>
    <w:sig w:usb0="800002BF" w:usb1="38CF7CFA" w:usb2="00000016" w:usb3="00000000" w:csb0="00040001" w:csb1="00000000"/>
    <w:embedRegular r:id="rId4" w:fontKey="{8547DCFA-F18E-47B9-A92C-EA0F72FA7077}"/>
  </w:font>
  <w:font w:name="微软雅黑">
    <w:panose1 w:val="020B0503020204020204"/>
    <w:charset w:val="86"/>
    <w:family w:val="swiss"/>
    <w:pitch w:val="default"/>
    <w:sig w:usb0="80000287" w:usb1="2ACF3C50" w:usb2="00000016" w:usb3="00000000" w:csb0="0004001F" w:csb1="00000000"/>
    <w:embedRegular r:id="rId5" w:fontKey="{3CD9C87D-1A50-47DB-B363-391DC93FC2A2}"/>
  </w:font>
  <w:font w:name="Cambria Math">
    <w:panose1 w:val="02040503050406030204"/>
    <w:charset w:val="00"/>
    <w:family w:val="auto"/>
    <w:pitch w:val="default"/>
    <w:sig w:usb0="E00006FF" w:usb1="420024FF" w:usb2="02000000" w:usb3="00000000" w:csb0="2000019F" w:csb1="00000000"/>
    <w:embedRegular r:id="rId6" w:fontKey="{D166A8F1-003C-4EFE-AF11-4D5B2F87CE0F}"/>
  </w:font>
  <w:font w:name="方正小标宋_GBK">
    <w:panose1 w:val="02000000000000000000"/>
    <w:charset w:val="86"/>
    <w:family w:val="script"/>
    <w:pitch w:val="default"/>
    <w:sig w:usb0="A00002BF" w:usb1="38CF7CFA" w:usb2="00082016" w:usb3="00000000" w:csb0="00040001" w:csb1="00000000"/>
    <w:embedRegular r:id="rId7" w:fontKey="{CEC1EC41-D848-4AD2-A5D2-04E5ECC7255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E73763">
    <w:pPr>
      <w:tabs>
        <w:tab w:val="left" w:pos="4682"/>
        <w:tab w:val="right" w:pos="8306"/>
      </w:tabs>
      <w:ind w:right="720"/>
      <w:rPr>
        <w:rFonts w:hint="default" w:ascii="宋体" w:hAnsi="宋体"/>
        <w:sz w:val="21"/>
        <w:szCs w:val="21"/>
        <w:lang w:val="en-US"/>
      </w:rPr>
    </w:pPr>
    <w:r>
      <w:rPr>
        <w:rFonts w:hint="eastAsia" w:ascii="宋体" w:hAnsi="宋体"/>
        <w:sz w:val="21"/>
        <w:szCs w:val="21"/>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0E692E">
    <w:pPr>
      <w:tabs>
        <w:tab w:val="left" w:pos="4682"/>
        <w:tab w:val="right" w:pos="8306"/>
      </w:tabs>
      <w:ind w:right="720"/>
      <w:rPr>
        <w:rFonts w:hint="default" w:ascii="宋体" w:hAnsi="宋体"/>
        <w:sz w:val="21"/>
        <w:szCs w:val="21"/>
        <w:lang w:val="en-US"/>
      </w:rPr>
    </w:pPr>
    <w:r>
      <w:rPr>
        <w:sz w:val="21"/>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780587A">
                          <w:pPr>
                            <w:tabs>
                              <w:tab w:val="center" w:pos="4153"/>
                              <w:tab w:val="right" w:pos="8306"/>
                            </w:tabs>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2780587A">
                    <w:pPr>
                      <w:tabs>
                        <w:tab w:val="center" w:pos="4153"/>
                        <w:tab w:val="right" w:pos="8306"/>
                      </w:tabs>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ascii="宋体" w:hAnsi="宋体"/>
        <w:sz w:val="21"/>
        <w:szCs w:val="21"/>
        <w:lang w:eastAsia="zh-CN"/>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4D8F22">
    <w:pPr>
      <w:tabs>
        <w:tab w:val="center" w:pos="4153"/>
        <w:tab w:val="right" w:pos="8306"/>
      </w:tabs>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AF9948D">
                          <w:pPr>
                            <w:tabs>
                              <w:tab w:val="center" w:pos="4153"/>
                              <w:tab w:val="right" w:pos="8306"/>
                            </w:tabs>
                          </w:pPr>
                          <w:r>
                            <w:fldChar w:fldCharType="begin"/>
                          </w:r>
                          <w:r>
                            <w:instrText xml:space="preserve"> PAGE  \* MERGEFORMAT </w:instrText>
                          </w:r>
                          <w:r>
                            <w:fldChar w:fldCharType="separate"/>
                          </w:r>
                          <w:r>
                            <w:t>79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4AF9948D">
                    <w:pPr>
                      <w:tabs>
                        <w:tab w:val="center" w:pos="4153"/>
                        <w:tab w:val="right" w:pos="8306"/>
                      </w:tabs>
                    </w:pPr>
                    <w:r>
                      <w:fldChar w:fldCharType="begin"/>
                    </w:r>
                    <w:r>
                      <w:instrText xml:space="preserve"> PAGE  \* MERGEFORMAT </w:instrText>
                    </w:r>
                    <w:r>
                      <w:fldChar w:fldCharType="separate"/>
                    </w:r>
                    <w:r>
                      <w:t>79</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4DD911">
    <w:pPr>
      <w:ind w:left="42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hideSpellingErrors/>
  <w:doNotTrackMoves/>
  <w:documentProtection w:enforcement="0"/>
  <w:defaultTabStop w:val="420"/>
  <w:drawingGridHorizontalSpacing w:val="210"/>
  <w:drawingGridVerticalSpacing w:val="-7946"/>
  <w:displayHorizontalDrawingGridEvery w:val="1"/>
  <w:displayVerticalDrawingGridEvery w:val="1"/>
  <w:noPunctuationKerning w:val="1"/>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I4OTQyYWQxMTk4OThiOTA2YzA1YjgxN2IzYjZkMmIifQ=="/>
  </w:docVars>
  <w:rsids>
    <w:rsidRoot w:val="00172A27"/>
    <w:rsid w:val="0000024F"/>
    <w:rsid w:val="00000768"/>
    <w:rsid w:val="00000988"/>
    <w:rsid w:val="00000AC8"/>
    <w:rsid w:val="00001082"/>
    <w:rsid w:val="000010D3"/>
    <w:rsid w:val="00001B2E"/>
    <w:rsid w:val="00001CDF"/>
    <w:rsid w:val="00002557"/>
    <w:rsid w:val="0000263F"/>
    <w:rsid w:val="00002AA4"/>
    <w:rsid w:val="00003052"/>
    <w:rsid w:val="000035E3"/>
    <w:rsid w:val="00003827"/>
    <w:rsid w:val="00003E37"/>
    <w:rsid w:val="00004B2D"/>
    <w:rsid w:val="00004B76"/>
    <w:rsid w:val="00005BBB"/>
    <w:rsid w:val="000062E9"/>
    <w:rsid w:val="00006C3F"/>
    <w:rsid w:val="00006CE4"/>
    <w:rsid w:val="00007CCA"/>
    <w:rsid w:val="00010392"/>
    <w:rsid w:val="0001068E"/>
    <w:rsid w:val="000106B2"/>
    <w:rsid w:val="00011593"/>
    <w:rsid w:val="000115CF"/>
    <w:rsid w:val="000118A6"/>
    <w:rsid w:val="000125A8"/>
    <w:rsid w:val="000130A2"/>
    <w:rsid w:val="00013253"/>
    <w:rsid w:val="00013D0D"/>
    <w:rsid w:val="000153F5"/>
    <w:rsid w:val="00017501"/>
    <w:rsid w:val="00017BEB"/>
    <w:rsid w:val="0002098D"/>
    <w:rsid w:val="0002120D"/>
    <w:rsid w:val="00021B5C"/>
    <w:rsid w:val="00021B9B"/>
    <w:rsid w:val="00021DE4"/>
    <w:rsid w:val="00022A9C"/>
    <w:rsid w:val="000232F6"/>
    <w:rsid w:val="000238A8"/>
    <w:rsid w:val="00024BCC"/>
    <w:rsid w:val="00024C5F"/>
    <w:rsid w:val="0002516A"/>
    <w:rsid w:val="0002561E"/>
    <w:rsid w:val="00026323"/>
    <w:rsid w:val="0002678D"/>
    <w:rsid w:val="000272A8"/>
    <w:rsid w:val="000277E8"/>
    <w:rsid w:val="00027BE4"/>
    <w:rsid w:val="00027CF3"/>
    <w:rsid w:val="00027FEF"/>
    <w:rsid w:val="0003015B"/>
    <w:rsid w:val="000317CE"/>
    <w:rsid w:val="00031B10"/>
    <w:rsid w:val="00032A5A"/>
    <w:rsid w:val="00032EF0"/>
    <w:rsid w:val="00032EF1"/>
    <w:rsid w:val="0003349B"/>
    <w:rsid w:val="0003493B"/>
    <w:rsid w:val="0003576D"/>
    <w:rsid w:val="000365D1"/>
    <w:rsid w:val="000375A4"/>
    <w:rsid w:val="00037E5F"/>
    <w:rsid w:val="000401DD"/>
    <w:rsid w:val="0004070E"/>
    <w:rsid w:val="00040E3F"/>
    <w:rsid w:val="00041D21"/>
    <w:rsid w:val="0004243B"/>
    <w:rsid w:val="000428E3"/>
    <w:rsid w:val="0004448B"/>
    <w:rsid w:val="00044A90"/>
    <w:rsid w:val="00044D2B"/>
    <w:rsid w:val="00045022"/>
    <w:rsid w:val="00045EF4"/>
    <w:rsid w:val="000460B2"/>
    <w:rsid w:val="00046256"/>
    <w:rsid w:val="00047263"/>
    <w:rsid w:val="00047F9A"/>
    <w:rsid w:val="00047FE8"/>
    <w:rsid w:val="00051281"/>
    <w:rsid w:val="000522DC"/>
    <w:rsid w:val="000525BF"/>
    <w:rsid w:val="00052A59"/>
    <w:rsid w:val="00053AA2"/>
    <w:rsid w:val="00054A3A"/>
    <w:rsid w:val="00055B8A"/>
    <w:rsid w:val="00055EEF"/>
    <w:rsid w:val="000562EE"/>
    <w:rsid w:val="00056D9D"/>
    <w:rsid w:val="000608E7"/>
    <w:rsid w:val="00060D43"/>
    <w:rsid w:val="000610B5"/>
    <w:rsid w:val="00063B9D"/>
    <w:rsid w:val="00065DD7"/>
    <w:rsid w:val="00067A54"/>
    <w:rsid w:val="0007201B"/>
    <w:rsid w:val="000743CA"/>
    <w:rsid w:val="0007483C"/>
    <w:rsid w:val="000757CE"/>
    <w:rsid w:val="000757E5"/>
    <w:rsid w:val="00076653"/>
    <w:rsid w:val="000808EF"/>
    <w:rsid w:val="00081744"/>
    <w:rsid w:val="000817FC"/>
    <w:rsid w:val="00081C6C"/>
    <w:rsid w:val="00081FB4"/>
    <w:rsid w:val="00082FD0"/>
    <w:rsid w:val="00083A58"/>
    <w:rsid w:val="00084215"/>
    <w:rsid w:val="000851E7"/>
    <w:rsid w:val="000857CE"/>
    <w:rsid w:val="00085F0B"/>
    <w:rsid w:val="000864E5"/>
    <w:rsid w:val="00086F6F"/>
    <w:rsid w:val="000900FC"/>
    <w:rsid w:val="00090581"/>
    <w:rsid w:val="00092107"/>
    <w:rsid w:val="00092997"/>
    <w:rsid w:val="00092CAD"/>
    <w:rsid w:val="00092CAE"/>
    <w:rsid w:val="00093F26"/>
    <w:rsid w:val="00095257"/>
    <w:rsid w:val="00095D40"/>
    <w:rsid w:val="00095F06"/>
    <w:rsid w:val="0009710A"/>
    <w:rsid w:val="00097179"/>
    <w:rsid w:val="000974B7"/>
    <w:rsid w:val="0009750F"/>
    <w:rsid w:val="00097D0E"/>
    <w:rsid w:val="00097E92"/>
    <w:rsid w:val="000A00F6"/>
    <w:rsid w:val="000A0883"/>
    <w:rsid w:val="000A12FE"/>
    <w:rsid w:val="000A161A"/>
    <w:rsid w:val="000A1B37"/>
    <w:rsid w:val="000A216E"/>
    <w:rsid w:val="000A2B96"/>
    <w:rsid w:val="000A3F74"/>
    <w:rsid w:val="000A52F5"/>
    <w:rsid w:val="000A5487"/>
    <w:rsid w:val="000A676A"/>
    <w:rsid w:val="000A7799"/>
    <w:rsid w:val="000B32C9"/>
    <w:rsid w:val="000B3F27"/>
    <w:rsid w:val="000B5750"/>
    <w:rsid w:val="000B5B85"/>
    <w:rsid w:val="000B672B"/>
    <w:rsid w:val="000B672E"/>
    <w:rsid w:val="000B707D"/>
    <w:rsid w:val="000B7178"/>
    <w:rsid w:val="000B74DC"/>
    <w:rsid w:val="000C0BAD"/>
    <w:rsid w:val="000C0FAE"/>
    <w:rsid w:val="000C13A2"/>
    <w:rsid w:val="000C16D7"/>
    <w:rsid w:val="000C175D"/>
    <w:rsid w:val="000C1D2E"/>
    <w:rsid w:val="000C2C01"/>
    <w:rsid w:val="000C3180"/>
    <w:rsid w:val="000C3207"/>
    <w:rsid w:val="000C321A"/>
    <w:rsid w:val="000C4513"/>
    <w:rsid w:val="000C63D0"/>
    <w:rsid w:val="000C64B2"/>
    <w:rsid w:val="000C749D"/>
    <w:rsid w:val="000C7799"/>
    <w:rsid w:val="000D027C"/>
    <w:rsid w:val="000D2707"/>
    <w:rsid w:val="000D2A8C"/>
    <w:rsid w:val="000D373F"/>
    <w:rsid w:val="000D392F"/>
    <w:rsid w:val="000D3C9C"/>
    <w:rsid w:val="000D4036"/>
    <w:rsid w:val="000D42F4"/>
    <w:rsid w:val="000D430E"/>
    <w:rsid w:val="000D4C9B"/>
    <w:rsid w:val="000D5197"/>
    <w:rsid w:val="000D5698"/>
    <w:rsid w:val="000D5712"/>
    <w:rsid w:val="000D6946"/>
    <w:rsid w:val="000D79EB"/>
    <w:rsid w:val="000D7BE0"/>
    <w:rsid w:val="000E0EBC"/>
    <w:rsid w:val="000E0F78"/>
    <w:rsid w:val="000E36E9"/>
    <w:rsid w:val="000E4DCF"/>
    <w:rsid w:val="000E5A37"/>
    <w:rsid w:val="000E710E"/>
    <w:rsid w:val="000E7364"/>
    <w:rsid w:val="000E781C"/>
    <w:rsid w:val="000E7EC1"/>
    <w:rsid w:val="000F06DF"/>
    <w:rsid w:val="000F1A08"/>
    <w:rsid w:val="000F2E6A"/>
    <w:rsid w:val="000F2F02"/>
    <w:rsid w:val="000F4535"/>
    <w:rsid w:val="000F4D8A"/>
    <w:rsid w:val="000F5698"/>
    <w:rsid w:val="000F5C0B"/>
    <w:rsid w:val="000F5CDB"/>
    <w:rsid w:val="000F606C"/>
    <w:rsid w:val="000F6E7E"/>
    <w:rsid w:val="000F7B11"/>
    <w:rsid w:val="00100427"/>
    <w:rsid w:val="001018F2"/>
    <w:rsid w:val="00101CB0"/>
    <w:rsid w:val="001024D3"/>
    <w:rsid w:val="00102BEA"/>
    <w:rsid w:val="00103041"/>
    <w:rsid w:val="00103887"/>
    <w:rsid w:val="00103CFB"/>
    <w:rsid w:val="001040A7"/>
    <w:rsid w:val="001041C7"/>
    <w:rsid w:val="00104627"/>
    <w:rsid w:val="00104AE4"/>
    <w:rsid w:val="00105257"/>
    <w:rsid w:val="001056D8"/>
    <w:rsid w:val="001067B2"/>
    <w:rsid w:val="00106AE3"/>
    <w:rsid w:val="00107D6F"/>
    <w:rsid w:val="00110040"/>
    <w:rsid w:val="00110873"/>
    <w:rsid w:val="00110EBF"/>
    <w:rsid w:val="00111292"/>
    <w:rsid w:val="001113D8"/>
    <w:rsid w:val="00111AC2"/>
    <w:rsid w:val="00111EC6"/>
    <w:rsid w:val="00112778"/>
    <w:rsid w:val="001128C1"/>
    <w:rsid w:val="001132F6"/>
    <w:rsid w:val="00113302"/>
    <w:rsid w:val="00113625"/>
    <w:rsid w:val="001137E8"/>
    <w:rsid w:val="00113B1A"/>
    <w:rsid w:val="00113B2A"/>
    <w:rsid w:val="00115561"/>
    <w:rsid w:val="00115E7D"/>
    <w:rsid w:val="00115F90"/>
    <w:rsid w:val="00116654"/>
    <w:rsid w:val="00116FDC"/>
    <w:rsid w:val="00117829"/>
    <w:rsid w:val="00117905"/>
    <w:rsid w:val="00117E64"/>
    <w:rsid w:val="001200E0"/>
    <w:rsid w:val="001201D4"/>
    <w:rsid w:val="001216B0"/>
    <w:rsid w:val="0012213E"/>
    <w:rsid w:val="001229F1"/>
    <w:rsid w:val="00122D67"/>
    <w:rsid w:val="00123638"/>
    <w:rsid w:val="0012385F"/>
    <w:rsid w:val="00124AB7"/>
    <w:rsid w:val="00126238"/>
    <w:rsid w:val="00126439"/>
    <w:rsid w:val="00126544"/>
    <w:rsid w:val="00126BB2"/>
    <w:rsid w:val="00127188"/>
    <w:rsid w:val="0012767E"/>
    <w:rsid w:val="00127C70"/>
    <w:rsid w:val="00127EBE"/>
    <w:rsid w:val="00130021"/>
    <w:rsid w:val="00131546"/>
    <w:rsid w:val="001316E5"/>
    <w:rsid w:val="001325EF"/>
    <w:rsid w:val="001327F6"/>
    <w:rsid w:val="00132969"/>
    <w:rsid w:val="00132DBD"/>
    <w:rsid w:val="00133E9C"/>
    <w:rsid w:val="0013417A"/>
    <w:rsid w:val="00134D1B"/>
    <w:rsid w:val="00135878"/>
    <w:rsid w:val="00135A4C"/>
    <w:rsid w:val="00135FBB"/>
    <w:rsid w:val="00136B51"/>
    <w:rsid w:val="001400D5"/>
    <w:rsid w:val="00140252"/>
    <w:rsid w:val="00141B67"/>
    <w:rsid w:val="00142281"/>
    <w:rsid w:val="001431E2"/>
    <w:rsid w:val="001437F0"/>
    <w:rsid w:val="001454C7"/>
    <w:rsid w:val="00146F26"/>
    <w:rsid w:val="001475CE"/>
    <w:rsid w:val="00147764"/>
    <w:rsid w:val="00150363"/>
    <w:rsid w:val="001508C2"/>
    <w:rsid w:val="00150FBC"/>
    <w:rsid w:val="001514FB"/>
    <w:rsid w:val="0015150E"/>
    <w:rsid w:val="0015165A"/>
    <w:rsid w:val="00151C60"/>
    <w:rsid w:val="0015210D"/>
    <w:rsid w:val="0015238D"/>
    <w:rsid w:val="001526A9"/>
    <w:rsid w:val="00152A2E"/>
    <w:rsid w:val="00154FC0"/>
    <w:rsid w:val="00155254"/>
    <w:rsid w:val="0015628B"/>
    <w:rsid w:val="001609CA"/>
    <w:rsid w:val="00160A3A"/>
    <w:rsid w:val="0016118D"/>
    <w:rsid w:val="001613FD"/>
    <w:rsid w:val="001616F4"/>
    <w:rsid w:val="00162055"/>
    <w:rsid w:val="0016213C"/>
    <w:rsid w:val="0016274E"/>
    <w:rsid w:val="00162D02"/>
    <w:rsid w:val="00163247"/>
    <w:rsid w:val="0016324D"/>
    <w:rsid w:val="00163360"/>
    <w:rsid w:val="001633FA"/>
    <w:rsid w:val="0016464C"/>
    <w:rsid w:val="00164D22"/>
    <w:rsid w:val="00165501"/>
    <w:rsid w:val="00165D74"/>
    <w:rsid w:val="00166ACC"/>
    <w:rsid w:val="00166BA5"/>
    <w:rsid w:val="001679E9"/>
    <w:rsid w:val="00170B0F"/>
    <w:rsid w:val="00171151"/>
    <w:rsid w:val="001716B3"/>
    <w:rsid w:val="00171A0E"/>
    <w:rsid w:val="00172A27"/>
    <w:rsid w:val="00172E6F"/>
    <w:rsid w:val="001730CD"/>
    <w:rsid w:val="00173727"/>
    <w:rsid w:val="00173820"/>
    <w:rsid w:val="00174BEF"/>
    <w:rsid w:val="001750D4"/>
    <w:rsid w:val="00175582"/>
    <w:rsid w:val="00176A0D"/>
    <w:rsid w:val="001777D9"/>
    <w:rsid w:val="00177B3E"/>
    <w:rsid w:val="001803B7"/>
    <w:rsid w:val="00181C35"/>
    <w:rsid w:val="001833F7"/>
    <w:rsid w:val="00184447"/>
    <w:rsid w:val="00184E34"/>
    <w:rsid w:val="001854BD"/>
    <w:rsid w:val="00185727"/>
    <w:rsid w:val="001863EC"/>
    <w:rsid w:val="00186C27"/>
    <w:rsid w:val="00186CF4"/>
    <w:rsid w:val="00191B11"/>
    <w:rsid w:val="00192488"/>
    <w:rsid w:val="001928CE"/>
    <w:rsid w:val="00193914"/>
    <w:rsid w:val="00194DA2"/>
    <w:rsid w:val="00195672"/>
    <w:rsid w:val="00195B37"/>
    <w:rsid w:val="00195E82"/>
    <w:rsid w:val="00196084"/>
    <w:rsid w:val="00196423"/>
    <w:rsid w:val="0019679F"/>
    <w:rsid w:val="001976FD"/>
    <w:rsid w:val="001A0609"/>
    <w:rsid w:val="001A0B58"/>
    <w:rsid w:val="001A233C"/>
    <w:rsid w:val="001A2D06"/>
    <w:rsid w:val="001A2D88"/>
    <w:rsid w:val="001A3423"/>
    <w:rsid w:val="001A37F0"/>
    <w:rsid w:val="001A38B9"/>
    <w:rsid w:val="001A3BFC"/>
    <w:rsid w:val="001A438A"/>
    <w:rsid w:val="001A50C2"/>
    <w:rsid w:val="001A52C9"/>
    <w:rsid w:val="001A5E7F"/>
    <w:rsid w:val="001A6804"/>
    <w:rsid w:val="001A697D"/>
    <w:rsid w:val="001A6AE9"/>
    <w:rsid w:val="001A7872"/>
    <w:rsid w:val="001B0554"/>
    <w:rsid w:val="001B0BC9"/>
    <w:rsid w:val="001B0C86"/>
    <w:rsid w:val="001B0CC2"/>
    <w:rsid w:val="001B240B"/>
    <w:rsid w:val="001B2C01"/>
    <w:rsid w:val="001B2F8F"/>
    <w:rsid w:val="001B3B88"/>
    <w:rsid w:val="001B3E92"/>
    <w:rsid w:val="001B3EF8"/>
    <w:rsid w:val="001B41D1"/>
    <w:rsid w:val="001B4A98"/>
    <w:rsid w:val="001B5795"/>
    <w:rsid w:val="001B61F7"/>
    <w:rsid w:val="001B77BB"/>
    <w:rsid w:val="001B7A0D"/>
    <w:rsid w:val="001C0087"/>
    <w:rsid w:val="001C1577"/>
    <w:rsid w:val="001C19EC"/>
    <w:rsid w:val="001C2A1E"/>
    <w:rsid w:val="001C2B0C"/>
    <w:rsid w:val="001C2F89"/>
    <w:rsid w:val="001C3197"/>
    <w:rsid w:val="001C369E"/>
    <w:rsid w:val="001C48E5"/>
    <w:rsid w:val="001C5201"/>
    <w:rsid w:val="001C66B6"/>
    <w:rsid w:val="001C6F0A"/>
    <w:rsid w:val="001D0A5E"/>
    <w:rsid w:val="001D0ACC"/>
    <w:rsid w:val="001D2944"/>
    <w:rsid w:val="001D3B90"/>
    <w:rsid w:val="001D47AE"/>
    <w:rsid w:val="001D65CE"/>
    <w:rsid w:val="001D6A3A"/>
    <w:rsid w:val="001D6F98"/>
    <w:rsid w:val="001D6F9B"/>
    <w:rsid w:val="001E1BE0"/>
    <w:rsid w:val="001E28F6"/>
    <w:rsid w:val="001E2EB7"/>
    <w:rsid w:val="001E3250"/>
    <w:rsid w:val="001E337D"/>
    <w:rsid w:val="001E492E"/>
    <w:rsid w:val="001E5509"/>
    <w:rsid w:val="001E5AF1"/>
    <w:rsid w:val="001E5BA7"/>
    <w:rsid w:val="001E5BB1"/>
    <w:rsid w:val="001E5CAF"/>
    <w:rsid w:val="001E6BB8"/>
    <w:rsid w:val="001E6DFA"/>
    <w:rsid w:val="001E7385"/>
    <w:rsid w:val="001E779E"/>
    <w:rsid w:val="001F37E9"/>
    <w:rsid w:val="001F3DFC"/>
    <w:rsid w:val="001F45F2"/>
    <w:rsid w:val="001F61BC"/>
    <w:rsid w:val="001F71D6"/>
    <w:rsid w:val="001F75F5"/>
    <w:rsid w:val="001F77CF"/>
    <w:rsid w:val="002000C4"/>
    <w:rsid w:val="00200184"/>
    <w:rsid w:val="0020065F"/>
    <w:rsid w:val="0020074C"/>
    <w:rsid w:val="002018C3"/>
    <w:rsid w:val="00201C1A"/>
    <w:rsid w:val="002071A4"/>
    <w:rsid w:val="0020732C"/>
    <w:rsid w:val="00207646"/>
    <w:rsid w:val="0021117A"/>
    <w:rsid w:val="0021183B"/>
    <w:rsid w:val="002120FD"/>
    <w:rsid w:val="00213278"/>
    <w:rsid w:val="00214558"/>
    <w:rsid w:val="00214846"/>
    <w:rsid w:val="00215533"/>
    <w:rsid w:val="00217202"/>
    <w:rsid w:val="00217813"/>
    <w:rsid w:val="002201B5"/>
    <w:rsid w:val="00220ED9"/>
    <w:rsid w:val="00221BB6"/>
    <w:rsid w:val="00223655"/>
    <w:rsid w:val="00223D83"/>
    <w:rsid w:val="002245DF"/>
    <w:rsid w:val="0022529B"/>
    <w:rsid w:val="002257C1"/>
    <w:rsid w:val="00225BDF"/>
    <w:rsid w:val="00225CC5"/>
    <w:rsid w:val="00226031"/>
    <w:rsid w:val="002260DF"/>
    <w:rsid w:val="002266AF"/>
    <w:rsid w:val="00227D56"/>
    <w:rsid w:val="00230DAD"/>
    <w:rsid w:val="00231F79"/>
    <w:rsid w:val="002320FD"/>
    <w:rsid w:val="00232A49"/>
    <w:rsid w:val="00232BDB"/>
    <w:rsid w:val="0023424A"/>
    <w:rsid w:val="00234BCE"/>
    <w:rsid w:val="00235817"/>
    <w:rsid w:val="00235864"/>
    <w:rsid w:val="002376D0"/>
    <w:rsid w:val="00237A33"/>
    <w:rsid w:val="002409C2"/>
    <w:rsid w:val="002409D5"/>
    <w:rsid w:val="00240B9C"/>
    <w:rsid w:val="00240E25"/>
    <w:rsid w:val="002411EB"/>
    <w:rsid w:val="002412C9"/>
    <w:rsid w:val="002417E3"/>
    <w:rsid w:val="00241AD9"/>
    <w:rsid w:val="00241B03"/>
    <w:rsid w:val="00242183"/>
    <w:rsid w:val="002422FE"/>
    <w:rsid w:val="00242E16"/>
    <w:rsid w:val="00243D72"/>
    <w:rsid w:val="00244469"/>
    <w:rsid w:val="002447C2"/>
    <w:rsid w:val="00245A78"/>
    <w:rsid w:val="002465A4"/>
    <w:rsid w:val="00246C2B"/>
    <w:rsid w:val="002522E6"/>
    <w:rsid w:val="00252523"/>
    <w:rsid w:val="00252FEB"/>
    <w:rsid w:val="00256517"/>
    <w:rsid w:val="00256E11"/>
    <w:rsid w:val="0025757F"/>
    <w:rsid w:val="0026067F"/>
    <w:rsid w:val="0026306F"/>
    <w:rsid w:val="0026377A"/>
    <w:rsid w:val="00264678"/>
    <w:rsid w:val="002648CC"/>
    <w:rsid w:val="00264CD2"/>
    <w:rsid w:val="002659C1"/>
    <w:rsid w:val="002666EC"/>
    <w:rsid w:val="00266ED2"/>
    <w:rsid w:val="00271B76"/>
    <w:rsid w:val="002749DA"/>
    <w:rsid w:val="00274E29"/>
    <w:rsid w:val="00275C49"/>
    <w:rsid w:val="0027663A"/>
    <w:rsid w:val="002773F2"/>
    <w:rsid w:val="002779FF"/>
    <w:rsid w:val="00280199"/>
    <w:rsid w:val="002806EB"/>
    <w:rsid w:val="002819FE"/>
    <w:rsid w:val="00282252"/>
    <w:rsid w:val="00282F45"/>
    <w:rsid w:val="0028345B"/>
    <w:rsid w:val="0028485C"/>
    <w:rsid w:val="00285085"/>
    <w:rsid w:val="0028558D"/>
    <w:rsid w:val="00285BF8"/>
    <w:rsid w:val="00286A93"/>
    <w:rsid w:val="00286F8B"/>
    <w:rsid w:val="00287CF9"/>
    <w:rsid w:val="00287F2A"/>
    <w:rsid w:val="00290EA4"/>
    <w:rsid w:val="00290FBD"/>
    <w:rsid w:val="00291580"/>
    <w:rsid w:val="00291950"/>
    <w:rsid w:val="0029197D"/>
    <w:rsid w:val="00291B8B"/>
    <w:rsid w:val="002922B6"/>
    <w:rsid w:val="00292A1F"/>
    <w:rsid w:val="00292BAB"/>
    <w:rsid w:val="00292BFD"/>
    <w:rsid w:val="00293089"/>
    <w:rsid w:val="00293C42"/>
    <w:rsid w:val="00293C58"/>
    <w:rsid w:val="00293D45"/>
    <w:rsid w:val="00294304"/>
    <w:rsid w:val="00294C12"/>
    <w:rsid w:val="00295275"/>
    <w:rsid w:val="00295B40"/>
    <w:rsid w:val="00296525"/>
    <w:rsid w:val="002973EC"/>
    <w:rsid w:val="002A04A7"/>
    <w:rsid w:val="002A11BA"/>
    <w:rsid w:val="002A169C"/>
    <w:rsid w:val="002A1DBD"/>
    <w:rsid w:val="002A33A5"/>
    <w:rsid w:val="002A34A1"/>
    <w:rsid w:val="002A3503"/>
    <w:rsid w:val="002A3C2E"/>
    <w:rsid w:val="002A4B9E"/>
    <w:rsid w:val="002A5A59"/>
    <w:rsid w:val="002A64E9"/>
    <w:rsid w:val="002A666E"/>
    <w:rsid w:val="002A66B8"/>
    <w:rsid w:val="002A6FD8"/>
    <w:rsid w:val="002A77A4"/>
    <w:rsid w:val="002B0A2F"/>
    <w:rsid w:val="002B12B3"/>
    <w:rsid w:val="002B1BB1"/>
    <w:rsid w:val="002B1E8E"/>
    <w:rsid w:val="002B294D"/>
    <w:rsid w:val="002B2F28"/>
    <w:rsid w:val="002B3558"/>
    <w:rsid w:val="002B3DD6"/>
    <w:rsid w:val="002B691E"/>
    <w:rsid w:val="002B774D"/>
    <w:rsid w:val="002C17A6"/>
    <w:rsid w:val="002C1A65"/>
    <w:rsid w:val="002C28A4"/>
    <w:rsid w:val="002C33FB"/>
    <w:rsid w:val="002C44C0"/>
    <w:rsid w:val="002C4B2D"/>
    <w:rsid w:val="002C5A32"/>
    <w:rsid w:val="002C6460"/>
    <w:rsid w:val="002D004D"/>
    <w:rsid w:val="002D04F6"/>
    <w:rsid w:val="002D08DD"/>
    <w:rsid w:val="002D144B"/>
    <w:rsid w:val="002D1A1A"/>
    <w:rsid w:val="002D227C"/>
    <w:rsid w:val="002D26D3"/>
    <w:rsid w:val="002D2A18"/>
    <w:rsid w:val="002D2AAF"/>
    <w:rsid w:val="002D2EC1"/>
    <w:rsid w:val="002D3485"/>
    <w:rsid w:val="002D38C4"/>
    <w:rsid w:val="002D3FF2"/>
    <w:rsid w:val="002D5414"/>
    <w:rsid w:val="002D54C8"/>
    <w:rsid w:val="002D6CB8"/>
    <w:rsid w:val="002D71B4"/>
    <w:rsid w:val="002D7D2A"/>
    <w:rsid w:val="002E1668"/>
    <w:rsid w:val="002E1851"/>
    <w:rsid w:val="002E1EA8"/>
    <w:rsid w:val="002E20A1"/>
    <w:rsid w:val="002E2A38"/>
    <w:rsid w:val="002E2D44"/>
    <w:rsid w:val="002E4106"/>
    <w:rsid w:val="002E4155"/>
    <w:rsid w:val="002E5D49"/>
    <w:rsid w:val="002E5EDB"/>
    <w:rsid w:val="002E6D0D"/>
    <w:rsid w:val="002E6E51"/>
    <w:rsid w:val="002E77D7"/>
    <w:rsid w:val="002F00C8"/>
    <w:rsid w:val="002F121D"/>
    <w:rsid w:val="002F12AD"/>
    <w:rsid w:val="002F134C"/>
    <w:rsid w:val="002F1403"/>
    <w:rsid w:val="002F140D"/>
    <w:rsid w:val="002F2DDE"/>
    <w:rsid w:val="002F3078"/>
    <w:rsid w:val="002F31AA"/>
    <w:rsid w:val="002F3D21"/>
    <w:rsid w:val="002F4A05"/>
    <w:rsid w:val="002F4EE8"/>
    <w:rsid w:val="002F546A"/>
    <w:rsid w:val="002F581F"/>
    <w:rsid w:val="002F5A9C"/>
    <w:rsid w:val="002F65A3"/>
    <w:rsid w:val="002F7089"/>
    <w:rsid w:val="002F71E9"/>
    <w:rsid w:val="002F7645"/>
    <w:rsid w:val="002F7CCC"/>
    <w:rsid w:val="003005E6"/>
    <w:rsid w:val="00300F95"/>
    <w:rsid w:val="003023D3"/>
    <w:rsid w:val="003028CF"/>
    <w:rsid w:val="00302DA1"/>
    <w:rsid w:val="0030306B"/>
    <w:rsid w:val="00303814"/>
    <w:rsid w:val="003041C5"/>
    <w:rsid w:val="00304D03"/>
    <w:rsid w:val="00305794"/>
    <w:rsid w:val="00307533"/>
    <w:rsid w:val="00307A36"/>
    <w:rsid w:val="00307EAB"/>
    <w:rsid w:val="00310990"/>
    <w:rsid w:val="00311FC3"/>
    <w:rsid w:val="00313D56"/>
    <w:rsid w:val="00314349"/>
    <w:rsid w:val="003144EE"/>
    <w:rsid w:val="00314699"/>
    <w:rsid w:val="0031491A"/>
    <w:rsid w:val="00314F69"/>
    <w:rsid w:val="00316F88"/>
    <w:rsid w:val="003179D4"/>
    <w:rsid w:val="00317FA2"/>
    <w:rsid w:val="003203AB"/>
    <w:rsid w:val="003210E6"/>
    <w:rsid w:val="00321179"/>
    <w:rsid w:val="00322BE8"/>
    <w:rsid w:val="00323C4B"/>
    <w:rsid w:val="0032437B"/>
    <w:rsid w:val="0032499E"/>
    <w:rsid w:val="00324B8C"/>
    <w:rsid w:val="0032508C"/>
    <w:rsid w:val="003256B6"/>
    <w:rsid w:val="0032748B"/>
    <w:rsid w:val="003278AE"/>
    <w:rsid w:val="00327E12"/>
    <w:rsid w:val="0033050A"/>
    <w:rsid w:val="003309BB"/>
    <w:rsid w:val="003314C4"/>
    <w:rsid w:val="0033257A"/>
    <w:rsid w:val="00333D2C"/>
    <w:rsid w:val="00334623"/>
    <w:rsid w:val="0033464E"/>
    <w:rsid w:val="003353E5"/>
    <w:rsid w:val="00335403"/>
    <w:rsid w:val="003364DA"/>
    <w:rsid w:val="00341697"/>
    <w:rsid w:val="00341828"/>
    <w:rsid w:val="00343879"/>
    <w:rsid w:val="00343952"/>
    <w:rsid w:val="00343D8F"/>
    <w:rsid w:val="00343F8F"/>
    <w:rsid w:val="00344887"/>
    <w:rsid w:val="00344CC6"/>
    <w:rsid w:val="0034556E"/>
    <w:rsid w:val="003459D1"/>
    <w:rsid w:val="00346BC6"/>
    <w:rsid w:val="00346E1C"/>
    <w:rsid w:val="0034724F"/>
    <w:rsid w:val="003477F7"/>
    <w:rsid w:val="003524BF"/>
    <w:rsid w:val="00353224"/>
    <w:rsid w:val="003536E1"/>
    <w:rsid w:val="00354061"/>
    <w:rsid w:val="003555EE"/>
    <w:rsid w:val="00355725"/>
    <w:rsid w:val="00355A85"/>
    <w:rsid w:val="00357129"/>
    <w:rsid w:val="003572CC"/>
    <w:rsid w:val="0035748C"/>
    <w:rsid w:val="00357769"/>
    <w:rsid w:val="00360837"/>
    <w:rsid w:val="003614A7"/>
    <w:rsid w:val="0036266F"/>
    <w:rsid w:val="00363CED"/>
    <w:rsid w:val="003643F3"/>
    <w:rsid w:val="00364CD0"/>
    <w:rsid w:val="00365793"/>
    <w:rsid w:val="003658A9"/>
    <w:rsid w:val="00365AAB"/>
    <w:rsid w:val="00366B4E"/>
    <w:rsid w:val="0036771F"/>
    <w:rsid w:val="003678AB"/>
    <w:rsid w:val="00367B5A"/>
    <w:rsid w:val="00370070"/>
    <w:rsid w:val="0037080A"/>
    <w:rsid w:val="00370C95"/>
    <w:rsid w:val="0037141D"/>
    <w:rsid w:val="003728F8"/>
    <w:rsid w:val="00372CFE"/>
    <w:rsid w:val="00372F91"/>
    <w:rsid w:val="00373F76"/>
    <w:rsid w:val="00374635"/>
    <w:rsid w:val="003752C8"/>
    <w:rsid w:val="00375679"/>
    <w:rsid w:val="00375DE4"/>
    <w:rsid w:val="003762F8"/>
    <w:rsid w:val="00376FDA"/>
    <w:rsid w:val="0037711F"/>
    <w:rsid w:val="00380047"/>
    <w:rsid w:val="00380224"/>
    <w:rsid w:val="00380832"/>
    <w:rsid w:val="003818CF"/>
    <w:rsid w:val="003818F8"/>
    <w:rsid w:val="0038198F"/>
    <w:rsid w:val="00381B03"/>
    <w:rsid w:val="00381E80"/>
    <w:rsid w:val="00382528"/>
    <w:rsid w:val="00382D94"/>
    <w:rsid w:val="00382E80"/>
    <w:rsid w:val="00384D97"/>
    <w:rsid w:val="0038518A"/>
    <w:rsid w:val="00385A6B"/>
    <w:rsid w:val="00385A72"/>
    <w:rsid w:val="00385F1F"/>
    <w:rsid w:val="00385F35"/>
    <w:rsid w:val="00385F85"/>
    <w:rsid w:val="0038602A"/>
    <w:rsid w:val="00387B35"/>
    <w:rsid w:val="00390FCC"/>
    <w:rsid w:val="00391844"/>
    <w:rsid w:val="00392836"/>
    <w:rsid w:val="00392AED"/>
    <w:rsid w:val="003932AD"/>
    <w:rsid w:val="00393D34"/>
    <w:rsid w:val="003941AC"/>
    <w:rsid w:val="0039426C"/>
    <w:rsid w:val="00394281"/>
    <w:rsid w:val="00395878"/>
    <w:rsid w:val="00395FFE"/>
    <w:rsid w:val="003967F3"/>
    <w:rsid w:val="00397383"/>
    <w:rsid w:val="00397F3E"/>
    <w:rsid w:val="003A0313"/>
    <w:rsid w:val="003A17DC"/>
    <w:rsid w:val="003A2788"/>
    <w:rsid w:val="003A33F5"/>
    <w:rsid w:val="003A38EE"/>
    <w:rsid w:val="003A3C26"/>
    <w:rsid w:val="003A3EFF"/>
    <w:rsid w:val="003A44D6"/>
    <w:rsid w:val="003A45A2"/>
    <w:rsid w:val="003A49E9"/>
    <w:rsid w:val="003A4E64"/>
    <w:rsid w:val="003A53DA"/>
    <w:rsid w:val="003A5767"/>
    <w:rsid w:val="003A5D7B"/>
    <w:rsid w:val="003A63C8"/>
    <w:rsid w:val="003A65D2"/>
    <w:rsid w:val="003A65F3"/>
    <w:rsid w:val="003B018F"/>
    <w:rsid w:val="003B0D97"/>
    <w:rsid w:val="003B101C"/>
    <w:rsid w:val="003B1037"/>
    <w:rsid w:val="003B1A35"/>
    <w:rsid w:val="003B29BC"/>
    <w:rsid w:val="003B2D5D"/>
    <w:rsid w:val="003B2DF0"/>
    <w:rsid w:val="003B5D53"/>
    <w:rsid w:val="003B5F5B"/>
    <w:rsid w:val="003B643A"/>
    <w:rsid w:val="003B6D8D"/>
    <w:rsid w:val="003B7862"/>
    <w:rsid w:val="003B7DE7"/>
    <w:rsid w:val="003C08E6"/>
    <w:rsid w:val="003C0990"/>
    <w:rsid w:val="003C1484"/>
    <w:rsid w:val="003C19E8"/>
    <w:rsid w:val="003C19EB"/>
    <w:rsid w:val="003C28CA"/>
    <w:rsid w:val="003C2A84"/>
    <w:rsid w:val="003C30A2"/>
    <w:rsid w:val="003C3C4D"/>
    <w:rsid w:val="003C3C5A"/>
    <w:rsid w:val="003C43C4"/>
    <w:rsid w:val="003C4D35"/>
    <w:rsid w:val="003C5B7B"/>
    <w:rsid w:val="003C6539"/>
    <w:rsid w:val="003C66B6"/>
    <w:rsid w:val="003C71CC"/>
    <w:rsid w:val="003C7F29"/>
    <w:rsid w:val="003D0404"/>
    <w:rsid w:val="003D0C62"/>
    <w:rsid w:val="003D0D36"/>
    <w:rsid w:val="003D0D76"/>
    <w:rsid w:val="003D11BF"/>
    <w:rsid w:val="003D3490"/>
    <w:rsid w:val="003D46F5"/>
    <w:rsid w:val="003D4C93"/>
    <w:rsid w:val="003D539E"/>
    <w:rsid w:val="003D614E"/>
    <w:rsid w:val="003D7587"/>
    <w:rsid w:val="003D7EEB"/>
    <w:rsid w:val="003D7F8A"/>
    <w:rsid w:val="003E01E7"/>
    <w:rsid w:val="003E1808"/>
    <w:rsid w:val="003E19D3"/>
    <w:rsid w:val="003E1FA0"/>
    <w:rsid w:val="003E2007"/>
    <w:rsid w:val="003E3E26"/>
    <w:rsid w:val="003E3E40"/>
    <w:rsid w:val="003E440B"/>
    <w:rsid w:val="003E5335"/>
    <w:rsid w:val="003E54B3"/>
    <w:rsid w:val="003E57C0"/>
    <w:rsid w:val="003E65F2"/>
    <w:rsid w:val="003E670E"/>
    <w:rsid w:val="003E722F"/>
    <w:rsid w:val="003E7F6B"/>
    <w:rsid w:val="003F01B4"/>
    <w:rsid w:val="003F036C"/>
    <w:rsid w:val="003F079A"/>
    <w:rsid w:val="003F19A6"/>
    <w:rsid w:val="003F3052"/>
    <w:rsid w:val="003F32F3"/>
    <w:rsid w:val="003F46E7"/>
    <w:rsid w:val="003F4B3B"/>
    <w:rsid w:val="003F5322"/>
    <w:rsid w:val="003F53E2"/>
    <w:rsid w:val="003F5901"/>
    <w:rsid w:val="003F5B14"/>
    <w:rsid w:val="003F5C4A"/>
    <w:rsid w:val="003F6912"/>
    <w:rsid w:val="003F6A1E"/>
    <w:rsid w:val="003F6A69"/>
    <w:rsid w:val="003F7A77"/>
    <w:rsid w:val="003F7D2B"/>
    <w:rsid w:val="00400CFB"/>
    <w:rsid w:val="004010C5"/>
    <w:rsid w:val="00401757"/>
    <w:rsid w:val="00401CC4"/>
    <w:rsid w:val="0040231F"/>
    <w:rsid w:val="00402728"/>
    <w:rsid w:val="0040313F"/>
    <w:rsid w:val="00403422"/>
    <w:rsid w:val="00403428"/>
    <w:rsid w:val="00403CFF"/>
    <w:rsid w:val="00403E33"/>
    <w:rsid w:val="00405637"/>
    <w:rsid w:val="00405A87"/>
    <w:rsid w:val="0040655E"/>
    <w:rsid w:val="00406CD3"/>
    <w:rsid w:val="00407590"/>
    <w:rsid w:val="00407865"/>
    <w:rsid w:val="00407D1B"/>
    <w:rsid w:val="00407EE7"/>
    <w:rsid w:val="00410C05"/>
    <w:rsid w:val="00410C80"/>
    <w:rsid w:val="0041144A"/>
    <w:rsid w:val="00411AB8"/>
    <w:rsid w:val="00411F65"/>
    <w:rsid w:val="0041225B"/>
    <w:rsid w:val="004125F9"/>
    <w:rsid w:val="00412851"/>
    <w:rsid w:val="00412A48"/>
    <w:rsid w:val="00412CFF"/>
    <w:rsid w:val="004132C0"/>
    <w:rsid w:val="004132E8"/>
    <w:rsid w:val="0041352E"/>
    <w:rsid w:val="00413B8E"/>
    <w:rsid w:val="00413E78"/>
    <w:rsid w:val="00413FC6"/>
    <w:rsid w:val="00414813"/>
    <w:rsid w:val="00414F6B"/>
    <w:rsid w:val="00415156"/>
    <w:rsid w:val="00415173"/>
    <w:rsid w:val="00415988"/>
    <w:rsid w:val="00415F32"/>
    <w:rsid w:val="004165E8"/>
    <w:rsid w:val="00417130"/>
    <w:rsid w:val="0041728D"/>
    <w:rsid w:val="00417AA0"/>
    <w:rsid w:val="00417D27"/>
    <w:rsid w:val="00420BC8"/>
    <w:rsid w:val="00422891"/>
    <w:rsid w:val="0042445F"/>
    <w:rsid w:val="00424BE0"/>
    <w:rsid w:val="00425AFB"/>
    <w:rsid w:val="00426F0D"/>
    <w:rsid w:val="0042781E"/>
    <w:rsid w:val="00427E06"/>
    <w:rsid w:val="004325B8"/>
    <w:rsid w:val="00433407"/>
    <w:rsid w:val="00437082"/>
    <w:rsid w:val="0043763D"/>
    <w:rsid w:val="00440355"/>
    <w:rsid w:val="0044140A"/>
    <w:rsid w:val="00441793"/>
    <w:rsid w:val="004420B2"/>
    <w:rsid w:val="00442A0E"/>
    <w:rsid w:val="0044303B"/>
    <w:rsid w:val="004433A5"/>
    <w:rsid w:val="00443D84"/>
    <w:rsid w:val="00444866"/>
    <w:rsid w:val="00444F59"/>
    <w:rsid w:val="00445998"/>
    <w:rsid w:val="004459D1"/>
    <w:rsid w:val="00445AA9"/>
    <w:rsid w:val="00445CB0"/>
    <w:rsid w:val="00445DFB"/>
    <w:rsid w:val="00446C33"/>
    <w:rsid w:val="00446DF6"/>
    <w:rsid w:val="0044756A"/>
    <w:rsid w:val="00447BA2"/>
    <w:rsid w:val="00450DE4"/>
    <w:rsid w:val="004510FF"/>
    <w:rsid w:val="00451A01"/>
    <w:rsid w:val="00451B38"/>
    <w:rsid w:val="00451F0C"/>
    <w:rsid w:val="00452A79"/>
    <w:rsid w:val="00452D81"/>
    <w:rsid w:val="004534D8"/>
    <w:rsid w:val="00453635"/>
    <w:rsid w:val="00453FC9"/>
    <w:rsid w:val="004548DE"/>
    <w:rsid w:val="004550B0"/>
    <w:rsid w:val="0045573D"/>
    <w:rsid w:val="00456A65"/>
    <w:rsid w:val="00456CA6"/>
    <w:rsid w:val="00460A09"/>
    <w:rsid w:val="004611C6"/>
    <w:rsid w:val="00461F8D"/>
    <w:rsid w:val="0046227B"/>
    <w:rsid w:val="0046270F"/>
    <w:rsid w:val="0046357E"/>
    <w:rsid w:val="004638EA"/>
    <w:rsid w:val="00463F8E"/>
    <w:rsid w:val="0046433D"/>
    <w:rsid w:val="0046453C"/>
    <w:rsid w:val="00464C5A"/>
    <w:rsid w:val="00465129"/>
    <w:rsid w:val="00465296"/>
    <w:rsid w:val="0046542D"/>
    <w:rsid w:val="00467377"/>
    <w:rsid w:val="00467A78"/>
    <w:rsid w:val="00471CE6"/>
    <w:rsid w:val="00471E4F"/>
    <w:rsid w:val="00472809"/>
    <w:rsid w:val="00472926"/>
    <w:rsid w:val="004730CD"/>
    <w:rsid w:val="00474149"/>
    <w:rsid w:val="00474FC6"/>
    <w:rsid w:val="00475748"/>
    <w:rsid w:val="00475C21"/>
    <w:rsid w:val="00476DDD"/>
    <w:rsid w:val="00477057"/>
    <w:rsid w:val="004770C6"/>
    <w:rsid w:val="00477736"/>
    <w:rsid w:val="00477C0F"/>
    <w:rsid w:val="00480664"/>
    <w:rsid w:val="004809EE"/>
    <w:rsid w:val="004811BC"/>
    <w:rsid w:val="00481B05"/>
    <w:rsid w:val="0048202C"/>
    <w:rsid w:val="0048293B"/>
    <w:rsid w:val="004842E2"/>
    <w:rsid w:val="0048435F"/>
    <w:rsid w:val="00485B18"/>
    <w:rsid w:val="00485FE6"/>
    <w:rsid w:val="004860DB"/>
    <w:rsid w:val="00486C34"/>
    <w:rsid w:val="00486E86"/>
    <w:rsid w:val="004870C6"/>
    <w:rsid w:val="004874D5"/>
    <w:rsid w:val="00487764"/>
    <w:rsid w:val="004900DE"/>
    <w:rsid w:val="004901E9"/>
    <w:rsid w:val="004902F2"/>
    <w:rsid w:val="004902FF"/>
    <w:rsid w:val="0049032D"/>
    <w:rsid w:val="00491819"/>
    <w:rsid w:val="00491898"/>
    <w:rsid w:val="00491CAB"/>
    <w:rsid w:val="004922AD"/>
    <w:rsid w:val="004931B7"/>
    <w:rsid w:val="004935F3"/>
    <w:rsid w:val="00494B6D"/>
    <w:rsid w:val="00494B92"/>
    <w:rsid w:val="00494D37"/>
    <w:rsid w:val="00494DA7"/>
    <w:rsid w:val="004954CE"/>
    <w:rsid w:val="00496727"/>
    <w:rsid w:val="00497919"/>
    <w:rsid w:val="00497D40"/>
    <w:rsid w:val="00497D90"/>
    <w:rsid w:val="004A01A2"/>
    <w:rsid w:val="004A0A41"/>
    <w:rsid w:val="004A0D39"/>
    <w:rsid w:val="004A1F84"/>
    <w:rsid w:val="004A25AE"/>
    <w:rsid w:val="004A3861"/>
    <w:rsid w:val="004A4203"/>
    <w:rsid w:val="004A4765"/>
    <w:rsid w:val="004A5F86"/>
    <w:rsid w:val="004A675E"/>
    <w:rsid w:val="004A75F9"/>
    <w:rsid w:val="004A7DA2"/>
    <w:rsid w:val="004B04B8"/>
    <w:rsid w:val="004B1118"/>
    <w:rsid w:val="004B1779"/>
    <w:rsid w:val="004B19C0"/>
    <w:rsid w:val="004B1F60"/>
    <w:rsid w:val="004B1FDB"/>
    <w:rsid w:val="004B3906"/>
    <w:rsid w:val="004B42BE"/>
    <w:rsid w:val="004B46FE"/>
    <w:rsid w:val="004B4988"/>
    <w:rsid w:val="004B4D81"/>
    <w:rsid w:val="004B5338"/>
    <w:rsid w:val="004B5486"/>
    <w:rsid w:val="004B5626"/>
    <w:rsid w:val="004B5E12"/>
    <w:rsid w:val="004B5EB1"/>
    <w:rsid w:val="004B6837"/>
    <w:rsid w:val="004B6898"/>
    <w:rsid w:val="004B69BD"/>
    <w:rsid w:val="004B77EB"/>
    <w:rsid w:val="004B79BB"/>
    <w:rsid w:val="004B7A90"/>
    <w:rsid w:val="004C16F4"/>
    <w:rsid w:val="004C27C0"/>
    <w:rsid w:val="004C280B"/>
    <w:rsid w:val="004C3881"/>
    <w:rsid w:val="004C42CE"/>
    <w:rsid w:val="004C4B37"/>
    <w:rsid w:val="004C586C"/>
    <w:rsid w:val="004C58EF"/>
    <w:rsid w:val="004C5D1D"/>
    <w:rsid w:val="004C614D"/>
    <w:rsid w:val="004C6325"/>
    <w:rsid w:val="004C651B"/>
    <w:rsid w:val="004D0375"/>
    <w:rsid w:val="004D042A"/>
    <w:rsid w:val="004D04B3"/>
    <w:rsid w:val="004D09F6"/>
    <w:rsid w:val="004D0D82"/>
    <w:rsid w:val="004D2656"/>
    <w:rsid w:val="004D2C84"/>
    <w:rsid w:val="004D3F68"/>
    <w:rsid w:val="004D3FCB"/>
    <w:rsid w:val="004D4AEB"/>
    <w:rsid w:val="004D5593"/>
    <w:rsid w:val="004D5800"/>
    <w:rsid w:val="004D69D1"/>
    <w:rsid w:val="004D6F60"/>
    <w:rsid w:val="004D7A9E"/>
    <w:rsid w:val="004E06E1"/>
    <w:rsid w:val="004E08C7"/>
    <w:rsid w:val="004E1450"/>
    <w:rsid w:val="004E20F2"/>
    <w:rsid w:val="004E2611"/>
    <w:rsid w:val="004E3503"/>
    <w:rsid w:val="004E356B"/>
    <w:rsid w:val="004E360A"/>
    <w:rsid w:val="004E3B6C"/>
    <w:rsid w:val="004E41EF"/>
    <w:rsid w:val="004E5E3E"/>
    <w:rsid w:val="004E6209"/>
    <w:rsid w:val="004E625B"/>
    <w:rsid w:val="004E6425"/>
    <w:rsid w:val="004E652C"/>
    <w:rsid w:val="004E6ED1"/>
    <w:rsid w:val="004E733E"/>
    <w:rsid w:val="004E755E"/>
    <w:rsid w:val="004F023A"/>
    <w:rsid w:val="004F0C2F"/>
    <w:rsid w:val="004F1033"/>
    <w:rsid w:val="004F136D"/>
    <w:rsid w:val="004F1DB9"/>
    <w:rsid w:val="004F2E74"/>
    <w:rsid w:val="004F3852"/>
    <w:rsid w:val="004F4377"/>
    <w:rsid w:val="004F455F"/>
    <w:rsid w:val="004F4DC0"/>
    <w:rsid w:val="004F5CD1"/>
    <w:rsid w:val="004F702F"/>
    <w:rsid w:val="004F70AC"/>
    <w:rsid w:val="004F73F7"/>
    <w:rsid w:val="004F7D19"/>
    <w:rsid w:val="00500547"/>
    <w:rsid w:val="00500CC3"/>
    <w:rsid w:val="00501394"/>
    <w:rsid w:val="00502186"/>
    <w:rsid w:val="0050267C"/>
    <w:rsid w:val="005027DE"/>
    <w:rsid w:val="00502B62"/>
    <w:rsid w:val="0050335D"/>
    <w:rsid w:val="005045B8"/>
    <w:rsid w:val="0050511F"/>
    <w:rsid w:val="00505547"/>
    <w:rsid w:val="00506C35"/>
    <w:rsid w:val="00506F8F"/>
    <w:rsid w:val="00507D10"/>
    <w:rsid w:val="005100B5"/>
    <w:rsid w:val="00510986"/>
    <w:rsid w:val="00511056"/>
    <w:rsid w:val="00511F1B"/>
    <w:rsid w:val="005125A9"/>
    <w:rsid w:val="00512823"/>
    <w:rsid w:val="00513FF0"/>
    <w:rsid w:val="005151A8"/>
    <w:rsid w:val="005160D4"/>
    <w:rsid w:val="00516894"/>
    <w:rsid w:val="00516E24"/>
    <w:rsid w:val="005202E6"/>
    <w:rsid w:val="005210AF"/>
    <w:rsid w:val="00521114"/>
    <w:rsid w:val="005212E6"/>
    <w:rsid w:val="00521D44"/>
    <w:rsid w:val="00521FCD"/>
    <w:rsid w:val="00522513"/>
    <w:rsid w:val="00522B42"/>
    <w:rsid w:val="00522CAE"/>
    <w:rsid w:val="00525400"/>
    <w:rsid w:val="005259E2"/>
    <w:rsid w:val="00526801"/>
    <w:rsid w:val="00526DF3"/>
    <w:rsid w:val="00526DF9"/>
    <w:rsid w:val="00526E37"/>
    <w:rsid w:val="00527D4A"/>
    <w:rsid w:val="005310F9"/>
    <w:rsid w:val="00532935"/>
    <w:rsid w:val="00533124"/>
    <w:rsid w:val="00533240"/>
    <w:rsid w:val="0053395A"/>
    <w:rsid w:val="00533AA9"/>
    <w:rsid w:val="00535056"/>
    <w:rsid w:val="0053535C"/>
    <w:rsid w:val="00536D84"/>
    <w:rsid w:val="0053747C"/>
    <w:rsid w:val="00540279"/>
    <w:rsid w:val="0054097C"/>
    <w:rsid w:val="00540EB5"/>
    <w:rsid w:val="00542513"/>
    <w:rsid w:val="005427B1"/>
    <w:rsid w:val="005428BB"/>
    <w:rsid w:val="00543526"/>
    <w:rsid w:val="00544E27"/>
    <w:rsid w:val="00545A80"/>
    <w:rsid w:val="00545B24"/>
    <w:rsid w:val="0054601B"/>
    <w:rsid w:val="0054613B"/>
    <w:rsid w:val="0054619D"/>
    <w:rsid w:val="00546C49"/>
    <w:rsid w:val="00546C86"/>
    <w:rsid w:val="00546C8F"/>
    <w:rsid w:val="005472E2"/>
    <w:rsid w:val="00547929"/>
    <w:rsid w:val="00547C03"/>
    <w:rsid w:val="00550830"/>
    <w:rsid w:val="00551E1A"/>
    <w:rsid w:val="00552E0C"/>
    <w:rsid w:val="0055310B"/>
    <w:rsid w:val="005549A9"/>
    <w:rsid w:val="005553F2"/>
    <w:rsid w:val="005557D9"/>
    <w:rsid w:val="005562FC"/>
    <w:rsid w:val="00557F33"/>
    <w:rsid w:val="00560B37"/>
    <w:rsid w:val="005610DB"/>
    <w:rsid w:val="00561130"/>
    <w:rsid w:val="005629D6"/>
    <w:rsid w:val="00562BF5"/>
    <w:rsid w:val="005633A8"/>
    <w:rsid w:val="005639CF"/>
    <w:rsid w:val="005643EF"/>
    <w:rsid w:val="005644EF"/>
    <w:rsid w:val="00564644"/>
    <w:rsid w:val="00564799"/>
    <w:rsid w:val="00564B8E"/>
    <w:rsid w:val="00564FAA"/>
    <w:rsid w:val="00565031"/>
    <w:rsid w:val="0056506D"/>
    <w:rsid w:val="005650F5"/>
    <w:rsid w:val="0056540A"/>
    <w:rsid w:val="0056541B"/>
    <w:rsid w:val="00565E62"/>
    <w:rsid w:val="0056636E"/>
    <w:rsid w:val="00566737"/>
    <w:rsid w:val="00570C34"/>
    <w:rsid w:val="00571B1C"/>
    <w:rsid w:val="00571B9A"/>
    <w:rsid w:val="0057208E"/>
    <w:rsid w:val="005722B8"/>
    <w:rsid w:val="0057305B"/>
    <w:rsid w:val="0057347D"/>
    <w:rsid w:val="00574D2C"/>
    <w:rsid w:val="00575C4D"/>
    <w:rsid w:val="00576F48"/>
    <w:rsid w:val="00577C09"/>
    <w:rsid w:val="00580706"/>
    <w:rsid w:val="00580BA1"/>
    <w:rsid w:val="00580F07"/>
    <w:rsid w:val="005820CF"/>
    <w:rsid w:val="00582292"/>
    <w:rsid w:val="0058296C"/>
    <w:rsid w:val="00583F23"/>
    <w:rsid w:val="00584073"/>
    <w:rsid w:val="00584382"/>
    <w:rsid w:val="00585AB0"/>
    <w:rsid w:val="005865AA"/>
    <w:rsid w:val="00586A3C"/>
    <w:rsid w:val="005874E6"/>
    <w:rsid w:val="0058792B"/>
    <w:rsid w:val="00587CDC"/>
    <w:rsid w:val="0059041E"/>
    <w:rsid w:val="00590791"/>
    <w:rsid w:val="0059132C"/>
    <w:rsid w:val="005917E0"/>
    <w:rsid w:val="00592B3A"/>
    <w:rsid w:val="00592E73"/>
    <w:rsid w:val="0059300D"/>
    <w:rsid w:val="00593BDB"/>
    <w:rsid w:val="00593C44"/>
    <w:rsid w:val="00593EC7"/>
    <w:rsid w:val="00594FBF"/>
    <w:rsid w:val="0059509F"/>
    <w:rsid w:val="0059681B"/>
    <w:rsid w:val="005A052E"/>
    <w:rsid w:val="005A1B5A"/>
    <w:rsid w:val="005A2A45"/>
    <w:rsid w:val="005A2D64"/>
    <w:rsid w:val="005A3462"/>
    <w:rsid w:val="005A3B6B"/>
    <w:rsid w:val="005A3F6F"/>
    <w:rsid w:val="005A4002"/>
    <w:rsid w:val="005A5947"/>
    <w:rsid w:val="005A5AA8"/>
    <w:rsid w:val="005A5D76"/>
    <w:rsid w:val="005A6DC5"/>
    <w:rsid w:val="005A6F8B"/>
    <w:rsid w:val="005A7659"/>
    <w:rsid w:val="005A7F47"/>
    <w:rsid w:val="005B06BB"/>
    <w:rsid w:val="005B0BB1"/>
    <w:rsid w:val="005B1A79"/>
    <w:rsid w:val="005B29B0"/>
    <w:rsid w:val="005B30D9"/>
    <w:rsid w:val="005B3308"/>
    <w:rsid w:val="005B3C60"/>
    <w:rsid w:val="005B3D5E"/>
    <w:rsid w:val="005B3EB4"/>
    <w:rsid w:val="005B3F9D"/>
    <w:rsid w:val="005B48D1"/>
    <w:rsid w:val="005B4F06"/>
    <w:rsid w:val="005B5940"/>
    <w:rsid w:val="005B654D"/>
    <w:rsid w:val="005B73B8"/>
    <w:rsid w:val="005B7DCE"/>
    <w:rsid w:val="005B7F6F"/>
    <w:rsid w:val="005C0A74"/>
    <w:rsid w:val="005C0C3E"/>
    <w:rsid w:val="005C15CD"/>
    <w:rsid w:val="005C177F"/>
    <w:rsid w:val="005C2FA7"/>
    <w:rsid w:val="005C425A"/>
    <w:rsid w:val="005C446C"/>
    <w:rsid w:val="005C6ED0"/>
    <w:rsid w:val="005C776B"/>
    <w:rsid w:val="005D03EA"/>
    <w:rsid w:val="005D08DA"/>
    <w:rsid w:val="005D1B18"/>
    <w:rsid w:val="005D1BCF"/>
    <w:rsid w:val="005D1E15"/>
    <w:rsid w:val="005D1F6A"/>
    <w:rsid w:val="005D4267"/>
    <w:rsid w:val="005D4CAC"/>
    <w:rsid w:val="005D573F"/>
    <w:rsid w:val="005D5C86"/>
    <w:rsid w:val="005D7EAC"/>
    <w:rsid w:val="005E1ADA"/>
    <w:rsid w:val="005E33F7"/>
    <w:rsid w:val="005E5BDD"/>
    <w:rsid w:val="005E651B"/>
    <w:rsid w:val="005E661D"/>
    <w:rsid w:val="005E667A"/>
    <w:rsid w:val="005E6814"/>
    <w:rsid w:val="005E7740"/>
    <w:rsid w:val="005E779E"/>
    <w:rsid w:val="005E7C04"/>
    <w:rsid w:val="005F00BE"/>
    <w:rsid w:val="005F138A"/>
    <w:rsid w:val="005F1835"/>
    <w:rsid w:val="005F1C45"/>
    <w:rsid w:val="005F32A1"/>
    <w:rsid w:val="005F342B"/>
    <w:rsid w:val="005F39FB"/>
    <w:rsid w:val="005F5355"/>
    <w:rsid w:val="005F5912"/>
    <w:rsid w:val="005F59E7"/>
    <w:rsid w:val="005F69B5"/>
    <w:rsid w:val="005F69F7"/>
    <w:rsid w:val="005F7D22"/>
    <w:rsid w:val="006001B1"/>
    <w:rsid w:val="0060113B"/>
    <w:rsid w:val="0060124F"/>
    <w:rsid w:val="0060167A"/>
    <w:rsid w:val="006018F5"/>
    <w:rsid w:val="0060197D"/>
    <w:rsid w:val="006027C7"/>
    <w:rsid w:val="00602931"/>
    <w:rsid w:val="00602C69"/>
    <w:rsid w:val="00602CFA"/>
    <w:rsid w:val="006035C7"/>
    <w:rsid w:val="00603A60"/>
    <w:rsid w:val="00603FBE"/>
    <w:rsid w:val="00604010"/>
    <w:rsid w:val="006041C2"/>
    <w:rsid w:val="0060455E"/>
    <w:rsid w:val="00604940"/>
    <w:rsid w:val="006056FB"/>
    <w:rsid w:val="00605A7B"/>
    <w:rsid w:val="00606EAF"/>
    <w:rsid w:val="00606F6B"/>
    <w:rsid w:val="00607B99"/>
    <w:rsid w:val="006109EF"/>
    <w:rsid w:val="00610BE0"/>
    <w:rsid w:val="00611600"/>
    <w:rsid w:val="0061229B"/>
    <w:rsid w:val="00612345"/>
    <w:rsid w:val="00612C87"/>
    <w:rsid w:val="00612ECC"/>
    <w:rsid w:val="0061333E"/>
    <w:rsid w:val="00613CFA"/>
    <w:rsid w:val="0061452A"/>
    <w:rsid w:val="00614550"/>
    <w:rsid w:val="00614966"/>
    <w:rsid w:val="00615E82"/>
    <w:rsid w:val="00617644"/>
    <w:rsid w:val="00620ADB"/>
    <w:rsid w:val="00620CE5"/>
    <w:rsid w:val="00620F5B"/>
    <w:rsid w:val="006211B0"/>
    <w:rsid w:val="00621933"/>
    <w:rsid w:val="00621C19"/>
    <w:rsid w:val="00622260"/>
    <w:rsid w:val="0062241D"/>
    <w:rsid w:val="00624441"/>
    <w:rsid w:val="0062463E"/>
    <w:rsid w:val="006254A2"/>
    <w:rsid w:val="00625EFD"/>
    <w:rsid w:val="0062780F"/>
    <w:rsid w:val="0062795E"/>
    <w:rsid w:val="00627A1A"/>
    <w:rsid w:val="00627BBB"/>
    <w:rsid w:val="00630C80"/>
    <w:rsid w:val="00631286"/>
    <w:rsid w:val="0063178E"/>
    <w:rsid w:val="00631C93"/>
    <w:rsid w:val="006323FB"/>
    <w:rsid w:val="006329AA"/>
    <w:rsid w:val="006330E4"/>
    <w:rsid w:val="00633389"/>
    <w:rsid w:val="0063417C"/>
    <w:rsid w:val="0063470E"/>
    <w:rsid w:val="006352D4"/>
    <w:rsid w:val="00635346"/>
    <w:rsid w:val="0063588C"/>
    <w:rsid w:val="00635D02"/>
    <w:rsid w:val="0063676D"/>
    <w:rsid w:val="00636982"/>
    <w:rsid w:val="00636EAF"/>
    <w:rsid w:val="006370FC"/>
    <w:rsid w:val="00637BA0"/>
    <w:rsid w:val="00640941"/>
    <w:rsid w:val="006410CB"/>
    <w:rsid w:val="00642595"/>
    <w:rsid w:val="006432C9"/>
    <w:rsid w:val="00643334"/>
    <w:rsid w:val="006438F9"/>
    <w:rsid w:val="00643B45"/>
    <w:rsid w:val="00643F4E"/>
    <w:rsid w:val="00644830"/>
    <w:rsid w:val="00644ED7"/>
    <w:rsid w:val="0064513B"/>
    <w:rsid w:val="00645CDB"/>
    <w:rsid w:val="00646BA8"/>
    <w:rsid w:val="00646D28"/>
    <w:rsid w:val="00647DF4"/>
    <w:rsid w:val="00647EC6"/>
    <w:rsid w:val="00650AC7"/>
    <w:rsid w:val="00650EA0"/>
    <w:rsid w:val="006517A6"/>
    <w:rsid w:val="006536B3"/>
    <w:rsid w:val="00654813"/>
    <w:rsid w:val="00654A2C"/>
    <w:rsid w:val="00655790"/>
    <w:rsid w:val="00657552"/>
    <w:rsid w:val="00661709"/>
    <w:rsid w:val="00661BE2"/>
    <w:rsid w:val="00661C2E"/>
    <w:rsid w:val="00661CB3"/>
    <w:rsid w:val="00662733"/>
    <w:rsid w:val="0066285A"/>
    <w:rsid w:val="00663A01"/>
    <w:rsid w:val="006642EB"/>
    <w:rsid w:val="00665044"/>
    <w:rsid w:val="00665A11"/>
    <w:rsid w:val="00665A28"/>
    <w:rsid w:val="00666D67"/>
    <w:rsid w:val="00666E83"/>
    <w:rsid w:val="006679D6"/>
    <w:rsid w:val="00670AE4"/>
    <w:rsid w:val="00671C46"/>
    <w:rsid w:val="00671E19"/>
    <w:rsid w:val="006727BC"/>
    <w:rsid w:val="006728F7"/>
    <w:rsid w:val="00672CA0"/>
    <w:rsid w:val="00672CEF"/>
    <w:rsid w:val="00672F89"/>
    <w:rsid w:val="0067458C"/>
    <w:rsid w:val="00674742"/>
    <w:rsid w:val="00674EB9"/>
    <w:rsid w:val="00675980"/>
    <w:rsid w:val="0067603C"/>
    <w:rsid w:val="006768DC"/>
    <w:rsid w:val="00677E6D"/>
    <w:rsid w:val="00680BEC"/>
    <w:rsid w:val="00681BE5"/>
    <w:rsid w:val="00681CC2"/>
    <w:rsid w:val="00682473"/>
    <w:rsid w:val="006825C4"/>
    <w:rsid w:val="00682DF3"/>
    <w:rsid w:val="00683724"/>
    <w:rsid w:val="0068422D"/>
    <w:rsid w:val="00684262"/>
    <w:rsid w:val="0068513A"/>
    <w:rsid w:val="00685187"/>
    <w:rsid w:val="00685384"/>
    <w:rsid w:val="00685579"/>
    <w:rsid w:val="006860A0"/>
    <w:rsid w:val="00686110"/>
    <w:rsid w:val="0068637A"/>
    <w:rsid w:val="00686A98"/>
    <w:rsid w:val="00686E06"/>
    <w:rsid w:val="00687401"/>
    <w:rsid w:val="006875BD"/>
    <w:rsid w:val="00687ADF"/>
    <w:rsid w:val="006903FA"/>
    <w:rsid w:val="00690EFC"/>
    <w:rsid w:val="00690FE6"/>
    <w:rsid w:val="0069104D"/>
    <w:rsid w:val="00691C6B"/>
    <w:rsid w:val="00691D32"/>
    <w:rsid w:val="006923F3"/>
    <w:rsid w:val="00692CE2"/>
    <w:rsid w:val="00693285"/>
    <w:rsid w:val="00693584"/>
    <w:rsid w:val="006940F5"/>
    <w:rsid w:val="00694DA6"/>
    <w:rsid w:val="0069744B"/>
    <w:rsid w:val="006979A6"/>
    <w:rsid w:val="00697CA8"/>
    <w:rsid w:val="00697CCF"/>
    <w:rsid w:val="00697D38"/>
    <w:rsid w:val="00697E5F"/>
    <w:rsid w:val="006A028C"/>
    <w:rsid w:val="006A0577"/>
    <w:rsid w:val="006A11DB"/>
    <w:rsid w:val="006A21EB"/>
    <w:rsid w:val="006A2687"/>
    <w:rsid w:val="006A4F0F"/>
    <w:rsid w:val="006A606A"/>
    <w:rsid w:val="006A6303"/>
    <w:rsid w:val="006A6B55"/>
    <w:rsid w:val="006A7838"/>
    <w:rsid w:val="006A7ED2"/>
    <w:rsid w:val="006B0098"/>
    <w:rsid w:val="006B1259"/>
    <w:rsid w:val="006B12E0"/>
    <w:rsid w:val="006B20D1"/>
    <w:rsid w:val="006B2571"/>
    <w:rsid w:val="006B2DA3"/>
    <w:rsid w:val="006B3EF8"/>
    <w:rsid w:val="006B3FA7"/>
    <w:rsid w:val="006B5675"/>
    <w:rsid w:val="006B5751"/>
    <w:rsid w:val="006C1AF0"/>
    <w:rsid w:val="006C1F22"/>
    <w:rsid w:val="006C2AB1"/>
    <w:rsid w:val="006C2D23"/>
    <w:rsid w:val="006C3011"/>
    <w:rsid w:val="006C30A9"/>
    <w:rsid w:val="006C336D"/>
    <w:rsid w:val="006C4210"/>
    <w:rsid w:val="006C4986"/>
    <w:rsid w:val="006C4A50"/>
    <w:rsid w:val="006C4B49"/>
    <w:rsid w:val="006C5290"/>
    <w:rsid w:val="006C6223"/>
    <w:rsid w:val="006C6652"/>
    <w:rsid w:val="006C6694"/>
    <w:rsid w:val="006C687E"/>
    <w:rsid w:val="006C7CA4"/>
    <w:rsid w:val="006D1D60"/>
    <w:rsid w:val="006D278A"/>
    <w:rsid w:val="006D3D17"/>
    <w:rsid w:val="006D3EDE"/>
    <w:rsid w:val="006D49F1"/>
    <w:rsid w:val="006D56E8"/>
    <w:rsid w:val="006D58EB"/>
    <w:rsid w:val="006D5BC0"/>
    <w:rsid w:val="006D5F5F"/>
    <w:rsid w:val="006D6CD9"/>
    <w:rsid w:val="006D7123"/>
    <w:rsid w:val="006E008E"/>
    <w:rsid w:val="006E02F0"/>
    <w:rsid w:val="006E0D77"/>
    <w:rsid w:val="006E0D7F"/>
    <w:rsid w:val="006E1729"/>
    <w:rsid w:val="006E1BE5"/>
    <w:rsid w:val="006E1C24"/>
    <w:rsid w:val="006E1E1A"/>
    <w:rsid w:val="006E1E7F"/>
    <w:rsid w:val="006E212D"/>
    <w:rsid w:val="006E3357"/>
    <w:rsid w:val="006E40A4"/>
    <w:rsid w:val="006E4592"/>
    <w:rsid w:val="006E5551"/>
    <w:rsid w:val="006E5E5C"/>
    <w:rsid w:val="006E61DC"/>
    <w:rsid w:val="006E7978"/>
    <w:rsid w:val="006F0C94"/>
    <w:rsid w:val="006F11B8"/>
    <w:rsid w:val="006F1340"/>
    <w:rsid w:val="006F1708"/>
    <w:rsid w:val="006F1C50"/>
    <w:rsid w:val="006F35AD"/>
    <w:rsid w:val="006F38F1"/>
    <w:rsid w:val="006F3E05"/>
    <w:rsid w:val="006F4627"/>
    <w:rsid w:val="006F48E0"/>
    <w:rsid w:val="006F5690"/>
    <w:rsid w:val="006F58CD"/>
    <w:rsid w:val="006F594A"/>
    <w:rsid w:val="006F6789"/>
    <w:rsid w:val="006F6AAC"/>
    <w:rsid w:val="006F7352"/>
    <w:rsid w:val="006F7917"/>
    <w:rsid w:val="00701A88"/>
    <w:rsid w:val="00701BE1"/>
    <w:rsid w:val="00703A26"/>
    <w:rsid w:val="00704F4B"/>
    <w:rsid w:val="0070519B"/>
    <w:rsid w:val="0070536A"/>
    <w:rsid w:val="0070579C"/>
    <w:rsid w:val="00705FAA"/>
    <w:rsid w:val="0070636F"/>
    <w:rsid w:val="00706B4B"/>
    <w:rsid w:val="00710A4C"/>
    <w:rsid w:val="00711446"/>
    <w:rsid w:val="00712062"/>
    <w:rsid w:val="00712369"/>
    <w:rsid w:val="00712692"/>
    <w:rsid w:val="007134E8"/>
    <w:rsid w:val="00713C9B"/>
    <w:rsid w:val="00715E8C"/>
    <w:rsid w:val="00716922"/>
    <w:rsid w:val="00716C62"/>
    <w:rsid w:val="00717A26"/>
    <w:rsid w:val="007223B1"/>
    <w:rsid w:val="00722499"/>
    <w:rsid w:val="0072298D"/>
    <w:rsid w:val="00724376"/>
    <w:rsid w:val="00724513"/>
    <w:rsid w:val="00724865"/>
    <w:rsid w:val="0072520A"/>
    <w:rsid w:val="007253E7"/>
    <w:rsid w:val="00725E06"/>
    <w:rsid w:val="00727034"/>
    <w:rsid w:val="0073076F"/>
    <w:rsid w:val="007326A3"/>
    <w:rsid w:val="007332D7"/>
    <w:rsid w:val="00733707"/>
    <w:rsid w:val="0073454E"/>
    <w:rsid w:val="00734655"/>
    <w:rsid w:val="00735511"/>
    <w:rsid w:val="00735B1B"/>
    <w:rsid w:val="00735DFA"/>
    <w:rsid w:val="00735F4C"/>
    <w:rsid w:val="00737846"/>
    <w:rsid w:val="007400B1"/>
    <w:rsid w:val="007417D0"/>
    <w:rsid w:val="0074308A"/>
    <w:rsid w:val="007439A9"/>
    <w:rsid w:val="007442AB"/>
    <w:rsid w:val="0074489B"/>
    <w:rsid w:val="007458BD"/>
    <w:rsid w:val="00745B51"/>
    <w:rsid w:val="007477B6"/>
    <w:rsid w:val="00750038"/>
    <w:rsid w:val="007504CD"/>
    <w:rsid w:val="007505D9"/>
    <w:rsid w:val="007506A2"/>
    <w:rsid w:val="00750788"/>
    <w:rsid w:val="00751C69"/>
    <w:rsid w:val="0075231E"/>
    <w:rsid w:val="0075274F"/>
    <w:rsid w:val="00753217"/>
    <w:rsid w:val="00753599"/>
    <w:rsid w:val="007539AB"/>
    <w:rsid w:val="0075465B"/>
    <w:rsid w:val="007548BB"/>
    <w:rsid w:val="007572B6"/>
    <w:rsid w:val="007573E1"/>
    <w:rsid w:val="00761B33"/>
    <w:rsid w:val="00761DFE"/>
    <w:rsid w:val="00763523"/>
    <w:rsid w:val="00763713"/>
    <w:rsid w:val="00765195"/>
    <w:rsid w:val="00765DFD"/>
    <w:rsid w:val="007666C0"/>
    <w:rsid w:val="0076680E"/>
    <w:rsid w:val="00767825"/>
    <w:rsid w:val="00767B48"/>
    <w:rsid w:val="0077002E"/>
    <w:rsid w:val="007711C7"/>
    <w:rsid w:val="007720BB"/>
    <w:rsid w:val="0077268B"/>
    <w:rsid w:val="007729E1"/>
    <w:rsid w:val="00773B72"/>
    <w:rsid w:val="0077413A"/>
    <w:rsid w:val="00775CE9"/>
    <w:rsid w:val="007762E3"/>
    <w:rsid w:val="00776CBC"/>
    <w:rsid w:val="00776D5B"/>
    <w:rsid w:val="007772E9"/>
    <w:rsid w:val="0077799A"/>
    <w:rsid w:val="0078091A"/>
    <w:rsid w:val="00780A0F"/>
    <w:rsid w:val="00780D0A"/>
    <w:rsid w:val="00782C91"/>
    <w:rsid w:val="00783052"/>
    <w:rsid w:val="00783994"/>
    <w:rsid w:val="00784B8F"/>
    <w:rsid w:val="00787BE7"/>
    <w:rsid w:val="00790758"/>
    <w:rsid w:val="00790DD2"/>
    <w:rsid w:val="0079122D"/>
    <w:rsid w:val="00791C9A"/>
    <w:rsid w:val="00792163"/>
    <w:rsid w:val="007922A2"/>
    <w:rsid w:val="00792499"/>
    <w:rsid w:val="00792F3B"/>
    <w:rsid w:val="0079381E"/>
    <w:rsid w:val="00793C6F"/>
    <w:rsid w:val="00794B8D"/>
    <w:rsid w:val="00794F50"/>
    <w:rsid w:val="00795E20"/>
    <w:rsid w:val="0079600C"/>
    <w:rsid w:val="00797C15"/>
    <w:rsid w:val="007A008A"/>
    <w:rsid w:val="007A0324"/>
    <w:rsid w:val="007A0E18"/>
    <w:rsid w:val="007A1B34"/>
    <w:rsid w:val="007A1C5C"/>
    <w:rsid w:val="007A1ED9"/>
    <w:rsid w:val="007A248C"/>
    <w:rsid w:val="007A326A"/>
    <w:rsid w:val="007A3870"/>
    <w:rsid w:val="007A416F"/>
    <w:rsid w:val="007A48BD"/>
    <w:rsid w:val="007A4D24"/>
    <w:rsid w:val="007A5260"/>
    <w:rsid w:val="007A6069"/>
    <w:rsid w:val="007A658F"/>
    <w:rsid w:val="007A748E"/>
    <w:rsid w:val="007A7D26"/>
    <w:rsid w:val="007B0948"/>
    <w:rsid w:val="007B26CB"/>
    <w:rsid w:val="007B3F28"/>
    <w:rsid w:val="007B4253"/>
    <w:rsid w:val="007B49CB"/>
    <w:rsid w:val="007B4C23"/>
    <w:rsid w:val="007B5678"/>
    <w:rsid w:val="007B5B2C"/>
    <w:rsid w:val="007B68EF"/>
    <w:rsid w:val="007B73FE"/>
    <w:rsid w:val="007B743E"/>
    <w:rsid w:val="007B7E20"/>
    <w:rsid w:val="007C142A"/>
    <w:rsid w:val="007C2BF8"/>
    <w:rsid w:val="007C2DB9"/>
    <w:rsid w:val="007C3482"/>
    <w:rsid w:val="007C3573"/>
    <w:rsid w:val="007C4FCD"/>
    <w:rsid w:val="007C5178"/>
    <w:rsid w:val="007C5EAD"/>
    <w:rsid w:val="007C717F"/>
    <w:rsid w:val="007D0CE2"/>
    <w:rsid w:val="007D11D4"/>
    <w:rsid w:val="007D25F0"/>
    <w:rsid w:val="007D33C0"/>
    <w:rsid w:val="007D4311"/>
    <w:rsid w:val="007D5EDC"/>
    <w:rsid w:val="007D640E"/>
    <w:rsid w:val="007D65ED"/>
    <w:rsid w:val="007E03E8"/>
    <w:rsid w:val="007E172A"/>
    <w:rsid w:val="007E1D39"/>
    <w:rsid w:val="007E1ECE"/>
    <w:rsid w:val="007E20FB"/>
    <w:rsid w:val="007E2170"/>
    <w:rsid w:val="007E377E"/>
    <w:rsid w:val="007E379C"/>
    <w:rsid w:val="007E3E48"/>
    <w:rsid w:val="007E4431"/>
    <w:rsid w:val="007E4993"/>
    <w:rsid w:val="007E5724"/>
    <w:rsid w:val="007E5B46"/>
    <w:rsid w:val="007E6268"/>
    <w:rsid w:val="007E67C3"/>
    <w:rsid w:val="007E7C82"/>
    <w:rsid w:val="007F01BE"/>
    <w:rsid w:val="007F1252"/>
    <w:rsid w:val="007F1834"/>
    <w:rsid w:val="007F2EB8"/>
    <w:rsid w:val="007F3245"/>
    <w:rsid w:val="007F3838"/>
    <w:rsid w:val="007F3AB6"/>
    <w:rsid w:val="007F4445"/>
    <w:rsid w:val="007F4536"/>
    <w:rsid w:val="007F4DA7"/>
    <w:rsid w:val="007F5450"/>
    <w:rsid w:val="007F54A3"/>
    <w:rsid w:val="007F761B"/>
    <w:rsid w:val="007F796D"/>
    <w:rsid w:val="00800369"/>
    <w:rsid w:val="00800B67"/>
    <w:rsid w:val="00801D43"/>
    <w:rsid w:val="008023D2"/>
    <w:rsid w:val="00802DF1"/>
    <w:rsid w:val="00802E49"/>
    <w:rsid w:val="00802F3A"/>
    <w:rsid w:val="008033F2"/>
    <w:rsid w:val="0080347F"/>
    <w:rsid w:val="00803D5B"/>
    <w:rsid w:val="00804779"/>
    <w:rsid w:val="008063A3"/>
    <w:rsid w:val="00806F04"/>
    <w:rsid w:val="00807023"/>
    <w:rsid w:val="00807CB0"/>
    <w:rsid w:val="00810CBE"/>
    <w:rsid w:val="008112B5"/>
    <w:rsid w:val="008120DE"/>
    <w:rsid w:val="00813732"/>
    <w:rsid w:val="008145B6"/>
    <w:rsid w:val="008146A5"/>
    <w:rsid w:val="00814AD0"/>
    <w:rsid w:val="00814C96"/>
    <w:rsid w:val="00814FFC"/>
    <w:rsid w:val="00815274"/>
    <w:rsid w:val="00815C5A"/>
    <w:rsid w:val="00815F2E"/>
    <w:rsid w:val="008160C2"/>
    <w:rsid w:val="00816364"/>
    <w:rsid w:val="008163E9"/>
    <w:rsid w:val="008173D6"/>
    <w:rsid w:val="008174D0"/>
    <w:rsid w:val="00817973"/>
    <w:rsid w:val="00817D52"/>
    <w:rsid w:val="00820169"/>
    <w:rsid w:val="008206EC"/>
    <w:rsid w:val="00821729"/>
    <w:rsid w:val="008227B5"/>
    <w:rsid w:val="00822F96"/>
    <w:rsid w:val="00822FA2"/>
    <w:rsid w:val="008232BD"/>
    <w:rsid w:val="00824611"/>
    <w:rsid w:val="008256AA"/>
    <w:rsid w:val="008269D6"/>
    <w:rsid w:val="00826CBC"/>
    <w:rsid w:val="00827136"/>
    <w:rsid w:val="008277C4"/>
    <w:rsid w:val="00827DE8"/>
    <w:rsid w:val="0083044F"/>
    <w:rsid w:val="00831868"/>
    <w:rsid w:val="008329E2"/>
    <w:rsid w:val="0083388B"/>
    <w:rsid w:val="0083431A"/>
    <w:rsid w:val="00834320"/>
    <w:rsid w:val="0083436A"/>
    <w:rsid w:val="008347F5"/>
    <w:rsid w:val="0083549E"/>
    <w:rsid w:val="00835A2A"/>
    <w:rsid w:val="00835B2F"/>
    <w:rsid w:val="0083717E"/>
    <w:rsid w:val="00840561"/>
    <w:rsid w:val="00840A4D"/>
    <w:rsid w:val="00840CB1"/>
    <w:rsid w:val="00841630"/>
    <w:rsid w:val="00841F65"/>
    <w:rsid w:val="00842D19"/>
    <w:rsid w:val="00842E0C"/>
    <w:rsid w:val="008430E9"/>
    <w:rsid w:val="00843954"/>
    <w:rsid w:val="008442B4"/>
    <w:rsid w:val="00844400"/>
    <w:rsid w:val="00844738"/>
    <w:rsid w:val="008448EE"/>
    <w:rsid w:val="00845314"/>
    <w:rsid w:val="0084771F"/>
    <w:rsid w:val="008507C4"/>
    <w:rsid w:val="0085082A"/>
    <w:rsid w:val="00852A0C"/>
    <w:rsid w:val="00853B14"/>
    <w:rsid w:val="00853FFD"/>
    <w:rsid w:val="00854E6C"/>
    <w:rsid w:val="00854FF0"/>
    <w:rsid w:val="00855473"/>
    <w:rsid w:val="0085607F"/>
    <w:rsid w:val="00860356"/>
    <w:rsid w:val="00861271"/>
    <w:rsid w:val="00861A69"/>
    <w:rsid w:val="00861C49"/>
    <w:rsid w:val="008620F3"/>
    <w:rsid w:val="00864180"/>
    <w:rsid w:val="00864379"/>
    <w:rsid w:val="0086457D"/>
    <w:rsid w:val="00864655"/>
    <w:rsid w:val="00864AB5"/>
    <w:rsid w:val="00864CBD"/>
    <w:rsid w:val="00864E44"/>
    <w:rsid w:val="0086621E"/>
    <w:rsid w:val="008677EA"/>
    <w:rsid w:val="00870ABF"/>
    <w:rsid w:val="00871B97"/>
    <w:rsid w:val="00871EDD"/>
    <w:rsid w:val="00872F63"/>
    <w:rsid w:val="00874620"/>
    <w:rsid w:val="0087478E"/>
    <w:rsid w:val="00874945"/>
    <w:rsid w:val="00875340"/>
    <w:rsid w:val="008759F8"/>
    <w:rsid w:val="00875A93"/>
    <w:rsid w:val="00875F12"/>
    <w:rsid w:val="0087628D"/>
    <w:rsid w:val="00876D96"/>
    <w:rsid w:val="0088066E"/>
    <w:rsid w:val="008806F2"/>
    <w:rsid w:val="0088085C"/>
    <w:rsid w:val="00880F7B"/>
    <w:rsid w:val="008817CC"/>
    <w:rsid w:val="00881C74"/>
    <w:rsid w:val="00881CF3"/>
    <w:rsid w:val="00882638"/>
    <w:rsid w:val="00882DAE"/>
    <w:rsid w:val="00883447"/>
    <w:rsid w:val="00886DF4"/>
    <w:rsid w:val="00886EC5"/>
    <w:rsid w:val="008870D3"/>
    <w:rsid w:val="00887D5A"/>
    <w:rsid w:val="00887D90"/>
    <w:rsid w:val="00890289"/>
    <w:rsid w:val="008918E6"/>
    <w:rsid w:val="00891B31"/>
    <w:rsid w:val="008931E6"/>
    <w:rsid w:val="00893671"/>
    <w:rsid w:val="00897BC5"/>
    <w:rsid w:val="008A1022"/>
    <w:rsid w:val="008A3CA2"/>
    <w:rsid w:val="008A533F"/>
    <w:rsid w:val="008A5BC7"/>
    <w:rsid w:val="008A739E"/>
    <w:rsid w:val="008A7DDB"/>
    <w:rsid w:val="008B047D"/>
    <w:rsid w:val="008B075A"/>
    <w:rsid w:val="008B088A"/>
    <w:rsid w:val="008B1E9A"/>
    <w:rsid w:val="008B2410"/>
    <w:rsid w:val="008B2A3A"/>
    <w:rsid w:val="008B391D"/>
    <w:rsid w:val="008B41C7"/>
    <w:rsid w:val="008B5614"/>
    <w:rsid w:val="008B5F3F"/>
    <w:rsid w:val="008B6A15"/>
    <w:rsid w:val="008B6A93"/>
    <w:rsid w:val="008C0DBF"/>
    <w:rsid w:val="008C2C09"/>
    <w:rsid w:val="008C313E"/>
    <w:rsid w:val="008C3E93"/>
    <w:rsid w:val="008C407C"/>
    <w:rsid w:val="008C4730"/>
    <w:rsid w:val="008C4B91"/>
    <w:rsid w:val="008C522C"/>
    <w:rsid w:val="008C56CC"/>
    <w:rsid w:val="008C58FC"/>
    <w:rsid w:val="008C68DA"/>
    <w:rsid w:val="008C6B49"/>
    <w:rsid w:val="008C6C96"/>
    <w:rsid w:val="008C711D"/>
    <w:rsid w:val="008C7450"/>
    <w:rsid w:val="008C7EB1"/>
    <w:rsid w:val="008D08E5"/>
    <w:rsid w:val="008D0F23"/>
    <w:rsid w:val="008D1C3B"/>
    <w:rsid w:val="008D242C"/>
    <w:rsid w:val="008D2D16"/>
    <w:rsid w:val="008D4570"/>
    <w:rsid w:val="008D49C1"/>
    <w:rsid w:val="008D5169"/>
    <w:rsid w:val="008D5A9E"/>
    <w:rsid w:val="008D67FD"/>
    <w:rsid w:val="008D688A"/>
    <w:rsid w:val="008D6A10"/>
    <w:rsid w:val="008D6A85"/>
    <w:rsid w:val="008D74AC"/>
    <w:rsid w:val="008E05F8"/>
    <w:rsid w:val="008E0961"/>
    <w:rsid w:val="008E1AFA"/>
    <w:rsid w:val="008E1FDE"/>
    <w:rsid w:val="008E26CE"/>
    <w:rsid w:val="008E2EF9"/>
    <w:rsid w:val="008E3118"/>
    <w:rsid w:val="008E350B"/>
    <w:rsid w:val="008E43ED"/>
    <w:rsid w:val="008E5446"/>
    <w:rsid w:val="008E6616"/>
    <w:rsid w:val="008E6E71"/>
    <w:rsid w:val="008E7A2D"/>
    <w:rsid w:val="008E7A85"/>
    <w:rsid w:val="008E7B34"/>
    <w:rsid w:val="008E7EC1"/>
    <w:rsid w:val="008F10FB"/>
    <w:rsid w:val="008F11FF"/>
    <w:rsid w:val="008F1221"/>
    <w:rsid w:val="008F23DA"/>
    <w:rsid w:val="008F247C"/>
    <w:rsid w:val="008F2C9B"/>
    <w:rsid w:val="008F3390"/>
    <w:rsid w:val="008F3BEE"/>
    <w:rsid w:val="008F3C1F"/>
    <w:rsid w:val="008F74FA"/>
    <w:rsid w:val="008F78C5"/>
    <w:rsid w:val="00900048"/>
    <w:rsid w:val="009001BF"/>
    <w:rsid w:val="009002B5"/>
    <w:rsid w:val="009009B7"/>
    <w:rsid w:val="0090102B"/>
    <w:rsid w:val="00903DEA"/>
    <w:rsid w:val="00903FF7"/>
    <w:rsid w:val="00904A75"/>
    <w:rsid w:val="00904B80"/>
    <w:rsid w:val="00904B81"/>
    <w:rsid w:val="00904CA4"/>
    <w:rsid w:val="00904F47"/>
    <w:rsid w:val="00905703"/>
    <w:rsid w:val="0090581A"/>
    <w:rsid w:val="00905880"/>
    <w:rsid w:val="00905CC2"/>
    <w:rsid w:val="009067E0"/>
    <w:rsid w:val="00906FDB"/>
    <w:rsid w:val="00907651"/>
    <w:rsid w:val="009077C7"/>
    <w:rsid w:val="00907D56"/>
    <w:rsid w:val="00911779"/>
    <w:rsid w:val="00911798"/>
    <w:rsid w:val="0091194C"/>
    <w:rsid w:val="0091366B"/>
    <w:rsid w:val="00913DF3"/>
    <w:rsid w:val="00915B68"/>
    <w:rsid w:val="009162D8"/>
    <w:rsid w:val="00916842"/>
    <w:rsid w:val="00921AE0"/>
    <w:rsid w:val="00921BC7"/>
    <w:rsid w:val="00923738"/>
    <w:rsid w:val="009238B2"/>
    <w:rsid w:val="00924F94"/>
    <w:rsid w:val="009256D0"/>
    <w:rsid w:val="00925BC0"/>
    <w:rsid w:val="00926675"/>
    <w:rsid w:val="00927443"/>
    <w:rsid w:val="00927D92"/>
    <w:rsid w:val="009317D7"/>
    <w:rsid w:val="009319B0"/>
    <w:rsid w:val="00931AE2"/>
    <w:rsid w:val="00931D98"/>
    <w:rsid w:val="0093220E"/>
    <w:rsid w:val="00932D28"/>
    <w:rsid w:val="009336B2"/>
    <w:rsid w:val="00935A78"/>
    <w:rsid w:val="009362B0"/>
    <w:rsid w:val="0093736D"/>
    <w:rsid w:val="00937B45"/>
    <w:rsid w:val="0094049F"/>
    <w:rsid w:val="00940B41"/>
    <w:rsid w:val="009419BF"/>
    <w:rsid w:val="0094285D"/>
    <w:rsid w:val="009429F3"/>
    <w:rsid w:val="00942EC7"/>
    <w:rsid w:val="009431FF"/>
    <w:rsid w:val="0094332B"/>
    <w:rsid w:val="009434E1"/>
    <w:rsid w:val="00943C63"/>
    <w:rsid w:val="00943DD3"/>
    <w:rsid w:val="0094424F"/>
    <w:rsid w:val="009444C8"/>
    <w:rsid w:val="0094711B"/>
    <w:rsid w:val="00947B5E"/>
    <w:rsid w:val="00950219"/>
    <w:rsid w:val="009509C2"/>
    <w:rsid w:val="009509CB"/>
    <w:rsid w:val="00951259"/>
    <w:rsid w:val="0095198E"/>
    <w:rsid w:val="00951A60"/>
    <w:rsid w:val="00951D34"/>
    <w:rsid w:val="009521BF"/>
    <w:rsid w:val="00952279"/>
    <w:rsid w:val="00952C98"/>
    <w:rsid w:val="00952E33"/>
    <w:rsid w:val="00952E7E"/>
    <w:rsid w:val="009532AF"/>
    <w:rsid w:val="00953FF2"/>
    <w:rsid w:val="00954129"/>
    <w:rsid w:val="0095642A"/>
    <w:rsid w:val="009568AB"/>
    <w:rsid w:val="0095792E"/>
    <w:rsid w:val="00960169"/>
    <w:rsid w:val="00960655"/>
    <w:rsid w:val="009607D3"/>
    <w:rsid w:val="00960E62"/>
    <w:rsid w:val="00961054"/>
    <w:rsid w:val="009620DD"/>
    <w:rsid w:val="00962B20"/>
    <w:rsid w:val="00962CF7"/>
    <w:rsid w:val="0096329E"/>
    <w:rsid w:val="0096348D"/>
    <w:rsid w:val="009637B8"/>
    <w:rsid w:val="0096445B"/>
    <w:rsid w:val="00964DAA"/>
    <w:rsid w:val="00965112"/>
    <w:rsid w:val="00966235"/>
    <w:rsid w:val="0096657E"/>
    <w:rsid w:val="0096707D"/>
    <w:rsid w:val="00967ACF"/>
    <w:rsid w:val="00970233"/>
    <w:rsid w:val="00970B0C"/>
    <w:rsid w:val="00971137"/>
    <w:rsid w:val="009712E3"/>
    <w:rsid w:val="00971DCF"/>
    <w:rsid w:val="0097262F"/>
    <w:rsid w:val="00973814"/>
    <w:rsid w:val="00973B9E"/>
    <w:rsid w:val="00973C61"/>
    <w:rsid w:val="00973D5C"/>
    <w:rsid w:val="00973DB4"/>
    <w:rsid w:val="009751C0"/>
    <w:rsid w:val="009758C7"/>
    <w:rsid w:val="00975A5E"/>
    <w:rsid w:val="00975D66"/>
    <w:rsid w:val="00975D8A"/>
    <w:rsid w:val="009769D6"/>
    <w:rsid w:val="00977DA7"/>
    <w:rsid w:val="00980CEB"/>
    <w:rsid w:val="009818A2"/>
    <w:rsid w:val="00981BB6"/>
    <w:rsid w:val="00981BFA"/>
    <w:rsid w:val="00981E9D"/>
    <w:rsid w:val="009830E0"/>
    <w:rsid w:val="009852B7"/>
    <w:rsid w:val="00986374"/>
    <w:rsid w:val="00986A23"/>
    <w:rsid w:val="00986B38"/>
    <w:rsid w:val="00987CEA"/>
    <w:rsid w:val="009911BB"/>
    <w:rsid w:val="00991507"/>
    <w:rsid w:val="00991581"/>
    <w:rsid w:val="0099180E"/>
    <w:rsid w:val="00991A07"/>
    <w:rsid w:val="0099447F"/>
    <w:rsid w:val="009948C3"/>
    <w:rsid w:val="009953BB"/>
    <w:rsid w:val="0099576C"/>
    <w:rsid w:val="00996190"/>
    <w:rsid w:val="00996246"/>
    <w:rsid w:val="00996A0F"/>
    <w:rsid w:val="00996CB6"/>
    <w:rsid w:val="009970A4"/>
    <w:rsid w:val="009A27B7"/>
    <w:rsid w:val="009A2EC2"/>
    <w:rsid w:val="009A42BE"/>
    <w:rsid w:val="009A4963"/>
    <w:rsid w:val="009A6E6D"/>
    <w:rsid w:val="009B0506"/>
    <w:rsid w:val="009B1664"/>
    <w:rsid w:val="009B18E3"/>
    <w:rsid w:val="009B1B07"/>
    <w:rsid w:val="009B26B2"/>
    <w:rsid w:val="009B2C0C"/>
    <w:rsid w:val="009B2E2B"/>
    <w:rsid w:val="009B4891"/>
    <w:rsid w:val="009B514D"/>
    <w:rsid w:val="009B5356"/>
    <w:rsid w:val="009B545A"/>
    <w:rsid w:val="009B55AC"/>
    <w:rsid w:val="009B60B5"/>
    <w:rsid w:val="009B70D9"/>
    <w:rsid w:val="009B7505"/>
    <w:rsid w:val="009C038E"/>
    <w:rsid w:val="009C149C"/>
    <w:rsid w:val="009C150C"/>
    <w:rsid w:val="009C1E57"/>
    <w:rsid w:val="009C28EA"/>
    <w:rsid w:val="009C2AB9"/>
    <w:rsid w:val="009C2C14"/>
    <w:rsid w:val="009C46E3"/>
    <w:rsid w:val="009C5247"/>
    <w:rsid w:val="009C6DA5"/>
    <w:rsid w:val="009C7F86"/>
    <w:rsid w:val="009D016C"/>
    <w:rsid w:val="009D099E"/>
    <w:rsid w:val="009D0A28"/>
    <w:rsid w:val="009D165A"/>
    <w:rsid w:val="009D2358"/>
    <w:rsid w:val="009D4E12"/>
    <w:rsid w:val="009E02C7"/>
    <w:rsid w:val="009E0CBB"/>
    <w:rsid w:val="009E2639"/>
    <w:rsid w:val="009E2A06"/>
    <w:rsid w:val="009E3127"/>
    <w:rsid w:val="009E34B4"/>
    <w:rsid w:val="009E404A"/>
    <w:rsid w:val="009E4B9F"/>
    <w:rsid w:val="009E4CE1"/>
    <w:rsid w:val="009E5347"/>
    <w:rsid w:val="009E6E13"/>
    <w:rsid w:val="009E7003"/>
    <w:rsid w:val="009E7F8D"/>
    <w:rsid w:val="009F0E29"/>
    <w:rsid w:val="009F3894"/>
    <w:rsid w:val="009F3902"/>
    <w:rsid w:val="009F3EEA"/>
    <w:rsid w:val="009F4C1B"/>
    <w:rsid w:val="009F4EC7"/>
    <w:rsid w:val="009F51BF"/>
    <w:rsid w:val="009F556F"/>
    <w:rsid w:val="009F570F"/>
    <w:rsid w:val="009F69EB"/>
    <w:rsid w:val="009F6C31"/>
    <w:rsid w:val="009F6D7B"/>
    <w:rsid w:val="009F6ED9"/>
    <w:rsid w:val="009F7692"/>
    <w:rsid w:val="00A0172C"/>
    <w:rsid w:val="00A026F6"/>
    <w:rsid w:val="00A02B31"/>
    <w:rsid w:val="00A03702"/>
    <w:rsid w:val="00A03A85"/>
    <w:rsid w:val="00A03C12"/>
    <w:rsid w:val="00A043A2"/>
    <w:rsid w:val="00A064E5"/>
    <w:rsid w:val="00A100D6"/>
    <w:rsid w:val="00A1036C"/>
    <w:rsid w:val="00A10E41"/>
    <w:rsid w:val="00A111F4"/>
    <w:rsid w:val="00A118E0"/>
    <w:rsid w:val="00A11B2F"/>
    <w:rsid w:val="00A11D13"/>
    <w:rsid w:val="00A12660"/>
    <w:rsid w:val="00A12741"/>
    <w:rsid w:val="00A12C19"/>
    <w:rsid w:val="00A139E8"/>
    <w:rsid w:val="00A14314"/>
    <w:rsid w:val="00A150EE"/>
    <w:rsid w:val="00A15E3D"/>
    <w:rsid w:val="00A15FEC"/>
    <w:rsid w:val="00A16C4B"/>
    <w:rsid w:val="00A17944"/>
    <w:rsid w:val="00A17CE1"/>
    <w:rsid w:val="00A20C00"/>
    <w:rsid w:val="00A20E27"/>
    <w:rsid w:val="00A21710"/>
    <w:rsid w:val="00A221FA"/>
    <w:rsid w:val="00A2277B"/>
    <w:rsid w:val="00A22814"/>
    <w:rsid w:val="00A24886"/>
    <w:rsid w:val="00A24D2B"/>
    <w:rsid w:val="00A250FE"/>
    <w:rsid w:val="00A26939"/>
    <w:rsid w:val="00A26FA9"/>
    <w:rsid w:val="00A27DDB"/>
    <w:rsid w:val="00A309F3"/>
    <w:rsid w:val="00A319B8"/>
    <w:rsid w:val="00A3245D"/>
    <w:rsid w:val="00A32840"/>
    <w:rsid w:val="00A32DDB"/>
    <w:rsid w:val="00A33CB9"/>
    <w:rsid w:val="00A360E4"/>
    <w:rsid w:val="00A36226"/>
    <w:rsid w:val="00A36A66"/>
    <w:rsid w:val="00A36E54"/>
    <w:rsid w:val="00A40319"/>
    <w:rsid w:val="00A426E8"/>
    <w:rsid w:val="00A42D94"/>
    <w:rsid w:val="00A43382"/>
    <w:rsid w:val="00A4348D"/>
    <w:rsid w:val="00A434AC"/>
    <w:rsid w:val="00A43704"/>
    <w:rsid w:val="00A44710"/>
    <w:rsid w:val="00A44D0F"/>
    <w:rsid w:val="00A4562E"/>
    <w:rsid w:val="00A47998"/>
    <w:rsid w:val="00A47AB9"/>
    <w:rsid w:val="00A500C9"/>
    <w:rsid w:val="00A510A6"/>
    <w:rsid w:val="00A51465"/>
    <w:rsid w:val="00A51613"/>
    <w:rsid w:val="00A51D77"/>
    <w:rsid w:val="00A53062"/>
    <w:rsid w:val="00A536F2"/>
    <w:rsid w:val="00A53886"/>
    <w:rsid w:val="00A54B7A"/>
    <w:rsid w:val="00A54C8B"/>
    <w:rsid w:val="00A5549A"/>
    <w:rsid w:val="00A55845"/>
    <w:rsid w:val="00A55B22"/>
    <w:rsid w:val="00A55B45"/>
    <w:rsid w:val="00A56FA1"/>
    <w:rsid w:val="00A5786A"/>
    <w:rsid w:val="00A579A5"/>
    <w:rsid w:val="00A6022A"/>
    <w:rsid w:val="00A612D8"/>
    <w:rsid w:val="00A6244D"/>
    <w:rsid w:val="00A62DA6"/>
    <w:rsid w:val="00A638E8"/>
    <w:rsid w:val="00A64177"/>
    <w:rsid w:val="00A64260"/>
    <w:rsid w:val="00A64585"/>
    <w:rsid w:val="00A646E0"/>
    <w:rsid w:val="00A66149"/>
    <w:rsid w:val="00A66EA3"/>
    <w:rsid w:val="00A67532"/>
    <w:rsid w:val="00A67D58"/>
    <w:rsid w:val="00A67F89"/>
    <w:rsid w:val="00A704EB"/>
    <w:rsid w:val="00A7067B"/>
    <w:rsid w:val="00A70BFD"/>
    <w:rsid w:val="00A70FCF"/>
    <w:rsid w:val="00A7105C"/>
    <w:rsid w:val="00A713CF"/>
    <w:rsid w:val="00A71AF4"/>
    <w:rsid w:val="00A72009"/>
    <w:rsid w:val="00A72904"/>
    <w:rsid w:val="00A72F57"/>
    <w:rsid w:val="00A7383E"/>
    <w:rsid w:val="00A73CE9"/>
    <w:rsid w:val="00A73FA0"/>
    <w:rsid w:val="00A74311"/>
    <w:rsid w:val="00A75B2D"/>
    <w:rsid w:val="00A76B22"/>
    <w:rsid w:val="00A77AEA"/>
    <w:rsid w:val="00A821C3"/>
    <w:rsid w:val="00A8227F"/>
    <w:rsid w:val="00A82C84"/>
    <w:rsid w:val="00A83280"/>
    <w:rsid w:val="00A8373E"/>
    <w:rsid w:val="00A84034"/>
    <w:rsid w:val="00A84433"/>
    <w:rsid w:val="00A845DD"/>
    <w:rsid w:val="00A8465F"/>
    <w:rsid w:val="00A84C72"/>
    <w:rsid w:val="00A85402"/>
    <w:rsid w:val="00A86054"/>
    <w:rsid w:val="00A86C0D"/>
    <w:rsid w:val="00A9089E"/>
    <w:rsid w:val="00A90D69"/>
    <w:rsid w:val="00A90EA0"/>
    <w:rsid w:val="00A9104C"/>
    <w:rsid w:val="00A910F9"/>
    <w:rsid w:val="00A92792"/>
    <w:rsid w:val="00A92CEB"/>
    <w:rsid w:val="00A93FCA"/>
    <w:rsid w:val="00A940FF"/>
    <w:rsid w:val="00A94331"/>
    <w:rsid w:val="00A9589E"/>
    <w:rsid w:val="00A97848"/>
    <w:rsid w:val="00AA0AF7"/>
    <w:rsid w:val="00AA0F95"/>
    <w:rsid w:val="00AA2099"/>
    <w:rsid w:val="00AA2887"/>
    <w:rsid w:val="00AA2AB4"/>
    <w:rsid w:val="00AA31F2"/>
    <w:rsid w:val="00AA354E"/>
    <w:rsid w:val="00AA39A1"/>
    <w:rsid w:val="00AA3F9F"/>
    <w:rsid w:val="00AA4D54"/>
    <w:rsid w:val="00AA4DF9"/>
    <w:rsid w:val="00AA4F1A"/>
    <w:rsid w:val="00AA5260"/>
    <w:rsid w:val="00AA5530"/>
    <w:rsid w:val="00AA6FF1"/>
    <w:rsid w:val="00AA7E9A"/>
    <w:rsid w:val="00AB1F6E"/>
    <w:rsid w:val="00AB2149"/>
    <w:rsid w:val="00AB2BE1"/>
    <w:rsid w:val="00AB35C0"/>
    <w:rsid w:val="00AB3E47"/>
    <w:rsid w:val="00AB4645"/>
    <w:rsid w:val="00AB563B"/>
    <w:rsid w:val="00AB69F9"/>
    <w:rsid w:val="00AB6A18"/>
    <w:rsid w:val="00AB6D79"/>
    <w:rsid w:val="00AB716A"/>
    <w:rsid w:val="00AB7709"/>
    <w:rsid w:val="00AB7B73"/>
    <w:rsid w:val="00AC0BF0"/>
    <w:rsid w:val="00AC193D"/>
    <w:rsid w:val="00AC223B"/>
    <w:rsid w:val="00AC35A9"/>
    <w:rsid w:val="00AC5C1E"/>
    <w:rsid w:val="00AC5FDE"/>
    <w:rsid w:val="00AC62F1"/>
    <w:rsid w:val="00AC6348"/>
    <w:rsid w:val="00AC64E7"/>
    <w:rsid w:val="00AC6507"/>
    <w:rsid w:val="00AC751C"/>
    <w:rsid w:val="00AC7ED9"/>
    <w:rsid w:val="00AD00A3"/>
    <w:rsid w:val="00AD00BD"/>
    <w:rsid w:val="00AD00D4"/>
    <w:rsid w:val="00AD0A2F"/>
    <w:rsid w:val="00AD222B"/>
    <w:rsid w:val="00AD24A1"/>
    <w:rsid w:val="00AD34F1"/>
    <w:rsid w:val="00AD3ABE"/>
    <w:rsid w:val="00AD513F"/>
    <w:rsid w:val="00AD530C"/>
    <w:rsid w:val="00AD5480"/>
    <w:rsid w:val="00AD6229"/>
    <w:rsid w:val="00AD67DA"/>
    <w:rsid w:val="00AD76A9"/>
    <w:rsid w:val="00AD7A8E"/>
    <w:rsid w:val="00AD7D09"/>
    <w:rsid w:val="00AE0A97"/>
    <w:rsid w:val="00AE2898"/>
    <w:rsid w:val="00AE2A47"/>
    <w:rsid w:val="00AE2FFA"/>
    <w:rsid w:val="00AE312C"/>
    <w:rsid w:val="00AE3989"/>
    <w:rsid w:val="00AE5701"/>
    <w:rsid w:val="00AE6618"/>
    <w:rsid w:val="00AE6895"/>
    <w:rsid w:val="00AF045C"/>
    <w:rsid w:val="00AF1286"/>
    <w:rsid w:val="00AF12B4"/>
    <w:rsid w:val="00AF1EF6"/>
    <w:rsid w:val="00AF21DD"/>
    <w:rsid w:val="00AF2813"/>
    <w:rsid w:val="00AF2970"/>
    <w:rsid w:val="00AF31E0"/>
    <w:rsid w:val="00AF465D"/>
    <w:rsid w:val="00AF5AFB"/>
    <w:rsid w:val="00AF5B11"/>
    <w:rsid w:val="00AF6127"/>
    <w:rsid w:val="00AF6D96"/>
    <w:rsid w:val="00AF7765"/>
    <w:rsid w:val="00AF78AB"/>
    <w:rsid w:val="00B002C0"/>
    <w:rsid w:val="00B002CA"/>
    <w:rsid w:val="00B00B87"/>
    <w:rsid w:val="00B00FCE"/>
    <w:rsid w:val="00B01661"/>
    <w:rsid w:val="00B01DAD"/>
    <w:rsid w:val="00B043B1"/>
    <w:rsid w:val="00B04DDD"/>
    <w:rsid w:val="00B05500"/>
    <w:rsid w:val="00B05DFF"/>
    <w:rsid w:val="00B05E5E"/>
    <w:rsid w:val="00B06582"/>
    <w:rsid w:val="00B06A59"/>
    <w:rsid w:val="00B06C8A"/>
    <w:rsid w:val="00B0772D"/>
    <w:rsid w:val="00B1050B"/>
    <w:rsid w:val="00B10AA1"/>
    <w:rsid w:val="00B11E6E"/>
    <w:rsid w:val="00B126C1"/>
    <w:rsid w:val="00B1298D"/>
    <w:rsid w:val="00B13EF1"/>
    <w:rsid w:val="00B15C8E"/>
    <w:rsid w:val="00B160EE"/>
    <w:rsid w:val="00B16A5D"/>
    <w:rsid w:val="00B16D9C"/>
    <w:rsid w:val="00B17286"/>
    <w:rsid w:val="00B207CA"/>
    <w:rsid w:val="00B214EC"/>
    <w:rsid w:val="00B2169F"/>
    <w:rsid w:val="00B2268C"/>
    <w:rsid w:val="00B22D32"/>
    <w:rsid w:val="00B23171"/>
    <w:rsid w:val="00B233F9"/>
    <w:rsid w:val="00B23449"/>
    <w:rsid w:val="00B2388F"/>
    <w:rsid w:val="00B23B22"/>
    <w:rsid w:val="00B246C6"/>
    <w:rsid w:val="00B2494E"/>
    <w:rsid w:val="00B24E00"/>
    <w:rsid w:val="00B250A3"/>
    <w:rsid w:val="00B2584B"/>
    <w:rsid w:val="00B25E7E"/>
    <w:rsid w:val="00B2601E"/>
    <w:rsid w:val="00B26BFB"/>
    <w:rsid w:val="00B270E3"/>
    <w:rsid w:val="00B27F2C"/>
    <w:rsid w:val="00B30630"/>
    <w:rsid w:val="00B30783"/>
    <w:rsid w:val="00B30A36"/>
    <w:rsid w:val="00B30C57"/>
    <w:rsid w:val="00B31F4E"/>
    <w:rsid w:val="00B32632"/>
    <w:rsid w:val="00B32B4A"/>
    <w:rsid w:val="00B33ADB"/>
    <w:rsid w:val="00B34397"/>
    <w:rsid w:val="00B34EA8"/>
    <w:rsid w:val="00B35590"/>
    <w:rsid w:val="00B355A3"/>
    <w:rsid w:val="00B367AB"/>
    <w:rsid w:val="00B368BD"/>
    <w:rsid w:val="00B37C6F"/>
    <w:rsid w:val="00B40456"/>
    <w:rsid w:val="00B40467"/>
    <w:rsid w:val="00B412E0"/>
    <w:rsid w:val="00B41692"/>
    <w:rsid w:val="00B42731"/>
    <w:rsid w:val="00B42F59"/>
    <w:rsid w:val="00B43967"/>
    <w:rsid w:val="00B43B43"/>
    <w:rsid w:val="00B44A1E"/>
    <w:rsid w:val="00B45AA8"/>
    <w:rsid w:val="00B466EA"/>
    <w:rsid w:val="00B46EA4"/>
    <w:rsid w:val="00B50162"/>
    <w:rsid w:val="00B5055F"/>
    <w:rsid w:val="00B51953"/>
    <w:rsid w:val="00B529EF"/>
    <w:rsid w:val="00B5339F"/>
    <w:rsid w:val="00B537F6"/>
    <w:rsid w:val="00B540F1"/>
    <w:rsid w:val="00B556A7"/>
    <w:rsid w:val="00B55C6B"/>
    <w:rsid w:val="00B561ED"/>
    <w:rsid w:val="00B5730E"/>
    <w:rsid w:val="00B6025C"/>
    <w:rsid w:val="00B614A5"/>
    <w:rsid w:val="00B61F9A"/>
    <w:rsid w:val="00B62A1E"/>
    <w:rsid w:val="00B63648"/>
    <w:rsid w:val="00B646B0"/>
    <w:rsid w:val="00B659E1"/>
    <w:rsid w:val="00B66432"/>
    <w:rsid w:val="00B66F14"/>
    <w:rsid w:val="00B67307"/>
    <w:rsid w:val="00B6731C"/>
    <w:rsid w:val="00B7032A"/>
    <w:rsid w:val="00B71C08"/>
    <w:rsid w:val="00B71F65"/>
    <w:rsid w:val="00B7269F"/>
    <w:rsid w:val="00B727E7"/>
    <w:rsid w:val="00B72FA3"/>
    <w:rsid w:val="00B73EEF"/>
    <w:rsid w:val="00B73FCB"/>
    <w:rsid w:val="00B74382"/>
    <w:rsid w:val="00B746EF"/>
    <w:rsid w:val="00B74893"/>
    <w:rsid w:val="00B74FEB"/>
    <w:rsid w:val="00B75120"/>
    <w:rsid w:val="00B753F9"/>
    <w:rsid w:val="00B76409"/>
    <w:rsid w:val="00B76BEF"/>
    <w:rsid w:val="00B76CE7"/>
    <w:rsid w:val="00B77368"/>
    <w:rsid w:val="00B8037F"/>
    <w:rsid w:val="00B80B65"/>
    <w:rsid w:val="00B812D0"/>
    <w:rsid w:val="00B81659"/>
    <w:rsid w:val="00B8405F"/>
    <w:rsid w:val="00B84817"/>
    <w:rsid w:val="00B84868"/>
    <w:rsid w:val="00B85100"/>
    <w:rsid w:val="00B857E5"/>
    <w:rsid w:val="00B859CE"/>
    <w:rsid w:val="00B859F3"/>
    <w:rsid w:val="00B8603E"/>
    <w:rsid w:val="00B86323"/>
    <w:rsid w:val="00B87369"/>
    <w:rsid w:val="00B87D0F"/>
    <w:rsid w:val="00B90078"/>
    <w:rsid w:val="00B900D5"/>
    <w:rsid w:val="00B9025E"/>
    <w:rsid w:val="00B90F2F"/>
    <w:rsid w:val="00B913D5"/>
    <w:rsid w:val="00B91727"/>
    <w:rsid w:val="00B918C3"/>
    <w:rsid w:val="00B91970"/>
    <w:rsid w:val="00B92181"/>
    <w:rsid w:val="00B929A2"/>
    <w:rsid w:val="00B93239"/>
    <w:rsid w:val="00B93322"/>
    <w:rsid w:val="00B93F2F"/>
    <w:rsid w:val="00B94021"/>
    <w:rsid w:val="00B94E6B"/>
    <w:rsid w:val="00B94F41"/>
    <w:rsid w:val="00B9516A"/>
    <w:rsid w:val="00B95CDD"/>
    <w:rsid w:val="00B96654"/>
    <w:rsid w:val="00B96BF7"/>
    <w:rsid w:val="00B97F84"/>
    <w:rsid w:val="00BA03CE"/>
    <w:rsid w:val="00BA1153"/>
    <w:rsid w:val="00BA1E55"/>
    <w:rsid w:val="00BA3706"/>
    <w:rsid w:val="00BA375A"/>
    <w:rsid w:val="00BA396C"/>
    <w:rsid w:val="00BA4086"/>
    <w:rsid w:val="00BA44C5"/>
    <w:rsid w:val="00BA4B36"/>
    <w:rsid w:val="00BA661F"/>
    <w:rsid w:val="00BA6CC1"/>
    <w:rsid w:val="00BB0572"/>
    <w:rsid w:val="00BB0658"/>
    <w:rsid w:val="00BB0E34"/>
    <w:rsid w:val="00BB0F83"/>
    <w:rsid w:val="00BB1152"/>
    <w:rsid w:val="00BB1212"/>
    <w:rsid w:val="00BB16D0"/>
    <w:rsid w:val="00BB1917"/>
    <w:rsid w:val="00BB1975"/>
    <w:rsid w:val="00BB5FA0"/>
    <w:rsid w:val="00BB74F2"/>
    <w:rsid w:val="00BC0D14"/>
    <w:rsid w:val="00BC0E2F"/>
    <w:rsid w:val="00BC15E2"/>
    <w:rsid w:val="00BC2372"/>
    <w:rsid w:val="00BC2901"/>
    <w:rsid w:val="00BC3841"/>
    <w:rsid w:val="00BC41AE"/>
    <w:rsid w:val="00BC4B90"/>
    <w:rsid w:val="00BC4F87"/>
    <w:rsid w:val="00BC5334"/>
    <w:rsid w:val="00BC5BE0"/>
    <w:rsid w:val="00BC678A"/>
    <w:rsid w:val="00BC73DC"/>
    <w:rsid w:val="00BC7CEE"/>
    <w:rsid w:val="00BD16C2"/>
    <w:rsid w:val="00BD1A78"/>
    <w:rsid w:val="00BD1D63"/>
    <w:rsid w:val="00BD20A2"/>
    <w:rsid w:val="00BD2C29"/>
    <w:rsid w:val="00BD30F0"/>
    <w:rsid w:val="00BD34FB"/>
    <w:rsid w:val="00BD3702"/>
    <w:rsid w:val="00BD3B88"/>
    <w:rsid w:val="00BD3CC0"/>
    <w:rsid w:val="00BD451D"/>
    <w:rsid w:val="00BD4959"/>
    <w:rsid w:val="00BD4D1B"/>
    <w:rsid w:val="00BD523E"/>
    <w:rsid w:val="00BD6C79"/>
    <w:rsid w:val="00BD6C8E"/>
    <w:rsid w:val="00BD6D75"/>
    <w:rsid w:val="00BE05A0"/>
    <w:rsid w:val="00BE06DE"/>
    <w:rsid w:val="00BE1381"/>
    <w:rsid w:val="00BE142A"/>
    <w:rsid w:val="00BE1536"/>
    <w:rsid w:val="00BE192A"/>
    <w:rsid w:val="00BE3D08"/>
    <w:rsid w:val="00BE4DBE"/>
    <w:rsid w:val="00BE514C"/>
    <w:rsid w:val="00BE54DC"/>
    <w:rsid w:val="00BE5923"/>
    <w:rsid w:val="00BE5EA9"/>
    <w:rsid w:val="00BE708D"/>
    <w:rsid w:val="00BE7215"/>
    <w:rsid w:val="00BE7694"/>
    <w:rsid w:val="00BF03AF"/>
    <w:rsid w:val="00BF0414"/>
    <w:rsid w:val="00BF0948"/>
    <w:rsid w:val="00BF0EB0"/>
    <w:rsid w:val="00BF0FC3"/>
    <w:rsid w:val="00BF1462"/>
    <w:rsid w:val="00BF14A3"/>
    <w:rsid w:val="00BF22F8"/>
    <w:rsid w:val="00BF2D62"/>
    <w:rsid w:val="00BF388F"/>
    <w:rsid w:val="00BF391C"/>
    <w:rsid w:val="00BF3C56"/>
    <w:rsid w:val="00BF3C8E"/>
    <w:rsid w:val="00BF3E02"/>
    <w:rsid w:val="00BF5511"/>
    <w:rsid w:val="00BF606F"/>
    <w:rsid w:val="00BF6EDA"/>
    <w:rsid w:val="00C00006"/>
    <w:rsid w:val="00C00072"/>
    <w:rsid w:val="00C006FE"/>
    <w:rsid w:val="00C01BF6"/>
    <w:rsid w:val="00C01FBA"/>
    <w:rsid w:val="00C02ABC"/>
    <w:rsid w:val="00C0339A"/>
    <w:rsid w:val="00C041A8"/>
    <w:rsid w:val="00C04276"/>
    <w:rsid w:val="00C047FA"/>
    <w:rsid w:val="00C05514"/>
    <w:rsid w:val="00C10ED9"/>
    <w:rsid w:val="00C10FE6"/>
    <w:rsid w:val="00C120A0"/>
    <w:rsid w:val="00C1243E"/>
    <w:rsid w:val="00C12A2F"/>
    <w:rsid w:val="00C13384"/>
    <w:rsid w:val="00C137CC"/>
    <w:rsid w:val="00C1465C"/>
    <w:rsid w:val="00C14885"/>
    <w:rsid w:val="00C16234"/>
    <w:rsid w:val="00C16AF9"/>
    <w:rsid w:val="00C16BAD"/>
    <w:rsid w:val="00C1707E"/>
    <w:rsid w:val="00C1719F"/>
    <w:rsid w:val="00C17330"/>
    <w:rsid w:val="00C1778B"/>
    <w:rsid w:val="00C20025"/>
    <w:rsid w:val="00C2055D"/>
    <w:rsid w:val="00C21CCA"/>
    <w:rsid w:val="00C21CDD"/>
    <w:rsid w:val="00C21DD4"/>
    <w:rsid w:val="00C22930"/>
    <w:rsid w:val="00C23588"/>
    <w:rsid w:val="00C23CB6"/>
    <w:rsid w:val="00C241B1"/>
    <w:rsid w:val="00C24B4B"/>
    <w:rsid w:val="00C250C7"/>
    <w:rsid w:val="00C252DF"/>
    <w:rsid w:val="00C266CB"/>
    <w:rsid w:val="00C27980"/>
    <w:rsid w:val="00C279FE"/>
    <w:rsid w:val="00C30A02"/>
    <w:rsid w:val="00C30A69"/>
    <w:rsid w:val="00C31D6A"/>
    <w:rsid w:val="00C32FA9"/>
    <w:rsid w:val="00C33050"/>
    <w:rsid w:val="00C334D1"/>
    <w:rsid w:val="00C3352E"/>
    <w:rsid w:val="00C34FFE"/>
    <w:rsid w:val="00C37953"/>
    <w:rsid w:val="00C409D4"/>
    <w:rsid w:val="00C40A84"/>
    <w:rsid w:val="00C40DD7"/>
    <w:rsid w:val="00C414F5"/>
    <w:rsid w:val="00C432AB"/>
    <w:rsid w:val="00C43FA0"/>
    <w:rsid w:val="00C43FB2"/>
    <w:rsid w:val="00C4443E"/>
    <w:rsid w:val="00C44682"/>
    <w:rsid w:val="00C44983"/>
    <w:rsid w:val="00C45F59"/>
    <w:rsid w:val="00C46218"/>
    <w:rsid w:val="00C46370"/>
    <w:rsid w:val="00C46443"/>
    <w:rsid w:val="00C474F9"/>
    <w:rsid w:val="00C477F7"/>
    <w:rsid w:val="00C51B40"/>
    <w:rsid w:val="00C52A73"/>
    <w:rsid w:val="00C52AC3"/>
    <w:rsid w:val="00C52CEE"/>
    <w:rsid w:val="00C53FB1"/>
    <w:rsid w:val="00C5513A"/>
    <w:rsid w:val="00C57D3F"/>
    <w:rsid w:val="00C61107"/>
    <w:rsid w:val="00C6141E"/>
    <w:rsid w:val="00C6223D"/>
    <w:rsid w:val="00C62450"/>
    <w:rsid w:val="00C626A0"/>
    <w:rsid w:val="00C63FB1"/>
    <w:rsid w:val="00C64772"/>
    <w:rsid w:val="00C65EA0"/>
    <w:rsid w:val="00C65F9B"/>
    <w:rsid w:val="00C66608"/>
    <w:rsid w:val="00C66E50"/>
    <w:rsid w:val="00C6718D"/>
    <w:rsid w:val="00C67CA6"/>
    <w:rsid w:val="00C724AA"/>
    <w:rsid w:val="00C743FF"/>
    <w:rsid w:val="00C74794"/>
    <w:rsid w:val="00C74EAD"/>
    <w:rsid w:val="00C7528F"/>
    <w:rsid w:val="00C75E81"/>
    <w:rsid w:val="00C765EA"/>
    <w:rsid w:val="00C76678"/>
    <w:rsid w:val="00C768A1"/>
    <w:rsid w:val="00C772FA"/>
    <w:rsid w:val="00C7769C"/>
    <w:rsid w:val="00C80B9D"/>
    <w:rsid w:val="00C8138D"/>
    <w:rsid w:val="00C81784"/>
    <w:rsid w:val="00C81A11"/>
    <w:rsid w:val="00C81BAB"/>
    <w:rsid w:val="00C81D5E"/>
    <w:rsid w:val="00C82152"/>
    <w:rsid w:val="00C827D4"/>
    <w:rsid w:val="00C8292A"/>
    <w:rsid w:val="00C82F6B"/>
    <w:rsid w:val="00C84658"/>
    <w:rsid w:val="00C84673"/>
    <w:rsid w:val="00C850B4"/>
    <w:rsid w:val="00C85777"/>
    <w:rsid w:val="00C85D1C"/>
    <w:rsid w:val="00C8680B"/>
    <w:rsid w:val="00C86877"/>
    <w:rsid w:val="00C87094"/>
    <w:rsid w:val="00C87E1F"/>
    <w:rsid w:val="00C91DBC"/>
    <w:rsid w:val="00C92E84"/>
    <w:rsid w:val="00C954C4"/>
    <w:rsid w:val="00C96D51"/>
    <w:rsid w:val="00CA0048"/>
    <w:rsid w:val="00CA0152"/>
    <w:rsid w:val="00CA07E6"/>
    <w:rsid w:val="00CA109D"/>
    <w:rsid w:val="00CA3797"/>
    <w:rsid w:val="00CA38C5"/>
    <w:rsid w:val="00CA417D"/>
    <w:rsid w:val="00CA42EE"/>
    <w:rsid w:val="00CA4852"/>
    <w:rsid w:val="00CA51AD"/>
    <w:rsid w:val="00CA5591"/>
    <w:rsid w:val="00CA5658"/>
    <w:rsid w:val="00CA6A02"/>
    <w:rsid w:val="00CA7BE4"/>
    <w:rsid w:val="00CB1222"/>
    <w:rsid w:val="00CB1842"/>
    <w:rsid w:val="00CB1CB0"/>
    <w:rsid w:val="00CB2601"/>
    <w:rsid w:val="00CB2BCA"/>
    <w:rsid w:val="00CB2BEA"/>
    <w:rsid w:val="00CB4A94"/>
    <w:rsid w:val="00CB520A"/>
    <w:rsid w:val="00CB5DCE"/>
    <w:rsid w:val="00CB6327"/>
    <w:rsid w:val="00CB6E54"/>
    <w:rsid w:val="00CB760D"/>
    <w:rsid w:val="00CB77BE"/>
    <w:rsid w:val="00CB7B47"/>
    <w:rsid w:val="00CB7FDC"/>
    <w:rsid w:val="00CC028C"/>
    <w:rsid w:val="00CC1331"/>
    <w:rsid w:val="00CC1CDA"/>
    <w:rsid w:val="00CC2308"/>
    <w:rsid w:val="00CC2987"/>
    <w:rsid w:val="00CC2F6E"/>
    <w:rsid w:val="00CC39EA"/>
    <w:rsid w:val="00CC3B72"/>
    <w:rsid w:val="00CC432B"/>
    <w:rsid w:val="00CC442D"/>
    <w:rsid w:val="00CC459B"/>
    <w:rsid w:val="00CC4AC0"/>
    <w:rsid w:val="00CC4C0B"/>
    <w:rsid w:val="00CC59B7"/>
    <w:rsid w:val="00CC5C41"/>
    <w:rsid w:val="00CC62E7"/>
    <w:rsid w:val="00CD004C"/>
    <w:rsid w:val="00CD0566"/>
    <w:rsid w:val="00CD0614"/>
    <w:rsid w:val="00CD1021"/>
    <w:rsid w:val="00CD110C"/>
    <w:rsid w:val="00CD39A8"/>
    <w:rsid w:val="00CD3EBD"/>
    <w:rsid w:val="00CD3EE9"/>
    <w:rsid w:val="00CD439C"/>
    <w:rsid w:val="00CD5AB6"/>
    <w:rsid w:val="00CD6889"/>
    <w:rsid w:val="00CD798A"/>
    <w:rsid w:val="00CE021B"/>
    <w:rsid w:val="00CE0348"/>
    <w:rsid w:val="00CE046D"/>
    <w:rsid w:val="00CE3694"/>
    <w:rsid w:val="00CE388D"/>
    <w:rsid w:val="00CE58D2"/>
    <w:rsid w:val="00CE66DA"/>
    <w:rsid w:val="00CE7238"/>
    <w:rsid w:val="00CE73EA"/>
    <w:rsid w:val="00CE79FD"/>
    <w:rsid w:val="00CE7CE7"/>
    <w:rsid w:val="00CF1633"/>
    <w:rsid w:val="00CF1DED"/>
    <w:rsid w:val="00CF211F"/>
    <w:rsid w:val="00CF22E4"/>
    <w:rsid w:val="00CF2388"/>
    <w:rsid w:val="00CF24EE"/>
    <w:rsid w:val="00CF2B0B"/>
    <w:rsid w:val="00CF3770"/>
    <w:rsid w:val="00CF3FD2"/>
    <w:rsid w:val="00CF468F"/>
    <w:rsid w:val="00CF4A70"/>
    <w:rsid w:val="00CF52C2"/>
    <w:rsid w:val="00CF670F"/>
    <w:rsid w:val="00CF68FF"/>
    <w:rsid w:val="00CF7DC4"/>
    <w:rsid w:val="00CF7FB9"/>
    <w:rsid w:val="00D008A5"/>
    <w:rsid w:val="00D011C2"/>
    <w:rsid w:val="00D015C9"/>
    <w:rsid w:val="00D01ED9"/>
    <w:rsid w:val="00D026DA"/>
    <w:rsid w:val="00D02A43"/>
    <w:rsid w:val="00D02BF8"/>
    <w:rsid w:val="00D03371"/>
    <w:rsid w:val="00D05515"/>
    <w:rsid w:val="00D06067"/>
    <w:rsid w:val="00D0661A"/>
    <w:rsid w:val="00D07EDE"/>
    <w:rsid w:val="00D12049"/>
    <w:rsid w:val="00D124AB"/>
    <w:rsid w:val="00D12C80"/>
    <w:rsid w:val="00D12EF8"/>
    <w:rsid w:val="00D13ADB"/>
    <w:rsid w:val="00D146F6"/>
    <w:rsid w:val="00D14868"/>
    <w:rsid w:val="00D14CE0"/>
    <w:rsid w:val="00D151A5"/>
    <w:rsid w:val="00D15713"/>
    <w:rsid w:val="00D15D49"/>
    <w:rsid w:val="00D15F2E"/>
    <w:rsid w:val="00D16CF4"/>
    <w:rsid w:val="00D17122"/>
    <w:rsid w:val="00D2010C"/>
    <w:rsid w:val="00D20A0F"/>
    <w:rsid w:val="00D210B3"/>
    <w:rsid w:val="00D223E0"/>
    <w:rsid w:val="00D23115"/>
    <w:rsid w:val="00D25025"/>
    <w:rsid w:val="00D25050"/>
    <w:rsid w:val="00D26941"/>
    <w:rsid w:val="00D27167"/>
    <w:rsid w:val="00D271D9"/>
    <w:rsid w:val="00D27920"/>
    <w:rsid w:val="00D30982"/>
    <w:rsid w:val="00D30DF7"/>
    <w:rsid w:val="00D31F8A"/>
    <w:rsid w:val="00D32149"/>
    <w:rsid w:val="00D3339F"/>
    <w:rsid w:val="00D3372F"/>
    <w:rsid w:val="00D348C5"/>
    <w:rsid w:val="00D34F47"/>
    <w:rsid w:val="00D36014"/>
    <w:rsid w:val="00D3676E"/>
    <w:rsid w:val="00D37632"/>
    <w:rsid w:val="00D407CD"/>
    <w:rsid w:val="00D40A24"/>
    <w:rsid w:val="00D40D03"/>
    <w:rsid w:val="00D42337"/>
    <w:rsid w:val="00D42FF3"/>
    <w:rsid w:val="00D43CAC"/>
    <w:rsid w:val="00D4453F"/>
    <w:rsid w:val="00D44740"/>
    <w:rsid w:val="00D44C86"/>
    <w:rsid w:val="00D4541C"/>
    <w:rsid w:val="00D459AA"/>
    <w:rsid w:val="00D45A85"/>
    <w:rsid w:val="00D46BC0"/>
    <w:rsid w:val="00D506AE"/>
    <w:rsid w:val="00D50783"/>
    <w:rsid w:val="00D507B7"/>
    <w:rsid w:val="00D50848"/>
    <w:rsid w:val="00D51951"/>
    <w:rsid w:val="00D538A5"/>
    <w:rsid w:val="00D53BDF"/>
    <w:rsid w:val="00D54760"/>
    <w:rsid w:val="00D548DD"/>
    <w:rsid w:val="00D54981"/>
    <w:rsid w:val="00D55C4B"/>
    <w:rsid w:val="00D55D6B"/>
    <w:rsid w:val="00D5610D"/>
    <w:rsid w:val="00D5655F"/>
    <w:rsid w:val="00D56BA7"/>
    <w:rsid w:val="00D57B29"/>
    <w:rsid w:val="00D57F73"/>
    <w:rsid w:val="00D606B8"/>
    <w:rsid w:val="00D60745"/>
    <w:rsid w:val="00D62474"/>
    <w:rsid w:val="00D62520"/>
    <w:rsid w:val="00D626EC"/>
    <w:rsid w:val="00D62ECB"/>
    <w:rsid w:val="00D6392B"/>
    <w:rsid w:val="00D63B3B"/>
    <w:rsid w:val="00D64F26"/>
    <w:rsid w:val="00D65B43"/>
    <w:rsid w:val="00D65BA8"/>
    <w:rsid w:val="00D65D29"/>
    <w:rsid w:val="00D67094"/>
    <w:rsid w:val="00D67790"/>
    <w:rsid w:val="00D67AB2"/>
    <w:rsid w:val="00D706C2"/>
    <w:rsid w:val="00D70B83"/>
    <w:rsid w:val="00D710D4"/>
    <w:rsid w:val="00D71A64"/>
    <w:rsid w:val="00D7210F"/>
    <w:rsid w:val="00D731FA"/>
    <w:rsid w:val="00D73266"/>
    <w:rsid w:val="00D73D2C"/>
    <w:rsid w:val="00D752E0"/>
    <w:rsid w:val="00D75C70"/>
    <w:rsid w:val="00D761A3"/>
    <w:rsid w:val="00D762CE"/>
    <w:rsid w:val="00D7670F"/>
    <w:rsid w:val="00D771B1"/>
    <w:rsid w:val="00D811D3"/>
    <w:rsid w:val="00D81459"/>
    <w:rsid w:val="00D814DB"/>
    <w:rsid w:val="00D819D0"/>
    <w:rsid w:val="00D827BD"/>
    <w:rsid w:val="00D82F40"/>
    <w:rsid w:val="00D83E49"/>
    <w:rsid w:val="00D856E8"/>
    <w:rsid w:val="00D85B77"/>
    <w:rsid w:val="00D860D0"/>
    <w:rsid w:val="00D86517"/>
    <w:rsid w:val="00D86FF0"/>
    <w:rsid w:val="00D87F34"/>
    <w:rsid w:val="00D90619"/>
    <w:rsid w:val="00D90F04"/>
    <w:rsid w:val="00D92994"/>
    <w:rsid w:val="00D929AC"/>
    <w:rsid w:val="00D9331C"/>
    <w:rsid w:val="00D93C78"/>
    <w:rsid w:val="00D948EF"/>
    <w:rsid w:val="00D95967"/>
    <w:rsid w:val="00D95B1F"/>
    <w:rsid w:val="00D969DC"/>
    <w:rsid w:val="00D96FCC"/>
    <w:rsid w:val="00D97355"/>
    <w:rsid w:val="00D97C9E"/>
    <w:rsid w:val="00D97EE0"/>
    <w:rsid w:val="00D97F5C"/>
    <w:rsid w:val="00DA01AF"/>
    <w:rsid w:val="00DA037A"/>
    <w:rsid w:val="00DA14A6"/>
    <w:rsid w:val="00DA1D08"/>
    <w:rsid w:val="00DA3347"/>
    <w:rsid w:val="00DA36AE"/>
    <w:rsid w:val="00DA3BEC"/>
    <w:rsid w:val="00DA476C"/>
    <w:rsid w:val="00DA5D1E"/>
    <w:rsid w:val="00DA5EE5"/>
    <w:rsid w:val="00DA623C"/>
    <w:rsid w:val="00DA67B1"/>
    <w:rsid w:val="00DA6FA5"/>
    <w:rsid w:val="00DA7216"/>
    <w:rsid w:val="00DB01A9"/>
    <w:rsid w:val="00DB0CED"/>
    <w:rsid w:val="00DB1412"/>
    <w:rsid w:val="00DB1F52"/>
    <w:rsid w:val="00DB2105"/>
    <w:rsid w:val="00DB28F6"/>
    <w:rsid w:val="00DB39B8"/>
    <w:rsid w:val="00DB3A9A"/>
    <w:rsid w:val="00DB3BEF"/>
    <w:rsid w:val="00DB433E"/>
    <w:rsid w:val="00DB4AA2"/>
    <w:rsid w:val="00DB4CB2"/>
    <w:rsid w:val="00DB5232"/>
    <w:rsid w:val="00DB59A6"/>
    <w:rsid w:val="00DB630F"/>
    <w:rsid w:val="00DB6BE6"/>
    <w:rsid w:val="00DB6D67"/>
    <w:rsid w:val="00DB75AD"/>
    <w:rsid w:val="00DB7D60"/>
    <w:rsid w:val="00DB7F17"/>
    <w:rsid w:val="00DC00D9"/>
    <w:rsid w:val="00DC0213"/>
    <w:rsid w:val="00DC06E0"/>
    <w:rsid w:val="00DC256F"/>
    <w:rsid w:val="00DC26A2"/>
    <w:rsid w:val="00DC3838"/>
    <w:rsid w:val="00DC41CA"/>
    <w:rsid w:val="00DC5064"/>
    <w:rsid w:val="00DC5F4C"/>
    <w:rsid w:val="00DC5FC1"/>
    <w:rsid w:val="00DC72ED"/>
    <w:rsid w:val="00DC7AC3"/>
    <w:rsid w:val="00DD0430"/>
    <w:rsid w:val="00DD0E2A"/>
    <w:rsid w:val="00DD29BF"/>
    <w:rsid w:val="00DD54B7"/>
    <w:rsid w:val="00DD5748"/>
    <w:rsid w:val="00DD5D72"/>
    <w:rsid w:val="00DD6248"/>
    <w:rsid w:val="00DD70C4"/>
    <w:rsid w:val="00DE13A5"/>
    <w:rsid w:val="00DE16C8"/>
    <w:rsid w:val="00DE1EBF"/>
    <w:rsid w:val="00DE20FF"/>
    <w:rsid w:val="00DE2EBB"/>
    <w:rsid w:val="00DE30E6"/>
    <w:rsid w:val="00DE336F"/>
    <w:rsid w:val="00DE3BC0"/>
    <w:rsid w:val="00DE576D"/>
    <w:rsid w:val="00DE660B"/>
    <w:rsid w:val="00DE67B3"/>
    <w:rsid w:val="00DE6849"/>
    <w:rsid w:val="00DF009E"/>
    <w:rsid w:val="00DF09C7"/>
    <w:rsid w:val="00DF2EBF"/>
    <w:rsid w:val="00DF34FC"/>
    <w:rsid w:val="00DF3765"/>
    <w:rsid w:val="00DF42F6"/>
    <w:rsid w:val="00DF4724"/>
    <w:rsid w:val="00DF4794"/>
    <w:rsid w:val="00DF4B85"/>
    <w:rsid w:val="00DF6269"/>
    <w:rsid w:val="00DF66B4"/>
    <w:rsid w:val="00DF7735"/>
    <w:rsid w:val="00DF7C00"/>
    <w:rsid w:val="00E002D9"/>
    <w:rsid w:val="00E0081F"/>
    <w:rsid w:val="00E027C3"/>
    <w:rsid w:val="00E03D5A"/>
    <w:rsid w:val="00E04BC7"/>
    <w:rsid w:val="00E05443"/>
    <w:rsid w:val="00E05F03"/>
    <w:rsid w:val="00E05F24"/>
    <w:rsid w:val="00E05F54"/>
    <w:rsid w:val="00E06899"/>
    <w:rsid w:val="00E07080"/>
    <w:rsid w:val="00E07269"/>
    <w:rsid w:val="00E07699"/>
    <w:rsid w:val="00E108CC"/>
    <w:rsid w:val="00E11427"/>
    <w:rsid w:val="00E11A1D"/>
    <w:rsid w:val="00E12A12"/>
    <w:rsid w:val="00E13534"/>
    <w:rsid w:val="00E13A73"/>
    <w:rsid w:val="00E13B1C"/>
    <w:rsid w:val="00E13C0A"/>
    <w:rsid w:val="00E13C0E"/>
    <w:rsid w:val="00E13E79"/>
    <w:rsid w:val="00E146A1"/>
    <w:rsid w:val="00E14BF5"/>
    <w:rsid w:val="00E14C6A"/>
    <w:rsid w:val="00E155FF"/>
    <w:rsid w:val="00E15693"/>
    <w:rsid w:val="00E17BE9"/>
    <w:rsid w:val="00E209BB"/>
    <w:rsid w:val="00E21020"/>
    <w:rsid w:val="00E2186A"/>
    <w:rsid w:val="00E23180"/>
    <w:rsid w:val="00E233E5"/>
    <w:rsid w:val="00E24A51"/>
    <w:rsid w:val="00E24DB7"/>
    <w:rsid w:val="00E24FC6"/>
    <w:rsid w:val="00E26323"/>
    <w:rsid w:val="00E2769A"/>
    <w:rsid w:val="00E277FF"/>
    <w:rsid w:val="00E2798F"/>
    <w:rsid w:val="00E30256"/>
    <w:rsid w:val="00E305F0"/>
    <w:rsid w:val="00E31043"/>
    <w:rsid w:val="00E319A0"/>
    <w:rsid w:val="00E32847"/>
    <w:rsid w:val="00E334A8"/>
    <w:rsid w:val="00E33B8D"/>
    <w:rsid w:val="00E33D2C"/>
    <w:rsid w:val="00E34AB4"/>
    <w:rsid w:val="00E35011"/>
    <w:rsid w:val="00E352C5"/>
    <w:rsid w:val="00E35AF8"/>
    <w:rsid w:val="00E36468"/>
    <w:rsid w:val="00E369D5"/>
    <w:rsid w:val="00E36BD9"/>
    <w:rsid w:val="00E36F14"/>
    <w:rsid w:val="00E371FE"/>
    <w:rsid w:val="00E37BDE"/>
    <w:rsid w:val="00E40CAD"/>
    <w:rsid w:val="00E40E88"/>
    <w:rsid w:val="00E41509"/>
    <w:rsid w:val="00E4178E"/>
    <w:rsid w:val="00E41C3E"/>
    <w:rsid w:val="00E41DED"/>
    <w:rsid w:val="00E42C30"/>
    <w:rsid w:val="00E43279"/>
    <w:rsid w:val="00E439B5"/>
    <w:rsid w:val="00E44306"/>
    <w:rsid w:val="00E44DF7"/>
    <w:rsid w:val="00E4514E"/>
    <w:rsid w:val="00E45350"/>
    <w:rsid w:val="00E467DF"/>
    <w:rsid w:val="00E4698C"/>
    <w:rsid w:val="00E46FE3"/>
    <w:rsid w:val="00E470D4"/>
    <w:rsid w:val="00E47C1F"/>
    <w:rsid w:val="00E50430"/>
    <w:rsid w:val="00E51FE0"/>
    <w:rsid w:val="00E520EA"/>
    <w:rsid w:val="00E531AC"/>
    <w:rsid w:val="00E5409A"/>
    <w:rsid w:val="00E621CE"/>
    <w:rsid w:val="00E62C9E"/>
    <w:rsid w:val="00E6318D"/>
    <w:rsid w:val="00E63676"/>
    <w:rsid w:val="00E637AD"/>
    <w:rsid w:val="00E641F4"/>
    <w:rsid w:val="00E641FA"/>
    <w:rsid w:val="00E64549"/>
    <w:rsid w:val="00E65013"/>
    <w:rsid w:val="00E65885"/>
    <w:rsid w:val="00E65896"/>
    <w:rsid w:val="00E6646F"/>
    <w:rsid w:val="00E66472"/>
    <w:rsid w:val="00E66BF5"/>
    <w:rsid w:val="00E703FF"/>
    <w:rsid w:val="00E7074B"/>
    <w:rsid w:val="00E709F3"/>
    <w:rsid w:val="00E73AC2"/>
    <w:rsid w:val="00E755B1"/>
    <w:rsid w:val="00E7608A"/>
    <w:rsid w:val="00E76EA9"/>
    <w:rsid w:val="00E76F2E"/>
    <w:rsid w:val="00E77F45"/>
    <w:rsid w:val="00E808F3"/>
    <w:rsid w:val="00E81B9E"/>
    <w:rsid w:val="00E82F84"/>
    <w:rsid w:val="00E832FC"/>
    <w:rsid w:val="00E843B9"/>
    <w:rsid w:val="00E854A7"/>
    <w:rsid w:val="00E85AA8"/>
    <w:rsid w:val="00E865C2"/>
    <w:rsid w:val="00E869E2"/>
    <w:rsid w:val="00E873F2"/>
    <w:rsid w:val="00E8758D"/>
    <w:rsid w:val="00E8777E"/>
    <w:rsid w:val="00E900B2"/>
    <w:rsid w:val="00E91867"/>
    <w:rsid w:val="00E91963"/>
    <w:rsid w:val="00E91AE6"/>
    <w:rsid w:val="00E92921"/>
    <w:rsid w:val="00E92D55"/>
    <w:rsid w:val="00E93A1B"/>
    <w:rsid w:val="00E93AB9"/>
    <w:rsid w:val="00E94590"/>
    <w:rsid w:val="00E945D2"/>
    <w:rsid w:val="00E94988"/>
    <w:rsid w:val="00E95388"/>
    <w:rsid w:val="00E9558E"/>
    <w:rsid w:val="00E9559D"/>
    <w:rsid w:val="00E95720"/>
    <w:rsid w:val="00E96BE6"/>
    <w:rsid w:val="00E96EF0"/>
    <w:rsid w:val="00E973ED"/>
    <w:rsid w:val="00E976FA"/>
    <w:rsid w:val="00EA0158"/>
    <w:rsid w:val="00EA1809"/>
    <w:rsid w:val="00EA1918"/>
    <w:rsid w:val="00EA2D0C"/>
    <w:rsid w:val="00EA31BF"/>
    <w:rsid w:val="00EA459B"/>
    <w:rsid w:val="00EA4C1A"/>
    <w:rsid w:val="00EA4D03"/>
    <w:rsid w:val="00EA505F"/>
    <w:rsid w:val="00EA5353"/>
    <w:rsid w:val="00EA5F2D"/>
    <w:rsid w:val="00EA616A"/>
    <w:rsid w:val="00EA63A8"/>
    <w:rsid w:val="00EA6DC8"/>
    <w:rsid w:val="00EA787D"/>
    <w:rsid w:val="00EB07B4"/>
    <w:rsid w:val="00EB1AC1"/>
    <w:rsid w:val="00EB1BDD"/>
    <w:rsid w:val="00EB2B62"/>
    <w:rsid w:val="00EB3CFF"/>
    <w:rsid w:val="00EB52C0"/>
    <w:rsid w:val="00EB5351"/>
    <w:rsid w:val="00EB5C69"/>
    <w:rsid w:val="00EB7155"/>
    <w:rsid w:val="00EB76FC"/>
    <w:rsid w:val="00EB7B00"/>
    <w:rsid w:val="00EB7B4B"/>
    <w:rsid w:val="00EC022A"/>
    <w:rsid w:val="00EC03E9"/>
    <w:rsid w:val="00EC0D14"/>
    <w:rsid w:val="00EC1299"/>
    <w:rsid w:val="00EC23DF"/>
    <w:rsid w:val="00EC388A"/>
    <w:rsid w:val="00EC3F3E"/>
    <w:rsid w:val="00EC5064"/>
    <w:rsid w:val="00EC51E0"/>
    <w:rsid w:val="00EC53EE"/>
    <w:rsid w:val="00EC54FE"/>
    <w:rsid w:val="00EC64FE"/>
    <w:rsid w:val="00EC74C5"/>
    <w:rsid w:val="00ED008A"/>
    <w:rsid w:val="00ED1680"/>
    <w:rsid w:val="00ED2B81"/>
    <w:rsid w:val="00ED36A8"/>
    <w:rsid w:val="00ED374D"/>
    <w:rsid w:val="00ED54CA"/>
    <w:rsid w:val="00ED638E"/>
    <w:rsid w:val="00ED6CD7"/>
    <w:rsid w:val="00ED6EFE"/>
    <w:rsid w:val="00ED6F63"/>
    <w:rsid w:val="00EE0599"/>
    <w:rsid w:val="00EE0EF9"/>
    <w:rsid w:val="00EE1ACE"/>
    <w:rsid w:val="00EE3973"/>
    <w:rsid w:val="00EE4E2A"/>
    <w:rsid w:val="00EE5130"/>
    <w:rsid w:val="00EE5353"/>
    <w:rsid w:val="00EE5559"/>
    <w:rsid w:val="00EE5695"/>
    <w:rsid w:val="00EE57B7"/>
    <w:rsid w:val="00EE6370"/>
    <w:rsid w:val="00EE6CCF"/>
    <w:rsid w:val="00EE7499"/>
    <w:rsid w:val="00EF0726"/>
    <w:rsid w:val="00EF1820"/>
    <w:rsid w:val="00EF1E61"/>
    <w:rsid w:val="00EF23C1"/>
    <w:rsid w:val="00EF296F"/>
    <w:rsid w:val="00EF33F5"/>
    <w:rsid w:val="00EF59CD"/>
    <w:rsid w:val="00EF5C6B"/>
    <w:rsid w:val="00EF64A9"/>
    <w:rsid w:val="00EF6828"/>
    <w:rsid w:val="00EF6CB8"/>
    <w:rsid w:val="00EF7CE1"/>
    <w:rsid w:val="00F005FE"/>
    <w:rsid w:val="00F006F8"/>
    <w:rsid w:val="00F028F5"/>
    <w:rsid w:val="00F02B61"/>
    <w:rsid w:val="00F03E46"/>
    <w:rsid w:val="00F04038"/>
    <w:rsid w:val="00F04633"/>
    <w:rsid w:val="00F055D7"/>
    <w:rsid w:val="00F059ED"/>
    <w:rsid w:val="00F05E6C"/>
    <w:rsid w:val="00F06067"/>
    <w:rsid w:val="00F0617F"/>
    <w:rsid w:val="00F06249"/>
    <w:rsid w:val="00F06705"/>
    <w:rsid w:val="00F07C73"/>
    <w:rsid w:val="00F07D86"/>
    <w:rsid w:val="00F103A2"/>
    <w:rsid w:val="00F11564"/>
    <w:rsid w:val="00F1341C"/>
    <w:rsid w:val="00F13C98"/>
    <w:rsid w:val="00F13D22"/>
    <w:rsid w:val="00F14FAF"/>
    <w:rsid w:val="00F1583D"/>
    <w:rsid w:val="00F15BFD"/>
    <w:rsid w:val="00F21256"/>
    <w:rsid w:val="00F2204E"/>
    <w:rsid w:val="00F229AE"/>
    <w:rsid w:val="00F22C5F"/>
    <w:rsid w:val="00F23D8F"/>
    <w:rsid w:val="00F253B5"/>
    <w:rsid w:val="00F2577B"/>
    <w:rsid w:val="00F261DD"/>
    <w:rsid w:val="00F264EC"/>
    <w:rsid w:val="00F27332"/>
    <w:rsid w:val="00F2756A"/>
    <w:rsid w:val="00F2759C"/>
    <w:rsid w:val="00F2785F"/>
    <w:rsid w:val="00F30EF0"/>
    <w:rsid w:val="00F31968"/>
    <w:rsid w:val="00F34385"/>
    <w:rsid w:val="00F34F86"/>
    <w:rsid w:val="00F352F0"/>
    <w:rsid w:val="00F35C07"/>
    <w:rsid w:val="00F35DC3"/>
    <w:rsid w:val="00F367D7"/>
    <w:rsid w:val="00F37DFC"/>
    <w:rsid w:val="00F4176B"/>
    <w:rsid w:val="00F41773"/>
    <w:rsid w:val="00F43FEF"/>
    <w:rsid w:val="00F449AA"/>
    <w:rsid w:val="00F44ACF"/>
    <w:rsid w:val="00F44D5E"/>
    <w:rsid w:val="00F45378"/>
    <w:rsid w:val="00F45D7B"/>
    <w:rsid w:val="00F46D15"/>
    <w:rsid w:val="00F46F77"/>
    <w:rsid w:val="00F5038A"/>
    <w:rsid w:val="00F52385"/>
    <w:rsid w:val="00F52564"/>
    <w:rsid w:val="00F54099"/>
    <w:rsid w:val="00F541E1"/>
    <w:rsid w:val="00F54BAC"/>
    <w:rsid w:val="00F5532D"/>
    <w:rsid w:val="00F56353"/>
    <w:rsid w:val="00F56387"/>
    <w:rsid w:val="00F564CB"/>
    <w:rsid w:val="00F56C4B"/>
    <w:rsid w:val="00F57030"/>
    <w:rsid w:val="00F607CB"/>
    <w:rsid w:val="00F60858"/>
    <w:rsid w:val="00F62ABA"/>
    <w:rsid w:val="00F62AC6"/>
    <w:rsid w:val="00F63C4A"/>
    <w:rsid w:val="00F648D5"/>
    <w:rsid w:val="00F64929"/>
    <w:rsid w:val="00F64B47"/>
    <w:rsid w:val="00F64DA2"/>
    <w:rsid w:val="00F6537D"/>
    <w:rsid w:val="00F654A7"/>
    <w:rsid w:val="00F65F50"/>
    <w:rsid w:val="00F663A1"/>
    <w:rsid w:val="00F66709"/>
    <w:rsid w:val="00F671A9"/>
    <w:rsid w:val="00F67209"/>
    <w:rsid w:val="00F67B75"/>
    <w:rsid w:val="00F67F28"/>
    <w:rsid w:val="00F705B3"/>
    <w:rsid w:val="00F7071A"/>
    <w:rsid w:val="00F70727"/>
    <w:rsid w:val="00F7083B"/>
    <w:rsid w:val="00F71201"/>
    <w:rsid w:val="00F71434"/>
    <w:rsid w:val="00F7171E"/>
    <w:rsid w:val="00F71C7F"/>
    <w:rsid w:val="00F71E5E"/>
    <w:rsid w:val="00F7263B"/>
    <w:rsid w:val="00F72A38"/>
    <w:rsid w:val="00F72F97"/>
    <w:rsid w:val="00F730BB"/>
    <w:rsid w:val="00F74C09"/>
    <w:rsid w:val="00F74E26"/>
    <w:rsid w:val="00F75CD2"/>
    <w:rsid w:val="00F760E2"/>
    <w:rsid w:val="00F76259"/>
    <w:rsid w:val="00F762EC"/>
    <w:rsid w:val="00F76D05"/>
    <w:rsid w:val="00F8082D"/>
    <w:rsid w:val="00F80AF4"/>
    <w:rsid w:val="00F80C04"/>
    <w:rsid w:val="00F81B27"/>
    <w:rsid w:val="00F823AE"/>
    <w:rsid w:val="00F828CF"/>
    <w:rsid w:val="00F83618"/>
    <w:rsid w:val="00F83C64"/>
    <w:rsid w:val="00F84A09"/>
    <w:rsid w:val="00F851FD"/>
    <w:rsid w:val="00F86742"/>
    <w:rsid w:val="00F86D90"/>
    <w:rsid w:val="00F86FFD"/>
    <w:rsid w:val="00F87BFE"/>
    <w:rsid w:val="00F909D4"/>
    <w:rsid w:val="00F91C27"/>
    <w:rsid w:val="00F92AC5"/>
    <w:rsid w:val="00F92D4C"/>
    <w:rsid w:val="00F93184"/>
    <w:rsid w:val="00F93765"/>
    <w:rsid w:val="00F93FF1"/>
    <w:rsid w:val="00F95C21"/>
    <w:rsid w:val="00F96665"/>
    <w:rsid w:val="00F9681C"/>
    <w:rsid w:val="00F96867"/>
    <w:rsid w:val="00F96C19"/>
    <w:rsid w:val="00F97269"/>
    <w:rsid w:val="00FA037D"/>
    <w:rsid w:val="00FA0510"/>
    <w:rsid w:val="00FA1412"/>
    <w:rsid w:val="00FA1662"/>
    <w:rsid w:val="00FA178F"/>
    <w:rsid w:val="00FA2CC7"/>
    <w:rsid w:val="00FA2E7F"/>
    <w:rsid w:val="00FA3002"/>
    <w:rsid w:val="00FA35A4"/>
    <w:rsid w:val="00FA3B2C"/>
    <w:rsid w:val="00FA41E1"/>
    <w:rsid w:val="00FA63D7"/>
    <w:rsid w:val="00FA6DB6"/>
    <w:rsid w:val="00FA7647"/>
    <w:rsid w:val="00FA7752"/>
    <w:rsid w:val="00FB06B4"/>
    <w:rsid w:val="00FB17C9"/>
    <w:rsid w:val="00FB19ED"/>
    <w:rsid w:val="00FB22F0"/>
    <w:rsid w:val="00FB3F9C"/>
    <w:rsid w:val="00FB4164"/>
    <w:rsid w:val="00FB4363"/>
    <w:rsid w:val="00FB45D9"/>
    <w:rsid w:val="00FB4E14"/>
    <w:rsid w:val="00FB568D"/>
    <w:rsid w:val="00FB5768"/>
    <w:rsid w:val="00FB7B6C"/>
    <w:rsid w:val="00FC1866"/>
    <w:rsid w:val="00FC239A"/>
    <w:rsid w:val="00FC2F52"/>
    <w:rsid w:val="00FC4834"/>
    <w:rsid w:val="00FC4A87"/>
    <w:rsid w:val="00FC5403"/>
    <w:rsid w:val="00FC5752"/>
    <w:rsid w:val="00FC5873"/>
    <w:rsid w:val="00FC5B06"/>
    <w:rsid w:val="00FC61B1"/>
    <w:rsid w:val="00FD0FE6"/>
    <w:rsid w:val="00FD1E56"/>
    <w:rsid w:val="00FD2FCE"/>
    <w:rsid w:val="00FD3BF9"/>
    <w:rsid w:val="00FD54CE"/>
    <w:rsid w:val="00FD5D43"/>
    <w:rsid w:val="00FD6D1F"/>
    <w:rsid w:val="00FD7D80"/>
    <w:rsid w:val="00FE030C"/>
    <w:rsid w:val="00FE0B6B"/>
    <w:rsid w:val="00FE1A7F"/>
    <w:rsid w:val="00FE3093"/>
    <w:rsid w:val="00FE31E4"/>
    <w:rsid w:val="00FE394E"/>
    <w:rsid w:val="00FE4A76"/>
    <w:rsid w:val="00FE5094"/>
    <w:rsid w:val="00FE528C"/>
    <w:rsid w:val="00FE58D8"/>
    <w:rsid w:val="00FE5A82"/>
    <w:rsid w:val="00FE5B78"/>
    <w:rsid w:val="00FE5DE6"/>
    <w:rsid w:val="00FE5E6F"/>
    <w:rsid w:val="00FE5ED3"/>
    <w:rsid w:val="00FE6746"/>
    <w:rsid w:val="00FE6767"/>
    <w:rsid w:val="00FF0E03"/>
    <w:rsid w:val="00FF1399"/>
    <w:rsid w:val="00FF223A"/>
    <w:rsid w:val="00FF22B5"/>
    <w:rsid w:val="00FF2778"/>
    <w:rsid w:val="00FF3652"/>
    <w:rsid w:val="00FF36D1"/>
    <w:rsid w:val="00FF41D4"/>
    <w:rsid w:val="00FF458E"/>
    <w:rsid w:val="00FF48B1"/>
    <w:rsid w:val="00FF4903"/>
    <w:rsid w:val="00FF4F63"/>
    <w:rsid w:val="00FF59DD"/>
    <w:rsid w:val="00FF5A4D"/>
    <w:rsid w:val="00FF662A"/>
    <w:rsid w:val="00FF7963"/>
    <w:rsid w:val="00FF7D81"/>
    <w:rsid w:val="00FF7E65"/>
    <w:rsid w:val="010215AC"/>
    <w:rsid w:val="01085400"/>
    <w:rsid w:val="0109278D"/>
    <w:rsid w:val="010C0502"/>
    <w:rsid w:val="010F47FA"/>
    <w:rsid w:val="0115010A"/>
    <w:rsid w:val="01162073"/>
    <w:rsid w:val="011804F0"/>
    <w:rsid w:val="011B0BBC"/>
    <w:rsid w:val="01202909"/>
    <w:rsid w:val="01213882"/>
    <w:rsid w:val="012872C5"/>
    <w:rsid w:val="012956E2"/>
    <w:rsid w:val="012E34F5"/>
    <w:rsid w:val="012E74F0"/>
    <w:rsid w:val="01304F65"/>
    <w:rsid w:val="01343791"/>
    <w:rsid w:val="01350AD8"/>
    <w:rsid w:val="013533A9"/>
    <w:rsid w:val="01372051"/>
    <w:rsid w:val="013C246A"/>
    <w:rsid w:val="013C731E"/>
    <w:rsid w:val="01401F5A"/>
    <w:rsid w:val="01412F1A"/>
    <w:rsid w:val="01415CD2"/>
    <w:rsid w:val="01435D3B"/>
    <w:rsid w:val="01436805"/>
    <w:rsid w:val="01441FB7"/>
    <w:rsid w:val="01457570"/>
    <w:rsid w:val="014C0B29"/>
    <w:rsid w:val="014C3520"/>
    <w:rsid w:val="014C3675"/>
    <w:rsid w:val="01523273"/>
    <w:rsid w:val="015248B5"/>
    <w:rsid w:val="0152776C"/>
    <w:rsid w:val="015675DA"/>
    <w:rsid w:val="0158285F"/>
    <w:rsid w:val="015B3238"/>
    <w:rsid w:val="015C0A67"/>
    <w:rsid w:val="015F3C5C"/>
    <w:rsid w:val="0160298A"/>
    <w:rsid w:val="01602CF5"/>
    <w:rsid w:val="016F54A3"/>
    <w:rsid w:val="01700B20"/>
    <w:rsid w:val="01727770"/>
    <w:rsid w:val="017B6AED"/>
    <w:rsid w:val="017D6DF3"/>
    <w:rsid w:val="017D7A75"/>
    <w:rsid w:val="01804A4C"/>
    <w:rsid w:val="018067FB"/>
    <w:rsid w:val="018362EB"/>
    <w:rsid w:val="01855E64"/>
    <w:rsid w:val="01873887"/>
    <w:rsid w:val="018A1427"/>
    <w:rsid w:val="018A58CB"/>
    <w:rsid w:val="018B7D8A"/>
    <w:rsid w:val="018C100A"/>
    <w:rsid w:val="01910DAA"/>
    <w:rsid w:val="019127B6"/>
    <w:rsid w:val="01923B88"/>
    <w:rsid w:val="0192652E"/>
    <w:rsid w:val="01945F4A"/>
    <w:rsid w:val="019601E9"/>
    <w:rsid w:val="01993E6E"/>
    <w:rsid w:val="01995E38"/>
    <w:rsid w:val="019B1886"/>
    <w:rsid w:val="019B3634"/>
    <w:rsid w:val="019B7612"/>
    <w:rsid w:val="019F02DD"/>
    <w:rsid w:val="019F20A2"/>
    <w:rsid w:val="01A6732E"/>
    <w:rsid w:val="01A71FD9"/>
    <w:rsid w:val="01A95C58"/>
    <w:rsid w:val="01AA4CF6"/>
    <w:rsid w:val="01AA68AB"/>
    <w:rsid w:val="01AB1A72"/>
    <w:rsid w:val="01AF7682"/>
    <w:rsid w:val="01B13F71"/>
    <w:rsid w:val="01B14C3D"/>
    <w:rsid w:val="01B24B10"/>
    <w:rsid w:val="01B43863"/>
    <w:rsid w:val="01BA0B6E"/>
    <w:rsid w:val="01BA4479"/>
    <w:rsid w:val="01BE7323"/>
    <w:rsid w:val="01C0139F"/>
    <w:rsid w:val="01C04E49"/>
    <w:rsid w:val="01C05F2B"/>
    <w:rsid w:val="01C2621D"/>
    <w:rsid w:val="01C342B5"/>
    <w:rsid w:val="01C62A5D"/>
    <w:rsid w:val="01C6530C"/>
    <w:rsid w:val="01C7267B"/>
    <w:rsid w:val="01CE3A0A"/>
    <w:rsid w:val="01CF1530"/>
    <w:rsid w:val="01D4314F"/>
    <w:rsid w:val="01D54D19"/>
    <w:rsid w:val="01D60B10"/>
    <w:rsid w:val="01D64D9F"/>
    <w:rsid w:val="01D67715"/>
    <w:rsid w:val="01DA015E"/>
    <w:rsid w:val="01DB75AC"/>
    <w:rsid w:val="01DB7ED5"/>
    <w:rsid w:val="01DC629B"/>
    <w:rsid w:val="01E1125B"/>
    <w:rsid w:val="01E1703D"/>
    <w:rsid w:val="01E36492"/>
    <w:rsid w:val="01EB68FC"/>
    <w:rsid w:val="01EC0334"/>
    <w:rsid w:val="01EC20E2"/>
    <w:rsid w:val="01EC5C3E"/>
    <w:rsid w:val="01ED6EBF"/>
    <w:rsid w:val="01F20D71"/>
    <w:rsid w:val="01F33470"/>
    <w:rsid w:val="01F66ABD"/>
    <w:rsid w:val="01F8432A"/>
    <w:rsid w:val="01FC2DC5"/>
    <w:rsid w:val="01FD609D"/>
    <w:rsid w:val="01FE6179"/>
    <w:rsid w:val="0204110C"/>
    <w:rsid w:val="02043D75"/>
    <w:rsid w:val="02051AE6"/>
    <w:rsid w:val="02072A78"/>
    <w:rsid w:val="02096361"/>
    <w:rsid w:val="020B6A0C"/>
    <w:rsid w:val="020C615A"/>
    <w:rsid w:val="020E02AA"/>
    <w:rsid w:val="020E45C6"/>
    <w:rsid w:val="02107597"/>
    <w:rsid w:val="02112AA9"/>
    <w:rsid w:val="021138F7"/>
    <w:rsid w:val="0212454D"/>
    <w:rsid w:val="021423A4"/>
    <w:rsid w:val="02160F0D"/>
    <w:rsid w:val="02182ED7"/>
    <w:rsid w:val="021A27AB"/>
    <w:rsid w:val="021A3AD1"/>
    <w:rsid w:val="021D04ED"/>
    <w:rsid w:val="021D673F"/>
    <w:rsid w:val="022542B9"/>
    <w:rsid w:val="022573A2"/>
    <w:rsid w:val="022B3571"/>
    <w:rsid w:val="02353A89"/>
    <w:rsid w:val="02355837"/>
    <w:rsid w:val="02370CE4"/>
    <w:rsid w:val="023C3969"/>
    <w:rsid w:val="023F66B6"/>
    <w:rsid w:val="02405F8A"/>
    <w:rsid w:val="02420E31"/>
    <w:rsid w:val="02436AF0"/>
    <w:rsid w:val="024535A0"/>
    <w:rsid w:val="02467F68"/>
    <w:rsid w:val="024806E1"/>
    <w:rsid w:val="024E4267"/>
    <w:rsid w:val="024E68F9"/>
    <w:rsid w:val="02523B07"/>
    <w:rsid w:val="02535CBD"/>
    <w:rsid w:val="02557D02"/>
    <w:rsid w:val="025A769D"/>
    <w:rsid w:val="025F28B4"/>
    <w:rsid w:val="026003DA"/>
    <w:rsid w:val="026305F6"/>
    <w:rsid w:val="0265792B"/>
    <w:rsid w:val="026643CE"/>
    <w:rsid w:val="026A3B24"/>
    <w:rsid w:val="026A3CE8"/>
    <w:rsid w:val="026C6D7F"/>
    <w:rsid w:val="027029E7"/>
    <w:rsid w:val="0273010D"/>
    <w:rsid w:val="02746F16"/>
    <w:rsid w:val="027942D3"/>
    <w:rsid w:val="027B4806"/>
    <w:rsid w:val="027C16B8"/>
    <w:rsid w:val="027C3466"/>
    <w:rsid w:val="027F6AB2"/>
    <w:rsid w:val="0282283E"/>
    <w:rsid w:val="028247F4"/>
    <w:rsid w:val="0283599B"/>
    <w:rsid w:val="028464DD"/>
    <w:rsid w:val="028477DF"/>
    <w:rsid w:val="02856493"/>
    <w:rsid w:val="02881E0B"/>
    <w:rsid w:val="028C11CF"/>
    <w:rsid w:val="028C3BD3"/>
    <w:rsid w:val="028E3199"/>
    <w:rsid w:val="02941414"/>
    <w:rsid w:val="0295277A"/>
    <w:rsid w:val="02974566"/>
    <w:rsid w:val="02993174"/>
    <w:rsid w:val="029C2F92"/>
    <w:rsid w:val="029F4D63"/>
    <w:rsid w:val="02A05595"/>
    <w:rsid w:val="02A209F3"/>
    <w:rsid w:val="02A3720C"/>
    <w:rsid w:val="02A73944"/>
    <w:rsid w:val="02A8425B"/>
    <w:rsid w:val="02A93B2F"/>
    <w:rsid w:val="02AA7BAD"/>
    <w:rsid w:val="02AB5498"/>
    <w:rsid w:val="02AD7AC3"/>
    <w:rsid w:val="02AF383B"/>
    <w:rsid w:val="02AF7D72"/>
    <w:rsid w:val="02AF7F28"/>
    <w:rsid w:val="02B01361"/>
    <w:rsid w:val="02B0310F"/>
    <w:rsid w:val="02B7517C"/>
    <w:rsid w:val="02B769C7"/>
    <w:rsid w:val="02BC641D"/>
    <w:rsid w:val="02C60DF8"/>
    <w:rsid w:val="02C913C1"/>
    <w:rsid w:val="02CB12A1"/>
    <w:rsid w:val="02CC553F"/>
    <w:rsid w:val="02CD1F13"/>
    <w:rsid w:val="02CD2E68"/>
    <w:rsid w:val="02D30986"/>
    <w:rsid w:val="02D50DC8"/>
    <w:rsid w:val="02D74B40"/>
    <w:rsid w:val="02DB2825"/>
    <w:rsid w:val="02DB6913"/>
    <w:rsid w:val="02DE5ECF"/>
    <w:rsid w:val="02E1567E"/>
    <w:rsid w:val="02E255F0"/>
    <w:rsid w:val="02E37041"/>
    <w:rsid w:val="02E4100B"/>
    <w:rsid w:val="02E42DB9"/>
    <w:rsid w:val="02E565E2"/>
    <w:rsid w:val="02E64D83"/>
    <w:rsid w:val="02EB73E1"/>
    <w:rsid w:val="02ED4765"/>
    <w:rsid w:val="02EE59E6"/>
    <w:rsid w:val="02EF1E8A"/>
    <w:rsid w:val="02F05C02"/>
    <w:rsid w:val="02F079B0"/>
    <w:rsid w:val="02F52E40"/>
    <w:rsid w:val="02F54AC6"/>
    <w:rsid w:val="02F86670"/>
    <w:rsid w:val="02F92D08"/>
    <w:rsid w:val="02FC6355"/>
    <w:rsid w:val="02FF3F99"/>
    <w:rsid w:val="03013A68"/>
    <w:rsid w:val="03014218"/>
    <w:rsid w:val="03015CC8"/>
    <w:rsid w:val="03031491"/>
    <w:rsid w:val="03045209"/>
    <w:rsid w:val="0305345B"/>
    <w:rsid w:val="03065425"/>
    <w:rsid w:val="030B1A2A"/>
    <w:rsid w:val="030F4FF0"/>
    <w:rsid w:val="031016C9"/>
    <w:rsid w:val="03121D7C"/>
    <w:rsid w:val="031300D2"/>
    <w:rsid w:val="031725C6"/>
    <w:rsid w:val="031841A0"/>
    <w:rsid w:val="03194B7A"/>
    <w:rsid w:val="031B668D"/>
    <w:rsid w:val="031D1405"/>
    <w:rsid w:val="031F3DF1"/>
    <w:rsid w:val="0322103E"/>
    <w:rsid w:val="03230548"/>
    <w:rsid w:val="03244FD8"/>
    <w:rsid w:val="03247659"/>
    <w:rsid w:val="032517D0"/>
    <w:rsid w:val="03261624"/>
    <w:rsid w:val="0327596B"/>
    <w:rsid w:val="032763A5"/>
    <w:rsid w:val="032A692E"/>
    <w:rsid w:val="032C3828"/>
    <w:rsid w:val="032C58C5"/>
    <w:rsid w:val="032E477D"/>
    <w:rsid w:val="032F68D7"/>
    <w:rsid w:val="0330604B"/>
    <w:rsid w:val="0331391B"/>
    <w:rsid w:val="03367AB9"/>
    <w:rsid w:val="033A063B"/>
    <w:rsid w:val="033A6D09"/>
    <w:rsid w:val="034037F3"/>
    <w:rsid w:val="03427A32"/>
    <w:rsid w:val="034321D6"/>
    <w:rsid w:val="03455F4E"/>
    <w:rsid w:val="034616DB"/>
    <w:rsid w:val="034C6370"/>
    <w:rsid w:val="034C6EE8"/>
    <w:rsid w:val="034D6BB0"/>
    <w:rsid w:val="034E324F"/>
    <w:rsid w:val="035246C1"/>
    <w:rsid w:val="03527A63"/>
    <w:rsid w:val="03597303"/>
    <w:rsid w:val="035B751F"/>
    <w:rsid w:val="035D3297"/>
    <w:rsid w:val="035E4633"/>
    <w:rsid w:val="03625043"/>
    <w:rsid w:val="03626DC9"/>
    <w:rsid w:val="036301D5"/>
    <w:rsid w:val="03634626"/>
    <w:rsid w:val="03655CA8"/>
    <w:rsid w:val="03672DD7"/>
    <w:rsid w:val="03686549"/>
    <w:rsid w:val="0368705F"/>
    <w:rsid w:val="036903E2"/>
    <w:rsid w:val="03697A39"/>
    <w:rsid w:val="036D12B2"/>
    <w:rsid w:val="036F4D79"/>
    <w:rsid w:val="03726617"/>
    <w:rsid w:val="037379BF"/>
    <w:rsid w:val="03750ED4"/>
    <w:rsid w:val="03767EB5"/>
    <w:rsid w:val="037951C3"/>
    <w:rsid w:val="03800D34"/>
    <w:rsid w:val="03831236"/>
    <w:rsid w:val="03832248"/>
    <w:rsid w:val="03852728"/>
    <w:rsid w:val="03854168"/>
    <w:rsid w:val="03870230"/>
    <w:rsid w:val="03870314"/>
    <w:rsid w:val="038B0F5B"/>
    <w:rsid w:val="038D3451"/>
    <w:rsid w:val="038F0F77"/>
    <w:rsid w:val="03933EAF"/>
    <w:rsid w:val="039638F4"/>
    <w:rsid w:val="039667A9"/>
    <w:rsid w:val="0397158C"/>
    <w:rsid w:val="03990F6B"/>
    <w:rsid w:val="039B791C"/>
    <w:rsid w:val="039E34BA"/>
    <w:rsid w:val="039E77D0"/>
    <w:rsid w:val="03A03184"/>
    <w:rsid w:val="03A77504"/>
    <w:rsid w:val="03AA5DB1"/>
    <w:rsid w:val="03AB7B6C"/>
    <w:rsid w:val="03AC7D7B"/>
    <w:rsid w:val="03AD22FE"/>
    <w:rsid w:val="03AF31FD"/>
    <w:rsid w:val="03B1493A"/>
    <w:rsid w:val="03B15904"/>
    <w:rsid w:val="03B46C2F"/>
    <w:rsid w:val="03B7227C"/>
    <w:rsid w:val="03BB1D6C"/>
    <w:rsid w:val="03BE360A"/>
    <w:rsid w:val="03BE7AAE"/>
    <w:rsid w:val="03C04BBB"/>
    <w:rsid w:val="03C055D4"/>
    <w:rsid w:val="03C07382"/>
    <w:rsid w:val="03C54999"/>
    <w:rsid w:val="03C86237"/>
    <w:rsid w:val="03CC5D27"/>
    <w:rsid w:val="03CF75C5"/>
    <w:rsid w:val="03D16FFC"/>
    <w:rsid w:val="03D42E2E"/>
    <w:rsid w:val="03D50244"/>
    <w:rsid w:val="03D753A7"/>
    <w:rsid w:val="03D8291E"/>
    <w:rsid w:val="03D90444"/>
    <w:rsid w:val="03E00D98"/>
    <w:rsid w:val="03E0235B"/>
    <w:rsid w:val="03E23E55"/>
    <w:rsid w:val="03E52A26"/>
    <w:rsid w:val="03E61FF3"/>
    <w:rsid w:val="03E76FB4"/>
    <w:rsid w:val="03EB7DBF"/>
    <w:rsid w:val="03ED3244"/>
    <w:rsid w:val="03F302E2"/>
    <w:rsid w:val="03F51722"/>
    <w:rsid w:val="03F861DD"/>
    <w:rsid w:val="03FA6D38"/>
    <w:rsid w:val="03FB42BA"/>
    <w:rsid w:val="03FD3580"/>
    <w:rsid w:val="03FD54C6"/>
    <w:rsid w:val="03FE03D1"/>
    <w:rsid w:val="040930D8"/>
    <w:rsid w:val="04096F7B"/>
    <w:rsid w:val="040B64A7"/>
    <w:rsid w:val="040C6817"/>
    <w:rsid w:val="040D0565"/>
    <w:rsid w:val="040F7D83"/>
    <w:rsid w:val="04100597"/>
    <w:rsid w:val="04112729"/>
    <w:rsid w:val="04133956"/>
    <w:rsid w:val="0413780D"/>
    <w:rsid w:val="04155920"/>
    <w:rsid w:val="041659F1"/>
    <w:rsid w:val="04194CE4"/>
    <w:rsid w:val="041A4E3F"/>
    <w:rsid w:val="041B1266"/>
    <w:rsid w:val="0422003D"/>
    <w:rsid w:val="04224F34"/>
    <w:rsid w:val="04243DB5"/>
    <w:rsid w:val="04284E13"/>
    <w:rsid w:val="04293179"/>
    <w:rsid w:val="042A6EF2"/>
    <w:rsid w:val="042B5143"/>
    <w:rsid w:val="042E0790"/>
    <w:rsid w:val="042E0DB9"/>
    <w:rsid w:val="042E35BA"/>
    <w:rsid w:val="042F2492"/>
    <w:rsid w:val="04301D26"/>
    <w:rsid w:val="043164D2"/>
    <w:rsid w:val="0433224A"/>
    <w:rsid w:val="0438160E"/>
    <w:rsid w:val="04395005"/>
    <w:rsid w:val="043B2EAD"/>
    <w:rsid w:val="043D4E77"/>
    <w:rsid w:val="043E3628"/>
    <w:rsid w:val="043F29CE"/>
    <w:rsid w:val="04406715"/>
    <w:rsid w:val="044163B3"/>
    <w:rsid w:val="04425FE9"/>
    <w:rsid w:val="04455AD9"/>
    <w:rsid w:val="044955CA"/>
    <w:rsid w:val="044B1342"/>
    <w:rsid w:val="044B7594"/>
    <w:rsid w:val="044C330C"/>
    <w:rsid w:val="044F0764"/>
    <w:rsid w:val="045126D0"/>
    <w:rsid w:val="04536FA7"/>
    <w:rsid w:val="0453757C"/>
    <w:rsid w:val="04540722"/>
    <w:rsid w:val="04543B68"/>
    <w:rsid w:val="0457667D"/>
    <w:rsid w:val="045A09FE"/>
    <w:rsid w:val="045A77D7"/>
    <w:rsid w:val="045D6797"/>
    <w:rsid w:val="045D7C1E"/>
    <w:rsid w:val="045E5706"/>
    <w:rsid w:val="045F6B9B"/>
    <w:rsid w:val="04602913"/>
    <w:rsid w:val="046046C1"/>
    <w:rsid w:val="04615199"/>
    <w:rsid w:val="046236F6"/>
    <w:rsid w:val="04626EF4"/>
    <w:rsid w:val="04637B4D"/>
    <w:rsid w:val="046442CB"/>
    <w:rsid w:val="04653F60"/>
    <w:rsid w:val="04680F4A"/>
    <w:rsid w:val="04697A1A"/>
    <w:rsid w:val="046B5540"/>
    <w:rsid w:val="04705F84"/>
    <w:rsid w:val="04714B20"/>
    <w:rsid w:val="04717A85"/>
    <w:rsid w:val="047368F3"/>
    <w:rsid w:val="0475016D"/>
    <w:rsid w:val="04776088"/>
    <w:rsid w:val="047A39D5"/>
    <w:rsid w:val="047F2D99"/>
    <w:rsid w:val="047F6045"/>
    <w:rsid w:val="04804DA9"/>
    <w:rsid w:val="04805D11"/>
    <w:rsid w:val="04806B11"/>
    <w:rsid w:val="04812FB5"/>
    <w:rsid w:val="0481475A"/>
    <w:rsid w:val="04826D2E"/>
    <w:rsid w:val="04846602"/>
    <w:rsid w:val="04853043"/>
    <w:rsid w:val="048C3708"/>
    <w:rsid w:val="048C54B6"/>
    <w:rsid w:val="048D2141"/>
    <w:rsid w:val="048F3DCE"/>
    <w:rsid w:val="048F465A"/>
    <w:rsid w:val="0490660D"/>
    <w:rsid w:val="04926F71"/>
    <w:rsid w:val="049305F5"/>
    <w:rsid w:val="049525BD"/>
    <w:rsid w:val="049A0B9B"/>
    <w:rsid w:val="049D12CA"/>
    <w:rsid w:val="04A21A03"/>
    <w:rsid w:val="04A627F5"/>
    <w:rsid w:val="04A930A7"/>
    <w:rsid w:val="04B05649"/>
    <w:rsid w:val="04B073F7"/>
    <w:rsid w:val="04B2316F"/>
    <w:rsid w:val="04B52122"/>
    <w:rsid w:val="04B944C7"/>
    <w:rsid w:val="04BA64C7"/>
    <w:rsid w:val="04BB1EDD"/>
    <w:rsid w:val="04BC223F"/>
    <w:rsid w:val="04BF763A"/>
    <w:rsid w:val="04C240E9"/>
    <w:rsid w:val="04C26804"/>
    <w:rsid w:val="04C2712A"/>
    <w:rsid w:val="04C960AD"/>
    <w:rsid w:val="04CB41E8"/>
    <w:rsid w:val="04CE19B8"/>
    <w:rsid w:val="04CE1F73"/>
    <w:rsid w:val="04CF1C67"/>
    <w:rsid w:val="04D05CEB"/>
    <w:rsid w:val="04D208F9"/>
    <w:rsid w:val="04D37589"/>
    <w:rsid w:val="04D60E51"/>
    <w:rsid w:val="04DC2964"/>
    <w:rsid w:val="04DC3B8C"/>
    <w:rsid w:val="04DF1A8A"/>
    <w:rsid w:val="04DF5F2E"/>
    <w:rsid w:val="04E03757"/>
    <w:rsid w:val="04E07226"/>
    <w:rsid w:val="04E23328"/>
    <w:rsid w:val="04E62470"/>
    <w:rsid w:val="04E716C3"/>
    <w:rsid w:val="04E92909"/>
    <w:rsid w:val="04EF0A59"/>
    <w:rsid w:val="04EF4078"/>
    <w:rsid w:val="04EF5385"/>
    <w:rsid w:val="04F419D9"/>
    <w:rsid w:val="04F43D3F"/>
    <w:rsid w:val="04F76DD4"/>
    <w:rsid w:val="04F91EAB"/>
    <w:rsid w:val="04FC088E"/>
    <w:rsid w:val="04FC5042"/>
    <w:rsid w:val="04FE4606"/>
    <w:rsid w:val="04FF212C"/>
    <w:rsid w:val="04FF4BA9"/>
    <w:rsid w:val="05015B58"/>
    <w:rsid w:val="050414F1"/>
    <w:rsid w:val="05051787"/>
    <w:rsid w:val="05094D59"/>
    <w:rsid w:val="050F05C1"/>
    <w:rsid w:val="050F6813"/>
    <w:rsid w:val="051200B1"/>
    <w:rsid w:val="05170B49"/>
    <w:rsid w:val="051C3426"/>
    <w:rsid w:val="051C5515"/>
    <w:rsid w:val="051F7EF6"/>
    <w:rsid w:val="05216546"/>
    <w:rsid w:val="05216A4C"/>
    <w:rsid w:val="05230EF2"/>
    <w:rsid w:val="05262860"/>
    <w:rsid w:val="052662F7"/>
    <w:rsid w:val="05291032"/>
    <w:rsid w:val="0529461A"/>
    <w:rsid w:val="05341E77"/>
    <w:rsid w:val="053578FC"/>
    <w:rsid w:val="053C0C8A"/>
    <w:rsid w:val="053C512E"/>
    <w:rsid w:val="053E71E6"/>
    <w:rsid w:val="05405ACE"/>
    <w:rsid w:val="054229B7"/>
    <w:rsid w:val="05430682"/>
    <w:rsid w:val="05431723"/>
    <w:rsid w:val="05447A71"/>
    <w:rsid w:val="05485881"/>
    <w:rsid w:val="0548762F"/>
    <w:rsid w:val="054D1796"/>
    <w:rsid w:val="05502988"/>
    <w:rsid w:val="05504736"/>
    <w:rsid w:val="05573D16"/>
    <w:rsid w:val="05592172"/>
    <w:rsid w:val="05600E1D"/>
    <w:rsid w:val="0560548A"/>
    <w:rsid w:val="05616943"/>
    <w:rsid w:val="056621AB"/>
    <w:rsid w:val="0569619C"/>
    <w:rsid w:val="056D02F4"/>
    <w:rsid w:val="056D4978"/>
    <w:rsid w:val="056D52E8"/>
    <w:rsid w:val="056D7096"/>
    <w:rsid w:val="056F52C2"/>
    <w:rsid w:val="05721780"/>
    <w:rsid w:val="057228FE"/>
    <w:rsid w:val="05780BC2"/>
    <w:rsid w:val="05807C3C"/>
    <w:rsid w:val="05812B41"/>
    <w:rsid w:val="058473A1"/>
    <w:rsid w:val="05856AD5"/>
    <w:rsid w:val="05882122"/>
    <w:rsid w:val="058A057E"/>
    <w:rsid w:val="058C2BCD"/>
    <w:rsid w:val="058D14E6"/>
    <w:rsid w:val="058D44F9"/>
    <w:rsid w:val="05914282"/>
    <w:rsid w:val="05922FA0"/>
    <w:rsid w:val="05946D18"/>
    <w:rsid w:val="05960333"/>
    <w:rsid w:val="0599023E"/>
    <w:rsid w:val="059960DD"/>
    <w:rsid w:val="059B00A7"/>
    <w:rsid w:val="05A351AD"/>
    <w:rsid w:val="05A91BDE"/>
    <w:rsid w:val="05AC22B4"/>
    <w:rsid w:val="05AD264D"/>
    <w:rsid w:val="05B22981"/>
    <w:rsid w:val="05B2719F"/>
    <w:rsid w:val="05B47692"/>
    <w:rsid w:val="05B47935"/>
    <w:rsid w:val="05C01F6D"/>
    <w:rsid w:val="05C159B1"/>
    <w:rsid w:val="05C6456E"/>
    <w:rsid w:val="05C671E9"/>
    <w:rsid w:val="05C72C4A"/>
    <w:rsid w:val="05C74CC8"/>
    <w:rsid w:val="05CA107E"/>
    <w:rsid w:val="05CD7688"/>
    <w:rsid w:val="05D15C2C"/>
    <w:rsid w:val="05D26B02"/>
    <w:rsid w:val="05D50DBA"/>
    <w:rsid w:val="05D90BCF"/>
    <w:rsid w:val="05D9472B"/>
    <w:rsid w:val="05DB04A3"/>
    <w:rsid w:val="05DC421B"/>
    <w:rsid w:val="05DE16D7"/>
    <w:rsid w:val="05DE68D5"/>
    <w:rsid w:val="05DE7F94"/>
    <w:rsid w:val="05DF6C92"/>
    <w:rsid w:val="05E23C32"/>
    <w:rsid w:val="05E42EC1"/>
    <w:rsid w:val="05E71075"/>
    <w:rsid w:val="05E93724"/>
    <w:rsid w:val="05E94074"/>
    <w:rsid w:val="05E96906"/>
    <w:rsid w:val="05EA2DDC"/>
    <w:rsid w:val="05ED01D7"/>
    <w:rsid w:val="05F01B95"/>
    <w:rsid w:val="05F24F09"/>
    <w:rsid w:val="05FA2A1A"/>
    <w:rsid w:val="05FB5A9A"/>
    <w:rsid w:val="05FB6D97"/>
    <w:rsid w:val="05FE23E4"/>
    <w:rsid w:val="060043AE"/>
    <w:rsid w:val="06030E4F"/>
    <w:rsid w:val="060317A8"/>
    <w:rsid w:val="06043E67"/>
    <w:rsid w:val="060818B0"/>
    <w:rsid w:val="060C2D53"/>
    <w:rsid w:val="061627CC"/>
    <w:rsid w:val="0617312A"/>
    <w:rsid w:val="061816F7"/>
    <w:rsid w:val="061D286A"/>
    <w:rsid w:val="061F2581"/>
    <w:rsid w:val="0620235A"/>
    <w:rsid w:val="062264F1"/>
    <w:rsid w:val="06231E4A"/>
    <w:rsid w:val="06253E14"/>
    <w:rsid w:val="06257234"/>
    <w:rsid w:val="062830F1"/>
    <w:rsid w:val="062C0CFF"/>
    <w:rsid w:val="063127B9"/>
    <w:rsid w:val="063330D6"/>
    <w:rsid w:val="06334642"/>
    <w:rsid w:val="0637713C"/>
    <w:rsid w:val="063B53E6"/>
    <w:rsid w:val="06400C4E"/>
    <w:rsid w:val="06420522"/>
    <w:rsid w:val="064A5629"/>
    <w:rsid w:val="064D4DCB"/>
    <w:rsid w:val="06523F87"/>
    <w:rsid w:val="06524EBB"/>
    <w:rsid w:val="06543ADB"/>
    <w:rsid w:val="065743DF"/>
    <w:rsid w:val="065875E5"/>
    <w:rsid w:val="0659586C"/>
    <w:rsid w:val="065A010D"/>
    <w:rsid w:val="065A72EE"/>
    <w:rsid w:val="065E4C2E"/>
    <w:rsid w:val="065F405F"/>
    <w:rsid w:val="06602E5E"/>
    <w:rsid w:val="06652463"/>
    <w:rsid w:val="066850B1"/>
    <w:rsid w:val="066E7569"/>
    <w:rsid w:val="06733D9B"/>
    <w:rsid w:val="0675084B"/>
    <w:rsid w:val="06753AD3"/>
    <w:rsid w:val="067712FB"/>
    <w:rsid w:val="067B57E2"/>
    <w:rsid w:val="067C4E48"/>
    <w:rsid w:val="067F1777"/>
    <w:rsid w:val="06822D24"/>
    <w:rsid w:val="0683407E"/>
    <w:rsid w:val="06843669"/>
    <w:rsid w:val="06850AD5"/>
    <w:rsid w:val="068648B3"/>
    <w:rsid w:val="068A719C"/>
    <w:rsid w:val="068B65D1"/>
    <w:rsid w:val="068E28DD"/>
    <w:rsid w:val="06905732"/>
    <w:rsid w:val="06966693"/>
    <w:rsid w:val="06976AC0"/>
    <w:rsid w:val="069A036D"/>
    <w:rsid w:val="069A06D8"/>
    <w:rsid w:val="069D7E4F"/>
    <w:rsid w:val="069E4717"/>
    <w:rsid w:val="069F3FEC"/>
    <w:rsid w:val="069F5975"/>
    <w:rsid w:val="06A55A83"/>
    <w:rsid w:val="06A66D03"/>
    <w:rsid w:val="06A92108"/>
    <w:rsid w:val="06B01218"/>
    <w:rsid w:val="06B45EFF"/>
    <w:rsid w:val="06B47B7A"/>
    <w:rsid w:val="06B61769"/>
    <w:rsid w:val="06B875E4"/>
    <w:rsid w:val="06B94957"/>
    <w:rsid w:val="06BF3FA4"/>
    <w:rsid w:val="06C02D46"/>
    <w:rsid w:val="06C278B5"/>
    <w:rsid w:val="06C4362D"/>
    <w:rsid w:val="06C51A28"/>
    <w:rsid w:val="06C669EC"/>
    <w:rsid w:val="06CC4290"/>
    <w:rsid w:val="06CC522F"/>
    <w:rsid w:val="06CE0008"/>
    <w:rsid w:val="06D136D5"/>
    <w:rsid w:val="06D16E10"/>
    <w:rsid w:val="06D263F6"/>
    <w:rsid w:val="06D32A31"/>
    <w:rsid w:val="06D80E87"/>
    <w:rsid w:val="06D82C35"/>
    <w:rsid w:val="06DB482C"/>
    <w:rsid w:val="06DF2215"/>
    <w:rsid w:val="06E57B1F"/>
    <w:rsid w:val="06E94E42"/>
    <w:rsid w:val="06EA7ED6"/>
    <w:rsid w:val="06EC66E0"/>
    <w:rsid w:val="06EE06AA"/>
    <w:rsid w:val="06F162E5"/>
    <w:rsid w:val="06F3462A"/>
    <w:rsid w:val="06F4329F"/>
    <w:rsid w:val="06F840BA"/>
    <w:rsid w:val="06F90EFC"/>
    <w:rsid w:val="07026C51"/>
    <w:rsid w:val="070659F4"/>
    <w:rsid w:val="070752C8"/>
    <w:rsid w:val="07083D17"/>
    <w:rsid w:val="07097292"/>
    <w:rsid w:val="07117EF5"/>
    <w:rsid w:val="07143D9D"/>
    <w:rsid w:val="0717375D"/>
    <w:rsid w:val="071969AA"/>
    <w:rsid w:val="071B7D91"/>
    <w:rsid w:val="071D4B6E"/>
    <w:rsid w:val="071D5FD6"/>
    <w:rsid w:val="071F2612"/>
    <w:rsid w:val="071F3A56"/>
    <w:rsid w:val="07210DE0"/>
    <w:rsid w:val="07222102"/>
    <w:rsid w:val="07222F58"/>
    <w:rsid w:val="072365A6"/>
    <w:rsid w:val="072461A6"/>
    <w:rsid w:val="072506E0"/>
    <w:rsid w:val="072B1256"/>
    <w:rsid w:val="072B60A6"/>
    <w:rsid w:val="072C1B62"/>
    <w:rsid w:val="072D659E"/>
    <w:rsid w:val="07302A71"/>
    <w:rsid w:val="0730481F"/>
    <w:rsid w:val="07362E57"/>
    <w:rsid w:val="07380482"/>
    <w:rsid w:val="07391925"/>
    <w:rsid w:val="073D7ADD"/>
    <w:rsid w:val="073E6F3C"/>
    <w:rsid w:val="073F0F06"/>
    <w:rsid w:val="073F4A62"/>
    <w:rsid w:val="07484B91"/>
    <w:rsid w:val="074D1C73"/>
    <w:rsid w:val="074E0505"/>
    <w:rsid w:val="074F739B"/>
    <w:rsid w:val="0754189F"/>
    <w:rsid w:val="07574D9E"/>
    <w:rsid w:val="075A189C"/>
    <w:rsid w:val="075A7AEE"/>
    <w:rsid w:val="075B0E6F"/>
    <w:rsid w:val="075C73C2"/>
    <w:rsid w:val="075E46C1"/>
    <w:rsid w:val="075F5104"/>
    <w:rsid w:val="076020AA"/>
    <w:rsid w:val="0767004F"/>
    <w:rsid w:val="076935CA"/>
    <w:rsid w:val="076A4FCA"/>
    <w:rsid w:val="076B1CFB"/>
    <w:rsid w:val="076D229C"/>
    <w:rsid w:val="076D2EA1"/>
    <w:rsid w:val="07707311"/>
    <w:rsid w:val="07751DC8"/>
    <w:rsid w:val="07766AFE"/>
    <w:rsid w:val="07767AA6"/>
    <w:rsid w:val="077741FC"/>
    <w:rsid w:val="07775550"/>
    <w:rsid w:val="07785704"/>
    <w:rsid w:val="077C5361"/>
    <w:rsid w:val="077E5935"/>
    <w:rsid w:val="07805BAA"/>
    <w:rsid w:val="07862691"/>
    <w:rsid w:val="0788780A"/>
    <w:rsid w:val="078A0D82"/>
    <w:rsid w:val="079052BE"/>
    <w:rsid w:val="0797664C"/>
    <w:rsid w:val="07990616"/>
    <w:rsid w:val="079A613C"/>
    <w:rsid w:val="079E5C2C"/>
    <w:rsid w:val="07A066D2"/>
    <w:rsid w:val="07A22853"/>
    <w:rsid w:val="07A31495"/>
    <w:rsid w:val="07A43A50"/>
    <w:rsid w:val="07A80859"/>
    <w:rsid w:val="07AC4872"/>
    <w:rsid w:val="07AD3187"/>
    <w:rsid w:val="07AF406D"/>
    <w:rsid w:val="07B138E1"/>
    <w:rsid w:val="07B156AD"/>
    <w:rsid w:val="07B266A6"/>
    <w:rsid w:val="07BA233A"/>
    <w:rsid w:val="07BB058C"/>
    <w:rsid w:val="07BC75F7"/>
    <w:rsid w:val="07C02047"/>
    <w:rsid w:val="07C17496"/>
    <w:rsid w:val="07C66F31"/>
    <w:rsid w:val="07C733D5"/>
    <w:rsid w:val="07CA6A21"/>
    <w:rsid w:val="07CA7590"/>
    <w:rsid w:val="07CB7A94"/>
    <w:rsid w:val="07CE268F"/>
    <w:rsid w:val="07D16002"/>
    <w:rsid w:val="07D21D7A"/>
    <w:rsid w:val="07D37407"/>
    <w:rsid w:val="07D443E7"/>
    <w:rsid w:val="07D7113E"/>
    <w:rsid w:val="07DA2F78"/>
    <w:rsid w:val="07DE427B"/>
    <w:rsid w:val="07DE709B"/>
    <w:rsid w:val="07DF3537"/>
    <w:rsid w:val="07DF4652"/>
    <w:rsid w:val="07E01DA1"/>
    <w:rsid w:val="07E46609"/>
    <w:rsid w:val="07E502BF"/>
    <w:rsid w:val="07E64320"/>
    <w:rsid w:val="07E91C65"/>
    <w:rsid w:val="07EA42D2"/>
    <w:rsid w:val="07EB0E6D"/>
    <w:rsid w:val="07EC1A0C"/>
    <w:rsid w:val="07F933E3"/>
    <w:rsid w:val="07FA75BF"/>
    <w:rsid w:val="07FB4E2D"/>
    <w:rsid w:val="07FB67F7"/>
    <w:rsid w:val="07FB7FBE"/>
    <w:rsid w:val="07FE2B6F"/>
    <w:rsid w:val="07FE42E2"/>
    <w:rsid w:val="07FE68AF"/>
    <w:rsid w:val="07FF3A37"/>
    <w:rsid w:val="080207BD"/>
    <w:rsid w:val="08095EDC"/>
    <w:rsid w:val="080A0E6A"/>
    <w:rsid w:val="080B4BAB"/>
    <w:rsid w:val="08135162"/>
    <w:rsid w:val="08145258"/>
    <w:rsid w:val="08160EAA"/>
    <w:rsid w:val="08162E72"/>
    <w:rsid w:val="081838E1"/>
    <w:rsid w:val="081845DE"/>
    <w:rsid w:val="081C4913"/>
    <w:rsid w:val="081C62BE"/>
    <w:rsid w:val="081D2908"/>
    <w:rsid w:val="081D6956"/>
    <w:rsid w:val="081E5E8C"/>
    <w:rsid w:val="08215D04"/>
    <w:rsid w:val="08270ED8"/>
    <w:rsid w:val="08273E74"/>
    <w:rsid w:val="08277056"/>
    <w:rsid w:val="0828199A"/>
    <w:rsid w:val="082857CB"/>
    <w:rsid w:val="082C6816"/>
    <w:rsid w:val="082D752C"/>
    <w:rsid w:val="082F2D28"/>
    <w:rsid w:val="08353ACF"/>
    <w:rsid w:val="083972EC"/>
    <w:rsid w:val="083B347B"/>
    <w:rsid w:val="083C537E"/>
    <w:rsid w:val="083D5445"/>
    <w:rsid w:val="083E2F6B"/>
    <w:rsid w:val="083F3FAD"/>
    <w:rsid w:val="0841381E"/>
    <w:rsid w:val="0842054D"/>
    <w:rsid w:val="08420CAE"/>
    <w:rsid w:val="0842480A"/>
    <w:rsid w:val="08434384"/>
    <w:rsid w:val="0849203C"/>
    <w:rsid w:val="08506C7E"/>
    <w:rsid w:val="085207C5"/>
    <w:rsid w:val="08527AF2"/>
    <w:rsid w:val="08573C3C"/>
    <w:rsid w:val="085B1341"/>
    <w:rsid w:val="085D5AE7"/>
    <w:rsid w:val="085D7C9A"/>
    <w:rsid w:val="08605B16"/>
    <w:rsid w:val="08624EAC"/>
    <w:rsid w:val="08626333"/>
    <w:rsid w:val="08646E76"/>
    <w:rsid w:val="0865499C"/>
    <w:rsid w:val="0869623A"/>
    <w:rsid w:val="086D0767"/>
    <w:rsid w:val="086D408F"/>
    <w:rsid w:val="086E1AA3"/>
    <w:rsid w:val="0870581B"/>
    <w:rsid w:val="08707CF7"/>
    <w:rsid w:val="08725BAF"/>
    <w:rsid w:val="08740015"/>
    <w:rsid w:val="08752E31"/>
    <w:rsid w:val="08766BA9"/>
    <w:rsid w:val="08772154"/>
    <w:rsid w:val="087A532A"/>
    <w:rsid w:val="087A534E"/>
    <w:rsid w:val="087D3A94"/>
    <w:rsid w:val="087E3B70"/>
    <w:rsid w:val="088017D6"/>
    <w:rsid w:val="08841D89"/>
    <w:rsid w:val="08871A52"/>
    <w:rsid w:val="0888155D"/>
    <w:rsid w:val="0888721A"/>
    <w:rsid w:val="088968DD"/>
    <w:rsid w:val="088A4F2A"/>
    <w:rsid w:val="088C017B"/>
    <w:rsid w:val="088C1F29"/>
    <w:rsid w:val="088E5CA1"/>
    <w:rsid w:val="088F4710"/>
    <w:rsid w:val="089112ED"/>
    <w:rsid w:val="08931509"/>
    <w:rsid w:val="08964B56"/>
    <w:rsid w:val="089716ED"/>
    <w:rsid w:val="08971DC4"/>
    <w:rsid w:val="08986BC1"/>
    <w:rsid w:val="089A1F45"/>
    <w:rsid w:val="089B03BE"/>
    <w:rsid w:val="089B6610"/>
    <w:rsid w:val="089D4136"/>
    <w:rsid w:val="08A13C26"/>
    <w:rsid w:val="08A334E0"/>
    <w:rsid w:val="08A62C0B"/>
    <w:rsid w:val="08A65B8C"/>
    <w:rsid w:val="08AA59B2"/>
    <w:rsid w:val="08B236DB"/>
    <w:rsid w:val="08B66FA6"/>
    <w:rsid w:val="08B817AC"/>
    <w:rsid w:val="08C23B9D"/>
    <w:rsid w:val="08C24455"/>
    <w:rsid w:val="08C46110"/>
    <w:rsid w:val="08C46E0A"/>
    <w:rsid w:val="08C47915"/>
    <w:rsid w:val="08C56A9F"/>
    <w:rsid w:val="08C648F6"/>
    <w:rsid w:val="08CC4A1B"/>
    <w:rsid w:val="08CE42EF"/>
    <w:rsid w:val="08D00067"/>
    <w:rsid w:val="08D200D0"/>
    <w:rsid w:val="08D2574A"/>
    <w:rsid w:val="08D3254A"/>
    <w:rsid w:val="08DB2BFA"/>
    <w:rsid w:val="08DC0036"/>
    <w:rsid w:val="08DC4C5E"/>
    <w:rsid w:val="08DC70A2"/>
    <w:rsid w:val="08DD09D6"/>
    <w:rsid w:val="08DF02AB"/>
    <w:rsid w:val="08DF5C89"/>
    <w:rsid w:val="08E21B49"/>
    <w:rsid w:val="08E41D65"/>
    <w:rsid w:val="08EE7D90"/>
    <w:rsid w:val="08EF4AFC"/>
    <w:rsid w:val="08EF6C78"/>
    <w:rsid w:val="08F30F9E"/>
    <w:rsid w:val="08F428B3"/>
    <w:rsid w:val="08F62384"/>
    <w:rsid w:val="08FA50E4"/>
    <w:rsid w:val="08FE2171"/>
    <w:rsid w:val="08FE27C4"/>
    <w:rsid w:val="08FF094D"/>
    <w:rsid w:val="08FF6B9F"/>
    <w:rsid w:val="09020DFA"/>
    <w:rsid w:val="090221EB"/>
    <w:rsid w:val="090441B5"/>
    <w:rsid w:val="09047F72"/>
    <w:rsid w:val="09061898"/>
    <w:rsid w:val="09070D27"/>
    <w:rsid w:val="090715AF"/>
    <w:rsid w:val="09077647"/>
    <w:rsid w:val="090B0EC8"/>
    <w:rsid w:val="090C3C17"/>
    <w:rsid w:val="090E293E"/>
    <w:rsid w:val="090F7499"/>
    <w:rsid w:val="09101C07"/>
    <w:rsid w:val="09113B70"/>
    <w:rsid w:val="091361A6"/>
    <w:rsid w:val="09143CEF"/>
    <w:rsid w:val="091918B4"/>
    <w:rsid w:val="091A588A"/>
    <w:rsid w:val="091A6792"/>
    <w:rsid w:val="091A6C9B"/>
    <w:rsid w:val="091C3F4A"/>
    <w:rsid w:val="091D0DD3"/>
    <w:rsid w:val="091E384B"/>
    <w:rsid w:val="091F2D9D"/>
    <w:rsid w:val="0920407D"/>
    <w:rsid w:val="0922463B"/>
    <w:rsid w:val="09227CB1"/>
    <w:rsid w:val="0923007F"/>
    <w:rsid w:val="0923288D"/>
    <w:rsid w:val="092425F0"/>
    <w:rsid w:val="09293C1C"/>
    <w:rsid w:val="092A7C8A"/>
    <w:rsid w:val="092B4659"/>
    <w:rsid w:val="092D370C"/>
    <w:rsid w:val="092E1232"/>
    <w:rsid w:val="092E4D8E"/>
    <w:rsid w:val="092E642F"/>
    <w:rsid w:val="09300B06"/>
    <w:rsid w:val="09305CD0"/>
    <w:rsid w:val="09306D58"/>
    <w:rsid w:val="09324404"/>
    <w:rsid w:val="09334B9B"/>
    <w:rsid w:val="093630D0"/>
    <w:rsid w:val="09380C40"/>
    <w:rsid w:val="093A6304"/>
    <w:rsid w:val="093C74AB"/>
    <w:rsid w:val="09420839"/>
    <w:rsid w:val="09431DE8"/>
    <w:rsid w:val="094559F1"/>
    <w:rsid w:val="09460150"/>
    <w:rsid w:val="0946032A"/>
    <w:rsid w:val="094817DD"/>
    <w:rsid w:val="0953392A"/>
    <w:rsid w:val="0954778C"/>
    <w:rsid w:val="0955332F"/>
    <w:rsid w:val="095617CB"/>
    <w:rsid w:val="09570789"/>
    <w:rsid w:val="095962AF"/>
    <w:rsid w:val="095C21A6"/>
    <w:rsid w:val="095C7B4D"/>
    <w:rsid w:val="095D0158"/>
    <w:rsid w:val="0964482A"/>
    <w:rsid w:val="096864F2"/>
    <w:rsid w:val="09691401"/>
    <w:rsid w:val="096A04BC"/>
    <w:rsid w:val="096B5FE2"/>
    <w:rsid w:val="096E0EE2"/>
    <w:rsid w:val="0971418D"/>
    <w:rsid w:val="09776735"/>
    <w:rsid w:val="0978425B"/>
    <w:rsid w:val="097A5C71"/>
    <w:rsid w:val="097C1F9D"/>
    <w:rsid w:val="097D0913"/>
    <w:rsid w:val="097D1872"/>
    <w:rsid w:val="097E7AC3"/>
    <w:rsid w:val="097F1A8E"/>
    <w:rsid w:val="097F383C"/>
    <w:rsid w:val="09833B0C"/>
    <w:rsid w:val="098350DA"/>
    <w:rsid w:val="098362E0"/>
    <w:rsid w:val="09862E1C"/>
    <w:rsid w:val="09864BCA"/>
    <w:rsid w:val="0989613F"/>
    <w:rsid w:val="098B2DCE"/>
    <w:rsid w:val="099077F7"/>
    <w:rsid w:val="0994100B"/>
    <w:rsid w:val="099575C0"/>
    <w:rsid w:val="099C7837"/>
    <w:rsid w:val="099F7A3A"/>
    <w:rsid w:val="09A03EDE"/>
    <w:rsid w:val="09A0546C"/>
    <w:rsid w:val="09A11A04"/>
    <w:rsid w:val="09A17C56"/>
    <w:rsid w:val="09A46ABD"/>
    <w:rsid w:val="09A64DC8"/>
    <w:rsid w:val="09A760DD"/>
    <w:rsid w:val="09A80893"/>
    <w:rsid w:val="09A84B40"/>
    <w:rsid w:val="09AA6B0A"/>
    <w:rsid w:val="09AD0540"/>
    <w:rsid w:val="09AF207D"/>
    <w:rsid w:val="09AF294E"/>
    <w:rsid w:val="09B30424"/>
    <w:rsid w:val="09B637B7"/>
    <w:rsid w:val="09B730DA"/>
    <w:rsid w:val="09B77638"/>
    <w:rsid w:val="09B77984"/>
    <w:rsid w:val="09B94F9F"/>
    <w:rsid w:val="09B94FB6"/>
    <w:rsid w:val="09BF3DB7"/>
    <w:rsid w:val="09C1206D"/>
    <w:rsid w:val="09C53944"/>
    <w:rsid w:val="09C776A5"/>
    <w:rsid w:val="09C82F67"/>
    <w:rsid w:val="09C910AE"/>
    <w:rsid w:val="09CD42F4"/>
    <w:rsid w:val="09CE5BB1"/>
    <w:rsid w:val="09D516AE"/>
    <w:rsid w:val="09D640F0"/>
    <w:rsid w:val="09D724F3"/>
    <w:rsid w:val="09D74EF0"/>
    <w:rsid w:val="09D83A6D"/>
    <w:rsid w:val="09D9119E"/>
    <w:rsid w:val="09DB2BA2"/>
    <w:rsid w:val="09DE5788"/>
    <w:rsid w:val="09DF42DA"/>
    <w:rsid w:val="09E10F21"/>
    <w:rsid w:val="09E128FE"/>
    <w:rsid w:val="09E244F6"/>
    <w:rsid w:val="09E47668"/>
    <w:rsid w:val="09ED2DAF"/>
    <w:rsid w:val="09EF09C1"/>
    <w:rsid w:val="09EF1681"/>
    <w:rsid w:val="09F40BE1"/>
    <w:rsid w:val="09FC2AE2"/>
    <w:rsid w:val="09FE0C04"/>
    <w:rsid w:val="0A0106F5"/>
    <w:rsid w:val="0A026946"/>
    <w:rsid w:val="0A043E81"/>
    <w:rsid w:val="0A051F93"/>
    <w:rsid w:val="0A0525A8"/>
    <w:rsid w:val="0A097B82"/>
    <w:rsid w:val="0A0D52EB"/>
    <w:rsid w:val="0A0E1A0A"/>
    <w:rsid w:val="0A0F696E"/>
    <w:rsid w:val="0A136F96"/>
    <w:rsid w:val="0A14667A"/>
    <w:rsid w:val="0A171CC6"/>
    <w:rsid w:val="0A196653"/>
    <w:rsid w:val="0A1C5356"/>
    <w:rsid w:val="0A1E73F4"/>
    <w:rsid w:val="0A22681A"/>
    <w:rsid w:val="0A232419"/>
    <w:rsid w:val="0A2363B9"/>
    <w:rsid w:val="0A264B9C"/>
    <w:rsid w:val="0A266340"/>
    <w:rsid w:val="0A2763AD"/>
    <w:rsid w:val="0A296FCF"/>
    <w:rsid w:val="0A2B18EC"/>
    <w:rsid w:val="0A2C7499"/>
    <w:rsid w:val="0A2F5C60"/>
    <w:rsid w:val="0A301362"/>
    <w:rsid w:val="0A3263A7"/>
    <w:rsid w:val="0A333646"/>
    <w:rsid w:val="0A3579F1"/>
    <w:rsid w:val="0A374116"/>
    <w:rsid w:val="0A381A3F"/>
    <w:rsid w:val="0A382368"/>
    <w:rsid w:val="0A3A7C3C"/>
    <w:rsid w:val="0A3B3C06"/>
    <w:rsid w:val="0A404AFB"/>
    <w:rsid w:val="0A416A09"/>
    <w:rsid w:val="0A4A11CF"/>
    <w:rsid w:val="0A4B2253"/>
    <w:rsid w:val="0A4D6167"/>
    <w:rsid w:val="0A55032E"/>
    <w:rsid w:val="0A587E1D"/>
    <w:rsid w:val="0A5A1386"/>
    <w:rsid w:val="0A5B0825"/>
    <w:rsid w:val="0A5B0AFA"/>
    <w:rsid w:val="0A5E1708"/>
    <w:rsid w:val="0A606451"/>
    <w:rsid w:val="0A656ED5"/>
    <w:rsid w:val="0A6767AA"/>
    <w:rsid w:val="0A6D5ADC"/>
    <w:rsid w:val="0A6E3A46"/>
    <w:rsid w:val="0A6F1B02"/>
    <w:rsid w:val="0A71587A"/>
    <w:rsid w:val="0A716677"/>
    <w:rsid w:val="0A723C4B"/>
    <w:rsid w:val="0A726EFC"/>
    <w:rsid w:val="0A757080"/>
    <w:rsid w:val="0A7F7F97"/>
    <w:rsid w:val="0A806213"/>
    <w:rsid w:val="0A8117D8"/>
    <w:rsid w:val="0A820A57"/>
    <w:rsid w:val="0A8547AD"/>
    <w:rsid w:val="0A856C30"/>
    <w:rsid w:val="0A8772F3"/>
    <w:rsid w:val="0A884C87"/>
    <w:rsid w:val="0A8C3A1B"/>
    <w:rsid w:val="0A8E01DA"/>
    <w:rsid w:val="0A8F5D00"/>
    <w:rsid w:val="0A917CCA"/>
    <w:rsid w:val="0A95254D"/>
    <w:rsid w:val="0A99092D"/>
    <w:rsid w:val="0A9926DB"/>
    <w:rsid w:val="0A9B61A9"/>
    <w:rsid w:val="0A9C1BFA"/>
    <w:rsid w:val="0A9E7CF1"/>
    <w:rsid w:val="0AA55524"/>
    <w:rsid w:val="0AA7129C"/>
    <w:rsid w:val="0AB654F5"/>
    <w:rsid w:val="0ABA0FCF"/>
    <w:rsid w:val="0ABA2D7D"/>
    <w:rsid w:val="0ABA32A4"/>
    <w:rsid w:val="0ABA7B3B"/>
    <w:rsid w:val="0ABE2142"/>
    <w:rsid w:val="0AC012A3"/>
    <w:rsid w:val="0AC510A2"/>
    <w:rsid w:val="0AC63EAB"/>
    <w:rsid w:val="0ACE0286"/>
    <w:rsid w:val="0AD0339C"/>
    <w:rsid w:val="0ADA10BE"/>
    <w:rsid w:val="0ADD081A"/>
    <w:rsid w:val="0AE0655C"/>
    <w:rsid w:val="0AE1122C"/>
    <w:rsid w:val="0AE1296A"/>
    <w:rsid w:val="0AE222D4"/>
    <w:rsid w:val="0AEC1875"/>
    <w:rsid w:val="0AEE0C79"/>
    <w:rsid w:val="0AF02C43"/>
    <w:rsid w:val="0AF0634D"/>
    <w:rsid w:val="0AF53DB5"/>
    <w:rsid w:val="0AF73FD1"/>
    <w:rsid w:val="0AF8770F"/>
    <w:rsid w:val="0AFC1352"/>
    <w:rsid w:val="0AFD0C8E"/>
    <w:rsid w:val="0B0009AC"/>
    <w:rsid w:val="0B042881"/>
    <w:rsid w:val="0B0508D1"/>
    <w:rsid w:val="0B0653DE"/>
    <w:rsid w:val="0B0749AC"/>
    <w:rsid w:val="0B093D05"/>
    <w:rsid w:val="0B1000F2"/>
    <w:rsid w:val="0B100BEF"/>
    <w:rsid w:val="0B1366F3"/>
    <w:rsid w:val="0B1412DE"/>
    <w:rsid w:val="0B16053C"/>
    <w:rsid w:val="0B160EBA"/>
    <w:rsid w:val="0B1A1A6E"/>
    <w:rsid w:val="0B1A381C"/>
    <w:rsid w:val="0B1B7A70"/>
    <w:rsid w:val="0B1D155E"/>
    <w:rsid w:val="0B1F7D68"/>
    <w:rsid w:val="0B23544C"/>
    <w:rsid w:val="0B250AB1"/>
    <w:rsid w:val="0B2800A8"/>
    <w:rsid w:val="0B284469"/>
    <w:rsid w:val="0B2B77D7"/>
    <w:rsid w:val="0B2F2338"/>
    <w:rsid w:val="0B310B66"/>
    <w:rsid w:val="0B3112B7"/>
    <w:rsid w:val="0B3133D7"/>
    <w:rsid w:val="0B317E08"/>
    <w:rsid w:val="0B32314A"/>
    <w:rsid w:val="0B3351D8"/>
    <w:rsid w:val="0B344DE8"/>
    <w:rsid w:val="0B360443"/>
    <w:rsid w:val="0B380146"/>
    <w:rsid w:val="0B3F54E4"/>
    <w:rsid w:val="0B436330"/>
    <w:rsid w:val="0B440899"/>
    <w:rsid w:val="0B444D3D"/>
    <w:rsid w:val="0B4644D6"/>
    <w:rsid w:val="0B48482D"/>
    <w:rsid w:val="0B4936C4"/>
    <w:rsid w:val="0B494101"/>
    <w:rsid w:val="0B4B3EFD"/>
    <w:rsid w:val="0B500941"/>
    <w:rsid w:val="0B550251"/>
    <w:rsid w:val="0B5F1B77"/>
    <w:rsid w:val="0B61144B"/>
    <w:rsid w:val="0B611852"/>
    <w:rsid w:val="0B61763F"/>
    <w:rsid w:val="0B640D2B"/>
    <w:rsid w:val="0B666A61"/>
    <w:rsid w:val="0B6A3512"/>
    <w:rsid w:val="0B6C7DF0"/>
    <w:rsid w:val="0B6D4294"/>
    <w:rsid w:val="0B6F0DB6"/>
    <w:rsid w:val="0B701C5E"/>
    <w:rsid w:val="0B703B78"/>
    <w:rsid w:val="0B703C02"/>
    <w:rsid w:val="0B711972"/>
    <w:rsid w:val="0B7849E6"/>
    <w:rsid w:val="0B811AED"/>
    <w:rsid w:val="0B85559E"/>
    <w:rsid w:val="0B891C87"/>
    <w:rsid w:val="0B892750"/>
    <w:rsid w:val="0B8B296C"/>
    <w:rsid w:val="0B8B7CCB"/>
    <w:rsid w:val="0B8D0492"/>
    <w:rsid w:val="0B9102C0"/>
    <w:rsid w:val="0B9624EA"/>
    <w:rsid w:val="0B966523"/>
    <w:rsid w:val="0B9A6334"/>
    <w:rsid w:val="0B9C1DAC"/>
    <w:rsid w:val="0B9E7886"/>
    <w:rsid w:val="0BA04D77"/>
    <w:rsid w:val="0BA175AA"/>
    <w:rsid w:val="0BA96403"/>
    <w:rsid w:val="0BAA1044"/>
    <w:rsid w:val="0BAB0918"/>
    <w:rsid w:val="0BAC3C0F"/>
    <w:rsid w:val="0BB41CD0"/>
    <w:rsid w:val="0BB630C9"/>
    <w:rsid w:val="0BB73E8E"/>
    <w:rsid w:val="0BBF669C"/>
    <w:rsid w:val="0BC47C2C"/>
    <w:rsid w:val="0BC65752"/>
    <w:rsid w:val="0BC83278"/>
    <w:rsid w:val="0BCC2389"/>
    <w:rsid w:val="0BCD4D32"/>
    <w:rsid w:val="0BD208A4"/>
    <w:rsid w:val="0BD240F7"/>
    <w:rsid w:val="0BD26113"/>
    <w:rsid w:val="0BD40D27"/>
    <w:rsid w:val="0BD44493"/>
    <w:rsid w:val="0BD460C1"/>
    <w:rsid w:val="0BD641F6"/>
    <w:rsid w:val="0BD713B8"/>
    <w:rsid w:val="0BD87A3C"/>
    <w:rsid w:val="0BE0738E"/>
    <w:rsid w:val="0BE107DE"/>
    <w:rsid w:val="0BE45BD8"/>
    <w:rsid w:val="0BE64F96"/>
    <w:rsid w:val="0BEC2B99"/>
    <w:rsid w:val="0BEC77EE"/>
    <w:rsid w:val="0BEF2A51"/>
    <w:rsid w:val="0BF101E6"/>
    <w:rsid w:val="0BF12DF7"/>
    <w:rsid w:val="0BF13228"/>
    <w:rsid w:val="0BF24799"/>
    <w:rsid w:val="0BF30FFB"/>
    <w:rsid w:val="0BF447FF"/>
    <w:rsid w:val="0BFD5B70"/>
    <w:rsid w:val="0C0535F5"/>
    <w:rsid w:val="0C095E76"/>
    <w:rsid w:val="0C0A7063"/>
    <w:rsid w:val="0C0C6D3C"/>
    <w:rsid w:val="0C0D258F"/>
    <w:rsid w:val="0C113DF5"/>
    <w:rsid w:val="0C120997"/>
    <w:rsid w:val="0C124E23"/>
    <w:rsid w:val="0C154014"/>
    <w:rsid w:val="0C1747E3"/>
    <w:rsid w:val="0C176AF6"/>
    <w:rsid w:val="0C177D5B"/>
    <w:rsid w:val="0C197F77"/>
    <w:rsid w:val="0C1B3CF0"/>
    <w:rsid w:val="0C1B451D"/>
    <w:rsid w:val="0C1B5A9E"/>
    <w:rsid w:val="0C1C1F80"/>
    <w:rsid w:val="0C1E733C"/>
    <w:rsid w:val="0C272694"/>
    <w:rsid w:val="0C2974B8"/>
    <w:rsid w:val="0C2A735A"/>
    <w:rsid w:val="0C321039"/>
    <w:rsid w:val="0C34090D"/>
    <w:rsid w:val="0C3506F9"/>
    <w:rsid w:val="0C380E41"/>
    <w:rsid w:val="0C3923C8"/>
    <w:rsid w:val="0C3B6140"/>
    <w:rsid w:val="0C3D1EB8"/>
    <w:rsid w:val="0C3E51B5"/>
    <w:rsid w:val="0C4274CE"/>
    <w:rsid w:val="0C433405"/>
    <w:rsid w:val="0C454B32"/>
    <w:rsid w:val="0C47234A"/>
    <w:rsid w:val="0C4B5487"/>
    <w:rsid w:val="0C4C3EA9"/>
    <w:rsid w:val="0C4C4380"/>
    <w:rsid w:val="0C4D30F2"/>
    <w:rsid w:val="0C4E4D41"/>
    <w:rsid w:val="0C50615C"/>
    <w:rsid w:val="0C513FF3"/>
    <w:rsid w:val="0C5425DE"/>
    <w:rsid w:val="0C57776C"/>
    <w:rsid w:val="0C583D88"/>
    <w:rsid w:val="0C586A60"/>
    <w:rsid w:val="0C5D1BAD"/>
    <w:rsid w:val="0C606CCA"/>
    <w:rsid w:val="0C61547A"/>
    <w:rsid w:val="0C615675"/>
    <w:rsid w:val="0C6311F3"/>
    <w:rsid w:val="0C6805B7"/>
    <w:rsid w:val="0C6C454B"/>
    <w:rsid w:val="0C6F4365"/>
    <w:rsid w:val="0C701C23"/>
    <w:rsid w:val="0C704717"/>
    <w:rsid w:val="0C7078E1"/>
    <w:rsid w:val="0C75623D"/>
    <w:rsid w:val="0C760F26"/>
    <w:rsid w:val="0C775615"/>
    <w:rsid w:val="0C7927C4"/>
    <w:rsid w:val="0C831895"/>
    <w:rsid w:val="0C857F09"/>
    <w:rsid w:val="0C8E2094"/>
    <w:rsid w:val="0C901D25"/>
    <w:rsid w:val="0C945850"/>
    <w:rsid w:val="0C97702A"/>
    <w:rsid w:val="0C992E66"/>
    <w:rsid w:val="0C9B3C30"/>
    <w:rsid w:val="0C9C460A"/>
    <w:rsid w:val="0C9D747A"/>
    <w:rsid w:val="0CA10F35"/>
    <w:rsid w:val="0CA6363B"/>
    <w:rsid w:val="0CAF268A"/>
    <w:rsid w:val="0CAF6729"/>
    <w:rsid w:val="0CAF7FFC"/>
    <w:rsid w:val="0CB07925"/>
    <w:rsid w:val="0CB3217A"/>
    <w:rsid w:val="0CB91AD0"/>
    <w:rsid w:val="0CBA29F7"/>
    <w:rsid w:val="0CBE28CD"/>
    <w:rsid w:val="0CBE467B"/>
    <w:rsid w:val="0CBF0A93"/>
    <w:rsid w:val="0CC132CB"/>
    <w:rsid w:val="0CCA77F0"/>
    <w:rsid w:val="0CCC46E5"/>
    <w:rsid w:val="0CD724B2"/>
    <w:rsid w:val="0CD81BE1"/>
    <w:rsid w:val="0CD90EE9"/>
    <w:rsid w:val="0CDB2461"/>
    <w:rsid w:val="0CE2480D"/>
    <w:rsid w:val="0CE42333"/>
    <w:rsid w:val="0CE540EE"/>
    <w:rsid w:val="0CE700AE"/>
    <w:rsid w:val="0CE958B4"/>
    <w:rsid w:val="0CED22CE"/>
    <w:rsid w:val="0CF06F2A"/>
    <w:rsid w:val="0CF15714"/>
    <w:rsid w:val="0CF205B8"/>
    <w:rsid w:val="0CF22B13"/>
    <w:rsid w:val="0CF25247"/>
    <w:rsid w:val="0CF319D2"/>
    <w:rsid w:val="0CF707BC"/>
    <w:rsid w:val="0CF859E7"/>
    <w:rsid w:val="0CFE2CC9"/>
    <w:rsid w:val="0CFF0F1B"/>
    <w:rsid w:val="0D0121CB"/>
    <w:rsid w:val="0D0522AA"/>
    <w:rsid w:val="0D075AA7"/>
    <w:rsid w:val="0D141031"/>
    <w:rsid w:val="0D1500CF"/>
    <w:rsid w:val="0D173582"/>
    <w:rsid w:val="0D1752EB"/>
    <w:rsid w:val="0D1B50FA"/>
    <w:rsid w:val="0D2070E4"/>
    <w:rsid w:val="0D210E41"/>
    <w:rsid w:val="0D214773"/>
    <w:rsid w:val="0D242020"/>
    <w:rsid w:val="0D272220"/>
    <w:rsid w:val="0D2770C9"/>
    <w:rsid w:val="0D295F98"/>
    <w:rsid w:val="0D2B4B72"/>
    <w:rsid w:val="0D2C3CDA"/>
    <w:rsid w:val="0D2E7A52"/>
    <w:rsid w:val="0D3037CB"/>
    <w:rsid w:val="0D35493D"/>
    <w:rsid w:val="0D3832B6"/>
    <w:rsid w:val="0D38442D"/>
    <w:rsid w:val="0D3F5DE7"/>
    <w:rsid w:val="0D414358"/>
    <w:rsid w:val="0D453BD6"/>
    <w:rsid w:val="0D4903E8"/>
    <w:rsid w:val="0D4B23B2"/>
    <w:rsid w:val="0D553231"/>
    <w:rsid w:val="0D5648B3"/>
    <w:rsid w:val="0D570D57"/>
    <w:rsid w:val="0D576FA9"/>
    <w:rsid w:val="0D5A43A4"/>
    <w:rsid w:val="0D5D6545"/>
    <w:rsid w:val="0D5D774E"/>
    <w:rsid w:val="0D6214AA"/>
    <w:rsid w:val="0D660F9A"/>
    <w:rsid w:val="0D6945E7"/>
    <w:rsid w:val="0D6B65B1"/>
    <w:rsid w:val="0D6C5EE5"/>
    <w:rsid w:val="0D6D52EE"/>
    <w:rsid w:val="0D6E7E4F"/>
    <w:rsid w:val="0D6F3395"/>
    <w:rsid w:val="0D6F6AF0"/>
    <w:rsid w:val="0D740158"/>
    <w:rsid w:val="0D786450"/>
    <w:rsid w:val="0D791B45"/>
    <w:rsid w:val="0D7A1104"/>
    <w:rsid w:val="0D7A67F4"/>
    <w:rsid w:val="0D7C5FA9"/>
    <w:rsid w:val="0D7F205C"/>
    <w:rsid w:val="0D802DE8"/>
    <w:rsid w:val="0D804BE4"/>
    <w:rsid w:val="0D87623D"/>
    <w:rsid w:val="0D883A97"/>
    <w:rsid w:val="0D8A0CD6"/>
    <w:rsid w:val="0D8B151B"/>
    <w:rsid w:val="0D8B6C53"/>
    <w:rsid w:val="0D904677"/>
    <w:rsid w:val="0D9060DD"/>
    <w:rsid w:val="0D9317BE"/>
    <w:rsid w:val="0D9553DC"/>
    <w:rsid w:val="0D966794"/>
    <w:rsid w:val="0D9941F9"/>
    <w:rsid w:val="0D9C7D07"/>
    <w:rsid w:val="0D9F625A"/>
    <w:rsid w:val="0DA21337"/>
    <w:rsid w:val="0DA4444E"/>
    <w:rsid w:val="0DA769D6"/>
    <w:rsid w:val="0DA92C0A"/>
    <w:rsid w:val="0DAD0977"/>
    <w:rsid w:val="0DAE6DA5"/>
    <w:rsid w:val="0DAF62E1"/>
    <w:rsid w:val="0DB077E4"/>
    <w:rsid w:val="0DB412B3"/>
    <w:rsid w:val="0DB461AA"/>
    <w:rsid w:val="0DB717F6"/>
    <w:rsid w:val="0DB735A4"/>
    <w:rsid w:val="0DB77A48"/>
    <w:rsid w:val="0DB974B0"/>
    <w:rsid w:val="0DBD44CA"/>
    <w:rsid w:val="0DBE40BA"/>
    <w:rsid w:val="0DC14423"/>
    <w:rsid w:val="0DC254EA"/>
    <w:rsid w:val="0DC3473D"/>
    <w:rsid w:val="0DC363ED"/>
    <w:rsid w:val="0DC45CC1"/>
    <w:rsid w:val="0DC61A39"/>
    <w:rsid w:val="0DC83A03"/>
    <w:rsid w:val="0DCA5C92"/>
    <w:rsid w:val="0DCB34F3"/>
    <w:rsid w:val="0DD26630"/>
    <w:rsid w:val="0DD31932"/>
    <w:rsid w:val="0DD35148"/>
    <w:rsid w:val="0DD369DC"/>
    <w:rsid w:val="0DDA07ED"/>
    <w:rsid w:val="0DDA1988"/>
    <w:rsid w:val="0DDD36DA"/>
    <w:rsid w:val="0DDE3227"/>
    <w:rsid w:val="0DDF2AFB"/>
    <w:rsid w:val="0DE10621"/>
    <w:rsid w:val="0DE620DB"/>
    <w:rsid w:val="0DE93979"/>
    <w:rsid w:val="0DEB5944"/>
    <w:rsid w:val="0DEB76F2"/>
    <w:rsid w:val="0DF02F5A"/>
    <w:rsid w:val="0DF06BAE"/>
    <w:rsid w:val="0DF465A6"/>
    <w:rsid w:val="0DF90060"/>
    <w:rsid w:val="0DFA0823"/>
    <w:rsid w:val="0DFB64F3"/>
    <w:rsid w:val="0DFC1FFF"/>
    <w:rsid w:val="0DFE574F"/>
    <w:rsid w:val="0E06410C"/>
    <w:rsid w:val="0E0662D9"/>
    <w:rsid w:val="0E0B1B42"/>
    <w:rsid w:val="0E0C044D"/>
    <w:rsid w:val="0E0E4AD3"/>
    <w:rsid w:val="0E0F33E0"/>
    <w:rsid w:val="0E101D6A"/>
    <w:rsid w:val="0E1567CA"/>
    <w:rsid w:val="0E1E68C5"/>
    <w:rsid w:val="0E246509"/>
    <w:rsid w:val="0E26697C"/>
    <w:rsid w:val="0E2D1AB8"/>
    <w:rsid w:val="0E372937"/>
    <w:rsid w:val="0E395D20"/>
    <w:rsid w:val="0E3966AF"/>
    <w:rsid w:val="0E3D648A"/>
    <w:rsid w:val="0E484B44"/>
    <w:rsid w:val="0E490DAF"/>
    <w:rsid w:val="0E497933"/>
    <w:rsid w:val="0E4B35A4"/>
    <w:rsid w:val="0E50560A"/>
    <w:rsid w:val="0E573BF3"/>
    <w:rsid w:val="0E5928AD"/>
    <w:rsid w:val="0E593927"/>
    <w:rsid w:val="0E5C414B"/>
    <w:rsid w:val="0E5F788B"/>
    <w:rsid w:val="0E601E8E"/>
    <w:rsid w:val="0E605767"/>
    <w:rsid w:val="0E62504B"/>
    <w:rsid w:val="0E6360AE"/>
    <w:rsid w:val="0E671419"/>
    <w:rsid w:val="0E6C7D9F"/>
    <w:rsid w:val="0E727929"/>
    <w:rsid w:val="0E741495"/>
    <w:rsid w:val="0E7B0220"/>
    <w:rsid w:val="0E7F132A"/>
    <w:rsid w:val="0E824BBE"/>
    <w:rsid w:val="0E83792A"/>
    <w:rsid w:val="0E864BBA"/>
    <w:rsid w:val="0E87741A"/>
    <w:rsid w:val="0E8A0CB9"/>
    <w:rsid w:val="0E8B24D0"/>
    <w:rsid w:val="0E8C446E"/>
    <w:rsid w:val="0E8D69FB"/>
    <w:rsid w:val="0E903DF5"/>
    <w:rsid w:val="0E913856"/>
    <w:rsid w:val="0E997646"/>
    <w:rsid w:val="0E9D70C0"/>
    <w:rsid w:val="0E9F3DF8"/>
    <w:rsid w:val="0EA0244A"/>
    <w:rsid w:val="0EA877A3"/>
    <w:rsid w:val="0EAC0C2F"/>
    <w:rsid w:val="0EAC50D3"/>
    <w:rsid w:val="0EAD0CA6"/>
    <w:rsid w:val="0EAD731F"/>
    <w:rsid w:val="0EAE274B"/>
    <w:rsid w:val="0EAF24CD"/>
    <w:rsid w:val="0EAF6844"/>
    <w:rsid w:val="0EB36461"/>
    <w:rsid w:val="0EBB2DAD"/>
    <w:rsid w:val="0EBB3568"/>
    <w:rsid w:val="0EC07C41"/>
    <w:rsid w:val="0EC3241C"/>
    <w:rsid w:val="0EC45B1A"/>
    <w:rsid w:val="0EC817E1"/>
    <w:rsid w:val="0EC822C9"/>
    <w:rsid w:val="0EC85224"/>
    <w:rsid w:val="0ECA4B48"/>
    <w:rsid w:val="0ECB2A61"/>
    <w:rsid w:val="0ECE5763"/>
    <w:rsid w:val="0ED02F14"/>
    <w:rsid w:val="0ED4462A"/>
    <w:rsid w:val="0ED80288"/>
    <w:rsid w:val="0EDB32C2"/>
    <w:rsid w:val="0EDC162F"/>
    <w:rsid w:val="0EDD34DE"/>
    <w:rsid w:val="0EDD528C"/>
    <w:rsid w:val="0EE0705A"/>
    <w:rsid w:val="0EE27C4B"/>
    <w:rsid w:val="0EE52393"/>
    <w:rsid w:val="0EE86C1C"/>
    <w:rsid w:val="0EE946B6"/>
    <w:rsid w:val="0EEB74B8"/>
    <w:rsid w:val="0EEC54CF"/>
    <w:rsid w:val="0EF63DBF"/>
    <w:rsid w:val="0EF80C90"/>
    <w:rsid w:val="0EF96B51"/>
    <w:rsid w:val="0EFA2346"/>
    <w:rsid w:val="0EFB1BB6"/>
    <w:rsid w:val="0EFC4554"/>
    <w:rsid w:val="0EFE2DC1"/>
    <w:rsid w:val="0F0376B4"/>
    <w:rsid w:val="0F066A07"/>
    <w:rsid w:val="0F087E2F"/>
    <w:rsid w:val="0F0A3BA7"/>
    <w:rsid w:val="0F12144F"/>
    <w:rsid w:val="0F17581B"/>
    <w:rsid w:val="0F213C2C"/>
    <w:rsid w:val="0F21415D"/>
    <w:rsid w:val="0F274759"/>
    <w:rsid w:val="0F2904D1"/>
    <w:rsid w:val="0F2A1C61"/>
    <w:rsid w:val="0F2A52CA"/>
    <w:rsid w:val="0F2A5FF8"/>
    <w:rsid w:val="0F2C69E9"/>
    <w:rsid w:val="0F2D6E8A"/>
    <w:rsid w:val="0F306C20"/>
    <w:rsid w:val="0F334030"/>
    <w:rsid w:val="0F3375A2"/>
    <w:rsid w:val="0F352EF7"/>
    <w:rsid w:val="0F364782"/>
    <w:rsid w:val="0F3A0931"/>
    <w:rsid w:val="0F3B0205"/>
    <w:rsid w:val="0F451083"/>
    <w:rsid w:val="0F467583"/>
    <w:rsid w:val="0F473373"/>
    <w:rsid w:val="0F482F54"/>
    <w:rsid w:val="0F485BC2"/>
    <w:rsid w:val="0F4C0664"/>
    <w:rsid w:val="0F4C6A04"/>
    <w:rsid w:val="0F5340F4"/>
    <w:rsid w:val="0F53554E"/>
    <w:rsid w:val="0F56503F"/>
    <w:rsid w:val="0F58671C"/>
    <w:rsid w:val="0F5965E2"/>
    <w:rsid w:val="0F5E4E75"/>
    <w:rsid w:val="0F627C5C"/>
    <w:rsid w:val="0F640D73"/>
    <w:rsid w:val="0F6442B3"/>
    <w:rsid w:val="0F666574"/>
    <w:rsid w:val="0F6A70A4"/>
    <w:rsid w:val="0F6C4862"/>
    <w:rsid w:val="0F6E00F9"/>
    <w:rsid w:val="0F7368A8"/>
    <w:rsid w:val="0F7442D0"/>
    <w:rsid w:val="0F751969"/>
    <w:rsid w:val="0F7C190B"/>
    <w:rsid w:val="0F7C3C77"/>
    <w:rsid w:val="0F7F00F1"/>
    <w:rsid w:val="0F80752D"/>
    <w:rsid w:val="0F81239C"/>
    <w:rsid w:val="0F8266D9"/>
    <w:rsid w:val="0F84073C"/>
    <w:rsid w:val="0F8751F8"/>
    <w:rsid w:val="0F8E2A2A"/>
    <w:rsid w:val="0F8E47D8"/>
    <w:rsid w:val="0F8E6586"/>
    <w:rsid w:val="0F8F5FCB"/>
    <w:rsid w:val="0F917E25"/>
    <w:rsid w:val="0F932BA2"/>
    <w:rsid w:val="0F9477AA"/>
    <w:rsid w:val="0F955B67"/>
    <w:rsid w:val="0F965C50"/>
    <w:rsid w:val="0F9A4F2B"/>
    <w:rsid w:val="0F9C3B82"/>
    <w:rsid w:val="0F9E6A44"/>
    <w:rsid w:val="0FA2213C"/>
    <w:rsid w:val="0FA405E3"/>
    <w:rsid w:val="0FA47770"/>
    <w:rsid w:val="0FA57836"/>
    <w:rsid w:val="0FA57C09"/>
    <w:rsid w:val="0FA61182"/>
    <w:rsid w:val="0FA61B22"/>
    <w:rsid w:val="0FAA3E38"/>
    <w:rsid w:val="0FB12275"/>
    <w:rsid w:val="0FBA55CD"/>
    <w:rsid w:val="0FBB0A77"/>
    <w:rsid w:val="0FBC0859"/>
    <w:rsid w:val="0FBC7598"/>
    <w:rsid w:val="0FBD6E6C"/>
    <w:rsid w:val="0FBF2100"/>
    <w:rsid w:val="0FC55D71"/>
    <w:rsid w:val="0FC71A98"/>
    <w:rsid w:val="0FCB1589"/>
    <w:rsid w:val="0FCD50F7"/>
    <w:rsid w:val="0FD04D59"/>
    <w:rsid w:val="0FD16A4E"/>
    <w:rsid w:val="0FD2175C"/>
    <w:rsid w:val="0FD31F02"/>
    <w:rsid w:val="0FD52BDC"/>
    <w:rsid w:val="0FD82B8D"/>
    <w:rsid w:val="0FDA7A1E"/>
    <w:rsid w:val="0FDC02B9"/>
    <w:rsid w:val="0FDC5873"/>
    <w:rsid w:val="0FDD2A1C"/>
    <w:rsid w:val="0FDD306A"/>
    <w:rsid w:val="0FE16044"/>
    <w:rsid w:val="0FE22363"/>
    <w:rsid w:val="0FE33D0C"/>
    <w:rsid w:val="0FE53229"/>
    <w:rsid w:val="0FE67B78"/>
    <w:rsid w:val="0FF01672"/>
    <w:rsid w:val="0FF67F08"/>
    <w:rsid w:val="0FF97CCE"/>
    <w:rsid w:val="0FF97D9D"/>
    <w:rsid w:val="0FFE2582"/>
    <w:rsid w:val="10014FAA"/>
    <w:rsid w:val="1009310A"/>
    <w:rsid w:val="100E76C7"/>
    <w:rsid w:val="10100391"/>
    <w:rsid w:val="10142F30"/>
    <w:rsid w:val="10150A56"/>
    <w:rsid w:val="101528F4"/>
    <w:rsid w:val="101747CE"/>
    <w:rsid w:val="101957F6"/>
    <w:rsid w:val="101A678E"/>
    <w:rsid w:val="101E510B"/>
    <w:rsid w:val="10204EFF"/>
    <w:rsid w:val="102173FB"/>
    <w:rsid w:val="10260EB5"/>
    <w:rsid w:val="102874AB"/>
    <w:rsid w:val="10294501"/>
    <w:rsid w:val="102A27C9"/>
    <w:rsid w:val="102B2256"/>
    <w:rsid w:val="102B775E"/>
    <w:rsid w:val="10323598"/>
    <w:rsid w:val="10392996"/>
    <w:rsid w:val="10394744"/>
    <w:rsid w:val="103A670E"/>
    <w:rsid w:val="103B2A40"/>
    <w:rsid w:val="10447CF8"/>
    <w:rsid w:val="104A3256"/>
    <w:rsid w:val="104A4BA3"/>
    <w:rsid w:val="104E5D16"/>
    <w:rsid w:val="10525806"/>
    <w:rsid w:val="10562A83"/>
    <w:rsid w:val="10563D26"/>
    <w:rsid w:val="105A6708"/>
    <w:rsid w:val="105B0B5E"/>
    <w:rsid w:val="1060759B"/>
    <w:rsid w:val="10615A49"/>
    <w:rsid w:val="106519DD"/>
    <w:rsid w:val="106D2B6E"/>
    <w:rsid w:val="106F0166"/>
    <w:rsid w:val="107400BB"/>
    <w:rsid w:val="10742F9C"/>
    <w:rsid w:val="10831E63"/>
    <w:rsid w:val="10855BDB"/>
    <w:rsid w:val="108871F8"/>
    <w:rsid w:val="10897D96"/>
    <w:rsid w:val="108B64E3"/>
    <w:rsid w:val="108F4B64"/>
    <w:rsid w:val="108F6A5A"/>
    <w:rsid w:val="10936117"/>
    <w:rsid w:val="10943002"/>
    <w:rsid w:val="109531FC"/>
    <w:rsid w:val="10953945"/>
    <w:rsid w:val="1095641A"/>
    <w:rsid w:val="10993885"/>
    <w:rsid w:val="109C2F25"/>
    <w:rsid w:val="109F6B16"/>
    <w:rsid w:val="10A03AEF"/>
    <w:rsid w:val="10A51DDA"/>
    <w:rsid w:val="10A707D2"/>
    <w:rsid w:val="10AA21DC"/>
    <w:rsid w:val="10AC19A7"/>
    <w:rsid w:val="10B22749"/>
    <w:rsid w:val="10B822C3"/>
    <w:rsid w:val="10B84D24"/>
    <w:rsid w:val="10B976CD"/>
    <w:rsid w:val="10BC6CAD"/>
    <w:rsid w:val="10C15A65"/>
    <w:rsid w:val="10C2668E"/>
    <w:rsid w:val="10C64683"/>
    <w:rsid w:val="10C94ACA"/>
    <w:rsid w:val="10CC3087"/>
    <w:rsid w:val="10CD61F7"/>
    <w:rsid w:val="10CF32FA"/>
    <w:rsid w:val="10CF50A9"/>
    <w:rsid w:val="10D3115B"/>
    <w:rsid w:val="10D316F3"/>
    <w:rsid w:val="10D34B99"/>
    <w:rsid w:val="10D4204A"/>
    <w:rsid w:val="10D46C30"/>
    <w:rsid w:val="10D64689"/>
    <w:rsid w:val="10D75D0B"/>
    <w:rsid w:val="10D95F27"/>
    <w:rsid w:val="10DA2E7C"/>
    <w:rsid w:val="10DB3A4D"/>
    <w:rsid w:val="10DD53D1"/>
    <w:rsid w:val="10DD77C5"/>
    <w:rsid w:val="10F15E25"/>
    <w:rsid w:val="10F16DCD"/>
    <w:rsid w:val="10FA5D19"/>
    <w:rsid w:val="10FC23FC"/>
    <w:rsid w:val="10FC434A"/>
    <w:rsid w:val="10FC5772"/>
    <w:rsid w:val="1102390F"/>
    <w:rsid w:val="11025D25"/>
    <w:rsid w:val="11032FA4"/>
    <w:rsid w:val="11040436"/>
    <w:rsid w:val="11043FBA"/>
    <w:rsid w:val="11074842"/>
    <w:rsid w:val="110E3732"/>
    <w:rsid w:val="11104F59"/>
    <w:rsid w:val="11124F95"/>
    <w:rsid w:val="11151AAF"/>
    <w:rsid w:val="111520AA"/>
    <w:rsid w:val="1115264F"/>
    <w:rsid w:val="11162CD7"/>
    <w:rsid w:val="11166833"/>
    <w:rsid w:val="1126226E"/>
    <w:rsid w:val="11274EE5"/>
    <w:rsid w:val="112B2128"/>
    <w:rsid w:val="11302747"/>
    <w:rsid w:val="113373E5"/>
    <w:rsid w:val="11351AFD"/>
    <w:rsid w:val="113639DF"/>
    <w:rsid w:val="11380EA0"/>
    <w:rsid w:val="113D185A"/>
    <w:rsid w:val="11403E37"/>
    <w:rsid w:val="114127B4"/>
    <w:rsid w:val="11450CA3"/>
    <w:rsid w:val="11452442"/>
    <w:rsid w:val="11472E91"/>
    <w:rsid w:val="11493B84"/>
    <w:rsid w:val="114A2981"/>
    <w:rsid w:val="114A32C1"/>
    <w:rsid w:val="114A3997"/>
    <w:rsid w:val="114C73CD"/>
    <w:rsid w:val="114D2FE9"/>
    <w:rsid w:val="11535CDA"/>
    <w:rsid w:val="11611AC6"/>
    <w:rsid w:val="11621A79"/>
    <w:rsid w:val="11664487"/>
    <w:rsid w:val="11677F10"/>
    <w:rsid w:val="116972AB"/>
    <w:rsid w:val="116A41D2"/>
    <w:rsid w:val="116B32AF"/>
    <w:rsid w:val="116F4139"/>
    <w:rsid w:val="11742234"/>
    <w:rsid w:val="11755C50"/>
    <w:rsid w:val="11760116"/>
    <w:rsid w:val="117F6ACF"/>
    <w:rsid w:val="118063A3"/>
    <w:rsid w:val="11813E2C"/>
    <w:rsid w:val="11875983"/>
    <w:rsid w:val="118916FB"/>
    <w:rsid w:val="118E3067"/>
    <w:rsid w:val="119046DF"/>
    <w:rsid w:val="11916282"/>
    <w:rsid w:val="119360D6"/>
    <w:rsid w:val="11965762"/>
    <w:rsid w:val="119B136A"/>
    <w:rsid w:val="119E3EEC"/>
    <w:rsid w:val="119F3152"/>
    <w:rsid w:val="11A01D14"/>
    <w:rsid w:val="11A35E37"/>
    <w:rsid w:val="11AB305F"/>
    <w:rsid w:val="11AD6755"/>
    <w:rsid w:val="11B04EDA"/>
    <w:rsid w:val="11B10BF0"/>
    <w:rsid w:val="11B36778"/>
    <w:rsid w:val="11B429A9"/>
    <w:rsid w:val="11B60016"/>
    <w:rsid w:val="11C42733"/>
    <w:rsid w:val="11C6025A"/>
    <w:rsid w:val="11C64F77"/>
    <w:rsid w:val="11C95F9C"/>
    <w:rsid w:val="11C96CDB"/>
    <w:rsid w:val="11CA3C1A"/>
    <w:rsid w:val="11CC0BDA"/>
    <w:rsid w:val="11CF0E46"/>
    <w:rsid w:val="11D54941"/>
    <w:rsid w:val="11D8296A"/>
    <w:rsid w:val="11D861DF"/>
    <w:rsid w:val="11D87F8D"/>
    <w:rsid w:val="11DA3D05"/>
    <w:rsid w:val="11DA543C"/>
    <w:rsid w:val="11DC5CCF"/>
    <w:rsid w:val="11DF131B"/>
    <w:rsid w:val="11E608FC"/>
    <w:rsid w:val="11E76422"/>
    <w:rsid w:val="11E86C12"/>
    <w:rsid w:val="11EA5308"/>
    <w:rsid w:val="11EE3E41"/>
    <w:rsid w:val="11F27423"/>
    <w:rsid w:val="11F320DD"/>
    <w:rsid w:val="11F42AB7"/>
    <w:rsid w:val="11F612D3"/>
    <w:rsid w:val="1202325C"/>
    <w:rsid w:val="120268D5"/>
    <w:rsid w:val="12041DE8"/>
    <w:rsid w:val="12042B30"/>
    <w:rsid w:val="12046F80"/>
    <w:rsid w:val="1206262D"/>
    <w:rsid w:val="120627E3"/>
    <w:rsid w:val="12071515"/>
    <w:rsid w:val="120D5E88"/>
    <w:rsid w:val="120E1C01"/>
    <w:rsid w:val="12121331"/>
    <w:rsid w:val="12130FC5"/>
    <w:rsid w:val="121511E1"/>
    <w:rsid w:val="121A6D18"/>
    <w:rsid w:val="121F04D7"/>
    <w:rsid w:val="121F5BBC"/>
    <w:rsid w:val="12260CF8"/>
    <w:rsid w:val="1226519C"/>
    <w:rsid w:val="1227409C"/>
    <w:rsid w:val="122B037F"/>
    <w:rsid w:val="122D2087"/>
    <w:rsid w:val="122D652B"/>
    <w:rsid w:val="12371157"/>
    <w:rsid w:val="12372F05"/>
    <w:rsid w:val="123C49C0"/>
    <w:rsid w:val="123E1747"/>
    <w:rsid w:val="123E3CEF"/>
    <w:rsid w:val="123F000C"/>
    <w:rsid w:val="123F1DBA"/>
    <w:rsid w:val="123F4FE3"/>
    <w:rsid w:val="12443874"/>
    <w:rsid w:val="12445622"/>
    <w:rsid w:val="12463741"/>
    <w:rsid w:val="12464A11"/>
    <w:rsid w:val="1247556E"/>
    <w:rsid w:val="124D0AE6"/>
    <w:rsid w:val="124D2729"/>
    <w:rsid w:val="1250094E"/>
    <w:rsid w:val="12514532"/>
    <w:rsid w:val="12535865"/>
    <w:rsid w:val="125A2296"/>
    <w:rsid w:val="125E00D9"/>
    <w:rsid w:val="12617F82"/>
    <w:rsid w:val="1262695E"/>
    <w:rsid w:val="126314FB"/>
    <w:rsid w:val="12652B38"/>
    <w:rsid w:val="126C05B9"/>
    <w:rsid w:val="126F53B1"/>
    <w:rsid w:val="126F595C"/>
    <w:rsid w:val="12751C80"/>
    <w:rsid w:val="127631F4"/>
    <w:rsid w:val="127B49BD"/>
    <w:rsid w:val="127C300E"/>
    <w:rsid w:val="127D2AC2"/>
    <w:rsid w:val="128003B3"/>
    <w:rsid w:val="12814D6D"/>
    <w:rsid w:val="128232DB"/>
    <w:rsid w:val="12865C3B"/>
    <w:rsid w:val="12876E26"/>
    <w:rsid w:val="128B3251"/>
    <w:rsid w:val="128D09BE"/>
    <w:rsid w:val="128E09D9"/>
    <w:rsid w:val="128F5BE1"/>
    <w:rsid w:val="128F7D72"/>
    <w:rsid w:val="129025AB"/>
    <w:rsid w:val="12922832"/>
    <w:rsid w:val="1293587A"/>
    <w:rsid w:val="129C38DD"/>
    <w:rsid w:val="129C43E7"/>
    <w:rsid w:val="129F0AAB"/>
    <w:rsid w:val="12A15B76"/>
    <w:rsid w:val="12A3059B"/>
    <w:rsid w:val="12A52565"/>
    <w:rsid w:val="12A6008B"/>
    <w:rsid w:val="12A61E39"/>
    <w:rsid w:val="12A644BF"/>
    <w:rsid w:val="12A83E03"/>
    <w:rsid w:val="12AA36D7"/>
    <w:rsid w:val="12AE1FE2"/>
    <w:rsid w:val="12AF0CEE"/>
    <w:rsid w:val="12AF0D0F"/>
    <w:rsid w:val="12B0361D"/>
    <w:rsid w:val="12B15EBF"/>
    <w:rsid w:val="12B37438"/>
    <w:rsid w:val="12B47007"/>
    <w:rsid w:val="12B502CE"/>
    <w:rsid w:val="12B613DB"/>
    <w:rsid w:val="12B952A8"/>
    <w:rsid w:val="12BE53D5"/>
    <w:rsid w:val="12C0114D"/>
    <w:rsid w:val="12C041FA"/>
    <w:rsid w:val="12C335B9"/>
    <w:rsid w:val="12C47AD5"/>
    <w:rsid w:val="12C75BDB"/>
    <w:rsid w:val="12C81DAF"/>
    <w:rsid w:val="12CA3D79"/>
    <w:rsid w:val="12CC24E0"/>
    <w:rsid w:val="12CD386A"/>
    <w:rsid w:val="12CE31AB"/>
    <w:rsid w:val="12CE3D74"/>
    <w:rsid w:val="12CF1390"/>
    <w:rsid w:val="12D138EB"/>
    <w:rsid w:val="12D21D4A"/>
    <w:rsid w:val="12D2305F"/>
    <w:rsid w:val="12D743B4"/>
    <w:rsid w:val="12D90460"/>
    <w:rsid w:val="12DA0557"/>
    <w:rsid w:val="12DB4D5B"/>
    <w:rsid w:val="12DC585B"/>
    <w:rsid w:val="12DF53B9"/>
    <w:rsid w:val="12E0359D"/>
    <w:rsid w:val="12E23CE3"/>
    <w:rsid w:val="12E41216"/>
    <w:rsid w:val="12E624A0"/>
    <w:rsid w:val="12EB3CF0"/>
    <w:rsid w:val="12EE0A5B"/>
    <w:rsid w:val="12F25FF2"/>
    <w:rsid w:val="12F26E2C"/>
    <w:rsid w:val="12F928B1"/>
    <w:rsid w:val="12F96745"/>
    <w:rsid w:val="12FA35D5"/>
    <w:rsid w:val="12FB05D5"/>
    <w:rsid w:val="12FB729D"/>
    <w:rsid w:val="12FC5EFD"/>
    <w:rsid w:val="12FC7DE9"/>
    <w:rsid w:val="12FD2641"/>
    <w:rsid w:val="130152C1"/>
    <w:rsid w:val="130703AF"/>
    <w:rsid w:val="13070B2A"/>
    <w:rsid w:val="13077C3F"/>
    <w:rsid w:val="130F3EB7"/>
    <w:rsid w:val="131267C2"/>
    <w:rsid w:val="13144FF5"/>
    <w:rsid w:val="13166FBF"/>
    <w:rsid w:val="13177308"/>
    <w:rsid w:val="131D034D"/>
    <w:rsid w:val="131E2317"/>
    <w:rsid w:val="131F340C"/>
    <w:rsid w:val="132316DC"/>
    <w:rsid w:val="1324025B"/>
    <w:rsid w:val="1324095D"/>
    <w:rsid w:val="13272006"/>
    <w:rsid w:val="13285B03"/>
    <w:rsid w:val="132A7D5E"/>
    <w:rsid w:val="133726DD"/>
    <w:rsid w:val="133D71ED"/>
    <w:rsid w:val="134062C8"/>
    <w:rsid w:val="13410312"/>
    <w:rsid w:val="13415265"/>
    <w:rsid w:val="13433B2C"/>
    <w:rsid w:val="13482A06"/>
    <w:rsid w:val="134A310C"/>
    <w:rsid w:val="134E247F"/>
    <w:rsid w:val="134F26D8"/>
    <w:rsid w:val="135273DA"/>
    <w:rsid w:val="13535591"/>
    <w:rsid w:val="13547AE7"/>
    <w:rsid w:val="13560308"/>
    <w:rsid w:val="1356699B"/>
    <w:rsid w:val="13567656"/>
    <w:rsid w:val="135C7229"/>
    <w:rsid w:val="135F0966"/>
    <w:rsid w:val="136114F2"/>
    <w:rsid w:val="1361259D"/>
    <w:rsid w:val="1362032F"/>
    <w:rsid w:val="136341B2"/>
    <w:rsid w:val="13640F25"/>
    <w:rsid w:val="13651CF4"/>
    <w:rsid w:val="136844F9"/>
    <w:rsid w:val="13693E46"/>
    <w:rsid w:val="136A14B7"/>
    <w:rsid w:val="136B15CD"/>
    <w:rsid w:val="136B6FEA"/>
    <w:rsid w:val="136C3083"/>
    <w:rsid w:val="136F2D49"/>
    <w:rsid w:val="136F66CF"/>
    <w:rsid w:val="137006A5"/>
    <w:rsid w:val="13702B73"/>
    <w:rsid w:val="137361BF"/>
    <w:rsid w:val="137659F7"/>
    <w:rsid w:val="137912FC"/>
    <w:rsid w:val="137E4DB5"/>
    <w:rsid w:val="1381624B"/>
    <w:rsid w:val="13845E3D"/>
    <w:rsid w:val="13854144"/>
    <w:rsid w:val="138827C6"/>
    <w:rsid w:val="138875C6"/>
    <w:rsid w:val="138A3509"/>
    <w:rsid w:val="138E06DF"/>
    <w:rsid w:val="138F28CD"/>
    <w:rsid w:val="13914897"/>
    <w:rsid w:val="13922B74"/>
    <w:rsid w:val="13923F34"/>
    <w:rsid w:val="13943BD4"/>
    <w:rsid w:val="13953878"/>
    <w:rsid w:val="139A163B"/>
    <w:rsid w:val="139B53E8"/>
    <w:rsid w:val="13A7230D"/>
    <w:rsid w:val="13AA6294"/>
    <w:rsid w:val="13AE369B"/>
    <w:rsid w:val="13AF1EB7"/>
    <w:rsid w:val="13B57F29"/>
    <w:rsid w:val="13B7723C"/>
    <w:rsid w:val="13B81E24"/>
    <w:rsid w:val="13BA0C00"/>
    <w:rsid w:val="13BA5B9C"/>
    <w:rsid w:val="13BD46AB"/>
    <w:rsid w:val="13BD568C"/>
    <w:rsid w:val="13BF1404"/>
    <w:rsid w:val="13BF213C"/>
    <w:rsid w:val="13C00213"/>
    <w:rsid w:val="13C133CE"/>
    <w:rsid w:val="13C14884"/>
    <w:rsid w:val="13C62793"/>
    <w:rsid w:val="13C724CC"/>
    <w:rsid w:val="13C7475D"/>
    <w:rsid w:val="13C83749"/>
    <w:rsid w:val="13C94272"/>
    <w:rsid w:val="13CA1BEF"/>
    <w:rsid w:val="13CC1AB8"/>
    <w:rsid w:val="13CF1575"/>
    <w:rsid w:val="13CF7BF6"/>
    <w:rsid w:val="13D03443"/>
    <w:rsid w:val="13D359C8"/>
    <w:rsid w:val="13DA041B"/>
    <w:rsid w:val="13DA7FEC"/>
    <w:rsid w:val="13DB3D64"/>
    <w:rsid w:val="13E0137B"/>
    <w:rsid w:val="13E50398"/>
    <w:rsid w:val="13E54E3C"/>
    <w:rsid w:val="13E7095B"/>
    <w:rsid w:val="13EC377E"/>
    <w:rsid w:val="13F17980"/>
    <w:rsid w:val="13F44627"/>
    <w:rsid w:val="13F50AFB"/>
    <w:rsid w:val="13F518D2"/>
    <w:rsid w:val="13F75067"/>
    <w:rsid w:val="13F866C4"/>
    <w:rsid w:val="13FB39E8"/>
    <w:rsid w:val="13FF7A53"/>
    <w:rsid w:val="14047949"/>
    <w:rsid w:val="14060DE1"/>
    <w:rsid w:val="14076B3D"/>
    <w:rsid w:val="140B4512"/>
    <w:rsid w:val="140B4717"/>
    <w:rsid w:val="14132AA1"/>
    <w:rsid w:val="141416C6"/>
    <w:rsid w:val="141A74A2"/>
    <w:rsid w:val="141B482A"/>
    <w:rsid w:val="141C266F"/>
    <w:rsid w:val="141C6857"/>
    <w:rsid w:val="141D25CF"/>
    <w:rsid w:val="141D4035"/>
    <w:rsid w:val="14207DE1"/>
    <w:rsid w:val="14221D1C"/>
    <w:rsid w:val="142676D5"/>
    <w:rsid w:val="14276FAA"/>
    <w:rsid w:val="142C1376"/>
    <w:rsid w:val="143334E8"/>
    <w:rsid w:val="14347816"/>
    <w:rsid w:val="14356179"/>
    <w:rsid w:val="14372D1E"/>
    <w:rsid w:val="143959F5"/>
    <w:rsid w:val="14396C44"/>
    <w:rsid w:val="143C409B"/>
    <w:rsid w:val="14401E8B"/>
    <w:rsid w:val="14431F18"/>
    <w:rsid w:val="14446C6F"/>
    <w:rsid w:val="14457DE1"/>
    <w:rsid w:val="144B2C49"/>
    <w:rsid w:val="145342D3"/>
    <w:rsid w:val="14544BCB"/>
    <w:rsid w:val="145600D9"/>
    <w:rsid w:val="145A2571"/>
    <w:rsid w:val="145A737F"/>
    <w:rsid w:val="145B1EA0"/>
    <w:rsid w:val="145B7C5C"/>
    <w:rsid w:val="145D16EA"/>
    <w:rsid w:val="145D2BEE"/>
    <w:rsid w:val="14603804"/>
    <w:rsid w:val="14607961"/>
    <w:rsid w:val="14681A9C"/>
    <w:rsid w:val="146975C2"/>
    <w:rsid w:val="146F2E2A"/>
    <w:rsid w:val="146F4FD0"/>
    <w:rsid w:val="14773A8D"/>
    <w:rsid w:val="147A17CF"/>
    <w:rsid w:val="148368D6"/>
    <w:rsid w:val="14891DA1"/>
    <w:rsid w:val="148A7812"/>
    <w:rsid w:val="148C5212"/>
    <w:rsid w:val="148F527B"/>
    <w:rsid w:val="14902DA1"/>
    <w:rsid w:val="14927E49"/>
    <w:rsid w:val="14943E0F"/>
    <w:rsid w:val="149503B7"/>
    <w:rsid w:val="14965C48"/>
    <w:rsid w:val="14971B67"/>
    <w:rsid w:val="149E3173"/>
    <w:rsid w:val="149E563F"/>
    <w:rsid w:val="149F5EBF"/>
    <w:rsid w:val="14A31264"/>
    <w:rsid w:val="14A44207"/>
    <w:rsid w:val="14A61BAE"/>
    <w:rsid w:val="14A979BF"/>
    <w:rsid w:val="14AD5701"/>
    <w:rsid w:val="14B1092D"/>
    <w:rsid w:val="14B27E01"/>
    <w:rsid w:val="14B64F9E"/>
    <w:rsid w:val="14BC76F2"/>
    <w:rsid w:val="14BE7911"/>
    <w:rsid w:val="14BF1119"/>
    <w:rsid w:val="14BF1878"/>
    <w:rsid w:val="14BF5434"/>
    <w:rsid w:val="14C105F2"/>
    <w:rsid w:val="14C12F5A"/>
    <w:rsid w:val="14C61FB9"/>
    <w:rsid w:val="14C64794"/>
    <w:rsid w:val="14CB229C"/>
    <w:rsid w:val="14CB3DD9"/>
    <w:rsid w:val="14CE0DA6"/>
    <w:rsid w:val="14CE1A25"/>
    <w:rsid w:val="14CE3BF6"/>
    <w:rsid w:val="14CE6210"/>
    <w:rsid w:val="14D02F00"/>
    <w:rsid w:val="14D0544D"/>
    <w:rsid w:val="14D507B4"/>
    <w:rsid w:val="14DC716F"/>
    <w:rsid w:val="14E87D49"/>
    <w:rsid w:val="14EF0F4F"/>
    <w:rsid w:val="14EF7AC7"/>
    <w:rsid w:val="14F55A68"/>
    <w:rsid w:val="14F96B98"/>
    <w:rsid w:val="14FC0436"/>
    <w:rsid w:val="14FC1ED6"/>
    <w:rsid w:val="14FE77F3"/>
    <w:rsid w:val="15023C9F"/>
    <w:rsid w:val="15036493"/>
    <w:rsid w:val="150A0BD1"/>
    <w:rsid w:val="150D43F1"/>
    <w:rsid w:val="150F0169"/>
    <w:rsid w:val="1517045B"/>
    <w:rsid w:val="15171E3E"/>
    <w:rsid w:val="15177DF7"/>
    <w:rsid w:val="151928D9"/>
    <w:rsid w:val="151E03AD"/>
    <w:rsid w:val="151E3EEE"/>
    <w:rsid w:val="151E4B84"/>
    <w:rsid w:val="15204125"/>
    <w:rsid w:val="15214C50"/>
    <w:rsid w:val="15237771"/>
    <w:rsid w:val="1525173B"/>
    <w:rsid w:val="152A7A45"/>
    <w:rsid w:val="152C0D1B"/>
    <w:rsid w:val="152D6842"/>
    <w:rsid w:val="152F3C74"/>
    <w:rsid w:val="15325C06"/>
    <w:rsid w:val="15363948"/>
    <w:rsid w:val="1537141C"/>
    <w:rsid w:val="1543232E"/>
    <w:rsid w:val="154345CB"/>
    <w:rsid w:val="154459C2"/>
    <w:rsid w:val="15475B55"/>
    <w:rsid w:val="15496C87"/>
    <w:rsid w:val="154A1021"/>
    <w:rsid w:val="154A73F4"/>
    <w:rsid w:val="154F681E"/>
    <w:rsid w:val="1550521B"/>
    <w:rsid w:val="15514D65"/>
    <w:rsid w:val="1554562E"/>
    <w:rsid w:val="15545B7C"/>
    <w:rsid w:val="155572BB"/>
    <w:rsid w:val="155913E5"/>
    <w:rsid w:val="15593193"/>
    <w:rsid w:val="155B4CE9"/>
    <w:rsid w:val="155D71B2"/>
    <w:rsid w:val="155E2E9F"/>
    <w:rsid w:val="155E4C4D"/>
    <w:rsid w:val="155F086C"/>
    <w:rsid w:val="155F6B7B"/>
    <w:rsid w:val="1560113A"/>
    <w:rsid w:val="156764AC"/>
    <w:rsid w:val="15686FB2"/>
    <w:rsid w:val="156E4AA7"/>
    <w:rsid w:val="15704562"/>
    <w:rsid w:val="15714980"/>
    <w:rsid w:val="15756CEB"/>
    <w:rsid w:val="157601E9"/>
    <w:rsid w:val="15783F61"/>
    <w:rsid w:val="15785D0F"/>
    <w:rsid w:val="157B57FF"/>
    <w:rsid w:val="157D4BDF"/>
    <w:rsid w:val="157E2109"/>
    <w:rsid w:val="1585042C"/>
    <w:rsid w:val="158521DA"/>
    <w:rsid w:val="15880B26"/>
    <w:rsid w:val="15894AAD"/>
    <w:rsid w:val="15895853"/>
    <w:rsid w:val="15897F1C"/>
    <w:rsid w:val="158C5316"/>
    <w:rsid w:val="158D108E"/>
    <w:rsid w:val="158F12AA"/>
    <w:rsid w:val="159352D7"/>
    <w:rsid w:val="1594241D"/>
    <w:rsid w:val="15945CB1"/>
    <w:rsid w:val="159C19AB"/>
    <w:rsid w:val="159C20FF"/>
    <w:rsid w:val="159D34E4"/>
    <w:rsid w:val="159D7523"/>
    <w:rsid w:val="159E329B"/>
    <w:rsid w:val="159F7D40"/>
    <w:rsid w:val="15A0417C"/>
    <w:rsid w:val="15A174C1"/>
    <w:rsid w:val="15A308B2"/>
    <w:rsid w:val="15A47948"/>
    <w:rsid w:val="15A65896"/>
    <w:rsid w:val="15AE1730"/>
    <w:rsid w:val="15B0615B"/>
    <w:rsid w:val="15B11221"/>
    <w:rsid w:val="15C14B3B"/>
    <w:rsid w:val="15C323DB"/>
    <w:rsid w:val="15C5422D"/>
    <w:rsid w:val="15C612D3"/>
    <w:rsid w:val="15C745A0"/>
    <w:rsid w:val="15C83E5A"/>
    <w:rsid w:val="15CD20F8"/>
    <w:rsid w:val="15CE1DD3"/>
    <w:rsid w:val="15CF16A7"/>
    <w:rsid w:val="15D54F0F"/>
    <w:rsid w:val="15D8055B"/>
    <w:rsid w:val="15D86BF8"/>
    <w:rsid w:val="15DF5D8E"/>
    <w:rsid w:val="15E03118"/>
    <w:rsid w:val="15E122B9"/>
    <w:rsid w:val="15E15911"/>
    <w:rsid w:val="15E343BA"/>
    <w:rsid w:val="15E464B6"/>
    <w:rsid w:val="15E46FC8"/>
    <w:rsid w:val="15E61397"/>
    <w:rsid w:val="15E61BE7"/>
    <w:rsid w:val="15E942D1"/>
    <w:rsid w:val="15EE5FD1"/>
    <w:rsid w:val="15F132FE"/>
    <w:rsid w:val="15F32DEF"/>
    <w:rsid w:val="15F8366E"/>
    <w:rsid w:val="15F97D4A"/>
    <w:rsid w:val="15FD7FC2"/>
    <w:rsid w:val="15FE7F52"/>
    <w:rsid w:val="15FF01DE"/>
    <w:rsid w:val="16007AB2"/>
    <w:rsid w:val="16013F56"/>
    <w:rsid w:val="16014900"/>
    <w:rsid w:val="160457F4"/>
    <w:rsid w:val="16066CA6"/>
    <w:rsid w:val="16075E1B"/>
    <w:rsid w:val="16077093"/>
    <w:rsid w:val="16094BB9"/>
    <w:rsid w:val="160A4F1B"/>
    <w:rsid w:val="160B0931"/>
    <w:rsid w:val="160C46A9"/>
    <w:rsid w:val="160D7033"/>
    <w:rsid w:val="160E0421"/>
    <w:rsid w:val="16112265"/>
    <w:rsid w:val="161552E4"/>
    <w:rsid w:val="16157A01"/>
    <w:rsid w:val="161672D6"/>
    <w:rsid w:val="16177C04"/>
    <w:rsid w:val="161E10F2"/>
    <w:rsid w:val="16244FCF"/>
    <w:rsid w:val="16247C45"/>
    <w:rsid w:val="1628375A"/>
    <w:rsid w:val="162A3CFF"/>
    <w:rsid w:val="162E5D48"/>
    <w:rsid w:val="162E6E46"/>
    <w:rsid w:val="16300397"/>
    <w:rsid w:val="1635073F"/>
    <w:rsid w:val="16373E6F"/>
    <w:rsid w:val="16382382"/>
    <w:rsid w:val="163836F0"/>
    <w:rsid w:val="163A1216"/>
    <w:rsid w:val="163A6417"/>
    <w:rsid w:val="163D2AB4"/>
    <w:rsid w:val="16443E43"/>
    <w:rsid w:val="16461969"/>
    <w:rsid w:val="16467BBB"/>
    <w:rsid w:val="16470429"/>
    <w:rsid w:val="16492046"/>
    <w:rsid w:val="164E6403"/>
    <w:rsid w:val="16503C6D"/>
    <w:rsid w:val="1651030E"/>
    <w:rsid w:val="165417A1"/>
    <w:rsid w:val="16550B47"/>
    <w:rsid w:val="16567411"/>
    <w:rsid w:val="16572EB0"/>
    <w:rsid w:val="16585B40"/>
    <w:rsid w:val="165878EE"/>
    <w:rsid w:val="1659474D"/>
    <w:rsid w:val="165A3666"/>
    <w:rsid w:val="165C31D8"/>
    <w:rsid w:val="16614D6C"/>
    <w:rsid w:val="166362E5"/>
    <w:rsid w:val="16726C02"/>
    <w:rsid w:val="16733692"/>
    <w:rsid w:val="167504A0"/>
    <w:rsid w:val="167546E0"/>
    <w:rsid w:val="167A5AB7"/>
    <w:rsid w:val="167A73B7"/>
    <w:rsid w:val="167E5D91"/>
    <w:rsid w:val="167E793C"/>
    <w:rsid w:val="16810BF3"/>
    <w:rsid w:val="168356FE"/>
    <w:rsid w:val="16853CD8"/>
    <w:rsid w:val="16855BB8"/>
    <w:rsid w:val="1687740C"/>
    <w:rsid w:val="16895E62"/>
    <w:rsid w:val="168B0C70"/>
    <w:rsid w:val="1691275F"/>
    <w:rsid w:val="169662B2"/>
    <w:rsid w:val="169A7F07"/>
    <w:rsid w:val="169F7602"/>
    <w:rsid w:val="169F7B22"/>
    <w:rsid w:val="16A1573D"/>
    <w:rsid w:val="16A25150"/>
    <w:rsid w:val="16A62408"/>
    <w:rsid w:val="16A711C4"/>
    <w:rsid w:val="16AD7321"/>
    <w:rsid w:val="16AE1553"/>
    <w:rsid w:val="16AE1A74"/>
    <w:rsid w:val="16B74615"/>
    <w:rsid w:val="16B87D69"/>
    <w:rsid w:val="16BE66CC"/>
    <w:rsid w:val="16BF171B"/>
    <w:rsid w:val="16BF6872"/>
    <w:rsid w:val="16C712D5"/>
    <w:rsid w:val="16CA189C"/>
    <w:rsid w:val="16CC5760"/>
    <w:rsid w:val="16CD532E"/>
    <w:rsid w:val="16CE18B6"/>
    <w:rsid w:val="16D01B7A"/>
    <w:rsid w:val="16D46470"/>
    <w:rsid w:val="16D67EFE"/>
    <w:rsid w:val="16D729CD"/>
    <w:rsid w:val="16D821B2"/>
    <w:rsid w:val="16D90A2F"/>
    <w:rsid w:val="16DA00F3"/>
    <w:rsid w:val="16DB5D81"/>
    <w:rsid w:val="16DB7867"/>
    <w:rsid w:val="16E10188"/>
    <w:rsid w:val="16EC44CE"/>
    <w:rsid w:val="16EF50BC"/>
    <w:rsid w:val="16F023F5"/>
    <w:rsid w:val="16F43541"/>
    <w:rsid w:val="16F47617"/>
    <w:rsid w:val="16F655CE"/>
    <w:rsid w:val="16F7466B"/>
    <w:rsid w:val="16F7485F"/>
    <w:rsid w:val="16F74D42"/>
    <w:rsid w:val="16F83F95"/>
    <w:rsid w:val="16F92E7F"/>
    <w:rsid w:val="16F969DB"/>
    <w:rsid w:val="170174C7"/>
    <w:rsid w:val="17022C76"/>
    <w:rsid w:val="170358E5"/>
    <w:rsid w:val="17055412"/>
    <w:rsid w:val="1706559C"/>
    <w:rsid w:val="17066C93"/>
    <w:rsid w:val="170A508C"/>
    <w:rsid w:val="170D06D9"/>
    <w:rsid w:val="1710008E"/>
    <w:rsid w:val="171001C9"/>
    <w:rsid w:val="171E4694"/>
    <w:rsid w:val="17240FF7"/>
    <w:rsid w:val="17251F3E"/>
    <w:rsid w:val="17253C74"/>
    <w:rsid w:val="172719F5"/>
    <w:rsid w:val="17275A8A"/>
    <w:rsid w:val="17276B03"/>
    <w:rsid w:val="17283764"/>
    <w:rsid w:val="17290A30"/>
    <w:rsid w:val="172A4DE7"/>
    <w:rsid w:val="172B1F95"/>
    <w:rsid w:val="173043C7"/>
    <w:rsid w:val="17325D54"/>
    <w:rsid w:val="173323DE"/>
    <w:rsid w:val="1734210B"/>
    <w:rsid w:val="173E6AE4"/>
    <w:rsid w:val="1740215A"/>
    <w:rsid w:val="1740291A"/>
    <w:rsid w:val="17432B43"/>
    <w:rsid w:val="17463BEB"/>
    <w:rsid w:val="174A659D"/>
    <w:rsid w:val="174E374F"/>
    <w:rsid w:val="175207E1"/>
    <w:rsid w:val="17521698"/>
    <w:rsid w:val="175224D1"/>
    <w:rsid w:val="175400B6"/>
    <w:rsid w:val="17592A64"/>
    <w:rsid w:val="175A06EE"/>
    <w:rsid w:val="175A3CEF"/>
    <w:rsid w:val="175B1444"/>
    <w:rsid w:val="175C56A1"/>
    <w:rsid w:val="175F3964"/>
    <w:rsid w:val="175F4EAB"/>
    <w:rsid w:val="17620FFD"/>
    <w:rsid w:val="1763479D"/>
    <w:rsid w:val="17673BC8"/>
    <w:rsid w:val="17683B61"/>
    <w:rsid w:val="176B7B12"/>
    <w:rsid w:val="176C0F1B"/>
    <w:rsid w:val="17715A5A"/>
    <w:rsid w:val="17726EEA"/>
    <w:rsid w:val="17730FAC"/>
    <w:rsid w:val="177C760C"/>
    <w:rsid w:val="177F1734"/>
    <w:rsid w:val="17800EAB"/>
    <w:rsid w:val="178118FD"/>
    <w:rsid w:val="17832749"/>
    <w:rsid w:val="1785299A"/>
    <w:rsid w:val="17880A68"/>
    <w:rsid w:val="178E5FE8"/>
    <w:rsid w:val="178F374A"/>
    <w:rsid w:val="17906B72"/>
    <w:rsid w:val="17930DF4"/>
    <w:rsid w:val="17936304"/>
    <w:rsid w:val="17936E30"/>
    <w:rsid w:val="17943A62"/>
    <w:rsid w:val="179734D1"/>
    <w:rsid w:val="17A11CB7"/>
    <w:rsid w:val="17A96653"/>
    <w:rsid w:val="17AC7EF2"/>
    <w:rsid w:val="17B33746"/>
    <w:rsid w:val="17B65DF4"/>
    <w:rsid w:val="17C25E4A"/>
    <w:rsid w:val="17C3523B"/>
    <w:rsid w:val="17C35253"/>
    <w:rsid w:val="17CA31B8"/>
    <w:rsid w:val="17D3547E"/>
    <w:rsid w:val="17D45C0F"/>
    <w:rsid w:val="17D47490"/>
    <w:rsid w:val="17D66AA5"/>
    <w:rsid w:val="17DA4289"/>
    <w:rsid w:val="17DB4333"/>
    <w:rsid w:val="17DE7423"/>
    <w:rsid w:val="17DF2C4E"/>
    <w:rsid w:val="17E017CB"/>
    <w:rsid w:val="17E72CD8"/>
    <w:rsid w:val="17EC5678"/>
    <w:rsid w:val="17EC7880"/>
    <w:rsid w:val="17EF5A6B"/>
    <w:rsid w:val="17F03436"/>
    <w:rsid w:val="17F04282"/>
    <w:rsid w:val="17F23AAF"/>
    <w:rsid w:val="17F32385"/>
    <w:rsid w:val="17F6161B"/>
    <w:rsid w:val="17F64052"/>
    <w:rsid w:val="17F94208"/>
    <w:rsid w:val="17FA6EAF"/>
    <w:rsid w:val="18062254"/>
    <w:rsid w:val="180672E2"/>
    <w:rsid w:val="18072C85"/>
    <w:rsid w:val="18075128"/>
    <w:rsid w:val="18075575"/>
    <w:rsid w:val="180C0990"/>
    <w:rsid w:val="18131D1F"/>
    <w:rsid w:val="181653D3"/>
    <w:rsid w:val="181708F6"/>
    <w:rsid w:val="18193E16"/>
    <w:rsid w:val="181B6E25"/>
    <w:rsid w:val="181C294C"/>
    <w:rsid w:val="1821268E"/>
    <w:rsid w:val="18213CFC"/>
    <w:rsid w:val="18230052"/>
    <w:rsid w:val="18251831"/>
    <w:rsid w:val="1829415E"/>
    <w:rsid w:val="182B350C"/>
    <w:rsid w:val="182B52BA"/>
    <w:rsid w:val="182D2D80"/>
    <w:rsid w:val="182D71BE"/>
    <w:rsid w:val="182E0907"/>
    <w:rsid w:val="18301ACB"/>
    <w:rsid w:val="183305F6"/>
    <w:rsid w:val="183549D8"/>
    <w:rsid w:val="18376E10"/>
    <w:rsid w:val="183810FB"/>
    <w:rsid w:val="18391149"/>
    <w:rsid w:val="183A374F"/>
    <w:rsid w:val="183B1A6E"/>
    <w:rsid w:val="183D0B4A"/>
    <w:rsid w:val="183F2B14"/>
    <w:rsid w:val="183F48C2"/>
    <w:rsid w:val="183F7BC1"/>
    <w:rsid w:val="184243B2"/>
    <w:rsid w:val="18433F46"/>
    <w:rsid w:val="1844012A"/>
    <w:rsid w:val="18461F74"/>
    <w:rsid w:val="184E2EA9"/>
    <w:rsid w:val="185232C7"/>
    <w:rsid w:val="185407CD"/>
    <w:rsid w:val="18551235"/>
    <w:rsid w:val="18584A67"/>
    <w:rsid w:val="185A16FC"/>
    <w:rsid w:val="186131B1"/>
    <w:rsid w:val="186445ED"/>
    <w:rsid w:val="18663E03"/>
    <w:rsid w:val="18664544"/>
    <w:rsid w:val="186662F2"/>
    <w:rsid w:val="186715DB"/>
    <w:rsid w:val="186802BC"/>
    <w:rsid w:val="18681BCE"/>
    <w:rsid w:val="18694468"/>
    <w:rsid w:val="187063BF"/>
    <w:rsid w:val="18736C61"/>
    <w:rsid w:val="18772D73"/>
    <w:rsid w:val="18792859"/>
    <w:rsid w:val="187A3B4C"/>
    <w:rsid w:val="187D363C"/>
    <w:rsid w:val="187D387C"/>
    <w:rsid w:val="187F73B4"/>
    <w:rsid w:val="188302B0"/>
    <w:rsid w:val="188656A9"/>
    <w:rsid w:val="18876E25"/>
    <w:rsid w:val="18890233"/>
    <w:rsid w:val="188D7D23"/>
    <w:rsid w:val="188E5849"/>
    <w:rsid w:val="188E6525"/>
    <w:rsid w:val="1890336F"/>
    <w:rsid w:val="1894645E"/>
    <w:rsid w:val="18961AAC"/>
    <w:rsid w:val="18972B56"/>
    <w:rsid w:val="189866C8"/>
    <w:rsid w:val="189D1CF8"/>
    <w:rsid w:val="189E7194"/>
    <w:rsid w:val="189E7349"/>
    <w:rsid w:val="189F1804"/>
    <w:rsid w:val="18A31059"/>
    <w:rsid w:val="18A706B9"/>
    <w:rsid w:val="18A71368"/>
    <w:rsid w:val="18A77A47"/>
    <w:rsid w:val="18A90A50"/>
    <w:rsid w:val="18A92683"/>
    <w:rsid w:val="18AA2CE2"/>
    <w:rsid w:val="18B040D7"/>
    <w:rsid w:val="18B3705E"/>
    <w:rsid w:val="18B62F28"/>
    <w:rsid w:val="18B708FC"/>
    <w:rsid w:val="18B84674"/>
    <w:rsid w:val="18B9593C"/>
    <w:rsid w:val="18BA03EC"/>
    <w:rsid w:val="18BB7CEF"/>
    <w:rsid w:val="18BC4164"/>
    <w:rsid w:val="18BD7EDC"/>
    <w:rsid w:val="18C1177B"/>
    <w:rsid w:val="18C11CA9"/>
    <w:rsid w:val="18C666A6"/>
    <w:rsid w:val="18C66D91"/>
    <w:rsid w:val="18C82B09"/>
    <w:rsid w:val="18C965C0"/>
    <w:rsid w:val="18CD0120"/>
    <w:rsid w:val="18D203E7"/>
    <w:rsid w:val="18D54962"/>
    <w:rsid w:val="18D57013"/>
    <w:rsid w:val="18D8035B"/>
    <w:rsid w:val="18D92F68"/>
    <w:rsid w:val="18DD62F0"/>
    <w:rsid w:val="18E24C39"/>
    <w:rsid w:val="18E5190D"/>
    <w:rsid w:val="18E57AB1"/>
    <w:rsid w:val="18E720F7"/>
    <w:rsid w:val="18E72CEE"/>
    <w:rsid w:val="18E831AB"/>
    <w:rsid w:val="18E90CD1"/>
    <w:rsid w:val="18EF6E07"/>
    <w:rsid w:val="18F2565D"/>
    <w:rsid w:val="18F86417"/>
    <w:rsid w:val="18F97167"/>
    <w:rsid w:val="18FE27B3"/>
    <w:rsid w:val="18FF22A3"/>
    <w:rsid w:val="19006747"/>
    <w:rsid w:val="19013719"/>
    <w:rsid w:val="190301C9"/>
    <w:rsid w:val="19032A4A"/>
    <w:rsid w:val="19033B41"/>
    <w:rsid w:val="19062EC0"/>
    <w:rsid w:val="19072A6A"/>
    <w:rsid w:val="19095749"/>
    <w:rsid w:val="190C77B0"/>
    <w:rsid w:val="190F5F83"/>
    <w:rsid w:val="190F698A"/>
    <w:rsid w:val="19102702"/>
    <w:rsid w:val="191355B2"/>
    <w:rsid w:val="19140EF5"/>
    <w:rsid w:val="19143FA0"/>
    <w:rsid w:val="19170BE4"/>
    <w:rsid w:val="191B532F"/>
    <w:rsid w:val="191C723B"/>
    <w:rsid w:val="191E02D6"/>
    <w:rsid w:val="191E6BCD"/>
    <w:rsid w:val="191F64A1"/>
    <w:rsid w:val="1920632E"/>
    <w:rsid w:val="19215B05"/>
    <w:rsid w:val="19250182"/>
    <w:rsid w:val="192835A8"/>
    <w:rsid w:val="192A317D"/>
    <w:rsid w:val="192C6E07"/>
    <w:rsid w:val="192E0C57"/>
    <w:rsid w:val="192F2B88"/>
    <w:rsid w:val="193208CA"/>
    <w:rsid w:val="193463F1"/>
    <w:rsid w:val="19355440"/>
    <w:rsid w:val="19375EE1"/>
    <w:rsid w:val="19385D8B"/>
    <w:rsid w:val="19393A07"/>
    <w:rsid w:val="1940130A"/>
    <w:rsid w:val="19404D95"/>
    <w:rsid w:val="194146CA"/>
    <w:rsid w:val="1945415A"/>
    <w:rsid w:val="194859F8"/>
    <w:rsid w:val="194973D4"/>
    <w:rsid w:val="194A1770"/>
    <w:rsid w:val="194B1027"/>
    <w:rsid w:val="19507FB1"/>
    <w:rsid w:val="1956758C"/>
    <w:rsid w:val="195933F3"/>
    <w:rsid w:val="195D42D9"/>
    <w:rsid w:val="195E16BF"/>
    <w:rsid w:val="195E521C"/>
    <w:rsid w:val="195F08E7"/>
    <w:rsid w:val="19630A84"/>
    <w:rsid w:val="196752D7"/>
    <w:rsid w:val="196B0D46"/>
    <w:rsid w:val="196B2D39"/>
    <w:rsid w:val="196D7B1F"/>
    <w:rsid w:val="196E457D"/>
    <w:rsid w:val="19776D67"/>
    <w:rsid w:val="19791440"/>
    <w:rsid w:val="197C6DD6"/>
    <w:rsid w:val="198002FE"/>
    <w:rsid w:val="198033E4"/>
    <w:rsid w:val="19834C82"/>
    <w:rsid w:val="198527A8"/>
    <w:rsid w:val="19856F01"/>
    <w:rsid w:val="198663FD"/>
    <w:rsid w:val="19866520"/>
    <w:rsid w:val="198D5B01"/>
    <w:rsid w:val="198E3AFB"/>
    <w:rsid w:val="198F6239"/>
    <w:rsid w:val="198F6FC9"/>
    <w:rsid w:val="1990114D"/>
    <w:rsid w:val="19914F2C"/>
    <w:rsid w:val="19940109"/>
    <w:rsid w:val="19946E8F"/>
    <w:rsid w:val="1997790E"/>
    <w:rsid w:val="19986F06"/>
    <w:rsid w:val="199944A6"/>
    <w:rsid w:val="199B0A06"/>
    <w:rsid w:val="19A05834"/>
    <w:rsid w:val="19A228E7"/>
    <w:rsid w:val="19A5109C"/>
    <w:rsid w:val="19A669C5"/>
    <w:rsid w:val="19A67A47"/>
    <w:rsid w:val="19A86E47"/>
    <w:rsid w:val="19AA220F"/>
    <w:rsid w:val="19AE61A3"/>
    <w:rsid w:val="19B405DD"/>
    <w:rsid w:val="19B479F3"/>
    <w:rsid w:val="19B7207D"/>
    <w:rsid w:val="19B94B48"/>
    <w:rsid w:val="19BB441C"/>
    <w:rsid w:val="19C01A32"/>
    <w:rsid w:val="19C84D8B"/>
    <w:rsid w:val="19CB3F48"/>
    <w:rsid w:val="19CC6629"/>
    <w:rsid w:val="19CE3C50"/>
    <w:rsid w:val="19CF7EC7"/>
    <w:rsid w:val="19D21766"/>
    <w:rsid w:val="19D56851"/>
    <w:rsid w:val="19D6648A"/>
    <w:rsid w:val="19DB4ABE"/>
    <w:rsid w:val="19DE0B7B"/>
    <w:rsid w:val="19DE1A34"/>
    <w:rsid w:val="19E23FC0"/>
    <w:rsid w:val="19E42208"/>
    <w:rsid w:val="19E82D37"/>
    <w:rsid w:val="19E97B7F"/>
    <w:rsid w:val="19EA4D01"/>
    <w:rsid w:val="19EE4158"/>
    <w:rsid w:val="19EE47F1"/>
    <w:rsid w:val="19F43AAB"/>
    <w:rsid w:val="19F468A9"/>
    <w:rsid w:val="19F8741E"/>
    <w:rsid w:val="1A036BAC"/>
    <w:rsid w:val="1A040C6C"/>
    <w:rsid w:val="1A051B3B"/>
    <w:rsid w:val="1A0538E9"/>
    <w:rsid w:val="1A070AF8"/>
    <w:rsid w:val="1A084B70"/>
    <w:rsid w:val="1A09162B"/>
    <w:rsid w:val="1A091DC2"/>
    <w:rsid w:val="1A0945A7"/>
    <w:rsid w:val="1A0A36DD"/>
    <w:rsid w:val="1A0A7151"/>
    <w:rsid w:val="1A0C4C78"/>
    <w:rsid w:val="1A0D44C9"/>
    <w:rsid w:val="1A0E3D8D"/>
    <w:rsid w:val="1A1024F5"/>
    <w:rsid w:val="1A1324AA"/>
    <w:rsid w:val="1A1520AE"/>
    <w:rsid w:val="1A163D48"/>
    <w:rsid w:val="1A176D0F"/>
    <w:rsid w:val="1A18186E"/>
    <w:rsid w:val="1A19311C"/>
    <w:rsid w:val="1A1A0AF6"/>
    <w:rsid w:val="1A1E04F8"/>
    <w:rsid w:val="1A1F0E4F"/>
    <w:rsid w:val="1A225332"/>
    <w:rsid w:val="1A235948"/>
    <w:rsid w:val="1A2521DD"/>
    <w:rsid w:val="1A2B127A"/>
    <w:rsid w:val="1A2B7C80"/>
    <w:rsid w:val="1A2C356C"/>
    <w:rsid w:val="1A2C6C3F"/>
    <w:rsid w:val="1A2E1092"/>
    <w:rsid w:val="1A332204"/>
    <w:rsid w:val="1A3674DF"/>
    <w:rsid w:val="1A367F46"/>
    <w:rsid w:val="1A371F1D"/>
    <w:rsid w:val="1A3B555D"/>
    <w:rsid w:val="1A3D267B"/>
    <w:rsid w:val="1A3F329F"/>
    <w:rsid w:val="1A444995"/>
    <w:rsid w:val="1A450189"/>
    <w:rsid w:val="1A465B48"/>
    <w:rsid w:val="1A47414E"/>
    <w:rsid w:val="1A475CB0"/>
    <w:rsid w:val="1A497C7A"/>
    <w:rsid w:val="1A4E34E2"/>
    <w:rsid w:val="1A4E703E"/>
    <w:rsid w:val="1A515E3D"/>
    <w:rsid w:val="1A525767"/>
    <w:rsid w:val="1A554870"/>
    <w:rsid w:val="1A5B5BFF"/>
    <w:rsid w:val="1A613431"/>
    <w:rsid w:val="1A620D3B"/>
    <w:rsid w:val="1A6212A3"/>
    <w:rsid w:val="1A626F8D"/>
    <w:rsid w:val="1A637E8D"/>
    <w:rsid w:val="1A6525DA"/>
    <w:rsid w:val="1A652915"/>
    <w:rsid w:val="1A674F10"/>
    <w:rsid w:val="1A6920CA"/>
    <w:rsid w:val="1A6E148E"/>
    <w:rsid w:val="1A6E5932"/>
    <w:rsid w:val="1A6F204B"/>
    <w:rsid w:val="1A791C26"/>
    <w:rsid w:val="1A7B12E8"/>
    <w:rsid w:val="1A7D2A17"/>
    <w:rsid w:val="1A7F2C14"/>
    <w:rsid w:val="1A7F47B4"/>
    <w:rsid w:val="1A815666"/>
    <w:rsid w:val="1A830FA4"/>
    <w:rsid w:val="1A8324EC"/>
    <w:rsid w:val="1A83441B"/>
    <w:rsid w:val="1A885C21"/>
    <w:rsid w:val="1A89451A"/>
    <w:rsid w:val="1A8A2811"/>
    <w:rsid w:val="1A8C400A"/>
    <w:rsid w:val="1A8C5DB8"/>
    <w:rsid w:val="1A8D705C"/>
    <w:rsid w:val="1A962E09"/>
    <w:rsid w:val="1A977089"/>
    <w:rsid w:val="1A9A2283"/>
    <w:rsid w:val="1A9C023A"/>
    <w:rsid w:val="1AA01341"/>
    <w:rsid w:val="1AA749A0"/>
    <w:rsid w:val="1AA93212"/>
    <w:rsid w:val="1AAE5D2F"/>
    <w:rsid w:val="1AAE6CE1"/>
    <w:rsid w:val="1AB06C2F"/>
    <w:rsid w:val="1AB1121F"/>
    <w:rsid w:val="1AB33345"/>
    <w:rsid w:val="1AB53561"/>
    <w:rsid w:val="1AB75D5B"/>
    <w:rsid w:val="1ABC044C"/>
    <w:rsid w:val="1ABD41C4"/>
    <w:rsid w:val="1AC21287"/>
    <w:rsid w:val="1AC217DA"/>
    <w:rsid w:val="1AC252C2"/>
    <w:rsid w:val="1AD0039B"/>
    <w:rsid w:val="1AD02149"/>
    <w:rsid w:val="1AD11A1D"/>
    <w:rsid w:val="1ADC6613"/>
    <w:rsid w:val="1ADF413A"/>
    <w:rsid w:val="1AE16104"/>
    <w:rsid w:val="1AE17EB2"/>
    <w:rsid w:val="1AE6371B"/>
    <w:rsid w:val="1AE84396"/>
    <w:rsid w:val="1AE857D0"/>
    <w:rsid w:val="1AEB35C0"/>
    <w:rsid w:val="1AEC24C5"/>
    <w:rsid w:val="1AEF32D8"/>
    <w:rsid w:val="1AF076EF"/>
    <w:rsid w:val="1AF44089"/>
    <w:rsid w:val="1AF53561"/>
    <w:rsid w:val="1AF92D67"/>
    <w:rsid w:val="1AFC2F3E"/>
    <w:rsid w:val="1B0167A6"/>
    <w:rsid w:val="1B083691"/>
    <w:rsid w:val="1B09565B"/>
    <w:rsid w:val="1B0B3181"/>
    <w:rsid w:val="1B0D6EF9"/>
    <w:rsid w:val="1B0E2C71"/>
    <w:rsid w:val="1B0F1D66"/>
    <w:rsid w:val="1B113931"/>
    <w:rsid w:val="1B1262BE"/>
    <w:rsid w:val="1B140333"/>
    <w:rsid w:val="1B1418BE"/>
    <w:rsid w:val="1B1647D4"/>
    <w:rsid w:val="1B1D07A3"/>
    <w:rsid w:val="1B213295"/>
    <w:rsid w:val="1B223ABF"/>
    <w:rsid w:val="1B223D48"/>
    <w:rsid w:val="1B227D6C"/>
    <w:rsid w:val="1B2349D2"/>
    <w:rsid w:val="1B235571"/>
    <w:rsid w:val="1B23671D"/>
    <w:rsid w:val="1B291D85"/>
    <w:rsid w:val="1B293607"/>
    <w:rsid w:val="1B2D1349"/>
    <w:rsid w:val="1B3471B4"/>
    <w:rsid w:val="1B347FEC"/>
    <w:rsid w:val="1B3721C8"/>
    <w:rsid w:val="1B38255B"/>
    <w:rsid w:val="1B3933E3"/>
    <w:rsid w:val="1B3A34BE"/>
    <w:rsid w:val="1B3A62FE"/>
    <w:rsid w:val="1B3B1CB8"/>
    <w:rsid w:val="1B3C158C"/>
    <w:rsid w:val="1B3C77DE"/>
    <w:rsid w:val="1B3C79A3"/>
    <w:rsid w:val="1B3E5305"/>
    <w:rsid w:val="1B4255E6"/>
    <w:rsid w:val="1B446693"/>
    <w:rsid w:val="1B462549"/>
    <w:rsid w:val="1B464CF2"/>
    <w:rsid w:val="1B4666C2"/>
    <w:rsid w:val="1B481CDF"/>
    <w:rsid w:val="1B492AE8"/>
    <w:rsid w:val="1B4D19EC"/>
    <w:rsid w:val="1B4F12C0"/>
    <w:rsid w:val="1B4F7512"/>
    <w:rsid w:val="1B513EE4"/>
    <w:rsid w:val="1B516A8C"/>
    <w:rsid w:val="1B523459"/>
    <w:rsid w:val="1B5348A1"/>
    <w:rsid w:val="1B554FF5"/>
    <w:rsid w:val="1B582117"/>
    <w:rsid w:val="1B593DD4"/>
    <w:rsid w:val="1B5A1A13"/>
    <w:rsid w:val="1B5F527B"/>
    <w:rsid w:val="1B603727"/>
    <w:rsid w:val="1B62610C"/>
    <w:rsid w:val="1B6367BF"/>
    <w:rsid w:val="1B6604FD"/>
    <w:rsid w:val="1B670870"/>
    <w:rsid w:val="1B6805D3"/>
    <w:rsid w:val="1B682381"/>
    <w:rsid w:val="1B6C2F8B"/>
    <w:rsid w:val="1B6E4F06"/>
    <w:rsid w:val="1B712D1F"/>
    <w:rsid w:val="1B725A83"/>
    <w:rsid w:val="1B7316E9"/>
    <w:rsid w:val="1B7475D1"/>
    <w:rsid w:val="1B75356E"/>
    <w:rsid w:val="1B754A9E"/>
    <w:rsid w:val="1B755865"/>
    <w:rsid w:val="1B79458F"/>
    <w:rsid w:val="1B797C45"/>
    <w:rsid w:val="1B7E3953"/>
    <w:rsid w:val="1B7E3CFD"/>
    <w:rsid w:val="1B844B90"/>
    <w:rsid w:val="1B851185"/>
    <w:rsid w:val="1B86423A"/>
    <w:rsid w:val="1B870E3F"/>
    <w:rsid w:val="1B8D1DE8"/>
    <w:rsid w:val="1B8D3B96"/>
    <w:rsid w:val="1B966EEF"/>
    <w:rsid w:val="1B970EB9"/>
    <w:rsid w:val="1B99078D"/>
    <w:rsid w:val="1BA11A37"/>
    <w:rsid w:val="1BA54AB0"/>
    <w:rsid w:val="1BA86C22"/>
    <w:rsid w:val="1BAA7F40"/>
    <w:rsid w:val="1BB03AF6"/>
    <w:rsid w:val="1BB2644B"/>
    <w:rsid w:val="1BB47078"/>
    <w:rsid w:val="1BB6133F"/>
    <w:rsid w:val="1BB67591"/>
    <w:rsid w:val="1BBA0AE0"/>
    <w:rsid w:val="1BBD091F"/>
    <w:rsid w:val="1BBE7284"/>
    <w:rsid w:val="1BBF007F"/>
    <w:rsid w:val="1BC37DA4"/>
    <w:rsid w:val="1BCA4DEA"/>
    <w:rsid w:val="1BCC1DC6"/>
    <w:rsid w:val="1BCE61E2"/>
    <w:rsid w:val="1BCF563A"/>
    <w:rsid w:val="1BD17AB9"/>
    <w:rsid w:val="1BD33CD1"/>
    <w:rsid w:val="1BD572A5"/>
    <w:rsid w:val="1BD74733"/>
    <w:rsid w:val="1BDB4585"/>
    <w:rsid w:val="1BDD4B1E"/>
    <w:rsid w:val="1BDE43F2"/>
    <w:rsid w:val="1BE834C2"/>
    <w:rsid w:val="1BEA6F14"/>
    <w:rsid w:val="1BEE4949"/>
    <w:rsid w:val="1BF05A90"/>
    <w:rsid w:val="1BF27683"/>
    <w:rsid w:val="1BF9747E"/>
    <w:rsid w:val="1BF974E3"/>
    <w:rsid w:val="1BFA1C6D"/>
    <w:rsid w:val="1BFC2ACA"/>
    <w:rsid w:val="1BFD0D1C"/>
    <w:rsid w:val="1BFF3271"/>
    <w:rsid w:val="1C026332"/>
    <w:rsid w:val="1C055E22"/>
    <w:rsid w:val="1C0D35EA"/>
    <w:rsid w:val="1C0E2C3A"/>
    <w:rsid w:val="1C0F6BFD"/>
    <w:rsid w:val="1C116575"/>
    <w:rsid w:val="1C147642"/>
    <w:rsid w:val="1C163B8C"/>
    <w:rsid w:val="1C1A0EF7"/>
    <w:rsid w:val="1C1A18BC"/>
    <w:rsid w:val="1C1B73F4"/>
    <w:rsid w:val="1C1C2AA1"/>
    <w:rsid w:val="1C201C50"/>
    <w:rsid w:val="1C2144CF"/>
    <w:rsid w:val="1C2204C9"/>
    <w:rsid w:val="1C2277C9"/>
    <w:rsid w:val="1C2362A8"/>
    <w:rsid w:val="1C295FB5"/>
    <w:rsid w:val="1C2E71CD"/>
    <w:rsid w:val="1C2F4C4D"/>
    <w:rsid w:val="1C3000C6"/>
    <w:rsid w:val="1C302402"/>
    <w:rsid w:val="1C3225B1"/>
    <w:rsid w:val="1C362480"/>
    <w:rsid w:val="1C36422E"/>
    <w:rsid w:val="1C3D4C6C"/>
    <w:rsid w:val="1C3D55BC"/>
    <w:rsid w:val="1C3D736A"/>
    <w:rsid w:val="1C3E1334"/>
    <w:rsid w:val="1C400DC6"/>
    <w:rsid w:val="1C404D4C"/>
    <w:rsid w:val="1C421623"/>
    <w:rsid w:val="1C494BBD"/>
    <w:rsid w:val="1C4B6BE5"/>
    <w:rsid w:val="1C4C1CA3"/>
    <w:rsid w:val="1C50575C"/>
    <w:rsid w:val="1C56042C"/>
    <w:rsid w:val="1C5722DB"/>
    <w:rsid w:val="1C5823F6"/>
    <w:rsid w:val="1C5926AA"/>
    <w:rsid w:val="1C5D7821"/>
    <w:rsid w:val="1C5E47EB"/>
    <w:rsid w:val="1C60040A"/>
    <w:rsid w:val="1C60574F"/>
    <w:rsid w:val="1C64757C"/>
    <w:rsid w:val="1C64779E"/>
    <w:rsid w:val="1C651DCF"/>
    <w:rsid w:val="1C6963B1"/>
    <w:rsid w:val="1C6C5EA1"/>
    <w:rsid w:val="1C7100CD"/>
    <w:rsid w:val="1C715266"/>
    <w:rsid w:val="1C746A72"/>
    <w:rsid w:val="1C755A82"/>
    <w:rsid w:val="1C76287C"/>
    <w:rsid w:val="1C781915"/>
    <w:rsid w:val="1C784EA5"/>
    <w:rsid w:val="1C7B4336"/>
    <w:rsid w:val="1C7B5167"/>
    <w:rsid w:val="1C7D00AF"/>
    <w:rsid w:val="1C7D1E5D"/>
    <w:rsid w:val="1C7F3E27"/>
    <w:rsid w:val="1C817B9F"/>
    <w:rsid w:val="1C84143D"/>
    <w:rsid w:val="1C846D1F"/>
    <w:rsid w:val="1C866334"/>
    <w:rsid w:val="1C8B617A"/>
    <w:rsid w:val="1C8D64CA"/>
    <w:rsid w:val="1C8E241A"/>
    <w:rsid w:val="1C8F393E"/>
    <w:rsid w:val="1C907DE2"/>
    <w:rsid w:val="1C914041"/>
    <w:rsid w:val="1C930EB9"/>
    <w:rsid w:val="1C955F9D"/>
    <w:rsid w:val="1C9727F7"/>
    <w:rsid w:val="1C980A44"/>
    <w:rsid w:val="1C9D7C4F"/>
    <w:rsid w:val="1C9F475A"/>
    <w:rsid w:val="1CA51997"/>
    <w:rsid w:val="1CA613B3"/>
    <w:rsid w:val="1CA63842"/>
    <w:rsid w:val="1CA643DD"/>
    <w:rsid w:val="1CA97689"/>
    <w:rsid w:val="1CAB4C1C"/>
    <w:rsid w:val="1CAB5325"/>
    <w:rsid w:val="1CB02232"/>
    <w:rsid w:val="1CB03FE0"/>
    <w:rsid w:val="1CB06EFD"/>
    <w:rsid w:val="1CB3587E"/>
    <w:rsid w:val="1CB735C0"/>
    <w:rsid w:val="1CB938E0"/>
    <w:rsid w:val="1CBD4EE2"/>
    <w:rsid w:val="1CBE1DF2"/>
    <w:rsid w:val="1CC050EC"/>
    <w:rsid w:val="1CC22144"/>
    <w:rsid w:val="1CC33C3C"/>
    <w:rsid w:val="1CC35867"/>
    <w:rsid w:val="1CC57360"/>
    <w:rsid w:val="1CCB7770"/>
    <w:rsid w:val="1CD221A8"/>
    <w:rsid w:val="1CD22F7D"/>
    <w:rsid w:val="1CD7427E"/>
    <w:rsid w:val="1CD83537"/>
    <w:rsid w:val="1CD852E5"/>
    <w:rsid w:val="1CE06507"/>
    <w:rsid w:val="1CE5179F"/>
    <w:rsid w:val="1CE57D5A"/>
    <w:rsid w:val="1CE66B61"/>
    <w:rsid w:val="1CE912A0"/>
    <w:rsid w:val="1CE974F2"/>
    <w:rsid w:val="1CEB5018"/>
    <w:rsid w:val="1CEF43E3"/>
    <w:rsid w:val="1CF0262F"/>
    <w:rsid w:val="1CF10155"/>
    <w:rsid w:val="1CF85987"/>
    <w:rsid w:val="1CFC2D19"/>
    <w:rsid w:val="1CFC5477"/>
    <w:rsid w:val="1D001020"/>
    <w:rsid w:val="1D04432C"/>
    <w:rsid w:val="1D0600A4"/>
    <w:rsid w:val="1D075E4C"/>
    <w:rsid w:val="1D0936F0"/>
    <w:rsid w:val="1D0B7468"/>
    <w:rsid w:val="1D0E0D07"/>
    <w:rsid w:val="1D10139C"/>
    <w:rsid w:val="1D114C9E"/>
    <w:rsid w:val="1D181F30"/>
    <w:rsid w:val="1D183309"/>
    <w:rsid w:val="1D1C5EE0"/>
    <w:rsid w:val="1D1C78C7"/>
    <w:rsid w:val="1D2422D8"/>
    <w:rsid w:val="1D243A64"/>
    <w:rsid w:val="1D272852"/>
    <w:rsid w:val="1D2A162B"/>
    <w:rsid w:val="1D2D10AF"/>
    <w:rsid w:val="1D2F1828"/>
    <w:rsid w:val="1D302D06"/>
    <w:rsid w:val="1D320E99"/>
    <w:rsid w:val="1D3369BF"/>
    <w:rsid w:val="1D350989"/>
    <w:rsid w:val="1D35576D"/>
    <w:rsid w:val="1D372560"/>
    <w:rsid w:val="1D3C5E39"/>
    <w:rsid w:val="1D410B51"/>
    <w:rsid w:val="1D430F6E"/>
    <w:rsid w:val="1D463BFE"/>
    <w:rsid w:val="1D4810DF"/>
    <w:rsid w:val="1D4862D1"/>
    <w:rsid w:val="1D495521"/>
    <w:rsid w:val="1D4A67C5"/>
    <w:rsid w:val="1D4A7489"/>
    <w:rsid w:val="1D4D182F"/>
    <w:rsid w:val="1D4E57B1"/>
    <w:rsid w:val="1D510BDD"/>
    <w:rsid w:val="1D556936"/>
    <w:rsid w:val="1D596426"/>
    <w:rsid w:val="1D5C1A72"/>
    <w:rsid w:val="1D5F77B4"/>
    <w:rsid w:val="1D6112F9"/>
    <w:rsid w:val="1D61177E"/>
    <w:rsid w:val="1D624555"/>
    <w:rsid w:val="1D632B53"/>
    <w:rsid w:val="1D632D08"/>
    <w:rsid w:val="1D632E00"/>
    <w:rsid w:val="1D6372A4"/>
    <w:rsid w:val="1D6772BF"/>
    <w:rsid w:val="1D691539"/>
    <w:rsid w:val="1D6D2039"/>
    <w:rsid w:val="1D6D43E9"/>
    <w:rsid w:val="1D6E17A5"/>
    <w:rsid w:val="1D6F3E9B"/>
    <w:rsid w:val="1D7019C1"/>
    <w:rsid w:val="1D706448"/>
    <w:rsid w:val="1D716C32"/>
    <w:rsid w:val="1D717880"/>
    <w:rsid w:val="1D724583"/>
    <w:rsid w:val="1D73025B"/>
    <w:rsid w:val="1D7B495A"/>
    <w:rsid w:val="1D7B4B4D"/>
    <w:rsid w:val="1D7B65A1"/>
    <w:rsid w:val="1D7D21A1"/>
    <w:rsid w:val="1D8109AC"/>
    <w:rsid w:val="1D8316F5"/>
    <w:rsid w:val="1D835251"/>
    <w:rsid w:val="1D84721B"/>
    <w:rsid w:val="1D8534F7"/>
    <w:rsid w:val="1D880AB9"/>
    <w:rsid w:val="1D8A271F"/>
    <w:rsid w:val="1D8B736A"/>
    <w:rsid w:val="1D8E3BF5"/>
    <w:rsid w:val="1D8E59F2"/>
    <w:rsid w:val="1D93464F"/>
    <w:rsid w:val="1D937791"/>
    <w:rsid w:val="1D94103D"/>
    <w:rsid w:val="1D9456B0"/>
    <w:rsid w:val="1D9B2895"/>
    <w:rsid w:val="1D9E02DC"/>
    <w:rsid w:val="1DA23161"/>
    <w:rsid w:val="1DA57754"/>
    <w:rsid w:val="1DA578BD"/>
    <w:rsid w:val="1DA82F09"/>
    <w:rsid w:val="1DA96BCA"/>
    <w:rsid w:val="1DAB70EE"/>
    <w:rsid w:val="1DAD70E6"/>
    <w:rsid w:val="1DB16262"/>
    <w:rsid w:val="1DB24B73"/>
    <w:rsid w:val="1DB7139E"/>
    <w:rsid w:val="1DBA49EB"/>
    <w:rsid w:val="1DBB07B3"/>
    <w:rsid w:val="1DBB1E88"/>
    <w:rsid w:val="1DC064A5"/>
    <w:rsid w:val="1DC141EC"/>
    <w:rsid w:val="1DC57B63"/>
    <w:rsid w:val="1DC90AF5"/>
    <w:rsid w:val="1DCD471E"/>
    <w:rsid w:val="1DCF7939"/>
    <w:rsid w:val="1DD179F3"/>
    <w:rsid w:val="1DD2199D"/>
    <w:rsid w:val="1DD9572C"/>
    <w:rsid w:val="1DDB38CA"/>
    <w:rsid w:val="1DDE2DCF"/>
    <w:rsid w:val="1DE64F71"/>
    <w:rsid w:val="1DEA1F43"/>
    <w:rsid w:val="1DEC54EC"/>
    <w:rsid w:val="1DEF0B38"/>
    <w:rsid w:val="1DF04AA7"/>
    <w:rsid w:val="1DF0665E"/>
    <w:rsid w:val="1DF21E8E"/>
    <w:rsid w:val="1DF443A0"/>
    <w:rsid w:val="1DF60A19"/>
    <w:rsid w:val="1DF61EC7"/>
    <w:rsid w:val="1DF75C3F"/>
    <w:rsid w:val="1DFB74DD"/>
    <w:rsid w:val="1DFD18B8"/>
    <w:rsid w:val="1E0166A6"/>
    <w:rsid w:val="1E0A28DE"/>
    <w:rsid w:val="1E0D7210"/>
    <w:rsid w:val="1E0E41C0"/>
    <w:rsid w:val="1E116D00"/>
    <w:rsid w:val="1E122A78"/>
    <w:rsid w:val="1E124827"/>
    <w:rsid w:val="1E171E3D"/>
    <w:rsid w:val="1E18008F"/>
    <w:rsid w:val="1E1F501B"/>
    <w:rsid w:val="1E1F7A71"/>
    <w:rsid w:val="1E26755E"/>
    <w:rsid w:val="1E2D3705"/>
    <w:rsid w:val="1E302101"/>
    <w:rsid w:val="1E360515"/>
    <w:rsid w:val="1E37428D"/>
    <w:rsid w:val="1E392895"/>
    <w:rsid w:val="1E3B67A6"/>
    <w:rsid w:val="1E46433B"/>
    <w:rsid w:val="1E465812"/>
    <w:rsid w:val="1E491EB0"/>
    <w:rsid w:val="1E4B06F4"/>
    <w:rsid w:val="1E4C1AE7"/>
    <w:rsid w:val="1E4C35E8"/>
    <w:rsid w:val="1E4C7792"/>
    <w:rsid w:val="1E4D747A"/>
    <w:rsid w:val="1E4E079B"/>
    <w:rsid w:val="1E4E3AB1"/>
    <w:rsid w:val="1E4F7829"/>
    <w:rsid w:val="1E504776"/>
    <w:rsid w:val="1E506F72"/>
    <w:rsid w:val="1E5305ED"/>
    <w:rsid w:val="1E5740C6"/>
    <w:rsid w:val="1E605592"/>
    <w:rsid w:val="1E6257AE"/>
    <w:rsid w:val="1E625F66"/>
    <w:rsid w:val="1E6432D4"/>
    <w:rsid w:val="1E6501F4"/>
    <w:rsid w:val="1E696B3C"/>
    <w:rsid w:val="1E6C4F36"/>
    <w:rsid w:val="1E6D2C45"/>
    <w:rsid w:val="1E6E3A4C"/>
    <w:rsid w:val="1E6F015B"/>
    <w:rsid w:val="1E721A1F"/>
    <w:rsid w:val="1E730C3D"/>
    <w:rsid w:val="1E761F0C"/>
    <w:rsid w:val="1E766B63"/>
    <w:rsid w:val="1E766E25"/>
    <w:rsid w:val="1E780D78"/>
    <w:rsid w:val="1E7B061E"/>
    <w:rsid w:val="1E7B17A7"/>
    <w:rsid w:val="1E7C1D5B"/>
    <w:rsid w:val="1E7D45CD"/>
    <w:rsid w:val="1E7F009A"/>
    <w:rsid w:val="1E8079E2"/>
    <w:rsid w:val="1E827BFE"/>
    <w:rsid w:val="1E8460CD"/>
    <w:rsid w:val="1E867935"/>
    <w:rsid w:val="1E8C5499"/>
    <w:rsid w:val="1E8F1C6A"/>
    <w:rsid w:val="1E953136"/>
    <w:rsid w:val="1E9811D0"/>
    <w:rsid w:val="1E9B69E5"/>
    <w:rsid w:val="1E9D2597"/>
    <w:rsid w:val="1E9F255E"/>
    <w:rsid w:val="1EA26876"/>
    <w:rsid w:val="1EA26D96"/>
    <w:rsid w:val="1EA35913"/>
    <w:rsid w:val="1EA731C1"/>
    <w:rsid w:val="1EA85CA2"/>
    <w:rsid w:val="1EA96F39"/>
    <w:rsid w:val="1EAA2CB1"/>
    <w:rsid w:val="1EAA4A5F"/>
    <w:rsid w:val="1EAE6C60"/>
    <w:rsid w:val="1EAF2B4E"/>
    <w:rsid w:val="1EB317B6"/>
    <w:rsid w:val="1EB31B66"/>
    <w:rsid w:val="1EB85C2F"/>
    <w:rsid w:val="1EBA1146"/>
    <w:rsid w:val="1EBF0EDC"/>
    <w:rsid w:val="1EC11CD6"/>
    <w:rsid w:val="1EC12041"/>
    <w:rsid w:val="1EC3040C"/>
    <w:rsid w:val="1EC44A63"/>
    <w:rsid w:val="1EC51899"/>
    <w:rsid w:val="1EC65D3D"/>
    <w:rsid w:val="1EC92D05"/>
    <w:rsid w:val="1ECA5539"/>
    <w:rsid w:val="1ECD288F"/>
    <w:rsid w:val="1ECD4154"/>
    <w:rsid w:val="1ED2071A"/>
    <w:rsid w:val="1ED65EDA"/>
    <w:rsid w:val="1ED73102"/>
    <w:rsid w:val="1EDB183D"/>
    <w:rsid w:val="1EDB254B"/>
    <w:rsid w:val="1EDC02C9"/>
    <w:rsid w:val="1EDF295B"/>
    <w:rsid w:val="1EE00481"/>
    <w:rsid w:val="1EE73AE8"/>
    <w:rsid w:val="1EE965F2"/>
    <w:rsid w:val="1EEC1623"/>
    <w:rsid w:val="1EEC608F"/>
    <w:rsid w:val="1EED3AD9"/>
    <w:rsid w:val="1EF1268E"/>
    <w:rsid w:val="1EFA3C38"/>
    <w:rsid w:val="1EFB3CFD"/>
    <w:rsid w:val="1EFD67DD"/>
    <w:rsid w:val="1F0423C1"/>
    <w:rsid w:val="1F0711FD"/>
    <w:rsid w:val="1F071EB1"/>
    <w:rsid w:val="1F095831"/>
    <w:rsid w:val="1F0A3F2F"/>
    <w:rsid w:val="1F122D30"/>
    <w:rsid w:val="1F127F3C"/>
    <w:rsid w:val="1F176598"/>
    <w:rsid w:val="1F185CE8"/>
    <w:rsid w:val="1F185E6D"/>
    <w:rsid w:val="1F1C3BAF"/>
    <w:rsid w:val="1F1F71FB"/>
    <w:rsid w:val="1F2043D3"/>
    <w:rsid w:val="1F2206B2"/>
    <w:rsid w:val="1F2243C6"/>
    <w:rsid w:val="1F2667DB"/>
    <w:rsid w:val="1F2B48C1"/>
    <w:rsid w:val="1F2C2346"/>
    <w:rsid w:val="1F313C87"/>
    <w:rsid w:val="1F353D1C"/>
    <w:rsid w:val="1F361B1D"/>
    <w:rsid w:val="1F38650F"/>
    <w:rsid w:val="1F3C1B5B"/>
    <w:rsid w:val="1F3C7DAD"/>
    <w:rsid w:val="1F437144"/>
    <w:rsid w:val="1F4416ED"/>
    <w:rsid w:val="1F47337D"/>
    <w:rsid w:val="1F4849A4"/>
    <w:rsid w:val="1F4B48B0"/>
    <w:rsid w:val="1F4E188E"/>
    <w:rsid w:val="1F515D31"/>
    <w:rsid w:val="1F5350F7"/>
    <w:rsid w:val="1F5844BB"/>
    <w:rsid w:val="1F5A6485"/>
    <w:rsid w:val="1F5D7D23"/>
    <w:rsid w:val="1F5F4E35"/>
    <w:rsid w:val="1F623366"/>
    <w:rsid w:val="1F6410B2"/>
    <w:rsid w:val="1F645955"/>
    <w:rsid w:val="1F6E53CE"/>
    <w:rsid w:val="1F6E7612"/>
    <w:rsid w:val="1F70574E"/>
    <w:rsid w:val="1F707A57"/>
    <w:rsid w:val="1F75506D"/>
    <w:rsid w:val="1F780145"/>
    <w:rsid w:val="1F782D27"/>
    <w:rsid w:val="1F7844F3"/>
    <w:rsid w:val="1F78690B"/>
    <w:rsid w:val="1F7A6F14"/>
    <w:rsid w:val="1F7C349D"/>
    <w:rsid w:val="1F7D07B7"/>
    <w:rsid w:val="1F7E7F2B"/>
    <w:rsid w:val="1F7F413E"/>
    <w:rsid w:val="1F817B8B"/>
    <w:rsid w:val="1F8654CC"/>
    <w:rsid w:val="1F89012D"/>
    <w:rsid w:val="1F8A2A58"/>
    <w:rsid w:val="1F8A6DC0"/>
    <w:rsid w:val="1F8B1B0A"/>
    <w:rsid w:val="1F8E612F"/>
    <w:rsid w:val="1F8F412D"/>
    <w:rsid w:val="1F987826"/>
    <w:rsid w:val="1F9A0AA8"/>
    <w:rsid w:val="1F9F033C"/>
    <w:rsid w:val="1FA07098"/>
    <w:rsid w:val="1FA12306"/>
    <w:rsid w:val="1FA22915"/>
    <w:rsid w:val="1FA30DD9"/>
    <w:rsid w:val="1FA34505"/>
    <w:rsid w:val="1FA45952"/>
    <w:rsid w:val="1FA811E2"/>
    <w:rsid w:val="1FA910D9"/>
    <w:rsid w:val="1FAA3BB8"/>
    <w:rsid w:val="1FAA6ACB"/>
    <w:rsid w:val="1FAC1102"/>
    <w:rsid w:val="1FAD0CAB"/>
    <w:rsid w:val="1FAF58BA"/>
    <w:rsid w:val="1FB212F0"/>
    <w:rsid w:val="1FB21E1D"/>
    <w:rsid w:val="1FB45B95"/>
    <w:rsid w:val="1FB72505"/>
    <w:rsid w:val="1FB85780"/>
    <w:rsid w:val="1FBB64FE"/>
    <w:rsid w:val="1FBC4A4A"/>
    <w:rsid w:val="1FBD191B"/>
    <w:rsid w:val="1FBE1E68"/>
    <w:rsid w:val="1FBF42F0"/>
    <w:rsid w:val="1FC23CA6"/>
    <w:rsid w:val="1FC34680"/>
    <w:rsid w:val="1FC43480"/>
    <w:rsid w:val="1FC60E64"/>
    <w:rsid w:val="1FC63C3B"/>
    <w:rsid w:val="1FC81641"/>
    <w:rsid w:val="1FCA53B9"/>
    <w:rsid w:val="1FCF1074"/>
    <w:rsid w:val="1FCF11BD"/>
    <w:rsid w:val="1FCF454F"/>
    <w:rsid w:val="1FCF6E73"/>
    <w:rsid w:val="1FD224BF"/>
    <w:rsid w:val="1FD2426D"/>
    <w:rsid w:val="1FD3182D"/>
    <w:rsid w:val="1FD37C06"/>
    <w:rsid w:val="1FD37F71"/>
    <w:rsid w:val="1FD443D0"/>
    <w:rsid w:val="1FD44CFB"/>
    <w:rsid w:val="1FD56418"/>
    <w:rsid w:val="1FD60425"/>
    <w:rsid w:val="1FD6376A"/>
    <w:rsid w:val="1FD91AA0"/>
    <w:rsid w:val="1FDA1374"/>
    <w:rsid w:val="1FDA4F80"/>
    <w:rsid w:val="1FDC6E9A"/>
    <w:rsid w:val="1FDD6513"/>
    <w:rsid w:val="1FDE50C0"/>
    <w:rsid w:val="1FDE70B6"/>
    <w:rsid w:val="1FDF3B9A"/>
    <w:rsid w:val="1FE02E2E"/>
    <w:rsid w:val="1FE30229"/>
    <w:rsid w:val="1FE83A91"/>
    <w:rsid w:val="1FEB6D18"/>
    <w:rsid w:val="1FEE6323"/>
    <w:rsid w:val="1FF93EF0"/>
    <w:rsid w:val="1FFD0626"/>
    <w:rsid w:val="1FFE5062"/>
    <w:rsid w:val="20032679"/>
    <w:rsid w:val="20056D34"/>
    <w:rsid w:val="200A1C59"/>
    <w:rsid w:val="200A3E71"/>
    <w:rsid w:val="200D12EE"/>
    <w:rsid w:val="200D3ECA"/>
    <w:rsid w:val="200D799B"/>
    <w:rsid w:val="200E191F"/>
    <w:rsid w:val="201041BF"/>
    <w:rsid w:val="201059D3"/>
    <w:rsid w:val="20126D60"/>
    <w:rsid w:val="201725C8"/>
    <w:rsid w:val="20186AD4"/>
    <w:rsid w:val="201C45A5"/>
    <w:rsid w:val="202055FF"/>
    <w:rsid w:val="20213D83"/>
    <w:rsid w:val="20234AC9"/>
    <w:rsid w:val="20250841"/>
    <w:rsid w:val="20270A5D"/>
    <w:rsid w:val="202A5D88"/>
    <w:rsid w:val="202B1BD0"/>
    <w:rsid w:val="202B7490"/>
    <w:rsid w:val="202F1015"/>
    <w:rsid w:val="202F16C0"/>
    <w:rsid w:val="203411E0"/>
    <w:rsid w:val="203942EC"/>
    <w:rsid w:val="203C3DDD"/>
    <w:rsid w:val="203C7518"/>
    <w:rsid w:val="20422D68"/>
    <w:rsid w:val="204363AB"/>
    <w:rsid w:val="204607B7"/>
    <w:rsid w:val="204A7D65"/>
    <w:rsid w:val="204F1D62"/>
    <w:rsid w:val="20515ADA"/>
    <w:rsid w:val="20543FF2"/>
    <w:rsid w:val="20546C12"/>
    <w:rsid w:val="20560B41"/>
    <w:rsid w:val="20564E9E"/>
    <w:rsid w:val="2057365A"/>
    <w:rsid w:val="2059673D"/>
    <w:rsid w:val="205B0707"/>
    <w:rsid w:val="205B0781"/>
    <w:rsid w:val="205B427C"/>
    <w:rsid w:val="205B7B79"/>
    <w:rsid w:val="205C4E1A"/>
    <w:rsid w:val="205D622D"/>
    <w:rsid w:val="205E01F7"/>
    <w:rsid w:val="205E08CC"/>
    <w:rsid w:val="20643044"/>
    <w:rsid w:val="206724B7"/>
    <w:rsid w:val="206A1A74"/>
    <w:rsid w:val="206A5728"/>
    <w:rsid w:val="206A6B9C"/>
    <w:rsid w:val="206D21E8"/>
    <w:rsid w:val="2074045F"/>
    <w:rsid w:val="207417C9"/>
    <w:rsid w:val="207517EB"/>
    <w:rsid w:val="20757BD3"/>
    <w:rsid w:val="20790B8D"/>
    <w:rsid w:val="207D242B"/>
    <w:rsid w:val="2080016D"/>
    <w:rsid w:val="20823EE5"/>
    <w:rsid w:val="20831A0C"/>
    <w:rsid w:val="208D61FC"/>
    <w:rsid w:val="20907343"/>
    <w:rsid w:val="20922D73"/>
    <w:rsid w:val="20941FD8"/>
    <w:rsid w:val="20943C19"/>
    <w:rsid w:val="209440A5"/>
    <w:rsid w:val="20983709"/>
    <w:rsid w:val="209B0B03"/>
    <w:rsid w:val="209E4D89"/>
    <w:rsid w:val="209F5EE6"/>
    <w:rsid w:val="20A15D31"/>
    <w:rsid w:val="20A200E4"/>
    <w:rsid w:val="20A3138F"/>
    <w:rsid w:val="20A52531"/>
    <w:rsid w:val="20AA343C"/>
    <w:rsid w:val="20AF2801"/>
    <w:rsid w:val="20B35E4D"/>
    <w:rsid w:val="20B6365F"/>
    <w:rsid w:val="20B8603C"/>
    <w:rsid w:val="20BC06E0"/>
    <w:rsid w:val="20BC5287"/>
    <w:rsid w:val="20C232B3"/>
    <w:rsid w:val="20C24910"/>
    <w:rsid w:val="20C36E63"/>
    <w:rsid w:val="20C4005A"/>
    <w:rsid w:val="20C444FE"/>
    <w:rsid w:val="20C462AC"/>
    <w:rsid w:val="20CB2320"/>
    <w:rsid w:val="20CF2503"/>
    <w:rsid w:val="20D500B9"/>
    <w:rsid w:val="20D64DCD"/>
    <w:rsid w:val="20D81D57"/>
    <w:rsid w:val="20DA5ACF"/>
    <w:rsid w:val="20DB793B"/>
    <w:rsid w:val="20DC0E61"/>
    <w:rsid w:val="20E34258"/>
    <w:rsid w:val="20E406FC"/>
    <w:rsid w:val="20E54C5C"/>
    <w:rsid w:val="20E7310B"/>
    <w:rsid w:val="20E80E3E"/>
    <w:rsid w:val="20E90B8D"/>
    <w:rsid w:val="20F12E0D"/>
    <w:rsid w:val="20F546B7"/>
    <w:rsid w:val="20F74607"/>
    <w:rsid w:val="20FD17BE"/>
    <w:rsid w:val="20FD279C"/>
    <w:rsid w:val="20FF1092"/>
    <w:rsid w:val="20FF72E4"/>
    <w:rsid w:val="21020B82"/>
    <w:rsid w:val="21023C85"/>
    <w:rsid w:val="210466A8"/>
    <w:rsid w:val="21093CBF"/>
    <w:rsid w:val="210A5FD9"/>
    <w:rsid w:val="210C16C7"/>
    <w:rsid w:val="210E7527"/>
    <w:rsid w:val="210F3320"/>
    <w:rsid w:val="21106544"/>
    <w:rsid w:val="211612EB"/>
    <w:rsid w:val="21163F3A"/>
    <w:rsid w:val="211650E6"/>
    <w:rsid w:val="211712A5"/>
    <w:rsid w:val="211D2ED8"/>
    <w:rsid w:val="211F2F47"/>
    <w:rsid w:val="211F7986"/>
    <w:rsid w:val="21233D21"/>
    <w:rsid w:val="21234242"/>
    <w:rsid w:val="2123526F"/>
    <w:rsid w:val="212524E4"/>
    <w:rsid w:val="21254CE9"/>
    <w:rsid w:val="21280C9E"/>
    <w:rsid w:val="212A3F06"/>
    <w:rsid w:val="21317133"/>
    <w:rsid w:val="213175AD"/>
    <w:rsid w:val="21326626"/>
    <w:rsid w:val="213276BA"/>
    <w:rsid w:val="21365523"/>
    <w:rsid w:val="21366A7E"/>
    <w:rsid w:val="21370624"/>
    <w:rsid w:val="21380A48"/>
    <w:rsid w:val="21396E8B"/>
    <w:rsid w:val="214178FD"/>
    <w:rsid w:val="2144364C"/>
    <w:rsid w:val="214611D6"/>
    <w:rsid w:val="21471BB1"/>
    <w:rsid w:val="21486EDD"/>
    <w:rsid w:val="21494A03"/>
    <w:rsid w:val="214B4553"/>
    <w:rsid w:val="215009B0"/>
    <w:rsid w:val="21522CCD"/>
    <w:rsid w:val="215240CB"/>
    <w:rsid w:val="21543588"/>
    <w:rsid w:val="21563CAC"/>
    <w:rsid w:val="215A451A"/>
    <w:rsid w:val="215A54C1"/>
    <w:rsid w:val="215A6C10"/>
    <w:rsid w:val="215E2E47"/>
    <w:rsid w:val="21625939"/>
    <w:rsid w:val="21645E0A"/>
    <w:rsid w:val="21676C37"/>
    <w:rsid w:val="216917F7"/>
    <w:rsid w:val="216C0868"/>
    <w:rsid w:val="216D6919"/>
    <w:rsid w:val="216E62AB"/>
    <w:rsid w:val="21741606"/>
    <w:rsid w:val="21753704"/>
    <w:rsid w:val="21761ACC"/>
    <w:rsid w:val="217934DB"/>
    <w:rsid w:val="217961F5"/>
    <w:rsid w:val="217C0935"/>
    <w:rsid w:val="2180419A"/>
    <w:rsid w:val="2180579B"/>
    <w:rsid w:val="21855BBA"/>
    <w:rsid w:val="21862C6D"/>
    <w:rsid w:val="218745C3"/>
    <w:rsid w:val="21893052"/>
    <w:rsid w:val="21893C3E"/>
    <w:rsid w:val="218D3D3E"/>
    <w:rsid w:val="218E2416"/>
    <w:rsid w:val="218F11BD"/>
    <w:rsid w:val="218F3D3D"/>
    <w:rsid w:val="219026D1"/>
    <w:rsid w:val="219269E0"/>
    <w:rsid w:val="219306D3"/>
    <w:rsid w:val="21933ED0"/>
    <w:rsid w:val="21957C48"/>
    <w:rsid w:val="219B4444"/>
    <w:rsid w:val="219F2875"/>
    <w:rsid w:val="21A01935"/>
    <w:rsid w:val="21A13937"/>
    <w:rsid w:val="21A41C3A"/>
    <w:rsid w:val="21A424DE"/>
    <w:rsid w:val="21A56FE5"/>
    <w:rsid w:val="21AB746C"/>
    <w:rsid w:val="21AD4952"/>
    <w:rsid w:val="21AE3E3A"/>
    <w:rsid w:val="21B07388"/>
    <w:rsid w:val="21B70421"/>
    <w:rsid w:val="21B8529F"/>
    <w:rsid w:val="21BA4C33"/>
    <w:rsid w:val="21BB0A2F"/>
    <w:rsid w:val="21BB7296"/>
    <w:rsid w:val="21BE0F4D"/>
    <w:rsid w:val="21BF6A73"/>
    <w:rsid w:val="21BF72DD"/>
    <w:rsid w:val="21C10E49"/>
    <w:rsid w:val="21C422DC"/>
    <w:rsid w:val="21C66054"/>
    <w:rsid w:val="21C83B7A"/>
    <w:rsid w:val="21CE3F73"/>
    <w:rsid w:val="21CE446B"/>
    <w:rsid w:val="21D2742D"/>
    <w:rsid w:val="21DB1D8E"/>
    <w:rsid w:val="21DB44E3"/>
    <w:rsid w:val="21DB4742"/>
    <w:rsid w:val="21DF35AE"/>
    <w:rsid w:val="21E02801"/>
    <w:rsid w:val="21E0295D"/>
    <w:rsid w:val="21E10E5D"/>
    <w:rsid w:val="21E1137E"/>
    <w:rsid w:val="21E800D1"/>
    <w:rsid w:val="21EA3FCB"/>
    <w:rsid w:val="21EA5DD8"/>
    <w:rsid w:val="21EC0DB5"/>
    <w:rsid w:val="21ED1793"/>
    <w:rsid w:val="21ED6A33"/>
    <w:rsid w:val="21EE14A6"/>
    <w:rsid w:val="21EF7359"/>
    <w:rsid w:val="21F46788"/>
    <w:rsid w:val="21F72ED0"/>
    <w:rsid w:val="21FA7AAB"/>
    <w:rsid w:val="21FB57DD"/>
    <w:rsid w:val="220175E3"/>
    <w:rsid w:val="22056B7C"/>
    <w:rsid w:val="220628F4"/>
    <w:rsid w:val="22066531"/>
    <w:rsid w:val="220770D0"/>
    <w:rsid w:val="220939AB"/>
    <w:rsid w:val="22094FFD"/>
    <w:rsid w:val="221008D5"/>
    <w:rsid w:val="22123047"/>
    <w:rsid w:val="22143A35"/>
    <w:rsid w:val="22145B61"/>
    <w:rsid w:val="22160D89"/>
    <w:rsid w:val="22162B37"/>
    <w:rsid w:val="221676C6"/>
    <w:rsid w:val="2217065D"/>
    <w:rsid w:val="22172BBE"/>
    <w:rsid w:val="2219503C"/>
    <w:rsid w:val="221C21DB"/>
    <w:rsid w:val="22201AA4"/>
    <w:rsid w:val="2223045B"/>
    <w:rsid w:val="22250B98"/>
    <w:rsid w:val="22280ABD"/>
    <w:rsid w:val="2228635C"/>
    <w:rsid w:val="222D60D3"/>
    <w:rsid w:val="222F223B"/>
    <w:rsid w:val="222F62DB"/>
    <w:rsid w:val="22355F97"/>
    <w:rsid w:val="22364E11"/>
    <w:rsid w:val="223A41F0"/>
    <w:rsid w:val="223B07F0"/>
    <w:rsid w:val="223B259E"/>
    <w:rsid w:val="224156DA"/>
    <w:rsid w:val="224537FE"/>
    <w:rsid w:val="224623B3"/>
    <w:rsid w:val="2246693F"/>
    <w:rsid w:val="22487082"/>
    <w:rsid w:val="22490B1F"/>
    <w:rsid w:val="224B0307"/>
    <w:rsid w:val="224D22D1"/>
    <w:rsid w:val="224F6054"/>
    <w:rsid w:val="224F7DF7"/>
    <w:rsid w:val="225002F2"/>
    <w:rsid w:val="22531398"/>
    <w:rsid w:val="22544E1C"/>
    <w:rsid w:val="22561186"/>
    <w:rsid w:val="22563050"/>
    <w:rsid w:val="22572B2A"/>
    <w:rsid w:val="225A0C09"/>
    <w:rsid w:val="225C42C2"/>
    <w:rsid w:val="225D37B5"/>
    <w:rsid w:val="226513C9"/>
    <w:rsid w:val="226A2E83"/>
    <w:rsid w:val="226B0A0C"/>
    <w:rsid w:val="226E2973"/>
    <w:rsid w:val="22700284"/>
    <w:rsid w:val="22712221"/>
    <w:rsid w:val="2272087D"/>
    <w:rsid w:val="22721D38"/>
    <w:rsid w:val="2274213B"/>
    <w:rsid w:val="2278245D"/>
    <w:rsid w:val="227B4222"/>
    <w:rsid w:val="22803731"/>
    <w:rsid w:val="22812984"/>
    <w:rsid w:val="2282185D"/>
    <w:rsid w:val="22853819"/>
    <w:rsid w:val="22857CBD"/>
    <w:rsid w:val="22876054"/>
    <w:rsid w:val="228A10D4"/>
    <w:rsid w:val="228B1DC1"/>
    <w:rsid w:val="228B5377"/>
    <w:rsid w:val="228D0920"/>
    <w:rsid w:val="228D1E28"/>
    <w:rsid w:val="22921D14"/>
    <w:rsid w:val="22947F00"/>
    <w:rsid w:val="22967FAA"/>
    <w:rsid w:val="229A37FF"/>
    <w:rsid w:val="229B128E"/>
    <w:rsid w:val="22A00653"/>
    <w:rsid w:val="22A04AF7"/>
    <w:rsid w:val="22A1558C"/>
    <w:rsid w:val="22A16AEF"/>
    <w:rsid w:val="22A25B06"/>
    <w:rsid w:val="22A740A9"/>
    <w:rsid w:val="22A95CE2"/>
    <w:rsid w:val="22AC06A2"/>
    <w:rsid w:val="22AC524A"/>
    <w:rsid w:val="22AC686C"/>
    <w:rsid w:val="22AD0808"/>
    <w:rsid w:val="22AF25C1"/>
    <w:rsid w:val="22B02FC7"/>
    <w:rsid w:val="22B10AB2"/>
    <w:rsid w:val="22B67A9D"/>
    <w:rsid w:val="22B67E76"/>
    <w:rsid w:val="22B70195"/>
    <w:rsid w:val="22C02AA3"/>
    <w:rsid w:val="22C41F87"/>
    <w:rsid w:val="22C425AD"/>
    <w:rsid w:val="22C70C2F"/>
    <w:rsid w:val="22C95DFC"/>
    <w:rsid w:val="22CE5187"/>
    <w:rsid w:val="22CE51C0"/>
    <w:rsid w:val="22CE54FD"/>
    <w:rsid w:val="22D622C7"/>
    <w:rsid w:val="22D72A30"/>
    <w:rsid w:val="22DA60FF"/>
    <w:rsid w:val="22DA7E19"/>
    <w:rsid w:val="22DB63C9"/>
    <w:rsid w:val="22DD18A7"/>
    <w:rsid w:val="22E24891"/>
    <w:rsid w:val="22E26EBD"/>
    <w:rsid w:val="22E2773C"/>
    <w:rsid w:val="22E54E3C"/>
    <w:rsid w:val="22E7312D"/>
    <w:rsid w:val="22E759A1"/>
    <w:rsid w:val="22E87A3C"/>
    <w:rsid w:val="22EA5D72"/>
    <w:rsid w:val="22EC7098"/>
    <w:rsid w:val="22EE7610"/>
    <w:rsid w:val="22F12417"/>
    <w:rsid w:val="22F56BF1"/>
    <w:rsid w:val="22F57088"/>
    <w:rsid w:val="22FA65EF"/>
    <w:rsid w:val="22FD7853"/>
    <w:rsid w:val="22FF35CB"/>
    <w:rsid w:val="23004451"/>
    <w:rsid w:val="23007343"/>
    <w:rsid w:val="230617B4"/>
    <w:rsid w:val="230706D2"/>
    <w:rsid w:val="2309444A"/>
    <w:rsid w:val="230B6414"/>
    <w:rsid w:val="230C2E93"/>
    <w:rsid w:val="230E1A60"/>
    <w:rsid w:val="231045D3"/>
    <w:rsid w:val="23122559"/>
    <w:rsid w:val="231437A8"/>
    <w:rsid w:val="23156929"/>
    <w:rsid w:val="23164DB9"/>
    <w:rsid w:val="231828DF"/>
    <w:rsid w:val="231D1CA3"/>
    <w:rsid w:val="231E6D42"/>
    <w:rsid w:val="23204D36"/>
    <w:rsid w:val="232059B9"/>
    <w:rsid w:val="232A5278"/>
    <w:rsid w:val="232B0864"/>
    <w:rsid w:val="23305B59"/>
    <w:rsid w:val="23305E7B"/>
    <w:rsid w:val="233139A1"/>
    <w:rsid w:val="233314C7"/>
    <w:rsid w:val="23333275"/>
    <w:rsid w:val="23377209"/>
    <w:rsid w:val="23387465"/>
    <w:rsid w:val="233C481F"/>
    <w:rsid w:val="233D0A90"/>
    <w:rsid w:val="233E17D0"/>
    <w:rsid w:val="23454AB8"/>
    <w:rsid w:val="2346744C"/>
    <w:rsid w:val="2347257A"/>
    <w:rsid w:val="23490CEA"/>
    <w:rsid w:val="234C0869"/>
    <w:rsid w:val="234D2E95"/>
    <w:rsid w:val="2351194D"/>
    <w:rsid w:val="23543F51"/>
    <w:rsid w:val="235B27CC"/>
    <w:rsid w:val="23614286"/>
    <w:rsid w:val="2368163D"/>
    <w:rsid w:val="236A4F7F"/>
    <w:rsid w:val="236B5495"/>
    <w:rsid w:val="236D16F9"/>
    <w:rsid w:val="236E2B89"/>
    <w:rsid w:val="236E69A3"/>
    <w:rsid w:val="23700025"/>
    <w:rsid w:val="237415CC"/>
    <w:rsid w:val="2375407F"/>
    <w:rsid w:val="237A0EA4"/>
    <w:rsid w:val="237A33CF"/>
    <w:rsid w:val="237B7B91"/>
    <w:rsid w:val="237D2742"/>
    <w:rsid w:val="237E0A00"/>
    <w:rsid w:val="23833182"/>
    <w:rsid w:val="238B23D8"/>
    <w:rsid w:val="238D507B"/>
    <w:rsid w:val="238E494F"/>
    <w:rsid w:val="239042DF"/>
    <w:rsid w:val="23912418"/>
    <w:rsid w:val="239301B8"/>
    <w:rsid w:val="23930788"/>
    <w:rsid w:val="23955CDE"/>
    <w:rsid w:val="23962FBE"/>
    <w:rsid w:val="23976BA3"/>
    <w:rsid w:val="2398195C"/>
    <w:rsid w:val="23983A20"/>
    <w:rsid w:val="23992749"/>
    <w:rsid w:val="239F090A"/>
    <w:rsid w:val="239F4DAE"/>
    <w:rsid w:val="239F55C5"/>
    <w:rsid w:val="23A14683"/>
    <w:rsid w:val="23A34D10"/>
    <w:rsid w:val="23A423C5"/>
    <w:rsid w:val="23A52A48"/>
    <w:rsid w:val="23A57F77"/>
    <w:rsid w:val="23A93537"/>
    <w:rsid w:val="23AA169B"/>
    <w:rsid w:val="23AA508F"/>
    <w:rsid w:val="23AD3845"/>
    <w:rsid w:val="23B0363D"/>
    <w:rsid w:val="23BD5235"/>
    <w:rsid w:val="23C12F77"/>
    <w:rsid w:val="23C3377E"/>
    <w:rsid w:val="23C6233B"/>
    <w:rsid w:val="23C7127F"/>
    <w:rsid w:val="23CD2307"/>
    <w:rsid w:val="23D031BA"/>
    <w:rsid w:val="23D13FED"/>
    <w:rsid w:val="23D208E0"/>
    <w:rsid w:val="23D5432C"/>
    <w:rsid w:val="23D81F29"/>
    <w:rsid w:val="23DC4E4F"/>
    <w:rsid w:val="23DD1CD2"/>
    <w:rsid w:val="23E12553"/>
    <w:rsid w:val="23E822B1"/>
    <w:rsid w:val="23EB7CF9"/>
    <w:rsid w:val="23EC3D11"/>
    <w:rsid w:val="23EE2F4C"/>
    <w:rsid w:val="23F073B8"/>
    <w:rsid w:val="23F30C56"/>
    <w:rsid w:val="23F6274F"/>
    <w:rsid w:val="23F6609A"/>
    <w:rsid w:val="23F84985"/>
    <w:rsid w:val="23FC0568"/>
    <w:rsid w:val="23FC7B0B"/>
    <w:rsid w:val="240107DF"/>
    <w:rsid w:val="24056520"/>
    <w:rsid w:val="2406444A"/>
    <w:rsid w:val="24077A99"/>
    <w:rsid w:val="240819AC"/>
    <w:rsid w:val="24082954"/>
    <w:rsid w:val="24082FAE"/>
    <w:rsid w:val="24092228"/>
    <w:rsid w:val="240A3D9B"/>
    <w:rsid w:val="240C69F5"/>
    <w:rsid w:val="240C7194"/>
    <w:rsid w:val="24104883"/>
    <w:rsid w:val="24111746"/>
    <w:rsid w:val="24156E1F"/>
    <w:rsid w:val="24166017"/>
    <w:rsid w:val="24171269"/>
    <w:rsid w:val="2418536D"/>
    <w:rsid w:val="241906BD"/>
    <w:rsid w:val="24194A6A"/>
    <w:rsid w:val="241D11AC"/>
    <w:rsid w:val="24254611"/>
    <w:rsid w:val="24254631"/>
    <w:rsid w:val="2427002B"/>
    <w:rsid w:val="24277076"/>
    <w:rsid w:val="242833E7"/>
    <w:rsid w:val="242B1D92"/>
    <w:rsid w:val="242E481E"/>
    <w:rsid w:val="24357594"/>
    <w:rsid w:val="24376D95"/>
    <w:rsid w:val="243A1B1F"/>
    <w:rsid w:val="243A7458"/>
    <w:rsid w:val="243F3E9B"/>
    <w:rsid w:val="243F5C4A"/>
    <w:rsid w:val="24412260"/>
    <w:rsid w:val="24431BDE"/>
    <w:rsid w:val="24480FA2"/>
    <w:rsid w:val="24483A89"/>
    <w:rsid w:val="24494071"/>
    <w:rsid w:val="244B6DB4"/>
    <w:rsid w:val="244C13EC"/>
    <w:rsid w:val="24521E21"/>
    <w:rsid w:val="24530E84"/>
    <w:rsid w:val="24540840"/>
    <w:rsid w:val="245423B4"/>
    <w:rsid w:val="24545B99"/>
    <w:rsid w:val="24562D0D"/>
    <w:rsid w:val="245F6759"/>
    <w:rsid w:val="246062EC"/>
    <w:rsid w:val="24627762"/>
    <w:rsid w:val="24636FF4"/>
    <w:rsid w:val="2466102F"/>
    <w:rsid w:val="246658A8"/>
    <w:rsid w:val="246851A0"/>
    <w:rsid w:val="246F2BD8"/>
    <w:rsid w:val="24704055"/>
    <w:rsid w:val="24741D97"/>
    <w:rsid w:val="24742B1F"/>
    <w:rsid w:val="2477127B"/>
    <w:rsid w:val="247753E3"/>
    <w:rsid w:val="247B03E6"/>
    <w:rsid w:val="247B3883"/>
    <w:rsid w:val="247C6455"/>
    <w:rsid w:val="24803BF9"/>
    <w:rsid w:val="248845B3"/>
    <w:rsid w:val="248C1A8E"/>
    <w:rsid w:val="248D10AB"/>
    <w:rsid w:val="248D64E1"/>
    <w:rsid w:val="24901D28"/>
    <w:rsid w:val="249146F7"/>
    <w:rsid w:val="249266C1"/>
    <w:rsid w:val="249715B5"/>
    <w:rsid w:val="249935AC"/>
    <w:rsid w:val="249A1A58"/>
    <w:rsid w:val="249A1C21"/>
    <w:rsid w:val="249E51A6"/>
    <w:rsid w:val="24A1364C"/>
    <w:rsid w:val="24A76E7A"/>
    <w:rsid w:val="24AC0D88"/>
    <w:rsid w:val="24AE4BCF"/>
    <w:rsid w:val="24AE52A6"/>
    <w:rsid w:val="24AF2DCF"/>
    <w:rsid w:val="24B0799F"/>
    <w:rsid w:val="24B13E75"/>
    <w:rsid w:val="24B16B47"/>
    <w:rsid w:val="24B25722"/>
    <w:rsid w:val="24B65409"/>
    <w:rsid w:val="24B85758"/>
    <w:rsid w:val="24B959FC"/>
    <w:rsid w:val="24BD373E"/>
    <w:rsid w:val="24BE3012"/>
    <w:rsid w:val="24BF043F"/>
    <w:rsid w:val="24C26FA6"/>
    <w:rsid w:val="24C32F10"/>
    <w:rsid w:val="24C3687B"/>
    <w:rsid w:val="24C534EE"/>
    <w:rsid w:val="24C5740B"/>
    <w:rsid w:val="24C860F1"/>
    <w:rsid w:val="24C95F53"/>
    <w:rsid w:val="24CB2565"/>
    <w:rsid w:val="24CE259C"/>
    <w:rsid w:val="24CE34DB"/>
    <w:rsid w:val="24D11DC3"/>
    <w:rsid w:val="24D345D7"/>
    <w:rsid w:val="24D605DF"/>
    <w:rsid w:val="24D629A0"/>
    <w:rsid w:val="24D8259E"/>
    <w:rsid w:val="24DA4A4B"/>
    <w:rsid w:val="24DB5972"/>
    <w:rsid w:val="24E2057E"/>
    <w:rsid w:val="24E34EEF"/>
    <w:rsid w:val="24E448AE"/>
    <w:rsid w:val="24E46C1F"/>
    <w:rsid w:val="24E74595"/>
    <w:rsid w:val="24E9480D"/>
    <w:rsid w:val="24F27517"/>
    <w:rsid w:val="24F95E65"/>
    <w:rsid w:val="24FA29B1"/>
    <w:rsid w:val="24FE5B05"/>
    <w:rsid w:val="25022F57"/>
    <w:rsid w:val="25026FCD"/>
    <w:rsid w:val="25034FD5"/>
    <w:rsid w:val="25047C49"/>
    <w:rsid w:val="2505707F"/>
    <w:rsid w:val="25093EC8"/>
    <w:rsid w:val="250B0F1D"/>
    <w:rsid w:val="250C6474"/>
    <w:rsid w:val="250F38DA"/>
    <w:rsid w:val="25166EE7"/>
    <w:rsid w:val="251671A6"/>
    <w:rsid w:val="25237270"/>
    <w:rsid w:val="2524216A"/>
    <w:rsid w:val="2524556B"/>
    <w:rsid w:val="252A06A8"/>
    <w:rsid w:val="252B4B4C"/>
    <w:rsid w:val="252D7C9D"/>
    <w:rsid w:val="252E6DC3"/>
    <w:rsid w:val="252F7AFA"/>
    <w:rsid w:val="25331C52"/>
    <w:rsid w:val="25333A00"/>
    <w:rsid w:val="2533755C"/>
    <w:rsid w:val="253432D4"/>
    <w:rsid w:val="2536704D"/>
    <w:rsid w:val="253C0302"/>
    <w:rsid w:val="253C6BA7"/>
    <w:rsid w:val="25401C79"/>
    <w:rsid w:val="254042AE"/>
    <w:rsid w:val="254128E9"/>
    <w:rsid w:val="25423C43"/>
    <w:rsid w:val="2547252A"/>
    <w:rsid w:val="2548091A"/>
    <w:rsid w:val="25486290"/>
    <w:rsid w:val="25494107"/>
    <w:rsid w:val="25496D80"/>
    <w:rsid w:val="254A2AF8"/>
    <w:rsid w:val="254E4396"/>
    <w:rsid w:val="25505BF5"/>
    <w:rsid w:val="25516BE7"/>
    <w:rsid w:val="25535E50"/>
    <w:rsid w:val="25537BFE"/>
    <w:rsid w:val="25561F18"/>
    <w:rsid w:val="2557364F"/>
    <w:rsid w:val="25592B49"/>
    <w:rsid w:val="255D282B"/>
    <w:rsid w:val="255D2E63"/>
    <w:rsid w:val="255E7CE1"/>
    <w:rsid w:val="256242E5"/>
    <w:rsid w:val="25665B84"/>
    <w:rsid w:val="25672D36"/>
    <w:rsid w:val="256838D4"/>
    <w:rsid w:val="25683A99"/>
    <w:rsid w:val="256849C3"/>
    <w:rsid w:val="256A4F48"/>
    <w:rsid w:val="256B13EC"/>
    <w:rsid w:val="257009B9"/>
    <w:rsid w:val="2570755D"/>
    <w:rsid w:val="25755DC7"/>
    <w:rsid w:val="25777E8D"/>
    <w:rsid w:val="25783B09"/>
    <w:rsid w:val="257864D0"/>
    <w:rsid w:val="257A33DD"/>
    <w:rsid w:val="2580476C"/>
    <w:rsid w:val="2580651A"/>
    <w:rsid w:val="258157FF"/>
    <w:rsid w:val="25835540"/>
    <w:rsid w:val="25861D82"/>
    <w:rsid w:val="25867FD4"/>
    <w:rsid w:val="258826B1"/>
    <w:rsid w:val="25897AC4"/>
    <w:rsid w:val="258E6E89"/>
    <w:rsid w:val="259326F1"/>
    <w:rsid w:val="25951FC5"/>
    <w:rsid w:val="25965D3D"/>
    <w:rsid w:val="25994B0F"/>
    <w:rsid w:val="259A4FE0"/>
    <w:rsid w:val="259F2E44"/>
    <w:rsid w:val="25A33C5F"/>
    <w:rsid w:val="25A4663F"/>
    <w:rsid w:val="25A641D2"/>
    <w:rsid w:val="25A718F0"/>
    <w:rsid w:val="25AA2166"/>
    <w:rsid w:val="25AD37B3"/>
    <w:rsid w:val="25AE12D9"/>
    <w:rsid w:val="25AF7A72"/>
    <w:rsid w:val="25BA5ED0"/>
    <w:rsid w:val="25BA797A"/>
    <w:rsid w:val="25BC0EAB"/>
    <w:rsid w:val="25BC18EC"/>
    <w:rsid w:val="25BC39F6"/>
    <w:rsid w:val="25C4747C"/>
    <w:rsid w:val="25CC175F"/>
    <w:rsid w:val="25CC6A1F"/>
    <w:rsid w:val="25CE54D7"/>
    <w:rsid w:val="25D16D75"/>
    <w:rsid w:val="25D54AB7"/>
    <w:rsid w:val="25D85F35"/>
    <w:rsid w:val="25DA20CE"/>
    <w:rsid w:val="25DB5F88"/>
    <w:rsid w:val="25DB7E88"/>
    <w:rsid w:val="25DC036B"/>
    <w:rsid w:val="25DE0132"/>
    <w:rsid w:val="25DE3A9F"/>
    <w:rsid w:val="25DF754C"/>
    <w:rsid w:val="25E35426"/>
    <w:rsid w:val="25E46AA9"/>
    <w:rsid w:val="25E57259"/>
    <w:rsid w:val="25E66CC5"/>
    <w:rsid w:val="25EB42DB"/>
    <w:rsid w:val="25EB6089"/>
    <w:rsid w:val="25EF6D72"/>
    <w:rsid w:val="25F0544D"/>
    <w:rsid w:val="25F062CF"/>
    <w:rsid w:val="25F20923"/>
    <w:rsid w:val="25F34F3E"/>
    <w:rsid w:val="25F41C17"/>
    <w:rsid w:val="25F42E5C"/>
    <w:rsid w:val="25F70468"/>
    <w:rsid w:val="25F73B8D"/>
    <w:rsid w:val="25F82554"/>
    <w:rsid w:val="25F91FC1"/>
    <w:rsid w:val="25F95EEC"/>
    <w:rsid w:val="25F9772D"/>
    <w:rsid w:val="25FD13A3"/>
    <w:rsid w:val="25FF2CBA"/>
    <w:rsid w:val="2604714B"/>
    <w:rsid w:val="26063582"/>
    <w:rsid w:val="2607719D"/>
    <w:rsid w:val="26084AA1"/>
    <w:rsid w:val="260E1D77"/>
    <w:rsid w:val="2610789E"/>
    <w:rsid w:val="261206FC"/>
    <w:rsid w:val="26121868"/>
    <w:rsid w:val="261455E0"/>
    <w:rsid w:val="26146435"/>
    <w:rsid w:val="26154EB4"/>
    <w:rsid w:val="261A4BC0"/>
    <w:rsid w:val="261A6F67"/>
    <w:rsid w:val="261E1534"/>
    <w:rsid w:val="261F4FA8"/>
    <w:rsid w:val="26220521"/>
    <w:rsid w:val="26250192"/>
    <w:rsid w:val="2625676F"/>
    <w:rsid w:val="2626084E"/>
    <w:rsid w:val="26282E39"/>
    <w:rsid w:val="26320A21"/>
    <w:rsid w:val="2632688F"/>
    <w:rsid w:val="26342666"/>
    <w:rsid w:val="26363369"/>
    <w:rsid w:val="263D67D5"/>
    <w:rsid w:val="263E265D"/>
    <w:rsid w:val="264834DB"/>
    <w:rsid w:val="264D6D44"/>
    <w:rsid w:val="264E7968"/>
    <w:rsid w:val="265022D2"/>
    <w:rsid w:val="265231DC"/>
    <w:rsid w:val="26527EB6"/>
    <w:rsid w:val="26575474"/>
    <w:rsid w:val="26575A80"/>
    <w:rsid w:val="265B5CF5"/>
    <w:rsid w:val="265E0B0C"/>
    <w:rsid w:val="265F1667"/>
    <w:rsid w:val="266073AE"/>
    <w:rsid w:val="266462D5"/>
    <w:rsid w:val="26655E3B"/>
    <w:rsid w:val="26663D28"/>
    <w:rsid w:val="26684F39"/>
    <w:rsid w:val="266B7E43"/>
    <w:rsid w:val="266D2F42"/>
    <w:rsid w:val="266D3BDD"/>
    <w:rsid w:val="2672621E"/>
    <w:rsid w:val="267267AA"/>
    <w:rsid w:val="26744000"/>
    <w:rsid w:val="267A11BB"/>
    <w:rsid w:val="267B565F"/>
    <w:rsid w:val="267C3185"/>
    <w:rsid w:val="267E0CAB"/>
    <w:rsid w:val="267F0510"/>
    <w:rsid w:val="2685203A"/>
    <w:rsid w:val="268B5768"/>
    <w:rsid w:val="26906C30"/>
    <w:rsid w:val="26913F4C"/>
    <w:rsid w:val="26953B28"/>
    <w:rsid w:val="26971D6D"/>
    <w:rsid w:val="269A12F5"/>
    <w:rsid w:val="269E0E78"/>
    <w:rsid w:val="26A06E73"/>
    <w:rsid w:val="26A73F90"/>
    <w:rsid w:val="26A85D28"/>
    <w:rsid w:val="26A94D1C"/>
    <w:rsid w:val="26AB2519"/>
    <w:rsid w:val="26B2270B"/>
    <w:rsid w:val="26B3512E"/>
    <w:rsid w:val="26BB623B"/>
    <w:rsid w:val="26BE05EC"/>
    <w:rsid w:val="26BE0CB9"/>
    <w:rsid w:val="26BE554B"/>
    <w:rsid w:val="26C11752"/>
    <w:rsid w:val="26C22C59"/>
    <w:rsid w:val="26C366B2"/>
    <w:rsid w:val="26C54B2C"/>
    <w:rsid w:val="26C636E1"/>
    <w:rsid w:val="26C863CA"/>
    <w:rsid w:val="26CA0394"/>
    <w:rsid w:val="26CB1A16"/>
    <w:rsid w:val="26CD1C32"/>
    <w:rsid w:val="26D13A82"/>
    <w:rsid w:val="26D802BD"/>
    <w:rsid w:val="26D96400"/>
    <w:rsid w:val="26DB070F"/>
    <w:rsid w:val="26E812B6"/>
    <w:rsid w:val="26EA4414"/>
    <w:rsid w:val="26EB4440"/>
    <w:rsid w:val="26ED1D1A"/>
    <w:rsid w:val="26EE1644"/>
    <w:rsid w:val="26EF4D2A"/>
    <w:rsid w:val="26F71843"/>
    <w:rsid w:val="26FC7E22"/>
    <w:rsid w:val="26FE1DEC"/>
    <w:rsid w:val="26FF15DA"/>
    <w:rsid w:val="26FF3517"/>
    <w:rsid w:val="27007912"/>
    <w:rsid w:val="27034AF3"/>
    <w:rsid w:val="27051412"/>
    <w:rsid w:val="27055676"/>
    <w:rsid w:val="27076EF2"/>
    <w:rsid w:val="27090EBD"/>
    <w:rsid w:val="270D623B"/>
    <w:rsid w:val="270F5DA7"/>
    <w:rsid w:val="27111B1F"/>
    <w:rsid w:val="27112C4A"/>
    <w:rsid w:val="2711570C"/>
    <w:rsid w:val="27133AE9"/>
    <w:rsid w:val="27165388"/>
    <w:rsid w:val="27196C26"/>
    <w:rsid w:val="27197DC8"/>
    <w:rsid w:val="271A0C1D"/>
    <w:rsid w:val="271C5921"/>
    <w:rsid w:val="271D1C2A"/>
    <w:rsid w:val="271D4F1E"/>
    <w:rsid w:val="27223D2C"/>
    <w:rsid w:val="27257379"/>
    <w:rsid w:val="27271343"/>
    <w:rsid w:val="27292135"/>
    <w:rsid w:val="272A498F"/>
    <w:rsid w:val="272B78AF"/>
    <w:rsid w:val="272C57DB"/>
    <w:rsid w:val="272E0923"/>
    <w:rsid w:val="2732544D"/>
    <w:rsid w:val="27365509"/>
    <w:rsid w:val="27383B65"/>
    <w:rsid w:val="273D4A27"/>
    <w:rsid w:val="273E043A"/>
    <w:rsid w:val="273E668C"/>
    <w:rsid w:val="274041B2"/>
    <w:rsid w:val="27421CD9"/>
    <w:rsid w:val="2742617D"/>
    <w:rsid w:val="27434B49"/>
    <w:rsid w:val="274522A6"/>
    <w:rsid w:val="27457A1B"/>
    <w:rsid w:val="27473793"/>
    <w:rsid w:val="27492A43"/>
    <w:rsid w:val="274A0618"/>
    <w:rsid w:val="274A3283"/>
    <w:rsid w:val="274A4F1A"/>
    <w:rsid w:val="274C6FFB"/>
    <w:rsid w:val="274F2647"/>
    <w:rsid w:val="27515689"/>
    <w:rsid w:val="275639D6"/>
    <w:rsid w:val="27567236"/>
    <w:rsid w:val="27567904"/>
    <w:rsid w:val="275B2C28"/>
    <w:rsid w:val="275F22FC"/>
    <w:rsid w:val="27642878"/>
    <w:rsid w:val="27652E81"/>
    <w:rsid w:val="2767173F"/>
    <w:rsid w:val="27675BE3"/>
    <w:rsid w:val="27693C4E"/>
    <w:rsid w:val="27725924"/>
    <w:rsid w:val="27734588"/>
    <w:rsid w:val="27736336"/>
    <w:rsid w:val="277470FB"/>
    <w:rsid w:val="27767BD4"/>
    <w:rsid w:val="277964B2"/>
    <w:rsid w:val="277C2603"/>
    <w:rsid w:val="277D0F63"/>
    <w:rsid w:val="277F117F"/>
    <w:rsid w:val="277F4CDB"/>
    <w:rsid w:val="2781410A"/>
    <w:rsid w:val="27814EF7"/>
    <w:rsid w:val="278247CB"/>
    <w:rsid w:val="27833C58"/>
    <w:rsid w:val="278C0DFA"/>
    <w:rsid w:val="278E13C2"/>
    <w:rsid w:val="279664C8"/>
    <w:rsid w:val="279767CB"/>
    <w:rsid w:val="27994ABA"/>
    <w:rsid w:val="279B0AE3"/>
    <w:rsid w:val="279C601E"/>
    <w:rsid w:val="279D6828"/>
    <w:rsid w:val="279E4159"/>
    <w:rsid w:val="279F2EAD"/>
    <w:rsid w:val="279F3771"/>
    <w:rsid w:val="27A02EA3"/>
    <w:rsid w:val="27A0780E"/>
    <w:rsid w:val="27A30B3F"/>
    <w:rsid w:val="27A32121"/>
    <w:rsid w:val="27A6670B"/>
    <w:rsid w:val="27A71092"/>
    <w:rsid w:val="27A9434A"/>
    <w:rsid w:val="27AC0801"/>
    <w:rsid w:val="27AC5CEC"/>
    <w:rsid w:val="27AE3812"/>
    <w:rsid w:val="27AF1DCD"/>
    <w:rsid w:val="27B1409D"/>
    <w:rsid w:val="27B8643F"/>
    <w:rsid w:val="27B95213"/>
    <w:rsid w:val="27B97EBF"/>
    <w:rsid w:val="27BB1A8B"/>
    <w:rsid w:val="27BD201A"/>
    <w:rsid w:val="27BF7730"/>
    <w:rsid w:val="27C76682"/>
    <w:rsid w:val="27D029BA"/>
    <w:rsid w:val="27D03788"/>
    <w:rsid w:val="27D226CF"/>
    <w:rsid w:val="27D85841"/>
    <w:rsid w:val="27D86AE1"/>
    <w:rsid w:val="27D87590"/>
    <w:rsid w:val="27DB7216"/>
    <w:rsid w:val="27DF1C1D"/>
    <w:rsid w:val="27E64D5A"/>
    <w:rsid w:val="27EB411E"/>
    <w:rsid w:val="27EC7E96"/>
    <w:rsid w:val="27F0056F"/>
    <w:rsid w:val="27F6079C"/>
    <w:rsid w:val="27F60D40"/>
    <w:rsid w:val="27F702BD"/>
    <w:rsid w:val="27F84A8D"/>
    <w:rsid w:val="27F9344F"/>
    <w:rsid w:val="27FF2A28"/>
    <w:rsid w:val="27FF7BCA"/>
    <w:rsid w:val="28004F4F"/>
    <w:rsid w:val="28035FB0"/>
    <w:rsid w:val="28041684"/>
    <w:rsid w:val="280671AA"/>
    <w:rsid w:val="280876DC"/>
    <w:rsid w:val="28090A48"/>
    <w:rsid w:val="28094EEC"/>
    <w:rsid w:val="280B44BC"/>
    <w:rsid w:val="280B4AF3"/>
    <w:rsid w:val="280E101D"/>
    <w:rsid w:val="280E2503"/>
    <w:rsid w:val="280E3D0D"/>
    <w:rsid w:val="28164F13"/>
    <w:rsid w:val="28176278"/>
    <w:rsid w:val="28186EDD"/>
    <w:rsid w:val="281D1523"/>
    <w:rsid w:val="281D2A9D"/>
    <w:rsid w:val="281E3789"/>
    <w:rsid w:val="282011E6"/>
    <w:rsid w:val="28212236"/>
    <w:rsid w:val="28215D92"/>
    <w:rsid w:val="2826784C"/>
    <w:rsid w:val="28285372"/>
    <w:rsid w:val="282B4E63"/>
    <w:rsid w:val="282F4953"/>
    <w:rsid w:val="282F674E"/>
    <w:rsid w:val="283006CB"/>
    <w:rsid w:val="28341F69"/>
    <w:rsid w:val="283425F5"/>
    <w:rsid w:val="28377F6C"/>
    <w:rsid w:val="28392DDD"/>
    <w:rsid w:val="283A0FC1"/>
    <w:rsid w:val="283A6E54"/>
    <w:rsid w:val="283C7943"/>
    <w:rsid w:val="283F26BC"/>
    <w:rsid w:val="28441A80"/>
    <w:rsid w:val="28442C99"/>
    <w:rsid w:val="284446D0"/>
    <w:rsid w:val="28445F24"/>
    <w:rsid w:val="2849353B"/>
    <w:rsid w:val="284B1061"/>
    <w:rsid w:val="284C00F1"/>
    <w:rsid w:val="284D0068"/>
    <w:rsid w:val="284E2A66"/>
    <w:rsid w:val="285919D0"/>
    <w:rsid w:val="285C501C"/>
    <w:rsid w:val="286456C1"/>
    <w:rsid w:val="28681918"/>
    <w:rsid w:val="2868600E"/>
    <w:rsid w:val="286A4165"/>
    <w:rsid w:val="286B525F"/>
    <w:rsid w:val="286F62E7"/>
    <w:rsid w:val="28702875"/>
    <w:rsid w:val="287135E9"/>
    <w:rsid w:val="28760480"/>
    <w:rsid w:val="287700A8"/>
    <w:rsid w:val="28771E56"/>
    <w:rsid w:val="28787773"/>
    <w:rsid w:val="28796231"/>
    <w:rsid w:val="287C121A"/>
    <w:rsid w:val="287C4701"/>
    <w:rsid w:val="287E31E4"/>
    <w:rsid w:val="28812CD5"/>
    <w:rsid w:val="28816F4D"/>
    <w:rsid w:val="28824FDC"/>
    <w:rsid w:val="28861B45"/>
    <w:rsid w:val="28892AD5"/>
    <w:rsid w:val="288B5901"/>
    <w:rsid w:val="288F53F1"/>
    <w:rsid w:val="2890116A"/>
    <w:rsid w:val="289514AA"/>
    <w:rsid w:val="28972098"/>
    <w:rsid w:val="2897327F"/>
    <w:rsid w:val="28987FC1"/>
    <w:rsid w:val="289B0849"/>
    <w:rsid w:val="289B46C4"/>
    <w:rsid w:val="289D68FB"/>
    <w:rsid w:val="289D7E88"/>
    <w:rsid w:val="289E73E3"/>
    <w:rsid w:val="28A864B3"/>
    <w:rsid w:val="28A916E6"/>
    <w:rsid w:val="28AA5307"/>
    <w:rsid w:val="28B02089"/>
    <w:rsid w:val="28B03E82"/>
    <w:rsid w:val="28B22E8E"/>
    <w:rsid w:val="28B24AEB"/>
    <w:rsid w:val="28BF44FB"/>
    <w:rsid w:val="28C033E3"/>
    <w:rsid w:val="28C24F56"/>
    <w:rsid w:val="28C27A85"/>
    <w:rsid w:val="28C5426E"/>
    <w:rsid w:val="28C66939"/>
    <w:rsid w:val="28C7664B"/>
    <w:rsid w:val="28C771CB"/>
    <w:rsid w:val="28C878C3"/>
    <w:rsid w:val="28C9004D"/>
    <w:rsid w:val="28C9029D"/>
    <w:rsid w:val="28CF1C92"/>
    <w:rsid w:val="28CF57EE"/>
    <w:rsid w:val="28D703B4"/>
    <w:rsid w:val="28D84447"/>
    <w:rsid w:val="28D9041B"/>
    <w:rsid w:val="28DB0637"/>
    <w:rsid w:val="28DF0E2E"/>
    <w:rsid w:val="28E034A1"/>
    <w:rsid w:val="28E72AD0"/>
    <w:rsid w:val="28E76FDC"/>
    <w:rsid w:val="28E85647"/>
    <w:rsid w:val="28ED01ED"/>
    <w:rsid w:val="28F0650C"/>
    <w:rsid w:val="29001E4B"/>
    <w:rsid w:val="29055B14"/>
    <w:rsid w:val="29080D00"/>
    <w:rsid w:val="29111B4B"/>
    <w:rsid w:val="29115E06"/>
    <w:rsid w:val="291329E3"/>
    <w:rsid w:val="291458F7"/>
    <w:rsid w:val="291676D7"/>
    <w:rsid w:val="291853E7"/>
    <w:rsid w:val="29191ED0"/>
    <w:rsid w:val="291C3071"/>
    <w:rsid w:val="291E22D1"/>
    <w:rsid w:val="2920429C"/>
    <w:rsid w:val="292E6AB2"/>
    <w:rsid w:val="292F0D40"/>
    <w:rsid w:val="29332221"/>
    <w:rsid w:val="29347971"/>
    <w:rsid w:val="29366DC2"/>
    <w:rsid w:val="293711C1"/>
    <w:rsid w:val="29395AF8"/>
    <w:rsid w:val="293B2E83"/>
    <w:rsid w:val="293E4055"/>
    <w:rsid w:val="2940061F"/>
    <w:rsid w:val="29410C88"/>
    <w:rsid w:val="2941173D"/>
    <w:rsid w:val="29417655"/>
    <w:rsid w:val="29466554"/>
    <w:rsid w:val="294A468E"/>
    <w:rsid w:val="294A4A35"/>
    <w:rsid w:val="294D3917"/>
    <w:rsid w:val="294E0E09"/>
    <w:rsid w:val="295757E3"/>
    <w:rsid w:val="295A6A67"/>
    <w:rsid w:val="295D104C"/>
    <w:rsid w:val="295D729E"/>
    <w:rsid w:val="295E0363"/>
    <w:rsid w:val="295E6CE7"/>
    <w:rsid w:val="29600B3C"/>
    <w:rsid w:val="29641FB0"/>
    <w:rsid w:val="2964687E"/>
    <w:rsid w:val="296F7B26"/>
    <w:rsid w:val="29747FCA"/>
    <w:rsid w:val="29763EBB"/>
    <w:rsid w:val="29764285"/>
    <w:rsid w:val="29766983"/>
    <w:rsid w:val="297B5976"/>
    <w:rsid w:val="297E1385"/>
    <w:rsid w:val="29846879"/>
    <w:rsid w:val="298567F4"/>
    <w:rsid w:val="29883BEF"/>
    <w:rsid w:val="298A5BB9"/>
    <w:rsid w:val="298A64BF"/>
    <w:rsid w:val="298B7238"/>
    <w:rsid w:val="298C3588"/>
    <w:rsid w:val="298C60EC"/>
    <w:rsid w:val="298E7457"/>
    <w:rsid w:val="299802D6"/>
    <w:rsid w:val="299A404E"/>
    <w:rsid w:val="29A0718A"/>
    <w:rsid w:val="29A175F2"/>
    <w:rsid w:val="29A22F02"/>
    <w:rsid w:val="29A924E3"/>
    <w:rsid w:val="29A94D9A"/>
    <w:rsid w:val="29A978FB"/>
    <w:rsid w:val="29AC5B2F"/>
    <w:rsid w:val="29B33362"/>
    <w:rsid w:val="29B36EBE"/>
    <w:rsid w:val="29B72D20"/>
    <w:rsid w:val="29B76509"/>
    <w:rsid w:val="29B87B25"/>
    <w:rsid w:val="29BD1B32"/>
    <w:rsid w:val="29BE4BA0"/>
    <w:rsid w:val="29C25353"/>
    <w:rsid w:val="29C275A9"/>
    <w:rsid w:val="29C410CB"/>
    <w:rsid w:val="29C43203"/>
    <w:rsid w:val="29C63095"/>
    <w:rsid w:val="29C7407A"/>
    <w:rsid w:val="29C86E9D"/>
    <w:rsid w:val="29CC0A45"/>
    <w:rsid w:val="29CC68C8"/>
    <w:rsid w:val="29CF1830"/>
    <w:rsid w:val="29CF7236"/>
    <w:rsid w:val="29D2229C"/>
    <w:rsid w:val="29D55379"/>
    <w:rsid w:val="29D60DFE"/>
    <w:rsid w:val="29D67F39"/>
    <w:rsid w:val="29D86924"/>
    <w:rsid w:val="29DA6B40"/>
    <w:rsid w:val="29DB4666"/>
    <w:rsid w:val="29DC3FE3"/>
    <w:rsid w:val="29E03A2B"/>
    <w:rsid w:val="29E3170A"/>
    <w:rsid w:val="29E4351B"/>
    <w:rsid w:val="29E804D0"/>
    <w:rsid w:val="29EB2AFB"/>
    <w:rsid w:val="29F1409D"/>
    <w:rsid w:val="29F143E1"/>
    <w:rsid w:val="29F23E8A"/>
    <w:rsid w:val="29F32E8B"/>
    <w:rsid w:val="29F55728"/>
    <w:rsid w:val="29F574D6"/>
    <w:rsid w:val="29F80D74"/>
    <w:rsid w:val="29F95074"/>
    <w:rsid w:val="29FB0865"/>
    <w:rsid w:val="29FD282F"/>
    <w:rsid w:val="29FD708E"/>
    <w:rsid w:val="29FE4E85"/>
    <w:rsid w:val="2A0120C5"/>
    <w:rsid w:val="2A027E45"/>
    <w:rsid w:val="2A077B63"/>
    <w:rsid w:val="2A0B6CFA"/>
    <w:rsid w:val="2A0B7489"/>
    <w:rsid w:val="2A0C2A72"/>
    <w:rsid w:val="2A0C4820"/>
    <w:rsid w:val="2A121944"/>
    <w:rsid w:val="2A1439E1"/>
    <w:rsid w:val="2A15245B"/>
    <w:rsid w:val="2A1B001C"/>
    <w:rsid w:val="2A1B2868"/>
    <w:rsid w:val="2A1C442B"/>
    <w:rsid w:val="2A1E2702"/>
    <w:rsid w:val="2A200C92"/>
    <w:rsid w:val="2A204F8D"/>
    <w:rsid w:val="2A24600D"/>
    <w:rsid w:val="2A273408"/>
    <w:rsid w:val="2A2814FD"/>
    <w:rsid w:val="2A2B5CA6"/>
    <w:rsid w:val="2A2D4EC2"/>
    <w:rsid w:val="2A32072A"/>
    <w:rsid w:val="2A3428C6"/>
    <w:rsid w:val="2A3A313B"/>
    <w:rsid w:val="2A3A75DF"/>
    <w:rsid w:val="2A3B737F"/>
    <w:rsid w:val="2A3C2BD7"/>
    <w:rsid w:val="2A4147FF"/>
    <w:rsid w:val="2A4346E5"/>
    <w:rsid w:val="2A454D38"/>
    <w:rsid w:val="2A473337"/>
    <w:rsid w:val="2A486BB9"/>
    <w:rsid w:val="2A4B5348"/>
    <w:rsid w:val="2A4D6B91"/>
    <w:rsid w:val="2A4E01C3"/>
    <w:rsid w:val="2A5437BB"/>
    <w:rsid w:val="2A5A4D81"/>
    <w:rsid w:val="2A5C3B9F"/>
    <w:rsid w:val="2A5C7555"/>
    <w:rsid w:val="2A5F2835"/>
    <w:rsid w:val="2A5F601C"/>
    <w:rsid w:val="2A61691A"/>
    <w:rsid w:val="2A691AEB"/>
    <w:rsid w:val="2A6F54DA"/>
    <w:rsid w:val="2A6F64B5"/>
    <w:rsid w:val="2A7021FA"/>
    <w:rsid w:val="2A731D21"/>
    <w:rsid w:val="2A73664D"/>
    <w:rsid w:val="2A77613D"/>
    <w:rsid w:val="2A776455"/>
    <w:rsid w:val="2A7E31D1"/>
    <w:rsid w:val="2A835B6A"/>
    <w:rsid w:val="2A8B2706"/>
    <w:rsid w:val="2A8B7E3A"/>
    <w:rsid w:val="2A915858"/>
    <w:rsid w:val="2A922F77"/>
    <w:rsid w:val="2A93421F"/>
    <w:rsid w:val="2A940289"/>
    <w:rsid w:val="2A97058D"/>
    <w:rsid w:val="2A9860B3"/>
    <w:rsid w:val="2AA14D24"/>
    <w:rsid w:val="2AA16613"/>
    <w:rsid w:val="2AA169FC"/>
    <w:rsid w:val="2AA1765E"/>
    <w:rsid w:val="2AA5336D"/>
    <w:rsid w:val="2AAB5BF3"/>
    <w:rsid w:val="2AAF3B29"/>
    <w:rsid w:val="2AB02C1C"/>
    <w:rsid w:val="2AB47391"/>
    <w:rsid w:val="2AB5288A"/>
    <w:rsid w:val="2AB574A9"/>
    <w:rsid w:val="2AB70C30"/>
    <w:rsid w:val="2AB85928"/>
    <w:rsid w:val="2ABA312E"/>
    <w:rsid w:val="2ABD33EE"/>
    <w:rsid w:val="2ABD4ACF"/>
    <w:rsid w:val="2ABE0808"/>
    <w:rsid w:val="2AC1560A"/>
    <w:rsid w:val="2AC421C4"/>
    <w:rsid w:val="2ACC686A"/>
    <w:rsid w:val="2ACD691C"/>
    <w:rsid w:val="2AD0640E"/>
    <w:rsid w:val="2AD07517"/>
    <w:rsid w:val="2AD30322"/>
    <w:rsid w:val="2AD61783"/>
    <w:rsid w:val="2AD74E2E"/>
    <w:rsid w:val="2ADA13B2"/>
    <w:rsid w:val="2ADB491E"/>
    <w:rsid w:val="2AE05D4E"/>
    <w:rsid w:val="2AE05DA2"/>
    <w:rsid w:val="2AE128D7"/>
    <w:rsid w:val="2AE16228"/>
    <w:rsid w:val="2AE205B7"/>
    <w:rsid w:val="2AE23476"/>
    <w:rsid w:val="2AE62256"/>
    <w:rsid w:val="2AEB08D9"/>
    <w:rsid w:val="2AED63FF"/>
    <w:rsid w:val="2AF477D1"/>
    <w:rsid w:val="2AF66BF8"/>
    <w:rsid w:val="2AF67954"/>
    <w:rsid w:val="2AFA28CA"/>
    <w:rsid w:val="2AFC349E"/>
    <w:rsid w:val="2AFD73C3"/>
    <w:rsid w:val="2B043E08"/>
    <w:rsid w:val="2B083239"/>
    <w:rsid w:val="2B084472"/>
    <w:rsid w:val="2B0E36C7"/>
    <w:rsid w:val="2B0F0A0E"/>
    <w:rsid w:val="2B110340"/>
    <w:rsid w:val="2B116592"/>
    <w:rsid w:val="2B151F0D"/>
    <w:rsid w:val="2B177920"/>
    <w:rsid w:val="2B180837"/>
    <w:rsid w:val="2B1A3EE9"/>
    <w:rsid w:val="2B1A4D1A"/>
    <w:rsid w:val="2B1C10A4"/>
    <w:rsid w:val="2B1C4F36"/>
    <w:rsid w:val="2B1D5D17"/>
    <w:rsid w:val="2B1E0CAF"/>
    <w:rsid w:val="2B222B51"/>
    <w:rsid w:val="2B263AAA"/>
    <w:rsid w:val="2B2B6F28"/>
    <w:rsid w:val="2B2B76AD"/>
    <w:rsid w:val="2B2C2B97"/>
    <w:rsid w:val="2B30453E"/>
    <w:rsid w:val="2B31381E"/>
    <w:rsid w:val="2B326266"/>
    <w:rsid w:val="2B365FF8"/>
    <w:rsid w:val="2B391645"/>
    <w:rsid w:val="2B3C2EE3"/>
    <w:rsid w:val="2B4008AA"/>
    <w:rsid w:val="2B433F34"/>
    <w:rsid w:val="2B44333F"/>
    <w:rsid w:val="2B491443"/>
    <w:rsid w:val="2B4A399E"/>
    <w:rsid w:val="2B4C1430"/>
    <w:rsid w:val="2B4D33EA"/>
    <w:rsid w:val="2B4D50F0"/>
    <w:rsid w:val="2B512E32"/>
    <w:rsid w:val="2B5446D0"/>
    <w:rsid w:val="2B546E8B"/>
    <w:rsid w:val="2B551C57"/>
    <w:rsid w:val="2B5632CC"/>
    <w:rsid w:val="2B571049"/>
    <w:rsid w:val="2B595BE1"/>
    <w:rsid w:val="2B595CC9"/>
    <w:rsid w:val="2B5C6960"/>
    <w:rsid w:val="2B5D5E3B"/>
    <w:rsid w:val="2B5D60D4"/>
    <w:rsid w:val="2B5F2947"/>
    <w:rsid w:val="2B5F72E9"/>
    <w:rsid w:val="2B621401"/>
    <w:rsid w:val="2B6301B8"/>
    <w:rsid w:val="2B6324E4"/>
    <w:rsid w:val="2B6366C1"/>
    <w:rsid w:val="2B7408CF"/>
    <w:rsid w:val="2B783975"/>
    <w:rsid w:val="2B79546F"/>
    <w:rsid w:val="2B7B3C10"/>
    <w:rsid w:val="2B807273"/>
    <w:rsid w:val="2B826AC2"/>
    <w:rsid w:val="2B831F57"/>
    <w:rsid w:val="2B876305"/>
    <w:rsid w:val="2B88437A"/>
    <w:rsid w:val="2B89651D"/>
    <w:rsid w:val="2B97636B"/>
    <w:rsid w:val="2B98280F"/>
    <w:rsid w:val="2B9854B2"/>
    <w:rsid w:val="2B9B27DC"/>
    <w:rsid w:val="2B9B31ED"/>
    <w:rsid w:val="2B9B396C"/>
    <w:rsid w:val="2B9D29BE"/>
    <w:rsid w:val="2B9F3D2E"/>
    <w:rsid w:val="2BA13C59"/>
    <w:rsid w:val="2BA2368E"/>
    <w:rsid w:val="2BA529DB"/>
    <w:rsid w:val="2BA707AB"/>
    <w:rsid w:val="2BA80658"/>
    <w:rsid w:val="2BA90BCC"/>
    <w:rsid w:val="2BAA0794"/>
    <w:rsid w:val="2BAA42F0"/>
    <w:rsid w:val="2BAD061A"/>
    <w:rsid w:val="2BAF236C"/>
    <w:rsid w:val="2BB11E5C"/>
    <w:rsid w:val="2BB422E4"/>
    <w:rsid w:val="2BB618B1"/>
    <w:rsid w:val="2BC05AC5"/>
    <w:rsid w:val="2BC12AF5"/>
    <w:rsid w:val="2BC25ADE"/>
    <w:rsid w:val="2BC27109"/>
    <w:rsid w:val="2BC272BF"/>
    <w:rsid w:val="2BC33129"/>
    <w:rsid w:val="2BC43604"/>
    <w:rsid w:val="2BC44A9D"/>
    <w:rsid w:val="2BC730F4"/>
    <w:rsid w:val="2BC97BA4"/>
    <w:rsid w:val="2BCA0508"/>
    <w:rsid w:val="2BCA6741"/>
    <w:rsid w:val="2BCE4483"/>
    <w:rsid w:val="2BCF1FA9"/>
    <w:rsid w:val="2BD14E56"/>
    <w:rsid w:val="2BD17ACF"/>
    <w:rsid w:val="2BD575BF"/>
    <w:rsid w:val="2BD9534F"/>
    <w:rsid w:val="2BDA2241"/>
    <w:rsid w:val="2BDA4BD6"/>
    <w:rsid w:val="2BDB1B26"/>
    <w:rsid w:val="2BDC3DAA"/>
    <w:rsid w:val="2BE07F79"/>
    <w:rsid w:val="2BE23A8A"/>
    <w:rsid w:val="2BE271C7"/>
    <w:rsid w:val="2BE3698A"/>
    <w:rsid w:val="2BE47802"/>
    <w:rsid w:val="2BE55033"/>
    <w:rsid w:val="2BE60B4A"/>
    <w:rsid w:val="2BE772F2"/>
    <w:rsid w:val="2BE94E19"/>
    <w:rsid w:val="2BEC4909"/>
    <w:rsid w:val="2BF23A18"/>
    <w:rsid w:val="2BF27B34"/>
    <w:rsid w:val="2BF35C97"/>
    <w:rsid w:val="2BF735DB"/>
    <w:rsid w:val="2BF8461C"/>
    <w:rsid w:val="2BFD1D55"/>
    <w:rsid w:val="2C027C88"/>
    <w:rsid w:val="2C071743"/>
    <w:rsid w:val="2C090247"/>
    <w:rsid w:val="2C0974B7"/>
    <w:rsid w:val="2C0B0751"/>
    <w:rsid w:val="2C0C6063"/>
    <w:rsid w:val="2C0C6D59"/>
    <w:rsid w:val="2C0D0D9F"/>
    <w:rsid w:val="2C136339"/>
    <w:rsid w:val="2C13702B"/>
    <w:rsid w:val="2C144B2E"/>
    <w:rsid w:val="2C180A61"/>
    <w:rsid w:val="2C1C3440"/>
    <w:rsid w:val="2C1D4D4D"/>
    <w:rsid w:val="2C1F3ED3"/>
    <w:rsid w:val="2C2063A3"/>
    <w:rsid w:val="2C2205D4"/>
    <w:rsid w:val="2C230B15"/>
    <w:rsid w:val="2C2324FE"/>
    <w:rsid w:val="2C293467"/>
    <w:rsid w:val="2C29790B"/>
    <w:rsid w:val="2C2A0C18"/>
    <w:rsid w:val="2C3116AB"/>
    <w:rsid w:val="2C3232B0"/>
    <w:rsid w:val="2C324B03"/>
    <w:rsid w:val="2C3342E6"/>
    <w:rsid w:val="2C340A8E"/>
    <w:rsid w:val="2C370DC2"/>
    <w:rsid w:val="2C3806EC"/>
    <w:rsid w:val="2C3A5674"/>
    <w:rsid w:val="2C3B319A"/>
    <w:rsid w:val="2C41519A"/>
    <w:rsid w:val="2C420BEB"/>
    <w:rsid w:val="2C425D39"/>
    <w:rsid w:val="2C436713"/>
    <w:rsid w:val="2C4446B7"/>
    <w:rsid w:val="2C470E41"/>
    <w:rsid w:val="2C4A7F23"/>
    <w:rsid w:val="2C4D184B"/>
    <w:rsid w:val="2C4D500B"/>
    <w:rsid w:val="2C532DA0"/>
    <w:rsid w:val="2C534988"/>
    <w:rsid w:val="2C545A11"/>
    <w:rsid w:val="2C555F81"/>
    <w:rsid w:val="2C58124F"/>
    <w:rsid w:val="2C5876CC"/>
    <w:rsid w:val="2C5A1872"/>
    <w:rsid w:val="2C5A79A9"/>
    <w:rsid w:val="2C5C00E5"/>
    <w:rsid w:val="2C5D3ACF"/>
    <w:rsid w:val="2C5F12FB"/>
    <w:rsid w:val="2C640943"/>
    <w:rsid w:val="2C652D9C"/>
    <w:rsid w:val="2C682649"/>
    <w:rsid w:val="2C6B7F24"/>
    <w:rsid w:val="2C6C77F8"/>
    <w:rsid w:val="2C6D1A70"/>
    <w:rsid w:val="2C6E3570"/>
    <w:rsid w:val="2C701096"/>
    <w:rsid w:val="2C736ED4"/>
    <w:rsid w:val="2C756B14"/>
    <w:rsid w:val="2C771D6E"/>
    <w:rsid w:val="2C773FFC"/>
    <w:rsid w:val="2C79077C"/>
    <w:rsid w:val="2C797809"/>
    <w:rsid w:val="2C7A3CC3"/>
    <w:rsid w:val="2C7A5B1E"/>
    <w:rsid w:val="2C7C109E"/>
    <w:rsid w:val="2C7C1263"/>
    <w:rsid w:val="2C7C3EDF"/>
    <w:rsid w:val="2C7C5C8D"/>
    <w:rsid w:val="2C7E7C57"/>
    <w:rsid w:val="2C81312E"/>
    <w:rsid w:val="2C830311"/>
    <w:rsid w:val="2C8965FC"/>
    <w:rsid w:val="2C8B2374"/>
    <w:rsid w:val="2C8F0B62"/>
    <w:rsid w:val="2C903974"/>
    <w:rsid w:val="2C931228"/>
    <w:rsid w:val="2C932FD6"/>
    <w:rsid w:val="2C953A72"/>
    <w:rsid w:val="2C965629"/>
    <w:rsid w:val="2C974875"/>
    <w:rsid w:val="2C9800D7"/>
    <w:rsid w:val="2C9805ED"/>
    <w:rsid w:val="2C994A91"/>
    <w:rsid w:val="2C9B7ADD"/>
    <w:rsid w:val="2CA13945"/>
    <w:rsid w:val="2CA266E8"/>
    <w:rsid w:val="2CA3146B"/>
    <w:rsid w:val="2CA45FF2"/>
    <w:rsid w:val="2CA60F5C"/>
    <w:rsid w:val="2CAB4269"/>
    <w:rsid w:val="2CAD1495"/>
    <w:rsid w:val="2CAE22E6"/>
    <w:rsid w:val="2CB14AFD"/>
    <w:rsid w:val="2CB2345D"/>
    <w:rsid w:val="2CB659B5"/>
    <w:rsid w:val="2CB87690"/>
    <w:rsid w:val="2CBA4F42"/>
    <w:rsid w:val="2CBC252D"/>
    <w:rsid w:val="2CBE0AEE"/>
    <w:rsid w:val="2CC54753"/>
    <w:rsid w:val="2CC67354"/>
    <w:rsid w:val="2CC74E19"/>
    <w:rsid w:val="2CC80ED2"/>
    <w:rsid w:val="2CC87124"/>
    <w:rsid w:val="2CCD3F5D"/>
    <w:rsid w:val="2CD63D6C"/>
    <w:rsid w:val="2CD653B4"/>
    <w:rsid w:val="2CD95C3E"/>
    <w:rsid w:val="2CDA29B3"/>
    <w:rsid w:val="2CDA6E57"/>
    <w:rsid w:val="2CDA78D7"/>
    <w:rsid w:val="2CDB64D3"/>
    <w:rsid w:val="2CDD05EA"/>
    <w:rsid w:val="2CDE24A4"/>
    <w:rsid w:val="2CE1070A"/>
    <w:rsid w:val="2CE23608"/>
    <w:rsid w:val="2CE47435"/>
    <w:rsid w:val="2CE55951"/>
    <w:rsid w:val="2CE675AA"/>
    <w:rsid w:val="2CE81D10"/>
    <w:rsid w:val="2CE83322"/>
    <w:rsid w:val="2CE834A3"/>
    <w:rsid w:val="2CE875BE"/>
    <w:rsid w:val="2CED32DF"/>
    <w:rsid w:val="2CF120D3"/>
    <w:rsid w:val="2CF20C00"/>
    <w:rsid w:val="2CF33A75"/>
    <w:rsid w:val="2CF51ED1"/>
    <w:rsid w:val="2CF577ED"/>
    <w:rsid w:val="2CF9430F"/>
    <w:rsid w:val="2CF9484C"/>
    <w:rsid w:val="2CFC2D64"/>
    <w:rsid w:val="2CFF7696"/>
    <w:rsid w:val="2D007FAB"/>
    <w:rsid w:val="2D03015C"/>
    <w:rsid w:val="2D030A47"/>
    <w:rsid w:val="2D0619FA"/>
    <w:rsid w:val="2D085772"/>
    <w:rsid w:val="2D0D0FDB"/>
    <w:rsid w:val="2D0F6B01"/>
    <w:rsid w:val="2D1024FA"/>
    <w:rsid w:val="2D145EC5"/>
    <w:rsid w:val="2D173C07"/>
    <w:rsid w:val="2D1A2BEB"/>
    <w:rsid w:val="2D1C4D7A"/>
    <w:rsid w:val="2D1E7710"/>
    <w:rsid w:val="2D22599D"/>
    <w:rsid w:val="2D254B1A"/>
    <w:rsid w:val="2D2809E1"/>
    <w:rsid w:val="2D297497"/>
    <w:rsid w:val="2D2A393B"/>
    <w:rsid w:val="2D2E0F8B"/>
    <w:rsid w:val="2D30282F"/>
    <w:rsid w:val="2D312E49"/>
    <w:rsid w:val="2D324702"/>
    <w:rsid w:val="2D35408E"/>
    <w:rsid w:val="2D3B08EF"/>
    <w:rsid w:val="2D3B4727"/>
    <w:rsid w:val="2D4312E4"/>
    <w:rsid w:val="2D4367AA"/>
    <w:rsid w:val="2D450775"/>
    <w:rsid w:val="2D4A5D90"/>
    <w:rsid w:val="2D4B565F"/>
    <w:rsid w:val="2D4F33A1"/>
    <w:rsid w:val="2D524FED"/>
    <w:rsid w:val="2D526117"/>
    <w:rsid w:val="2D56639F"/>
    <w:rsid w:val="2D596DF1"/>
    <w:rsid w:val="2D59735B"/>
    <w:rsid w:val="2D5E11CB"/>
    <w:rsid w:val="2D5E5392"/>
    <w:rsid w:val="2D620403"/>
    <w:rsid w:val="2D6329A9"/>
    <w:rsid w:val="2D64281A"/>
    <w:rsid w:val="2D67693D"/>
    <w:rsid w:val="2D677088"/>
    <w:rsid w:val="2D6917E1"/>
    <w:rsid w:val="2D6C1689"/>
    <w:rsid w:val="2D6C671F"/>
    <w:rsid w:val="2D6F134E"/>
    <w:rsid w:val="2D7025FF"/>
    <w:rsid w:val="2D7050C6"/>
    <w:rsid w:val="2D710576"/>
    <w:rsid w:val="2D760125"/>
    <w:rsid w:val="2D76092E"/>
    <w:rsid w:val="2D7626DC"/>
    <w:rsid w:val="2D7B2AB8"/>
    <w:rsid w:val="2D7B4415"/>
    <w:rsid w:val="2D815245"/>
    <w:rsid w:val="2D853B36"/>
    <w:rsid w:val="2D88240F"/>
    <w:rsid w:val="2D915768"/>
    <w:rsid w:val="2D917516"/>
    <w:rsid w:val="2D933910"/>
    <w:rsid w:val="2D957A25"/>
    <w:rsid w:val="2D962D7E"/>
    <w:rsid w:val="2D9708A4"/>
    <w:rsid w:val="2D990204"/>
    <w:rsid w:val="2D990AC0"/>
    <w:rsid w:val="2D9A356B"/>
    <w:rsid w:val="2D9B0395"/>
    <w:rsid w:val="2D9B4D20"/>
    <w:rsid w:val="2D9F5341"/>
    <w:rsid w:val="2DA03BFD"/>
    <w:rsid w:val="2DA14D55"/>
    <w:rsid w:val="2DA32DF9"/>
    <w:rsid w:val="2DA37249"/>
    <w:rsid w:val="2DA67BE9"/>
    <w:rsid w:val="2DA82AB1"/>
    <w:rsid w:val="2DAC0A59"/>
    <w:rsid w:val="2DAD1E76"/>
    <w:rsid w:val="2DB03710"/>
    <w:rsid w:val="2DB560A6"/>
    <w:rsid w:val="2DB81A56"/>
    <w:rsid w:val="2DBC554E"/>
    <w:rsid w:val="2DC862E5"/>
    <w:rsid w:val="2DC86CB0"/>
    <w:rsid w:val="2DC95120"/>
    <w:rsid w:val="2DCC054E"/>
    <w:rsid w:val="2DD11CBA"/>
    <w:rsid w:val="2DD138B2"/>
    <w:rsid w:val="2DD218DC"/>
    <w:rsid w:val="2DD24266"/>
    <w:rsid w:val="2DD41893"/>
    <w:rsid w:val="2DD92C6B"/>
    <w:rsid w:val="2DD94C15"/>
    <w:rsid w:val="2DDD6BFF"/>
    <w:rsid w:val="2DDE64D3"/>
    <w:rsid w:val="2DDE77D5"/>
    <w:rsid w:val="2DE0474B"/>
    <w:rsid w:val="2DE20E37"/>
    <w:rsid w:val="2DE25FC3"/>
    <w:rsid w:val="2DE35CC7"/>
    <w:rsid w:val="2DE52846"/>
    <w:rsid w:val="2DE60025"/>
    <w:rsid w:val="2DE92FC9"/>
    <w:rsid w:val="2DEC3A64"/>
    <w:rsid w:val="2DF13843"/>
    <w:rsid w:val="2DF33D2D"/>
    <w:rsid w:val="2DF96876"/>
    <w:rsid w:val="2DFD716F"/>
    <w:rsid w:val="2E0B7AD8"/>
    <w:rsid w:val="2E0D205F"/>
    <w:rsid w:val="2E110657"/>
    <w:rsid w:val="2E1343CF"/>
    <w:rsid w:val="2E13617D"/>
    <w:rsid w:val="2E141EF5"/>
    <w:rsid w:val="2E1667C1"/>
    <w:rsid w:val="2E17533E"/>
    <w:rsid w:val="2E175AFD"/>
    <w:rsid w:val="2E206AEC"/>
    <w:rsid w:val="2E220AB6"/>
    <w:rsid w:val="2E237FE8"/>
    <w:rsid w:val="2E262354"/>
    <w:rsid w:val="2E292B45"/>
    <w:rsid w:val="2E2E2FB7"/>
    <w:rsid w:val="2E2F74D2"/>
    <w:rsid w:val="2E356016"/>
    <w:rsid w:val="2E3B3926"/>
    <w:rsid w:val="2E421606"/>
    <w:rsid w:val="2E45279D"/>
    <w:rsid w:val="2E4C3153"/>
    <w:rsid w:val="2E4C5B33"/>
    <w:rsid w:val="2E4E18AB"/>
    <w:rsid w:val="2E5136A3"/>
    <w:rsid w:val="2E516CA5"/>
    <w:rsid w:val="2E527838"/>
    <w:rsid w:val="2E547E26"/>
    <w:rsid w:val="2E56250D"/>
    <w:rsid w:val="2E5736DA"/>
    <w:rsid w:val="2E5834DA"/>
    <w:rsid w:val="2E5A3DAC"/>
    <w:rsid w:val="2E5E6989"/>
    <w:rsid w:val="2E5F1724"/>
    <w:rsid w:val="2E6001D2"/>
    <w:rsid w:val="2E6414B0"/>
    <w:rsid w:val="2E6609A2"/>
    <w:rsid w:val="2E685818"/>
    <w:rsid w:val="2E6B420B"/>
    <w:rsid w:val="2E6B51B5"/>
    <w:rsid w:val="2E6C07ED"/>
    <w:rsid w:val="2E6D0276"/>
    <w:rsid w:val="2E6D1BC6"/>
    <w:rsid w:val="2E6F2713"/>
    <w:rsid w:val="2E725599"/>
    <w:rsid w:val="2E750BE6"/>
    <w:rsid w:val="2E7C6F6A"/>
    <w:rsid w:val="2E7F5038"/>
    <w:rsid w:val="2E7F65AD"/>
    <w:rsid w:val="2E811E70"/>
    <w:rsid w:val="2E821554"/>
    <w:rsid w:val="2E85094C"/>
    <w:rsid w:val="2E852E2B"/>
    <w:rsid w:val="2E881DE8"/>
    <w:rsid w:val="2E8929A8"/>
    <w:rsid w:val="2E8A1747"/>
    <w:rsid w:val="2E8A3DE3"/>
    <w:rsid w:val="2E8A6293"/>
    <w:rsid w:val="2E8B07E5"/>
    <w:rsid w:val="2E8F7609"/>
    <w:rsid w:val="2E900048"/>
    <w:rsid w:val="2E9322B2"/>
    <w:rsid w:val="2E953036"/>
    <w:rsid w:val="2E9A4AF0"/>
    <w:rsid w:val="2E9A689E"/>
    <w:rsid w:val="2E9F3EB4"/>
    <w:rsid w:val="2EA94167"/>
    <w:rsid w:val="2EA94D33"/>
    <w:rsid w:val="2EAA1167"/>
    <w:rsid w:val="2EAF4022"/>
    <w:rsid w:val="2EB54D07"/>
    <w:rsid w:val="2EB7701A"/>
    <w:rsid w:val="2EB8293D"/>
    <w:rsid w:val="2EB92876"/>
    <w:rsid w:val="2EBA484A"/>
    <w:rsid w:val="2EBC2976"/>
    <w:rsid w:val="2EBC4D0A"/>
    <w:rsid w:val="2EBF4E83"/>
    <w:rsid w:val="2EC05B23"/>
    <w:rsid w:val="2ECD27D0"/>
    <w:rsid w:val="2ECE0ACF"/>
    <w:rsid w:val="2ED0112F"/>
    <w:rsid w:val="2ED17FB6"/>
    <w:rsid w:val="2ED344F5"/>
    <w:rsid w:val="2ED578D6"/>
    <w:rsid w:val="2EDA0AB6"/>
    <w:rsid w:val="2EDB351F"/>
    <w:rsid w:val="2EDB7876"/>
    <w:rsid w:val="2EDE49DD"/>
    <w:rsid w:val="2EE144CD"/>
    <w:rsid w:val="2EE3595C"/>
    <w:rsid w:val="2EE44E0D"/>
    <w:rsid w:val="2EE64AC3"/>
    <w:rsid w:val="2EE77602"/>
    <w:rsid w:val="2EE87609"/>
    <w:rsid w:val="2EED4C20"/>
    <w:rsid w:val="2EEE3B61"/>
    <w:rsid w:val="2EF34A74"/>
    <w:rsid w:val="2EF44200"/>
    <w:rsid w:val="2EF52DE8"/>
    <w:rsid w:val="2EF64601"/>
    <w:rsid w:val="2EFC11BB"/>
    <w:rsid w:val="2EFF3AD7"/>
    <w:rsid w:val="2F0106CB"/>
    <w:rsid w:val="2F03277B"/>
    <w:rsid w:val="2F0361F1"/>
    <w:rsid w:val="2F05640D"/>
    <w:rsid w:val="2F081A5A"/>
    <w:rsid w:val="2F083808"/>
    <w:rsid w:val="2F0957D2"/>
    <w:rsid w:val="2F0977FE"/>
    <w:rsid w:val="2F1011C2"/>
    <w:rsid w:val="2F140E2D"/>
    <w:rsid w:val="2F192EFF"/>
    <w:rsid w:val="2F193C67"/>
    <w:rsid w:val="2F195A15"/>
    <w:rsid w:val="2F1F6537"/>
    <w:rsid w:val="2F1F6B07"/>
    <w:rsid w:val="2F205519"/>
    <w:rsid w:val="2F241835"/>
    <w:rsid w:val="2F2B1BEC"/>
    <w:rsid w:val="2F2C7EC0"/>
    <w:rsid w:val="2F2D71FD"/>
    <w:rsid w:val="2F302D5E"/>
    <w:rsid w:val="2F326AD7"/>
    <w:rsid w:val="2F3558B9"/>
    <w:rsid w:val="2F3842D0"/>
    <w:rsid w:val="2F386B68"/>
    <w:rsid w:val="2F395375"/>
    <w:rsid w:val="2F397447"/>
    <w:rsid w:val="2F3A3BDD"/>
    <w:rsid w:val="2F3D4A49"/>
    <w:rsid w:val="2F3D4C2F"/>
    <w:rsid w:val="2F3E191F"/>
    <w:rsid w:val="2F405247"/>
    <w:rsid w:val="2F4131DD"/>
    <w:rsid w:val="2F424D59"/>
    <w:rsid w:val="2F462582"/>
    <w:rsid w:val="2F466846"/>
    <w:rsid w:val="2F48454C"/>
    <w:rsid w:val="2F495E42"/>
    <w:rsid w:val="2F4C28B1"/>
    <w:rsid w:val="2F4F4B8D"/>
    <w:rsid w:val="2F4F7689"/>
    <w:rsid w:val="2F5051AF"/>
    <w:rsid w:val="2F505567"/>
    <w:rsid w:val="2F571261"/>
    <w:rsid w:val="2F571F05"/>
    <w:rsid w:val="2F57653D"/>
    <w:rsid w:val="2F5957BC"/>
    <w:rsid w:val="2F5A57D5"/>
    <w:rsid w:val="2F5A7DDB"/>
    <w:rsid w:val="2F5D19C6"/>
    <w:rsid w:val="2F642A08"/>
    <w:rsid w:val="2F650C5A"/>
    <w:rsid w:val="2F653689"/>
    <w:rsid w:val="2F6B3D97"/>
    <w:rsid w:val="2F6B5144"/>
    <w:rsid w:val="2F6F5ECE"/>
    <w:rsid w:val="2F6F6212"/>
    <w:rsid w:val="2F6F7D2B"/>
    <w:rsid w:val="2F713779"/>
    <w:rsid w:val="2F722656"/>
    <w:rsid w:val="2F735CB0"/>
    <w:rsid w:val="2F737636"/>
    <w:rsid w:val="2F7B2905"/>
    <w:rsid w:val="2F7F4281"/>
    <w:rsid w:val="2F82274A"/>
    <w:rsid w:val="2F846AE9"/>
    <w:rsid w:val="2F8F3F5D"/>
    <w:rsid w:val="2F911A4F"/>
    <w:rsid w:val="2F920DA6"/>
    <w:rsid w:val="2F925314"/>
    <w:rsid w:val="2F936A4E"/>
    <w:rsid w:val="2F950E14"/>
    <w:rsid w:val="2F967065"/>
    <w:rsid w:val="2F984DE7"/>
    <w:rsid w:val="2F9A2F12"/>
    <w:rsid w:val="2F9B467C"/>
    <w:rsid w:val="2F9D7DA3"/>
    <w:rsid w:val="2F9F1779"/>
    <w:rsid w:val="2F9F19D0"/>
    <w:rsid w:val="2FA03AA3"/>
    <w:rsid w:val="2FA21EAE"/>
    <w:rsid w:val="2FA31782"/>
    <w:rsid w:val="2FA45349"/>
    <w:rsid w:val="2FA84FEB"/>
    <w:rsid w:val="2FAC28B4"/>
    <w:rsid w:val="2FAC6889"/>
    <w:rsid w:val="2FAE1221"/>
    <w:rsid w:val="2FAF59F5"/>
    <w:rsid w:val="2FB120F1"/>
    <w:rsid w:val="2FB319F6"/>
    <w:rsid w:val="2FB36835"/>
    <w:rsid w:val="2FB71DF4"/>
    <w:rsid w:val="2FB7234B"/>
    <w:rsid w:val="2FB7412A"/>
    <w:rsid w:val="2FB863DB"/>
    <w:rsid w:val="2FB910AD"/>
    <w:rsid w:val="2FBC45F2"/>
    <w:rsid w:val="2FBD0532"/>
    <w:rsid w:val="2FBD1134"/>
    <w:rsid w:val="2FBE3799"/>
    <w:rsid w:val="2FBE65BC"/>
    <w:rsid w:val="2FC01B2A"/>
    <w:rsid w:val="2FC040E2"/>
    <w:rsid w:val="2FC16254"/>
    <w:rsid w:val="2FC21558"/>
    <w:rsid w:val="2FCA419D"/>
    <w:rsid w:val="2FCC0CD9"/>
    <w:rsid w:val="2FCE2B17"/>
    <w:rsid w:val="2FCF07C9"/>
    <w:rsid w:val="2FD03ECC"/>
    <w:rsid w:val="2FD64DAD"/>
    <w:rsid w:val="2FD858D0"/>
    <w:rsid w:val="2FD95F39"/>
    <w:rsid w:val="2FDA518C"/>
    <w:rsid w:val="2FDA54F7"/>
    <w:rsid w:val="2FDB05B0"/>
    <w:rsid w:val="2FDB716E"/>
    <w:rsid w:val="2FDE75CA"/>
    <w:rsid w:val="2FE55AF2"/>
    <w:rsid w:val="2FE57FED"/>
    <w:rsid w:val="2FE62AFD"/>
    <w:rsid w:val="2FE73D65"/>
    <w:rsid w:val="2FE853E7"/>
    <w:rsid w:val="2FE86E5C"/>
    <w:rsid w:val="2FEA5603"/>
    <w:rsid w:val="2FEE570F"/>
    <w:rsid w:val="2FF1085B"/>
    <w:rsid w:val="2FF344B8"/>
    <w:rsid w:val="2FF44CCB"/>
    <w:rsid w:val="2FFD7A3C"/>
    <w:rsid w:val="30000983"/>
    <w:rsid w:val="30004A5E"/>
    <w:rsid w:val="300A101F"/>
    <w:rsid w:val="300B636C"/>
    <w:rsid w:val="30111942"/>
    <w:rsid w:val="30134B5A"/>
    <w:rsid w:val="30137CF7"/>
    <w:rsid w:val="3014442E"/>
    <w:rsid w:val="301461DC"/>
    <w:rsid w:val="30147100"/>
    <w:rsid w:val="301663F8"/>
    <w:rsid w:val="3016797D"/>
    <w:rsid w:val="30177C18"/>
    <w:rsid w:val="301937F3"/>
    <w:rsid w:val="301D1535"/>
    <w:rsid w:val="301F34FF"/>
    <w:rsid w:val="302402A4"/>
    <w:rsid w:val="30280028"/>
    <w:rsid w:val="302A4792"/>
    <w:rsid w:val="302A4894"/>
    <w:rsid w:val="302B680E"/>
    <w:rsid w:val="302C2DEC"/>
    <w:rsid w:val="3032136F"/>
    <w:rsid w:val="30322561"/>
    <w:rsid w:val="303625F7"/>
    <w:rsid w:val="3038011D"/>
    <w:rsid w:val="303C2E9C"/>
    <w:rsid w:val="303E5C42"/>
    <w:rsid w:val="30401064"/>
    <w:rsid w:val="304271ED"/>
    <w:rsid w:val="304345DA"/>
    <w:rsid w:val="3044101E"/>
    <w:rsid w:val="3046665D"/>
    <w:rsid w:val="30494873"/>
    <w:rsid w:val="304C28DE"/>
    <w:rsid w:val="304E0B54"/>
    <w:rsid w:val="30504DBB"/>
    <w:rsid w:val="30513797"/>
    <w:rsid w:val="30514181"/>
    <w:rsid w:val="30517B54"/>
    <w:rsid w:val="305732CD"/>
    <w:rsid w:val="30580361"/>
    <w:rsid w:val="305B02AF"/>
    <w:rsid w:val="305B0B82"/>
    <w:rsid w:val="305E5DBC"/>
    <w:rsid w:val="30605B53"/>
    <w:rsid w:val="30612AD1"/>
    <w:rsid w:val="306252E1"/>
    <w:rsid w:val="30627C73"/>
    <w:rsid w:val="306759C0"/>
    <w:rsid w:val="30697F7D"/>
    <w:rsid w:val="306B57A3"/>
    <w:rsid w:val="306D3728"/>
    <w:rsid w:val="306D73A3"/>
    <w:rsid w:val="306E12DE"/>
    <w:rsid w:val="306F78B6"/>
    <w:rsid w:val="30707817"/>
    <w:rsid w:val="30717D4F"/>
    <w:rsid w:val="307234C4"/>
    <w:rsid w:val="30760C45"/>
    <w:rsid w:val="30780320"/>
    <w:rsid w:val="30793568"/>
    <w:rsid w:val="307A753E"/>
    <w:rsid w:val="30812429"/>
    <w:rsid w:val="3082703A"/>
    <w:rsid w:val="30890978"/>
    <w:rsid w:val="30892A85"/>
    <w:rsid w:val="308C0D28"/>
    <w:rsid w:val="308E05F7"/>
    <w:rsid w:val="309374E3"/>
    <w:rsid w:val="30973638"/>
    <w:rsid w:val="3098505F"/>
    <w:rsid w:val="309C68FD"/>
    <w:rsid w:val="309F63EE"/>
    <w:rsid w:val="30A046BE"/>
    <w:rsid w:val="30A04985"/>
    <w:rsid w:val="30A064A6"/>
    <w:rsid w:val="30A35A73"/>
    <w:rsid w:val="30A371F3"/>
    <w:rsid w:val="30A5056A"/>
    <w:rsid w:val="30A532D8"/>
    <w:rsid w:val="30A851C7"/>
    <w:rsid w:val="30A9741F"/>
    <w:rsid w:val="30A97A76"/>
    <w:rsid w:val="30AB6B41"/>
    <w:rsid w:val="30AC22EC"/>
    <w:rsid w:val="30B4039B"/>
    <w:rsid w:val="30B75BA1"/>
    <w:rsid w:val="30B9756B"/>
    <w:rsid w:val="30BF6B3C"/>
    <w:rsid w:val="30C176CE"/>
    <w:rsid w:val="30C45585"/>
    <w:rsid w:val="30C45E54"/>
    <w:rsid w:val="30C47C02"/>
    <w:rsid w:val="30C56A28"/>
    <w:rsid w:val="30CC6AB7"/>
    <w:rsid w:val="30D46239"/>
    <w:rsid w:val="30D541D4"/>
    <w:rsid w:val="30DA11D4"/>
    <w:rsid w:val="30E65DCB"/>
    <w:rsid w:val="30EB518F"/>
    <w:rsid w:val="30EF6528"/>
    <w:rsid w:val="30F027A5"/>
    <w:rsid w:val="30F04DDC"/>
    <w:rsid w:val="30F51C2B"/>
    <w:rsid w:val="30F62D1F"/>
    <w:rsid w:val="30F725A5"/>
    <w:rsid w:val="30F73B34"/>
    <w:rsid w:val="30F90DF5"/>
    <w:rsid w:val="30FA1876"/>
    <w:rsid w:val="30FB3D19"/>
    <w:rsid w:val="30FC4781"/>
    <w:rsid w:val="30FC739C"/>
    <w:rsid w:val="30FF50DE"/>
    <w:rsid w:val="310149B3"/>
    <w:rsid w:val="3102072B"/>
    <w:rsid w:val="310209E6"/>
    <w:rsid w:val="310E70CF"/>
    <w:rsid w:val="310E7AA7"/>
    <w:rsid w:val="310F6825"/>
    <w:rsid w:val="3112005B"/>
    <w:rsid w:val="311464AB"/>
    <w:rsid w:val="31181CFC"/>
    <w:rsid w:val="31186683"/>
    <w:rsid w:val="311A1F18"/>
    <w:rsid w:val="312132A7"/>
    <w:rsid w:val="31263E28"/>
    <w:rsid w:val="312863E3"/>
    <w:rsid w:val="31295CB7"/>
    <w:rsid w:val="313034EA"/>
    <w:rsid w:val="3131732D"/>
    <w:rsid w:val="31321010"/>
    <w:rsid w:val="31334FE7"/>
    <w:rsid w:val="31342FDA"/>
    <w:rsid w:val="313642C7"/>
    <w:rsid w:val="31367DE0"/>
    <w:rsid w:val="31384310"/>
    <w:rsid w:val="3139195D"/>
    <w:rsid w:val="313B156A"/>
    <w:rsid w:val="31437889"/>
    <w:rsid w:val="31446006"/>
    <w:rsid w:val="314A653C"/>
    <w:rsid w:val="314B0324"/>
    <w:rsid w:val="314D3ECF"/>
    <w:rsid w:val="314F3970"/>
    <w:rsid w:val="315326A5"/>
    <w:rsid w:val="31545EF3"/>
    <w:rsid w:val="31567680"/>
    <w:rsid w:val="315A0567"/>
    <w:rsid w:val="315C42DF"/>
    <w:rsid w:val="315D04A6"/>
    <w:rsid w:val="315F16D9"/>
    <w:rsid w:val="31624F2A"/>
    <w:rsid w:val="31644F41"/>
    <w:rsid w:val="31650DD6"/>
    <w:rsid w:val="316B55D3"/>
    <w:rsid w:val="316B62D0"/>
    <w:rsid w:val="316D3DF6"/>
    <w:rsid w:val="316F550D"/>
    <w:rsid w:val="316F5DC0"/>
    <w:rsid w:val="31701B38"/>
    <w:rsid w:val="317260CE"/>
    <w:rsid w:val="3173653E"/>
    <w:rsid w:val="31761F52"/>
    <w:rsid w:val="31776F9A"/>
    <w:rsid w:val="317B6181"/>
    <w:rsid w:val="317F1D7B"/>
    <w:rsid w:val="317F5CC9"/>
    <w:rsid w:val="31802D07"/>
    <w:rsid w:val="31815AF3"/>
    <w:rsid w:val="3183186B"/>
    <w:rsid w:val="3186310A"/>
    <w:rsid w:val="31903294"/>
    <w:rsid w:val="31921AAF"/>
    <w:rsid w:val="3195334D"/>
    <w:rsid w:val="31963F01"/>
    <w:rsid w:val="31975317"/>
    <w:rsid w:val="319D4E24"/>
    <w:rsid w:val="319E66A5"/>
    <w:rsid w:val="31A30E4F"/>
    <w:rsid w:val="31A311D4"/>
    <w:rsid w:val="31A32F06"/>
    <w:rsid w:val="31A4447F"/>
    <w:rsid w:val="31A571A3"/>
    <w:rsid w:val="31A812D2"/>
    <w:rsid w:val="31A87524"/>
    <w:rsid w:val="31AA504A"/>
    <w:rsid w:val="31AF0C54"/>
    <w:rsid w:val="31B1462B"/>
    <w:rsid w:val="31B163D9"/>
    <w:rsid w:val="31B37D14"/>
    <w:rsid w:val="31B41A25"/>
    <w:rsid w:val="31B81DFD"/>
    <w:rsid w:val="31B84983"/>
    <w:rsid w:val="31BC0ADE"/>
    <w:rsid w:val="31BC4D7D"/>
    <w:rsid w:val="31BC6B40"/>
    <w:rsid w:val="31C41D60"/>
    <w:rsid w:val="31C47DCD"/>
    <w:rsid w:val="31C75BFC"/>
    <w:rsid w:val="31C86413"/>
    <w:rsid w:val="31CA56EC"/>
    <w:rsid w:val="31D226F5"/>
    <w:rsid w:val="31D73965"/>
    <w:rsid w:val="31D76878"/>
    <w:rsid w:val="31D9180D"/>
    <w:rsid w:val="31DA35B5"/>
    <w:rsid w:val="31DA576F"/>
    <w:rsid w:val="31DD1F3B"/>
    <w:rsid w:val="31DE17F1"/>
    <w:rsid w:val="31DE4CF4"/>
    <w:rsid w:val="31DF175D"/>
    <w:rsid w:val="31E1153A"/>
    <w:rsid w:val="31E247E4"/>
    <w:rsid w:val="31E27428"/>
    <w:rsid w:val="31E3230A"/>
    <w:rsid w:val="31E37AFE"/>
    <w:rsid w:val="31E53BD8"/>
    <w:rsid w:val="31EB31CE"/>
    <w:rsid w:val="31EC5663"/>
    <w:rsid w:val="31ED3189"/>
    <w:rsid w:val="31EF3498"/>
    <w:rsid w:val="31F12201"/>
    <w:rsid w:val="31F27F05"/>
    <w:rsid w:val="31F43832"/>
    <w:rsid w:val="31F5295D"/>
    <w:rsid w:val="31F6028F"/>
    <w:rsid w:val="31F86732"/>
    <w:rsid w:val="31F9633E"/>
    <w:rsid w:val="31FE64F3"/>
    <w:rsid w:val="31FF66E4"/>
    <w:rsid w:val="320003DB"/>
    <w:rsid w:val="3202598B"/>
    <w:rsid w:val="32047575"/>
    <w:rsid w:val="3206424D"/>
    <w:rsid w:val="320769C1"/>
    <w:rsid w:val="32081D71"/>
    <w:rsid w:val="320A3D3B"/>
    <w:rsid w:val="320E1ED6"/>
    <w:rsid w:val="320F76DA"/>
    <w:rsid w:val="32130E41"/>
    <w:rsid w:val="32142AFE"/>
    <w:rsid w:val="32144986"/>
    <w:rsid w:val="32184AEF"/>
    <w:rsid w:val="32185013"/>
    <w:rsid w:val="321A26C3"/>
    <w:rsid w:val="321D3A6E"/>
    <w:rsid w:val="321F203B"/>
    <w:rsid w:val="32204DF4"/>
    <w:rsid w:val="322070BA"/>
    <w:rsid w:val="32220E91"/>
    <w:rsid w:val="32223817"/>
    <w:rsid w:val="32230959"/>
    <w:rsid w:val="322620F6"/>
    <w:rsid w:val="32274509"/>
    <w:rsid w:val="322841C1"/>
    <w:rsid w:val="32285B6C"/>
    <w:rsid w:val="322A0A77"/>
    <w:rsid w:val="32343DCB"/>
    <w:rsid w:val="323A2BEF"/>
    <w:rsid w:val="323B3EF4"/>
    <w:rsid w:val="3244724D"/>
    <w:rsid w:val="324509E2"/>
    <w:rsid w:val="32450CF4"/>
    <w:rsid w:val="324523C1"/>
    <w:rsid w:val="32470AEB"/>
    <w:rsid w:val="3248666C"/>
    <w:rsid w:val="32491521"/>
    <w:rsid w:val="324A0061"/>
    <w:rsid w:val="324B1B2D"/>
    <w:rsid w:val="324B1B69"/>
    <w:rsid w:val="324C037B"/>
    <w:rsid w:val="324D01C5"/>
    <w:rsid w:val="3251096A"/>
    <w:rsid w:val="3253259F"/>
    <w:rsid w:val="3256637E"/>
    <w:rsid w:val="32586854"/>
    <w:rsid w:val="325A081E"/>
    <w:rsid w:val="325A33E4"/>
    <w:rsid w:val="325A68AB"/>
    <w:rsid w:val="325C0F3F"/>
    <w:rsid w:val="325F5E35"/>
    <w:rsid w:val="3265253D"/>
    <w:rsid w:val="32685F2C"/>
    <w:rsid w:val="32695377"/>
    <w:rsid w:val="32695BC1"/>
    <w:rsid w:val="326E42CA"/>
    <w:rsid w:val="326F0625"/>
    <w:rsid w:val="326F1F29"/>
    <w:rsid w:val="32723F14"/>
    <w:rsid w:val="3273368E"/>
    <w:rsid w:val="327411B4"/>
    <w:rsid w:val="3279103B"/>
    <w:rsid w:val="32794A1C"/>
    <w:rsid w:val="32872F23"/>
    <w:rsid w:val="32875432"/>
    <w:rsid w:val="32892EB1"/>
    <w:rsid w:val="3289460C"/>
    <w:rsid w:val="328B5B85"/>
    <w:rsid w:val="328C4750"/>
    <w:rsid w:val="32910F3D"/>
    <w:rsid w:val="32934927"/>
    <w:rsid w:val="32937120"/>
    <w:rsid w:val="32944A6A"/>
    <w:rsid w:val="32954240"/>
    <w:rsid w:val="32976A07"/>
    <w:rsid w:val="329B2BE5"/>
    <w:rsid w:val="329C029F"/>
    <w:rsid w:val="32A2020C"/>
    <w:rsid w:val="32A2203A"/>
    <w:rsid w:val="32A74A94"/>
    <w:rsid w:val="32A777DC"/>
    <w:rsid w:val="32A77ADA"/>
    <w:rsid w:val="32AC2CDB"/>
    <w:rsid w:val="32B06690"/>
    <w:rsid w:val="32B06E0D"/>
    <w:rsid w:val="32B21354"/>
    <w:rsid w:val="32B3062C"/>
    <w:rsid w:val="32B332E4"/>
    <w:rsid w:val="32B367D2"/>
    <w:rsid w:val="32BB6DE3"/>
    <w:rsid w:val="32BE2CD7"/>
    <w:rsid w:val="32C0264B"/>
    <w:rsid w:val="32C16E26"/>
    <w:rsid w:val="32C56864"/>
    <w:rsid w:val="32C71A61"/>
    <w:rsid w:val="32C8504E"/>
    <w:rsid w:val="32C91500"/>
    <w:rsid w:val="32C957E1"/>
    <w:rsid w:val="32D0288E"/>
    <w:rsid w:val="32D14858"/>
    <w:rsid w:val="32D17803"/>
    <w:rsid w:val="32D31612"/>
    <w:rsid w:val="32D56359"/>
    <w:rsid w:val="32DA370D"/>
    <w:rsid w:val="32DF1373"/>
    <w:rsid w:val="32E13265"/>
    <w:rsid w:val="32E26A66"/>
    <w:rsid w:val="32E453A0"/>
    <w:rsid w:val="32E7392A"/>
    <w:rsid w:val="32E75E2A"/>
    <w:rsid w:val="32E93CE2"/>
    <w:rsid w:val="32EB3B6C"/>
    <w:rsid w:val="32EF7012"/>
    <w:rsid w:val="32F44E2C"/>
    <w:rsid w:val="32F45E0E"/>
    <w:rsid w:val="32F522F5"/>
    <w:rsid w:val="32F80197"/>
    <w:rsid w:val="32FB0D84"/>
    <w:rsid w:val="32FB6F5A"/>
    <w:rsid w:val="32FD32EB"/>
    <w:rsid w:val="32FD564D"/>
    <w:rsid w:val="32FE25B0"/>
    <w:rsid w:val="32FF4F22"/>
    <w:rsid w:val="33014DEF"/>
    <w:rsid w:val="3302598D"/>
    <w:rsid w:val="33026648"/>
    <w:rsid w:val="330A3751"/>
    <w:rsid w:val="330B38C7"/>
    <w:rsid w:val="330D3302"/>
    <w:rsid w:val="33122EA7"/>
    <w:rsid w:val="3312312D"/>
    <w:rsid w:val="33162D96"/>
    <w:rsid w:val="331653A7"/>
    <w:rsid w:val="3318356E"/>
    <w:rsid w:val="33195511"/>
    <w:rsid w:val="331B019D"/>
    <w:rsid w:val="33222D0C"/>
    <w:rsid w:val="33264BA4"/>
    <w:rsid w:val="33274383"/>
    <w:rsid w:val="33280739"/>
    <w:rsid w:val="33294694"/>
    <w:rsid w:val="332A5A6E"/>
    <w:rsid w:val="332D19FB"/>
    <w:rsid w:val="332D37BF"/>
    <w:rsid w:val="332F1577"/>
    <w:rsid w:val="333170A5"/>
    <w:rsid w:val="333914B5"/>
    <w:rsid w:val="33393108"/>
    <w:rsid w:val="333944C9"/>
    <w:rsid w:val="334017F2"/>
    <w:rsid w:val="3341104F"/>
    <w:rsid w:val="33415B8B"/>
    <w:rsid w:val="33435756"/>
    <w:rsid w:val="334E70C6"/>
    <w:rsid w:val="334F40FB"/>
    <w:rsid w:val="3350450F"/>
    <w:rsid w:val="3350577D"/>
    <w:rsid w:val="33507336"/>
    <w:rsid w:val="335177EC"/>
    <w:rsid w:val="33520A10"/>
    <w:rsid w:val="33525384"/>
    <w:rsid w:val="33525999"/>
    <w:rsid w:val="3353526D"/>
    <w:rsid w:val="33586D62"/>
    <w:rsid w:val="335A0B89"/>
    <w:rsid w:val="335C05C6"/>
    <w:rsid w:val="336456CD"/>
    <w:rsid w:val="3367705C"/>
    <w:rsid w:val="33684523"/>
    <w:rsid w:val="336D4581"/>
    <w:rsid w:val="33716D16"/>
    <w:rsid w:val="33745910"/>
    <w:rsid w:val="3376747A"/>
    <w:rsid w:val="337E678E"/>
    <w:rsid w:val="33813B89"/>
    <w:rsid w:val="338418CB"/>
    <w:rsid w:val="33856CD3"/>
    <w:rsid w:val="33890C8F"/>
    <w:rsid w:val="338A7DDD"/>
    <w:rsid w:val="338B2782"/>
    <w:rsid w:val="338E6AEE"/>
    <w:rsid w:val="33973471"/>
    <w:rsid w:val="33977850"/>
    <w:rsid w:val="33983521"/>
    <w:rsid w:val="33984010"/>
    <w:rsid w:val="33A04957"/>
    <w:rsid w:val="33A34C0C"/>
    <w:rsid w:val="33A37FA3"/>
    <w:rsid w:val="33A559E7"/>
    <w:rsid w:val="33AB6E58"/>
    <w:rsid w:val="33B640C1"/>
    <w:rsid w:val="33B7308A"/>
    <w:rsid w:val="33B73A4E"/>
    <w:rsid w:val="33B9418C"/>
    <w:rsid w:val="33C009E3"/>
    <w:rsid w:val="33C12110"/>
    <w:rsid w:val="33C15F55"/>
    <w:rsid w:val="33C1667B"/>
    <w:rsid w:val="33C65509"/>
    <w:rsid w:val="33CB1008"/>
    <w:rsid w:val="33CE7CB4"/>
    <w:rsid w:val="33D068B6"/>
    <w:rsid w:val="33D508EE"/>
    <w:rsid w:val="33D5788D"/>
    <w:rsid w:val="33DC00FA"/>
    <w:rsid w:val="33DF6B01"/>
    <w:rsid w:val="33E12879"/>
    <w:rsid w:val="33E22E17"/>
    <w:rsid w:val="33E234ED"/>
    <w:rsid w:val="33E32A95"/>
    <w:rsid w:val="33E5575E"/>
    <w:rsid w:val="33E56366"/>
    <w:rsid w:val="33E83C08"/>
    <w:rsid w:val="33E9096B"/>
    <w:rsid w:val="33EA03B1"/>
    <w:rsid w:val="33EB55A0"/>
    <w:rsid w:val="33EC3069"/>
    <w:rsid w:val="33EF143A"/>
    <w:rsid w:val="33F077A7"/>
    <w:rsid w:val="33F26834"/>
    <w:rsid w:val="33F46B2D"/>
    <w:rsid w:val="33F713B7"/>
    <w:rsid w:val="33F94B2A"/>
    <w:rsid w:val="33F95E15"/>
    <w:rsid w:val="33FA18C0"/>
    <w:rsid w:val="33FB7DDF"/>
    <w:rsid w:val="33FF032A"/>
    <w:rsid w:val="340118A2"/>
    <w:rsid w:val="340160C2"/>
    <w:rsid w:val="34016560"/>
    <w:rsid w:val="34032EB3"/>
    <w:rsid w:val="340547BA"/>
    <w:rsid w:val="34081665"/>
    <w:rsid w:val="34083ADF"/>
    <w:rsid w:val="340909FE"/>
    <w:rsid w:val="340A3271"/>
    <w:rsid w:val="340A728E"/>
    <w:rsid w:val="340C02FC"/>
    <w:rsid w:val="340C3402"/>
    <w:rsid w:val="340D4053"/>
    <w:rsid w:val="340E1496"/>
    <w:rsid w:val="341113B0"/>
    <w:rsid w:val="34150DD0"/>
    <w:rsid w:val="34174A98"/>
    <w:rsid w:val="341A36D8"/>
    <w:rsid w:val="341D56D4"/>
    <w:rsid w:val="341E2488"/>
    <w:rsid w:val="341E3ACD"/>
    <w:rsid w:val="341F38EE"/>
    <w:rsid w:val="341F4A8C"/>
    <w:rsid w:val="3423438A"/>
    <w:rsid w:val="342509B8"/>
    <w:rsid w:val="34286628"/>
    <w:rsid w:val="342D0C70"/>
    <w:rsid w:val="342D6FC7"/>
    <w:rsid w:val="342F664D"/>
    <w:rsid w:val="34313801"/>
    <w:rsid w:val="343636E3"/>
    <w:rsid w:val="3439166F"/>
    <w:rsid w:val="34394463"/>
    <w:rsid w:val="343B01DB"/>
    <w:rsid w:val="343B642D"/>
    <w:rsid w:val="343B77AA"/>
    <w:rsid w:val="343C3F54"/>
    <w:rsid w:val="34403A44"/>
    <w:rsid w:val="344352E2"/>
    <w:rsid w:val="34462DB5"/>
    <w:rsid w:val="34480B4A"/>
    <w:rsid w:val="34496CE9"/>
    <w:rsid w:val="344E12E7"/>
    <w:rsid w:val="344F3C87"/>
    <w:rsid w:val="34521B73"/>
    <w:rsid w:val="34577D55"/>
    <w:rsid w:val="34583ED8"/>
    <w:rsid w:val="345854D5"/>
    <w:rsid w:val="345C4D01"/>
    <w:rsid w:val="345E6D3E"/>
    <w:rsid w:val="345E7193"/>
    <w:rsid w:val="3463198D"/>
    <w:rsid w:val="34637732"/>
    <w:rsid w:val="3464057A"/>
    <w:rsid w:val="34650059"/>
    <w:rsid w:val="346516FC"/>
    <w:rsid w:val="34654C9E"/>
    <w:rsid w:val="346672AD"/>
    <w:rsid w:val="346A7B0C"/>
    <w:rsid w:val="346F4329"/>
    <w:rsid w:val="34775E1C"/>
    <w:rsid w:val="34783090"/>
    <w:rsid w:val="3478372D"/>
    <w:rsid w:val="347B0F20"/>
    <w:rsid w:val="348240B1"/>
    <w:rsid w:val="34847DD4"/>
    <w:rsid w:val="348576A9"/>
    <w:rsid w:val="34873898"/>
    <w:rsid w:val="348C6C89"/>
    <w:rsid w:val="349160B7"/>
    <w:rsid w:val="34983880"/>
    <w:rsid w:val="34A17F8C"/>
    <w:rsid w:val="34A522D6"/>
    <w:rsid w:val="34AC4B3E"/>
    <w:rsid w:val="34AC7ED5"/>
    <w:rsid w:val="34AE4E51"/>
    <w:rsid w:val="34AF4725"/>
    <w:rsid w:val="34B00BC9"/>
    <w:rsid w:val="34B166F0"/>
    <w:rsid w:val="34B32468"/>
    <w:rsid w:val="34B41D3C"/>
    <w:rsid w:val="34B57061"/>
    <w:rsid w:val="34B66963"/>
    <w:rsid w:val="34B8000E"/>
    <w:rsid w:val="34BA052A"/>
    <w:rsid w:val="34BB6546"/>
    <w:rsid w:val="34BD7989"/>
    <w:rsid w:val="34C957E7"/>
    <w:rsid w:val="34CA0B0B"/>
    <w:rsid w:val="34CE72A2"/>
    <w:rsid w:val="34D523DE"/>
    <w:rsid w:val="34D62B03"/>
    <w:rsid w:val="34D85CE0"/>
    <w:rsid w:val="34DA428E"/>
    <w:rsid w:val="34DA537A"/>
    <w:rsid w:val="34DD1293"/>
    <w:rsid w:val="34DF0332"/>
    <w:rsid w:val="34E24AFB"/>
    <w:rsid w:val="34E56399"/>
    <w:rsid w:val="34E6283D"/>
    <w:rsid w:val="34E848BA"/>
    <w:rsid w:val="34E93E19"/>
    <w:rsid w:val="34EB57A0"/>
    <w:rsid w:val="34ED1251"/>
    <w:rsid w:val="34EE4F90"/>
    <w:rsid w:val="34F211E2"/>
    <w:rsid w:val="34F765F6"/>
    <w:rsid w:val="34FA0097"/>
    <w:rsid w:val="34FC025D"/>
    <w:rsid w:val="35026B8E"/>
    <w:rsid w:val="35050DD3"/>
    <w:rsid w:val="35051A73"/>
    <w:rsid w:val="35056364"/>
    <w:rsid w:val="350A5DD5"/>
    <w:rsid w:val="350B22A4"/>
    <w:rsid w:val="350C1963"/>
    <w:rsid w:val="350C6BEB"/>
    <w:rsid w:val="35154937"/>
    <w:rsid w:val="351A24E7"/>
    <w:rsid w:val="351D1FD7"/>
    <w:rsid w:val="352769B2"/>
    <w:rsid w:val="352E5F92"/>
    <w:rsid w:val="353103B5"/>
    <w:rsid w:val="353653C2"/>
    <w:rsid w:val="35373099"/>
    <w:rsid w:val="353C406C"/>
    <w:rsid w:val="353E45D5"/>
    <w:rsid w:val="354077AE"/>
    <w:rsid w:val="35470E02"/>
    <w:rsid w:val="35475446"/>
    <w:rsid w:val="354D466A"/>
    <w:rsid w:val="3550136A"/>
    <w:rsid w:val="355076B8"/>
    <w:rsid w:val="35531555"/>
    <w:rsid w:val="35567B0E"/>
    <w:rsid w:val="35584DBD"/>
    <w:rsid w:val="355B0222"/>
    <w:rsid w:val="355C48AD"/>
    <w:rsid w:val="355F7EFA"/>
    <w:rsid w:val="35625BE4"/>
    <w:rsid w:val="35645510"/>
    <w:rsid w:val="35655D2C"/>
    <w:rsid w:val="356727CA"/>
    <w:rsid w:val="356B13C7"/>
    <w:rsid w:val="356C2617"/>
    <w:rsid w:val="35746AF4"/>
    <w:rsid w:val="35760FBE"/>
    <w:rsid w:val="35780FBB"/>
    <w:rsid w:val="357A3683"/>
    <w:rsid w:val="357C4E30"/>
    <w:rsid w:val="35824CBB"/>
    <w:rsid w:val="35847960"/>
    <w:rsid w:val="3586192A"/>
    <w:rsid w:val="358655FF"/>
    <w:rsid w:val="358B6F41"/>
    <w:rsid w:val="358E07DF"/>
    <w:rsid w:val="35927E5B"/>
    <w:rsid w:val="3595159F"/>
    <w:rsid w:val="35986C99"/>
    <w:rsid w:val="359B3588"/>
    <w:rsid w:val="359C6CB5"/>
    <w:rsid w:val="35A150CE"/>
    <w:rsid w:val="35A16764"/>
    <w:rsid w:val="35A232E9"/>
    <w:rsid w:val="35A3146B"/>
    <w:rsid w:val="35A32F65"/>
    <w:rsid w:val="35A4293C"/>
    <w:rsid w:val="35A61FCC"/>
    <w:rsid w:val="35A715CC"/>
    <w:rsid w:val="35AA33FE"/>
    <w:rsid w:val="35AB1391"/>
    <w:rsid w:val="35AB313F"/>
    <w:rsid w:val="35AC1E6F"/>
    <w:rsid w:val="35AE0515"/>
    <w:rsid w:val="35B04A3C"/>
    <w:rsid w:val="35B2000C"/>
    <w:rsid w:val="35B22A17"/>
    <w:rsid w:val="35B5220F"/>
    <w:rsid w:val="35BE652B"/>
    <w:rsid w:val="35BE7497"/>
    <w:rsid w:val="35C636FF"/>
    <w:rsid w:val="35C6441D"/>
    <w:rsid w:val="35D05E29"/>
    <w:rsid w:val="35D1164F"/>
    <w:rsid w:val="35D5640E"/>
    <w:rsid w:val="35DA5322"/>
    <w:rsid w:val="35E5121D"/>
    <w:rsid w:val="35E548A3"/>
    <w:rsid w:val="35E7745C"/>
    <w:rsid w:val="35EB0151"/>
    <w:rsid w:val="35EB3E83"/>
    <w:rsid w:val="35ED756B"/>
    <w:rsid w:val="35F165B8"/>
    <w:rsid w:val="35F57F4E"/>
    <w:rsid w:val="35F72FB4"/>
    <w:rsid w:val="35F920FC"/>
    <w:rsid w:val="35FB2318"/>
    <w:rsid w:val="35FE5964"/>
    <w:rsid w:val="35FE75F8"/>
    <w:rsid w:val="36000239"/>
    <w:rsid w:val="36062A6B"/>
    <w:rsid w:val="36070CBD"/>
    <w:rsid w:val="36093152"/>
    <w:rsid w:val="360B0081"/>
    <w:rsid w:val="360B56B7"/>
    <w:rsid w:val="360D1B6A"/>
    <w:rsid w:val="360F1920"/>
    <w:rsid w:val="36103C8A"/>
    <w:rsid w:val="3612057F"/>
    <w:rsid w:val="36121410"/>
    <w:rsid w:val="3613628A"/>
    <w:rsid w:val="36160F00"/>
    <w:rsid w:val="36193799"/>
    <w:rsid w:val="361A306B"/>
    <w:rsid w:val="361A4FF4"/>
    <w:rsid w:val="36213401"/>
    <w:rsid w:val="362178A5"/>
    <w:rsid w:val="36251143"/>
    <w:rsid w:val="36264C5C"/>
    <w:rsid w:val="36294AF0"/>
    <w:rsid w:val="36296275"/>
    <w:rsid w:val="36297785"/>
    <w:rsid w:val="362C08A6"/>
    <w:rsid w:val="362C24D2"/>
    <w:rsid w:val="362D1DA6"/>
    <w:rsid w:val="362F3D70"/>
    <w:rsid w:val="36315865"/>
    <w:rsid w:val="363323F5"/>
    <w:rsid w:val="3636283A"/>
    <w:rsid w:val="363B44C3"/>
    <w:rsid w:val="363C648D"/>
    <w:rsid w:val="363F0858"/>
    <w:rsid w:val="36421CF5"/>
    <w:rsid w:val="36453D49"/>
    <w:rsid w:val="36496DE4"/>
    <w:rsid w:val="364B707C"/>
    <w:rsid w:val="364E2474"/>
    <w:rsid w:val="36555259"/>
    <w:rsid w:val="36563E78"/>
    <w:rsid w:val="365657A0"/>
    <w:rsid w:val="36575075"/>
    <w:rsid w:val="36581519"/>
    <w:rsid w:val="36592B9B"/>
    <w:rsid w:val="365A5EF7"/>
    <w:rsid w:val="365B761C"/>
    <w:rsid w:val="36600561"/>
    <w:rsid w:val="36607151"/>
    <w:rsid w:val="366476CB"/>
    <w:rsid w:val="366652B8"/>
    <w:rsid w:val="36690DEE"/>
    <w:rsid w:val="366C6D72"/>
    <w:rsid w:val="366D47D4"/>
    <w:rsid w:val="366F23BE"/>
    <w:rsid w:val="366F7223"/>
    <w:rsid w:val="367034A4"/>
    <w:rsid w:val="367040D8"/>
    <w:rsid w:val="3670428D"/>
    <w:rsid w:val="367125DA"/>
    <w:rsid w:val="3671332B"/>
    <w:rsid w:val="36743E39"/>
    <w:rsid w:val="367573BE"/>
    <w:rsid w:val="36767BF1"/>
    <w:rsid w:val="36781CEB"/>
    <w:rsid w:val="3679631B"/>
    <w:rsid w:val="3679745E"/>
    <w:rsid w:val="367D0F7F"/>
    <w:rsid w:val="367F061C"/>
    <w:rsid w:val="367F32BF"/>
    <w:rsid w:val="367F72BB"/>
    <w:rsid w:val="36801FC3"/>
    <w:rsid w:val="368E076E"/>
    <w:rsid w:val="36925E08"/>
    <w:rsid w:val="369342FF"/>
    <w:rsid w:val="36963DEF"/>
    <w:rsid w:val="36975FF1"/>
    <w:rsid w:val="36981915"/>
    <w:rsid w:val="369938DF"/>
    <w:rsid w:val="369C2757"/>
    <w:rsid w:val="369D2936"/>
    <w:rsid w:val="369D4B1D"/>
    <w:rsid w:val="369D598D"/>
    <w:rsid w:val="369E3ED1"/>
    <w:rsid w:val="36A02291"/>
    <w:rsid w:val="36A05164"/>
    <w:rsid w:val="36A24542"/>
    <w:rsid w:val="36A4650C"/>
    <w:rsid w:val="36A656A2"/>
    <w:rsid w:val="36AB3FD2"/>
    <w:rsid w:val="36AD2EE7"/>
    <w:rsid w:val="36AE3044"/>
    <w:rsid w:val="36AE634F"/>
    <w:rsid w:val="36B10C29"/>
    <w:rsid w:val="36B13AD8"/>
    <w:rsid w:val="36B2364A"/>
    <w:rsid w:val="36B25C82"/>
    <w:rsid w:val="36B42800"/>
    <w:rsid w:val="36B67FED"/>
    <w:rsid w:val="36B7281E"/>
    <w:rsid w:val="36BA60D8"/>
    <w:rsid w:val="36BA6BD1"/>
    <w:rsid w:val="36BB001C"/>
    <w:rsid w:val="36BB5604"/>
    <w:rsid w:val="36BC40FA"/>
    <w:rsid w:val="36BE6EA2"/>
    <w:rsid w:val="36BF6696"/>
    <w:rsid w:val="36C35E11"/>
    <w:rsid w:val="36C9154E"/>
    <w:rsid w:val="36CC7811"/>
    <w:rsid w:val="36CE6DDA"/>
    <w:rsid w:val="36D13079"/>
    <w:rsid w:val="36D3462E"/>
    <w:rsid w:val="36D466C5"/>
    <w:rsid w:val="36D81DC5"/>
    <w:rsid w:val="36D977AF"/>
    <w:rsid w:val="36DA6667"/>
    <w:rsid w:val="36DB5CA6"/>
    <w:rsid w:val="36DC4D62"/>
    <w:rsid w:val="36DD1A1E"/>
    <w:rsid w:val="36DF1909"/>
    <w:rsid w:val="36DF5796"/>
    <w:rsid w:val="36E11623"/>
    <w:rsid w:val="36E27034"/>
    <w:rsid w:val="36E4421A"/>
    <w:rsid w:val="36E508D2"/>
    <w:rsid w:val="36E716F9"/>
    <w:rsid w:val="36E7289C"/>
    <w:rsid w:val="36F01AF3"/>
    <w:rsid w:val="36F31241"/>
    <w:rsid w:val="36F54FF8"/>
    <w:rsid w:val="36F80606"/>
    <w:rsid w:val="36F86858"/>
    <w:rsid w:val="3700570C"/>
    <w:rsid w:val="37077DAA"/>
    <w:rsid w:val="370C2303"/>
    <w:rsid w:val="371051BC"/>
    <w:rsid w:val="37144761"/>
    <w:rsid w:val="371511B8"/>
    <w:rsid w:val="3716667A"/>
    <w:rsid w:val="3718735B"/>
    <w:rsid w:val="371A5ECD"/>
    <w:rsid w:val="371B42F4"/>
    <w:rsid w:val="371F3DE4"/>
    <w:rsid w:val="371F4BBF"/>
    <w:rsid w:val="372066CC"/>
    <w:rsid w:val="37226B12"/>
    <w:rsid w:val="372458F2"/>
    <w:rsid w:val="37271C97"/>
    <w:rsid w:val="372811A5"/>
    <w:rsid w:val="3729466D"/>
    <w:rsid w:val="372E04CB"/>
    <w:rsid w:val="37305FF2"/>
    <w:rsid w:val="37307DA0"/>
    <w:rsid w:val="37337890"/>
    <w:rsid w:val="3736112E"/>
    <w:rsid w:val="37375E56"/>
    <w:rsid w:val="373A6E70"/>
    <w:rsid w:val="373B3283"/>
    <w:rsid w:val="373D6984"/>
    <w:rsid w:val="37411FAD"/>
    <w:rsid w:val="374455F9"/>
    <w:rsid w:val="374750E9"/>
    <w:rsid w:val="3749758F"/>
    <w:rsid w:val="374A6261"/>
    <w:rsid w:val="374C5617"/>
    <w:rsid w:val="374D23E2"/>
    <w:rsid w:val="375126E3"/>
    <w:rsid w:val="37537D63"/>
    <w:rsid w:val="37557806"/>
    <w:rsid w:val="3756643B"/>
    <w:rsid w:val="375717D0"/>
    <w:rsid w:val="375720DA"/>
    <w:rsid w:val="37585548"/>
    <w:rsid w:val="375A306E"/>
    <w:rsid w:val="375B3C7B"/>
    <w:rsid w:val="375D490D"/>
    <w:rsid w:val="37604DCD"/>
    <w:rsid w:val="376143FD"/>
    <w:rsid w:val="37625E00"/>
    <w:rsid w:val="37672D3B"/>
    <w:rsid w:val="376822D6"/>
    <w:rsid w:val="376F634F"/>
    <w:rsid w:val="3772660A"/>
    <w:rsid w:val="37727B07"/>
    <w:rsid w:val="37735EDE"/>
    <w:rsid w:val="37751C56"/>
    <w:rsid w:val="3775311F"/>
    <w:rsid w:val="37765EA7"/>
    <w:rsid w:val="37775226"/>
    <w:rsid w:val="37783580"/>
    <w:rsid w:val="377912FB"/>
    <w:rsid w:val="377A101B"/>
    <w:rsid w:val="377E4337"/>
    <w:rsid w:val="378400EB"/>
    <w:rsid w:val="37846305"/>
    <w:rsid w:val="3785702B"/>
    <w:rsid w:val="37887BDC"/>
    <w:rsid w:val="37904E5A"/>
    <w:rsid w:val="379130D9"/>
    <w:rsid w:val="37932094"/>
    <w:rsid w:val="37953F74"/>
    <w:rsid w:val="37991DE9"/>
    <w:rsid w:val="379A6DDD"/>
    <w:rsid w:val="37A566A5"/>
    <w:rsid w:val="37B00EE0"/>
    <w:rsid w:val="37B33894"/>
    <w:rsid w:val="37B5130F"/>
    <w:rsid w:val="37B81B43"/>
    <w:rsid w:val="37B873AB"/>
    <w:rsid w:val="37B95FE7"/>
    <w:rsid w:val="37BA3B0D"/>
    <w:rsid w:val="37BD5C39"/>
    <w:rsid w:val="37C0180A"/>
    <w:rsid w:val="37C077B1"/>
    <w:rsid w:val="37C25CC6"/>
    <w:rsid w:val="37C624B2"/>
    <w:rsid w:val="37C702A9"/>
    <w:rsid w:val="37C85FF9"/>
    <w:rsid w:val="37C93EB1"/>
    <w:rsid w:val="37C9609E"/>
    <w:rsid w:val="37D045BF"/>
    <w:rsid w:val="37D26C74"/>
    <w:rsid w:val="37D35B12"/>
    <w:rsid w:val="37D41C80"/>
    <w:rsid w:val="37D64D82"/>
    <w:rsid w:val="37D72911"/>
    <w:rsid w:val="37D74D24"/>
    <w:rsid w:val="37D80686"/>
    <w:rsid w:val="37DB4E60"/>
    <w:rsid w:val="37DF3574"/>
    <w:rsid w:val="37E34E12"/>
    <w:rsid w:val="37E8067A"/>
    <w:rsid w:val="37EB2D52"/>
    <w:rsid w:val="37EE3373"/>
    <w:rsid w:val="37F05781"/>
    <w:rsid w:val="37F449A7"/>
    <w:rsid w:val="37FA5F1E"/>
    <w:rsid w:val="380332CE"/>
    <w:rsid w:val="38037262"/>
    <w:rsid w:val="3807501A"/>
    <w:rsid w:val="38082ACA"/>
    <w:rsid w:val="38083D4D"/>
    <w:rsid w:val="38091BCB"/>
    <w:rsid w:val="380D237D"/>
    <w:rsid w:val="380F3590"/>
    <w:rsid w:val="381157C4"/>
    <w:rsid w:val="381551E7"/>
    <w:rsid w:val="381C26EF"/>
    <w:rsid w:val="381E22EE"/>
    <w:rsid w:val="38212BEC"/>
    <w:rsid w:val="38233460"/>
    <w:rsid w:val="38250593"/>
    <w:rsid w:val="38286CC9"/>
    <w:rsid w:val="382A2451"/>
    <w:rsid w:val="382B019D"/>
    <w:rsid w:val="382D2531"/>
    <w:rsid w:val="382F43FF"/>
    <w:rsid w:val="3830249B"/>
    <w:rsid w:val="38303DCF"/>
    <w:rsid w:val="38327B47"/>
    <w:rsid w:val="38364F11"/>
    <w:rsid w:val="38390ED6"/>
    <w:rsid w:val="384004B6"/>
    <w:rsid w:val="384635F3"/>
    <w:rsid w:val="38481D7A"/>
    <w:rsid w:val="384B0C09"/>
    <w:rsid w:val="384B44A9"/>
    <w:rsid w:val="384D2542"/>
    <w:rsid w:val="384F4255"/>
    <w:rsid w:val="385201EA"/>
    <w:rsid w:val="3854184B"/>
    <w:rsid w:val="38543F62"/>
    <w:rsid w:val="38551189"/>
    <w:rsid w:val="385950D4"/>
    <w:rsid w:val="385F394D"/>
    <w:rsid w:val="3862042D"/>
    <w:rsid w:val="386F2B4A"/>
    <w:rsid w:val="387243E8"/>
    <w:rsid w:val="38726D40"/>
    <w:rsid w:val="3874040C"/>
    <w:rsid w:val="387502B4"/>
    <w:rsid w:val="38772BC0"/>
    <w:rsid w:val="387737AC"/>
    <w:rsid w:val="387D5D44"/>
    <w:rsid w:val="3881462B"/>
    <w:rsid w:val="38832151"/>
    <w:rsid w:val="388560F7"/>
    <w:rsid w:val="388611A7"/>
    <w:rsid w:val="38872DC6"/>
    <w:rsid w:val="388A1731"/>
    <w:rsid w:val="388C54AA"/>
    <w:rsid w:val="388E7474"/>
    <w:rsid w:val="3890151C"/>
    <w:rsid w:val="38910F96"/>
    <w:rsid w:val="38912AC0"/>
    <w:rsid w:val="38922426"/>
    <w:rsid w:val="38936601"/>
    <w:rsid w:val="3894610C"/>
    <w:rsid w:val="389A2BBC"/>
    <w:rsid w:val="389B749B"/>
    <w:rsid w:val="389E280E"/>
    <w:rsid w:val="389E51DD"/>
    <w:rsid w:val="38A10829"/>
    <w:rsid w:val="38A345A1"/>
    <w:rsid w:val="38A57AE5"/>
    <w:rsid w:val="38A6778B"/>
    <w:rsid w:val="38AC2314"/>
    <w:rsid w:val="38AD5420"/>
    <w:rsid w:val="38AF44FF"/>
    <w:rsid w:val="38B20439"/>
    <w:rsid w:val="38B77CE5"/>
    <w:rsid w:val="38B844F1"/>
    <w:rsid w:val="38BB10D8"/>
    <w:rsid w:val="38BE500F"/>
    <w:rsid w:val="38C139A8"/>
    <w:rsid w:val="38C45D96"/>
    <w:rsid w:val="38C52A81"/>
    <w:rsid w:val="38C56C0D"/>
    <w:rsid w:val="38CE5AC2"/>
    <w:rsid w:val="38CF0F38"/>
    <w:rsid w:val="38D404B5"/>
    <w:rsid w:val="38D429AD"/>
    <w:rsid w:val="38D440A8"/>
    <w:rsid w:val="38D56E32"/>
    <w:rsid w:val="38D57D6A"/>
    <w:rsid w:val="38D679DA"/>
    <w:rsid w:val="38DA6126"/>
    <w:rsid w:val="38DD7AB3"/>
    <w:rsid w:val="38E075A3"/>
    <w:rsid w:val="38E15F1D"/>
    <w:rsid w:val="38E219C5"/>
    <w:rsid w:val="38E23DE0"/>
    <w:rsid w:val="38E250CA"/>
    <w:rsid w:val="38E25653"/>
    <w:rsid w:val="38E25B30"/>
    <w:rsid w:val="38E507FA"/>
    <w:rsid w:val="38E6798D"/>
    <w:rsid w:val="38EA0422"/>
    <w:rsid w:val="38EA21D0"/>
    <w:rsid w:val="38ED3A6E"/>
    <w:rsid w:val="38ED53D2"/>
    <w:rsid w:val="38F117B0"/>
    <w:rsid w:val="38F207D6"/>
    <w:rsid w:val="38F6071E"/>
    <w:rsid w:val="38F6326A"/>
    <w:rsid w:val="38F632D5"/>
    <w:rsid w:val="38F80D91"/>
    <w:rsid w:val="38F82B3F"/>
    <w:rsid w:val="38FA3EAE"/>
    <w:rsid w:val="38FB43DD"/>
    <w:rsid w:val="38FE5796"/>
    <w:rsid w:val="38FE5C7B"/>
    <w:rsid w:val="39002727"/>
    <w:rsid w:val="39013EF6"/>
    <w:rsid w:val="39042103"/>
    <w:rsid w:val="3905700A"/>
    <w:rsid w:val="39065229"/>
    <w:rsid w:val="390D6DC9"/>
    <w:rsid w:val="390E0D37"/>
    <w:rsid w:val="390E4F3A"/>
    <w:rsid w:val="390F1C37"/>
    <w:rsid w:val="390F6C68"/>
    <w:rsid w:val="39101234"/>
    <w:rsid w:val="391137C9"/>
    <w:rsid w:val="39113C01"/>
    <w:rsid w:val="3911775D"/>
    <w:rsid w:val="3913791C"/>
    <w:rsid w:val="391A0D07"/>
    <w:rsid w:val="391A2AB5"/>
    <w:rsid w:val="391A7E0C"/>
    <w:rsid w:val="391B682D"/>
    <w:rsid w:val="391D25A6"/>
    <w:rsid w:val="391D7F6D"/>
    <w:rsid w:val="39203E44"/>
    <w:rsid w:val="3921693D"/>
    <w:rsid w:val="39224713"/>
    <w:rsid w:val="39227BBC"/>
    <w:rsid w:val="39260406"/>
    <w:rsid w:val="39267B82"/>
    <w:rsid w:val="392B222A"/>
    <w:rsid w:val="392B2900"/>
    <w:rsid w:val="392B2D30"/>
    <w:rsid w:val="393252F4"/>
    <w:rsid w:val="39365415"/>
    <w:rsid w:val="39367615"/>
    <w:rsid w:val="393A469C"/>
    <w:rsid w:val="393A4F06"/>
    <w:rsid w:val="393A6763"/>
    <w:rsid w:val="393D67A4"/>
    <w:rsid w:val="39451F51"/>
    <w:rsid w:val="39461AFC"/>
    <w:rsid w:val="39466615"/>
    <w:rsid w:val="39470BAF"/>
    <w:rsid w:val="39477622"/>
    <w:rsid w:val="39496281"/>
    <w:rsid w:val="394A33E6"/>
    <w:rsid w:val="394D6F17"/>
    <w:rsid w:val="394E23CD"/>
    <w:rsid w:val="394F25F9"/>
    <w:rsid w:val="39521233"/>
    <w:rsid w:val="39565AB7"/>
    <w:rsid w:val="39587E67"/>
    <w:rsid w:val="395F496C"/>
    <w:rsid w:val="396162E0"/>
    <w:rsid w:val="396226AE"/>
    <w:rsid w:val="39653FE8"/>
    <w:rsid w:val="396629B0"/>
    <w:rsid w:val="396B5955"/>
    <w:rsid w:val="396C52DB"/>
    <w:rsid w:val="396D7564"/>
    <w:rsid w:val="396E1053"/>
    <w:rsid w:val="3971644D"/>
    <w:rsid w:val="39716BF7"/>
    <w:rsid w:val="39754190"/>
    <w:rsid w:val="397622BB"/>
    <w:rsid w:val="39787331"/>
    <w:rsid w:val="397A3032"/>
    <w:rsid w:val="398048E2"/>
    <w:rsid w:val="3982065B"/>
    <w:rsid w:val="39826A01"/>
    <w:rsid w:val="39873EC3"/>
    <w:rsid w:val="398914A4"/>
    <w:rsid w:val="398C26F0"/>
    <w:rsid w:val="398E34A3"/>
    <w:rsid w:val="39902D77"/>
    <w:rsid w:val="399129D3"/>
    <w:rsid w:val="39925C75"/>
    <w:rsid w:val="39953421"/>
    <w:rsid w:val="399A1E48"/>
    <w:rsid w:val="39A01BE0"/>
    <w:rsid w:val="39A20CFD"/>
    <w:rsid w:val="39A54027"/>
    <w:rsid w:val="39AD3929"/>
    <w:rsid w:val="39AE1450"/>
    <w:rsid w:val="39B13996"/>
    <w:rsid w:val="39B24474"/>
    <w:rsid w:val="39B53C0B"/>
    <w:rsid w:val="39B91991"/>
    <w:rsid w:val="39BC591B"/>
    <w:rsid w:val="39BD14C6"/>
    <w:rsid w:val="39BF365D"/>
    <w:rsid w:val="39BF540B"/>
    <w:rsid w:val="39C576F9"/>
    <w:rsid w:val="39C72511"/>
    <w:rsid w:val="39CC3D77"/>
    <w:rsid w:val="39CE564E"/>
    <w:rsid w:val="39CF6DF4"/>
    <w:rsid w:val="39D37108"/>
    <w:rsid w:val="39D8304E"/>
    <w:rsid w:val="39D96898"/>
    <w:rsid w:val="39DD3AE3"/>
    <w:rsid w:val="39E35257"/>
    <w:rsid w:val="39E642B8"/>
    <w:rsid w:val="39E71596"/>
    <w:rsid w:val="39E92488"/>
    <w:rsid w:val="39EA5676"/>
    <w:rsid w:val="39F012A4"/>
    <w:rsid w:val="39F054BC"/>
    <w:rsid w:val="39F30EC3"/>
    <w:rsid w:val="39F350B4"/>
    <w:rsid w:val="39F6309F"/>
    <w:rsid w:val="39F63BBE"/>
    <w:rsid w:val="39F87910"/>
    <w:rsid w:val="39F931BB"/>
    <w:rsid w:val="39F94DCB"/>
    <w:rsid w:val="39FC21BB"/>
    <w:rsid w:val="39FD5F33"/>
    <w:rsid w:val="3A013C75"/>
    <w:rsid w:val="3A05384F"/>
    <w:rsid w:val="3A057016"/>
    <w:rsid w:val="3A06671B"/>
    <w:rsid w:val="3A070042"/>
    <w:rsid w:val="3A0821EA"/>
    <w:rsid w:val="3A0A0D9F"/>
    <w:rsid w:val="3A175247"/>
    <w:rsid w:val="3A176E32"/>
    <w:rsid w:val="3A18450B"/>
    <w:rsid w:val="3A1A5385"/>
    <w:rsid w:val="3A1B223D"/>
    <w:rsid w:val="3A1F30CD"/>
    <w:rsid w:val="3A22028A"/>
    <w:rsid w:val="3A23599A"/>
    <w:rsid w:val="3A241712"/>
    <w:rsid w:val="3A2636DC"/>
    <w:rsid w:val="3A287A8D"/>
    <w:rsid w:val="3A293A55"/>
    <w:rsid w:val="3A296D28"/>
    <w:rsid w:val="3A2B484E"/>
    <w:rsid w:val="3A2B6F44"/>
    <w:rsid w:val="3A2D4A6A"/>
    <w:rsid w:val="3A3011F6"/>
    <w:rsid w:val="3A325BDD"/>
    <w:rsid w:val="3A347416"/>
    <w:rsid w:val="3A3556CD"/>
    <w:rsid w:val="3A396C04"/>
    <w:rsid w:val="3A3B7187"/>
    <w:rsid w:val="3A3F1290"/>
    <w:rsid w:val="3A410516"/>
    <w:rsid w:val="3A42253E"/>
    <w:rsid w:val="3A4903B1"/>
    <w:rsid w:val="3A4A73CA"/>
    <w:rsid w:val="3A5036B9"/>
    <w:rsid w:val="3A5215D7"/>
    <w:rsid w:val="3A5220B5"/>
    <w:rsid w:val="3A565DAA"/>
    <w:rsid w:val="3A59760D"/>
    <w:rsid w:val="3A5B704B"/>
    <w:rsid w:val="3A5C3E46"/>
    <w:rsid w:val="3A5E69D2"/>
    <w:rsid w:val="3A5F7A7B"/>
    <w:rsid w:val="3A60099C"/>
    <w:rsid w:val="3A6363E4"/>
    <w:rsid w:val="3A6417D3"/>
    <w:rsid w:val="3A680772"/>
    <w:rsid w:val="3A6A0B07"/>
    <w:rsid w:val="3A6B10EF"/>
    <w:rsid w:val="3A6E3D80"/>
    <w:rsid w:val="3A704957"/>
    <w:rsid w:val="3A730406"/>
    <w:rsid w:val="3A751F6D"/>
    <w:rsid w:val="3A7750E3"/>
    <w:rsid w:val="3A7A7B33"/>
    <w:rsid w:val="3A7C6384"/>
    <w:rsid w:val="3A7E52C6"/>
    <w:rsid w:val="3A801C24"/>
    <w:rsid w:val="3A836257"/>
    <w:rsid w:val="3A836438"/>
    <w:rsid w:val="3A856654"/>
    <w:rsid w:val="3A8735DD"/>
    <w:rsid w:val="3A8A2ECB"/>
    <w:rsid w:val="3A8C750A"/>
    <w:rsid w:val="3A8D2BD6"/>
    <w:rsid w:val="3A92642B"/>
    <w:rsid w:val="3A971EE4"/>
    <w:rsid w:val="3A986086"/>
    <w:rsid w:val="3A9C74FA"/>
    <w:rsid w:val="3AA0523C"/>
    <w:rsid w:val="3AA12D62"/>
    <w:rsid w:val="3AA765CB"/>
    <w:rsid w:val="3AAB598F"/>
    <w:rsid w:val="3AAF21A5"/>
    <w:rsid w:val="3AB111F7"/>
    <w:rsid w:val="3AB26D1E"/>
    <w:rsid w:val="3ABB0191"/>
    <w:rsid w:val="3ABB750F"/>
    <w:rsid w:val="3ABC20A5"/>
    <w:rsid w:val="3ABE6841"/>
    <w:rsid w:val="3AC3717D"/>
    <w:rsid w:val="3AC61F85"/>
    <w:rsid w:val="3AC6749A"/>
    <w:rsid w:val="3AC76819"/>
    <w:rsid w:val="3ACA050B"/>
    <w:rsid w:val="3AD06540"/>
    <w:rsid w:val="3AD1189A"/>
    <w:rsid w:val="3AD351A5"/>
    <w:rsid w:val="3AD45DA4"/>
    <w:rsid w:val="3AD76784"/>
    <w:rsid w:val="3ADB2718"/>
    <w:rsid w:val="3ADD023E"/>
    <w:rsid w:val="3ADD1F23"/>
    <w:rsid w:val="3AE01ADD"/>
    <w:rsid w:val="3AE10D81"/>
    <w:rsid w:val="3AE407A8"/>
    <w:rsid w:val="3AE55345"/>
    <w:rsid w:val="3AE8273F"/>
    <w:rsid w:val="3AEC0481"/>
    <w:rsid w:val="3AEF19A1"/>
    <w:rsid w:val="3AF12BFC"/>
    <w:rsid w:val="3AF1337E"/>
    <w:rsid w:val="3AF47336"/>
    <w:rsid w:val="3AF52E35"/>
    <w:rsid w:val="3AF67A8F"/>
    <w:rsid w:val="3AF70469"/>
    <w:rsid w:val="3AF85078"/>
    <w:rsid w:val="3AFA0DF0"/>
    <w:rsid w:val="3AFA1C99"/>
    <w:rsid w:val="3AFB06C4"/>
    <w:rsid w:val="3AFD3C5D"/>
    <w:rsid w:val="3AFE115B"/>
    <w:rsid w:val="3B030B0F"/>
    <w:rsid w:val="3B033D64"/>
    <w:rsid w:val="3B0532F1"/>
    <w:rsid w:val="3B07350D"/>
    <w:rsid w:val="3B077069"/>
    <w:rsid w:val="3B077EC3"/>
    <w:rsid w:val="3B0C07E9"/>
    <w:rsid w:val="3B0E30F1"/>
    <w:rsid w:val="3B145BD7"/>
    <w:rsid w:val="3B167C0B"/>
    <w:rsid w:val="3B184ABC"/>
    <w:rsid w:val="3B191EE5"/>
    <w:rsid w:val="3B1B48C3"/>
    <w:rsid w:val="3B1C037F"/>
    <w:rsid w:val="3B1D688D"/>
    <w:rsid w:val="3B1F0857"/>
    <w:rsid w:val="3B1F2605"/>
    <w:rsid w:val="3B255DF4"/>
    <w:rsid w:val="3B27466B"/>
    <w:rsid w:val="3B280A67"/>
    <w:rsid w:val="3B2C4D22"/>
    <w:rsid w:val="3B2E19DC"/>
    <w:rsid w:val="3B2F148B"/>
    <w:rsid w:val="3B3230D5"/>
    <w:rsid w:val="3B331C0C"/>
    <w:rsid w:val="3B334302"/>
    <w:rsid w:val="3B363A0C"/>
    <w:rsid w:val="3B375866"/>
    <w:rsid w:val="3B384C6F"/>
    <w:rsid w:val="3B3E47CB"/>
    <w:rsid w:val="3B401368"/>
    <w:rsid w:val="3B4210C5"/>
    <w:rsid w:val="3B424545"/>
    <w:rsid w:val="3B497682"/>
    <w:rsid w:val="3B4D6BB0"/>
    <w:rsid w:val="3B4E53E3"/>
    <w:rsid w:val="3B5572F7"/>
    <w:rsid w:val="3B563B4D"/>
    <w:rsid w:val="3B5718E8"/>
    <w:rsid w:val="3B5B5699"/>
    <w:rsid w:val="3B5C5CED"/>
    <w:rsid w:val="3B602C1D"/>
    <w:rsid w:val="3B637FD8"/>
    <w:rsid w:val="3B6838CC"/>
    <w:rsid w:val="3B695073"/>
    <w:rsid w:val="3B6C1CC2"/>
    <w:rsid w:val="3B7907A1"/>
    <w:rsid w:val="3B7B1C49"/>
    <w:rsid w:val="3B823106"/>
    <w:rsid w:val="3B862684"/>
    <w:rsid w:val="3B8A2AFF"/>
    <w:rsid w:val="3B8A58BC"/>
    <w:rsid w:val="3B8C41E4"/>
    <w:rsid w:val="3B8D4B00"/>
    <w:rsid w:val="3B9308FD"/>
    <w:rsid w:val="3B954FF7"/>
    <w:rsid w:val="3B98562E"/>
    <w:rsid w:val="3B9876ED"/>
    <w:rsid w:val="3B9A1C8B"/>
    <w:rsid w:val="3B9E2418"/>
    <w:rsid w:val="3B9F3746"/>
    <w:rsid w:val="3BAA1400"/>
    <w:rsid w:val="3BAB3ECE"/>
    <w:rsid w:val="3BAB468E"/>
    <w:rsid w:val="3BAC7C11"/>
    <w:rsid w:val="3BB32D4D"/>
    <w:rsid w:val="3BB55DAC"/>
    <w:rsid w:val="3BB80364"/>
    <w:rsid w:val="3BB865B6"/>
    <w:rsid w:val="3BBB2302"/>
    <w:rsid w:val="3BBC53B2"/>
    <w:rsid w:val="3BBC6FFB"/>
    <w:rsid w:val="3BC25779"/>
    <w:rsid w:val="3BC27F05"/>
    <w:rsid w:val="3BC37F01"/>
    <w:rsid w:val="3BC44F5A"/>
    <w:rsid w:val="3BC5072A"/>
    <w:rsid w:val="3BC72CAC"/>
    <w:rsid w:val="3BC84D65"/>
    <w:rsid w:val="3BC91009"/>
    <w:rsid w:val="3BCD02B3"/>
    <w:rsid w:val="3BCD768A"/>
    <w:rsid w:val="3BCE0EA9"/>
    <w:rsid w:val="3BCE7B87"/>
    <w:rsid w:val="3BD04E97"/>
    <w:rsid w:val="3BD056AD"/>
    <w:rsid w:val="3BD41ACC"/>
    <w:rsid w:val="3BD72EE0"/>
    <w:rsid w:val="3BD827B4"/>
    <w:rsid w:val="3BDA652C"/>
    <w:rsid w:val="3BDD3486"/>
    <w:rsid w:val="3BDD426E"/>
    <w:rsid w:val="3BE012EB"/>
    <w:rsid w:val="3BE03287"/>
    <w:rsid w:val="3BE2746B"/>
    <w:rsid w:val="3BE473AB"/>
    <w:rsid w:val="3BE92C13"/>
    <w:rsid w:val="3BEE1FD7"/>
    <w:rsid w:val="3BEE647B"/>
    <w:rsid w:val="3BF13876"/>
    <w:rsid w:val="3BF15228"/>
    <w:rsid w:val="3BF20CEE"/>
    <w:rsid w:val="3BF34FA6"/>
    <w:rsid w:val="3BF75230"/>
    <w:rsid w:val="3BF75D8E"/>
    <w:rsid w:val="3BFA6AD7"/>
    <w:rsid w:val="3BFE66BE"/>
    <w:rsid w:val="3C040947"/>
    <w:rsid w:val="3C090BBF"/>
    <w:rsid w:val="3C0A2960"/>
    <w:rsid w:val="3C0B4937"/>
    <w:rsid w:val="3C0E030A"/>
    <w:rsid w:val="3C0E1D80"/>
    <w:rsid w:val="3C0E2679"/>
    <w:rsid w:val="3C12185C"/>
    <w:rsid w:val="3C147949"/>
    <w:rsid w:val="3C1A7270"/>
    <w:rsid w:val="3C1D4329"/>
    <w:rsid w:val="3C29454B"/>
    <w:rsid w:val="3C2B3E5C"/>
    <w:rsid w:val="3C2C088D"/>
    <w:rsid w:val="3C2E51A3"/>
    <w:rsid w:val="3C2E5C5A"/>
    <w:rsid w:val="3C300842"/>
    <w:rsid w:val="3C3176E4"/>
    <w:rsid w:val="3C331E01"/>
    <w:rsid w:val="3C3E4D0D"/>
    <w:rsid w:val="3C461E13"/>
    <w:rsid w:val="3C4758CA"/>
    <w:rsid w:val="3C4936B2"/>
    <w:rsid w:val="3C4A2F0A"/>
    <w:rsid w:val="3C4A3275"/>
    <w:rsid w:val="3C4A529E"/>
    <w:rsid w:val="3C4B567C"/>
    <w:rsid w:val="3C4B6E1C"/>
    <w:rsid w:val="3C4D6CFE"/>
    <w:rsid w:val="3C502C92"/>
    <w:rsid w:val="3C5502A8"/>
    <w:rsid w:val="3C574678"/>
    <w:rsid w:val="3C591A4E"/>
    <w:rsid w:val="3C5A58BF"/>
    <w:rsid w:val="3C5B258D"/>
    <w:rsid w:val="3C5B7DA1"/>
    <w:rsid w:val="3C5C5193"/>
    <w:rsid w:val="3C60536C"/>
    <w:rsid w:val="3C6216E7"/>
    <w:rsid w:val="3C636521"/>
    <w:rsid w:val="3C641104"/>
    <w:rsid w:val="3C695929"/>
    <w:rsid w:val="3C6D53AC"/>
    <w:rsid w:val="3C700C3E"/>
    <w:rsid w:val="3C74072E"/>
    <w:rsid w:val="3C761FCB"/>
    <w:rsid w:val="3C775FAC"/>
    <w:rsid w:val="3C7802BC"/>
    <w:rsid w:val="3C7B3B11"/>
    <w:rsid w:val="3C7D26E2"/>
    <w:rsid w:val="3C7E0650"/>
    <w:rsid w:val="3C862210"/>
    <w:rsid w:val="3C8666B4"/>
    <w:rsid w:val="3C8A1D00"/>
    <w:rsid w:val="3C8C1F1C"/>
    <w:rsid w:val="3C8F292E"/>
    <w:rsid w:val="3C925A15"/>
    <w:rsid w:val="3C937C2D"/>
    <w:rsid w:val="3C940DD1"/>
    <w:rsid w:val="3C9E57AB"/>
    <w:rsid w:val="3C9F3565"/>
    <w:rsid w:val="3CA07775"/>
    <w:rsid w:val="3CA31014"/>
    <w:rsid w:val="3CA35DC5"/>
    <w:rsid w:val="3CA52FDE"/>
    <w:rsid w:val="3CA54D8C"/>
    <w:rsid w:val="3CA6247A"/>
    <w:rsid w:val="3CA628B2"/>
    <w:rsid w:val="3CA826B7"/>
    <w:rsid w:val="3CAC3E29"/>
    <w:rsid w:val="3CB43221"/>
    <w:rsid w:val="3CB440B7"/>
    <w:rsid w:val="3CB61B58"/>
    <w:rsid w:val="3CB65233"/>
    <w:rsid w:val="3CB8031B"/>
    <w:rsid w:val="3CBB635D"/>
    <w:rsid w:val="3CC048A7"/>
    <w:rsid w:val="3CC316B6"/>
    <w:rsid w:val="3CC35212"/>
    <w:rsid w:val="3CC85246"/>
    <w:rsid w:val="3CCA2A44"/>
    <w:rsid w:val="3CCA4030"/>
    <w:rsid w:val="3CCD2CF9"/>
    <w:rsid w:val="3CCD6C33"/>
    <w:rsid w:val="3CD236AA"/>
    <w:rsid w:val="3CD411CD"/>
    <w:rsid w:val="3CD72A6B"/>
    <w:rsid w:val="3CD76F0F"/>
    <w:rsid w:val="3CDA46D0"/>
    <w:rsid w:val="3CDB50AA"/>
    <w:rsid w:val="3CDC62D4"/>
    <w:rsid w:val="3CDE0024"/>
    <w:rsid w:val="3CDE204C"/>
    <w:rsid w:val="3CDF4B1B"/>
    <w:rsid w:val="3CE12430"/>
    <w:rsid w:val="3CE21B3C"/>
    <w:rsid w:val="3CE27D8E"/>
    <w:rsid w:val="3CE504A9"/>
    <w:rsid w:val="3CED04E1"/>
    <w:rsid w:val="3CED2111"/>
    <w:rsid w:val="3CED228F"/>
    <w:rsid w:val="3CF07925"/>
    <w:rsid w:val="3CF274BE"/>
    <w:rsid w:val="3CFD6976"/>
    <w:rsid w:val="3D0B76ED"/>
    <w:rsid w:val="3D0C4E0B"/>
    <w:rsid w:val="3D0D40C6"/>
    <w:rsid w:val="3D0F2E1A"/>
    <w:rsid w:val="3D1141CF"/>
    <w:rsid w:val="3D125759"/>
    <w:rsid w:val="3D144CA7"/>
    <w:rsid w:val="3D1C4922"/>
    <w:rsid w:val="3D1D0DC6"/>
    <w:rsid w:val="3D1F71F5"/>
    <w:rsid w:val="3D211F38"/>
    <w:rsid w:val="3D2563F4"/>
    <w:rsid w:val="3D26409F"/>
    <w:rsid w:val="3D264254"/>
    <w:rsid w:val="3D26514E"/>
    <w:rsid w:val="3D2739F3"/>
    <w:rsid w:val="3D2757A1"/>
    <w:rsid w:val="3D3103CE"/>
    <w:rsid w:val="3D314871"/>
    <w:rsid w:val="3D31661F"/>
    <w:rsid w:val="3D355BDF"/>
    <w:rsid w:val="3D360408"/>
    <w:rsid w:val="3D3636F5"/>
    <w:rsid w:val="3D3833E6"/>
    <w:rsid w:val="3D3A18B6"/>
    <w:rsid w:val="3D3A1978"/>
    <w:rsid w:val="3D4113DC"/>
    <w:rsid w:val="3D421FBB"/>
    <w:rsid w:val="3D45031D"/>
    <w:rsid w:val="3D54197E"/>
    <w:rsid w:val="3D5626A5"/>
    <w:rsid w:val="3D5B18EE"/>
    <w:rsid w:val="3D5B2145"/>
    <w:rsid w:val="3D5B369C"/>
    <w:rsid w:val="3D5B5231"/>
    <w:rsid w:val="3D5B57C2"/>
    <w:rsid w:val="3D657CFC"/>
    <w:rsid w:val="3D672041"/>
    <w:rsid w:val="3D673163"/>
    <w:rsid w:val="3D673DEF"/>
    <w:rsid w:val="3D695DB9"/>
    <w:rsid w:val="3D6A143E"/>
    <w:rsid w:val="3D6E1622"/>
    <w:rsid w:val="3D6F7148"/>
    <w:rsid w:val="3D6F727E"/>
    <w:rsid w:val="3D714C6E"/>
    <w:rsid w:val="3D7172C5"/>
    <w:rsid w:val="3D7661B9"/>
    <w:rsid w:val="3D766728"/>
    <w:rsid w:val="3D7A1A73"/>
    <w:rsid w:val="3D7A47DC"/>
    <w:rsid w:val="3D7B2612"/>
    <w:rsid w:val="3D7D28F7"/>
    <w:rsid w:val="3D7E738B"/>
    <w:rsid w:val="3D803103"/>
    <w:rsid w:val="3D8175A7"/>
    <w:rsid w:val="3D823D88"/>
    <w:rsid w:val="3D8449A1"/>
    <w:rsid w:val="3D8801F9"/>
    <w:rsid w:val="3D8A789F"/>
    <w:rsid w:val="3D8C4172"/>
    <w:rsid w:val="3D8E75CE"/>
    <w:rsid w:val="3D932E36"/>
    <w:rsid w:val="3D9370E5"/>
    <w:rsid w:val="3D95035C"/>
    <w:rsid w:val="3D980813"/>
    <w:rsid w:val="3D9A76FB"/>
    <w:rsid w:val="3D9C0D3E"/>
    <w:rsid w:val="3DA07301"/>
    <w:rsid w:val="3DA15B1D"/>
    <w:rsid w:val="3DA23079"/>
    <w:rsid w:val="3DA2751D"/>
    <w:rsid w:val="3DA54918"/>
    <w:rsid w:val="3DA7560D"/>
    <w:rsid w:val="3DAE3F82"/>
    <w:rsid w:val="3DB64D77"/>
    <w:rsid w:val="3DB6568D"/>
    <w:rsid w:val="3DB932C0"/>
    <w:rsid w:val="3DB966DC"/>
    <w:rsid w:val="3DBA0EE7"/>
    <w:rsid w:val="3DBD7EB3"/>
    <w:rsid w:val="3DBF00CF"/>
    <w:rsid w:val="3DC061FF"/>
    <w:rsid w:val="3DC2371B"/>
    <w:rsid w:val="3DC456E6"/>
    <w:rsid w:val="3DC47E16"/>
    <w:rsid w:val="3DC529C6"/>
    <w:rsid w:val="3DC65BC5"/>
    <w:rsid w:val="3DCA4932"/>
    <w:rsid w:val="3DCC00F6"/>
    <w:rsid w:val="3DCE0608"/>
    <w:rsid w:val="3DCF187A"/>
    <w:rsid w:val="3DD00B62"/>
    <w:rsid w:val="3DD31485"/>
    <w:rsid w:val="3DD31D46"/>
    <w:rsid w:val="3DD32C78"/>
    <w:rsid w:val="3DD33422"/>
    <w:rsid w:val="3DD60F75"/>
    <w:rsid w:val="3DD731A1"/>
    <w:rsid w:val="3DDA61CD"/>
    <w:rsid w:val="3DDB2975"/>
    <w:rsid w:val="3DE16AFF"/>
    <w:rsid w:val="3DE2684F"/>
    <w:rsid w:val="3DE47EA4"/>
    <w:rsid w:val="3DE6565C"/>
    <w:rsid w:val="3DE74CB8"/>
    <w:rsid w:val="3DE84774"/>
    <w:rsid w:val="3DE9514C"/>
    <w:rsid w:val="3DEC564C"/>
    <w:rsid w:val="3DEE4511"/>
    <w:rsid w:val="3DF5589F"/>
    <w:rsid w:val="3DF72564"/>
    <w:rsid w:val="3E0029FB"/>
    <w:rsid w:val="3E014244"/>
    <w:rsid w:val="3E016A21"/>
    <w:rsid w:val="3E0755D2"/>
    <w:rsid w:val="3E0B6E71"/>
    <w:rsid w:val="3E111FAD"/>
    <w:rsid w:val="3E115BEF"/>
    <w:rsid w:val="3E1C5380"/>
    <w:rsid w:val="3E1C72D0"/>
    <w:rsid w:val="3E1D1ACD"/>
    <w:rsid w:val="3E1D3826"/>
    <w:rsid w:val="3E1E0D84"/>
    <w:rsid w:val="3E1E1376"/>
    <w:rsid w:val="3E235B81"/>
    <w:rsid w:val="3E285C74"/>
    <w:rsid w:val="3E293002"/>
    <w:rsid w:val="3E2A7486"/>
    <w:rsid w:val="3E2B70F8"/>
    <w:rsid w:val="3E2C1F99"/>
    <w:rsid w:val="3E2D45E9"/>
    <w:rsid w:val="3E330175"/>
    <w:rsid w:val="3E344FF6"/>
    <w:rsid w:val="3E3548CD"/>
    <w:rsid w:val="3E3A7756"/>
    <w:rsid w:val="3E3C527C"/>
    <w:rsid w:val="3E432B77"/>
    <w:rsid w:val="3E44668D"/>
    <w:rsid w:val="3E47428B"/>
    <w:rsid w:val="3E4A322E"/>
    <w:rsid w:val="3E4B3711"/>
    <w:rsid w:val="3E4F2AC6"/>
    <w:rsid w:val="3E546A69"/>
    <w:rsid w:val="3E5527E2"/>
    <w:rsid w:val="3E560A62"/>
    <w:rsid w:val="3E570BA9"/>
    <w:rsid w:val="3E587BDC"/>
    <w:rsid w:val="3E5B7C3B"/>
    <w:rsid w:val="3E5D72A1"/>
    <w:rsid w:val="3E5F036D"/>
    <w:rsid w:val="3E5F26AC"/>
    <w:rsid w:val="3E5F30A3"/>
    <w:rsid w:val="3E611FA5"/>
    <w:rsid w:val="3E680921"/>
    <w:rsid w:val="3E68381C"/>
    <w:rsid w:val="3E6B5B61"/>
    <w:rsid w:val="3E6B71AF"/>
    <w:rsid w:val="3E6D18D9"/>
    <w:rsid w:val="3E6D498B"/>
    <w:rsid w:val="3E6D4B50"/>
    <w:rsid w:val="3E6E11AD"/>
    <w:rsid w:val="3E6F439C"/>
    <w:rsid w:val="3E703177"/>
    <w:rsid w:val="3E717642"/>
    <w:rsid w:val="3E720C9E"/>
    <w:rsid w:val="3E740419"/>
    <w:rsid w:val="3E751487"/>
    <w:rsid w:val="3E7569E0"/>
    <w:rsid w:val="3E762126"/>
    <w:rsid w:val="3E774506"/>
    <w:rsid w:val="3E7A3FF6"/>
    <w:rsid w:val="3E7B70C5"/>
    <w:rsid w:val="3E833C93"/>
    <w:rsid w:val="3E8711B3"/>
    <w:rsid w:val="3E88226F"/>
    <w:rsid w:val="3E8A701C"/>
    <w:rsid w:val="3E8B6203"/>
    <w:rsid w:val="3E8D3D29"/>
    <w:rsid w:val="3E8D5AD7"/>
    <w:rsid w:val="3E8E2F10"/>
    <w:rsid w:val="3E8E4B07"/>
    <w:rsid w:val="3E903AC5"/>
    <w:rsid w:val="3E907376"/>
    <w:rsid w:val="3E922AC6"/>
    <w:rsid w:val="3E942411"/>
    <w:rsid w:val="3E9522E6"/>
    <w:rsid w:val="3E990920"/>
    <w:rsid w:val="3E99447C"/>
    <w:rsid w:val="3E9A01F4"/>
    <w:rsid w:val="3E9C1829"/>
    <w:rsid w:val="3EA6303D"/>
    <w:rsid w:val="3EAA48DB"/>
    <w:rsid w:val="3EAE5A4E"/>
    <w:rsid w:val="3EAF2D25"/>
    <w:rsid w:val="3EB2553E"/>
    <w:rsid w:val="3EB412B6"/>
    <w:rsid w:val="3EB44211"/>
    <w:rsid w:val="3EB466AD"/>
    <w:rsid w:val="3EB53D70"/>
    <w:rsid w:val="3EB61525"/>
    <w:rsid w:val="3EB6234C"/>
    <w:rsid w:val="3EB93C07"/>
    <w:rsid w:val="3EBA3B27"/>
    <w:rsid w:val="3EBC01CF"/>
    <w:rsid w:val="3EBC460F"/>
    <w:rsid w:val="3EBE557F"/>
    <w:rsid w:val="3EBF1B6B"/>
    <w:rsid w:val="3EBF7C5B"/>
    <w:rsid w:val="3EC2365C"/>
    <w:rsid w:val="3ECF4A76"/>
    <w:rsid w:val="3ECF5067"/>
    <w:rsid w:val="3ED2385D"/>
    <w:rsid w:val="3ED6167F"/>
    <w:rsid w:val="3ED633E0"/>
    <w:rsid w:val="3ED751FD"/>
    <w:rsid w:val="3ED82DBD"/>
    <w:rsid w:val="3EDA5F2B"/>
    <w:rsid w:val="3EDC5C43"/>
    <w:rsid w:val="3EDE4585"/>
    <w:rsid w:val="3EE002FD"/>
    <w:rsid w:val="3EE2716D"/>
    <w:rsid w:val="3EE33949"/>
    <w:rsid w:val="3EE55BC4"/>
    <w:rsid w:val="3EE56742"/>
    <w:rsid w:val="3EE61ACA"/>
    <w:rsid w:val="3EE84C99"/>
    <w:rsid w:val="3EEA117C"/>
    <w:rsid w:val="3EEC4EF4"/>
    <w:rsid w:val="3EED517F"/>
    <w:rsid w:val="3EEF0540"/>
    <w:rsid w:val="3EEF22EE"/>
    <w:rsid w:val="3EF06066"/>
    <w:rsid w:val="3EF31044"/>
    <w:rsid w:val="3EF36235"/>
    <w:rsid w:val="3EF618CF"/>
    <w:rsid w:val="3EF67B21"/>
    <w:rsid w:val="3EFC4A0B"/>
    <w:rsid w:val="3EFE0783"/>
    <w:rsid w:val="3F03223E"/>
    <w:rsid w:val="3F0634CE"/>
    <w:rsid w:val="3F081602"/>
    <w:rsid w:val="3F0D09C6"/>
    <w:rsid w:val="3F0D4E6A"/>
    <w:rsid w:val="3F13427B"/>
    <w:rsid w:val="3F1717B3"/>
    <w:rsid w:val="3F177DD2"/>
    <w:rsid w:val="3F1B1335"/>
    <w:rsid w:val="3F1D2D88"/>
    <w:rsid w:val="3F1E2BD3"/>
    <w:rsid w:val="3F201D47"/>
    <w:rsid w:val="3F2047FD"/>
    <w:rsid w:val="3F206783"/>
    <w:rsid w:val="3F2118A3"/>
    <w:rsid w:val="3F21637D"/>
    <w:rsid w:val="3F275F2C"/>
    <w:rsid w:val="3F277CDA"/>
    <w:rsid w:val="3F28500D"/>
    <w:rsid w:val="3F2902D7"/>
    <w:rsid w:val="3F2A1772"/>
    <w:rsid w:val="3F35219A"/>
    <w:rsid w:val="3F3628EB"/>
    <w:rsid w:val="3F36616F"/>
    <w:rsid w:val="3F367F1D"/>
    <w:rsid w:val="3F381EE7"/>
    <w:rsid w:val="3F3D1797"/>
    <w:rsid w:val="3F3D74FE"/>
    <w:rsid w:val="3F3E5DD6"/>
    <w:rsid w:val="3F4023D9"/>
    <w:rsid w:val="3F406FEE"/>
    <w:rsid w:val="3F407AB1"/>
    <w:rsid w:val="3F4343E8"/>
    <w:rsid w:val="3F481423"/>
    <w:rsid w:val="3F485F47"/>
    <w:rsid w:val="3F4F0FDF"/>
    <w:rsid w:val="3F517DEA"/>
    <w:rsid w:val="3F5465F5"/>
    <w:rsid w:val="3F585F31"/>
    <w:rsid w:val="3F610607"/>
    <w:rsid w:val="3F6228F0"/>
    <w:rsid w:val="3F625E80"/>
    <w:rsid w:val="3F632CDC"/>
    <w:rsid w:val="3F6A2AD3"/>
    <w:rsid w:val="3F6B7328"/>
    <w:rsid w:val="3F6F51DD"/>
    <w:rsid w:val="3F6F55A5"/>
    <w:rsid w:val="3F7020EC"/>
    <w:rsid w:val="3F763AE5"/>
    <w:rsid w:val="3F764319"/>
    <w:rsid w:val="3F79526A"/>
    <w:rsid w:val="3F7B402E"/>
    <w:rsid w:val="3F7B6278"/>
    <w:rsid w:val="3F7D3D9E"/>
    <w:rsid w:val="3F7E650B"/>
    <w:rsid w:val="3F836EDA"/>
    <w:rsid w:val="3F842885"/>
    <w:rsid w:val="3F8C3C4F"/>
    <w:rsid w:val="3F8E6D49"/>
    <w:rsid w:val="3F93475A"/>
    <w:rsid w:val="3F93536F"/>
    <w:rsid w:val="3F987CCF"/>
    <w:rsid w:val="3F9904AC"/>
    <w:rsid w:val="3F9A3D24"/>
    <w:rsid w:val="3F9B4224"/>
    <w:rsid w:val="3F9B5FD2"/>
    <w:rsid w:val="3FA41114"/>
    <w:rsid w:val="3FA4132B"/>
    <w:rsid w:val="3FAA26B9"/>
    <w:rsid w:val="3FAE32AC"/>
    <w:rsid w:val="3FAF427A"/>
    <w:rsid w:val="3FB452E6"/>
    <w:rsid w:val="3FBD063E"/>
    <w:rsid w:val="3FBF73DF"/>
    <w:rsid w:val="3FC1012F"/>
    <w:rsid w:val="3FC27A03"/>
    <w:rsid w:val="3FC74BAC"/>
    <w:rsid w:val="3FC76DC7"/>
    <w:rsid w:val="3FC86F5B"/>
    <w:rsid w:val="3FC92B3F"/>
    <w:rsid w:val="3FD2528E"/>
    <w:rsid w:val="3FD57736"/>
    <w:rsid w:val="3FDF05B5"/>
    <w:rsid w:val="3FE24949"/>
    <w:rsid w:val="3FE52ACA"/>
    <w:rsid w:val="3FE67B95"/>
    <w:rsid w:val="3FE727C0"/>
    <w:rsid w:val="3FE94F8F"/>
    <w:rsid w:val="3FED477F"/>
    <w:rsid w:val="3FEE6DB3"/>
    <w:rsid w:val="3FF13FC9"/>
    <w:rsid w:val="3FF1653A"/>
    <w:rsid w:val="3FF4201E"/>
    <w:rsid w:val="3FF50DFE"/>
    <w:rsid w:val="3FF54D36"/>
    <w:rsid w:val="3FF658FE"/>
    <w:rsid w:val="3FF81676"/>
    <w:rsid w:val="3FF85715"/>
    <w:rsid w:val="3FFE7F58"/>
    <w:rsid w:val="40005ECF"/>
    <w:rsid w:val="4004001B"/>
    <w:rsid w:val="40052EA0"/>
    <w:rsid w:val="400A3CB1"/>
    <w:rsid w:val="400A4A04"/>
    <w:rsid w:val="400B75FC"/>
    <w:rsid w:val="400C0C7E"/>
    <w:rsid w:val="400D6D71"/>
    <w:rsid w:val="400E46BD"/>
    <w:rsid w:val="40177ED8"/>
    <w:rsid w:val="40183AC7"/>
    <w:rsid w:val="401A15ED"/>
    <w:rsid w:val="401B3262"/>
    <w:rsid w:val="401E7BD6"/>
    <w:rsid w:val="401F33CD"/>
    <w:rsid w:val="401F50BF"/>
    <w:rsid w:val="40250618"/>
    <w:rsid w:val="40295CD4"/>
    <w:rsid w:val="402B5626"/>
    <w:rsid w:val="40316936"/>
    <w:rsid w:val="40354679"/>
    <w:rsid w:val="40364AE1"/>
    <w:rsid w:val="403703F1"/>
    <w:rsid w:val="403B187A"/>
    <w:rsid w:val="403B6FBE"/>
    <w:rsid w:val="403C1634"/>
    <w:rsid w:val="403F2E01"/>
    <w:rsid w:val="403F5EFB"/>
    <w:rsid w:val="404156D6"/>
    <w:rsid w:val="40416B7A"/>
    <w:rsid w:val="404228F2"/>
    <w:rsid w:val="40457DC4"/>
    <w:rsid w:val="40464190"/>
    <w:rsid w:val="4047249C"/>
    <w:rsid w:val="40481929"/>
    <w:rsid w:val="404A33D6"/>
    <w:rsid w:val="404C62D1"/>
    <w:rsid w:val="404D4A1B"/>
    <w:rsid w:val="404E573A"/>
    <w:rsid w:val="4050500F"/>
    <w:rsid w:val="405A40DF"/>
    <w:rsid w:val="406211E2"/>
    <w:rsid w:val="40624D42"/>
    <w:rsid w:val="40644897"/>
    <w:rsid w:val="406571D2"/>
    <w:rsid w:val="406B62D4"/>
    <w:rsid w:val="406C796F"/>
    <w:rsid w:val="40703E40"/>
    <w:rsid w:val="407041AB"/>
    <w:rsid w:val="40720BA9"/>
    <w:rsid w:val="40727D40"/>
    <w:rsid w:val="4077259B"/>
    <w:rsid w:val="40781025"/>
    <w:rsid w:val="408178BE"/>
    <w:rsid w:val="40830B20"/>
    <w:rsid w:val="408829FA"/>
    <w:rsid w:val="40890521"/>
    <w:rsid w:val="40896772"/>
    <w:rsid w:val="408C2C0C"/>
    <w:rsid w:val="408E324B"/>
    <w:rsid w:val="408F7457"/>
    <w:rsid w:val="40945D00"/>
    <w:rsid w:val="409658FE"/>
    <w:rsid w:val="40980764"/>
    <w:rsid w:val="409879D6"/>
    <w:rsid w:val="409B6DA4"/>
    <w:rsid w:val="40AE7C65"/>
    <w:rsid w:val="40B13A14"/>
    <w:rsid w:val="40B25CC9"/>
    <w:rsid w:val="40B85EC1"/>
    <w:rsid w:val="40BC6B48"/>
    <w:rsid w:val="40C15F0C"/>
    <w:rsid w:val="40C66AA6"/>
    <w:rsid w:val="40D07EFD"/>
    <w:rsid w:val="40D11A9D"/>
    <w:rsid w:val="40D2179B"/>
    <w:rsid w:val="40D45C40"/>
    <w:rsid w:val="40D66D73"/>
    <w:rsid w:val="40D735C1"/>
    <w:rsid w:val="40DA6FCE"/>
    <w:rsid w:val="40DB6278"/>
    <w:rsid w:val="40DD6F18"/>
    <w:rsid w:val="40DE6ABE"/>
    <w:rsid w:val="40E165AE"/>
    <w:rsid w:val="40E65423"/>
    <w:rsid w:val="40E85247"/>
    <w:rsid w:val="40ED0535"/>
    <w:rsid w:val="40EF667B"/>
    <w:rsid w:val="40F21CC0"/>
    <w:rsid w:val="40F279CF"/>
    <w:rsid w:val="40FD49D1"/>
    <w:rsid w:val="40FE2CBD"/>
    <w:rsid w:val="41001A84"/>
    <w:rsid w:val="41031E02"/>
    <w:rsid w:val="410377E7"/>
    <w:rsid w:val="41083B3B"/>
    <w:rsid w:val="410B53D9"/>
    <w:rsid w:val="410C0082"/>
    <w:rsid w:val="410C362B"/>
    <w:rsid w:val="410E2956"/>
    <w:rsid w:val="41120F79"/>
    <w:rsid w:val="41123C58"/>
    <w:rsid w:val="41123E0D"/>
    <w:rsid w:val="411249BA"/>
    <w:rsid w:val="4113768A"/>
    <w:rsid w:val="41197BC0"/>
    <w:rsid w:val="411C0175"/>
    <w:rsid w:val="411C61E6"/>
    <w:rsid w:val="411C75E7"/>
    <w:rsid w:val="411F6AF6"/>
    <w:rsid w:val="41214BFD"/>
    <w:rsid w:val="4123582F"/>
    <w:rsid w:val="4124398E"/>
    <w:rsid w:val="41263FC1"/>
    <w:rsid w:val="41275AA6"/>
    <w:rsid w:val="41285F8B"/>
    <w:rsid w:val="412C72F0"/>
    <w:rsid w:val="412D5942"/>
    <w:rsid w:val="412D5946"/>
    <w:rsid w:val="41322966"/>
    <w:rsid w:val="41325697"/>
    <w:rsid w:val="413336D4"/>
    <w:rsid w:val="4134048C"/>
    <w:rsid w:val="41345B54"/>
    <w:rsid w:val="413466DE"/>
    <w:rsid w:val="41354385"/>
    <w:rsid w:val="4139722F"/>
    <w:rsid w:val="413A1690"/>
    <w:rsid w:val="413B181B"/>
    <w:rsid w:val="413F1DCE"/>
    <w:rsid w:val="41433130"/>
    <w:rsid w:val="41436921"/>
    <w:rsid w:val="4144043A"/>
    <w:rsid w:val="414464D6"/>
    <w:rsid w:val="414601C0"/>
    <w:rsid w:val="41466412"/>
    <w:rsid w:val="414A57BE"/>
    <w:rsid w:val="414E2E20"/>
    <w:rsid w:val="414F04FD"/>
    <w:rsid w:val="414F176A"/>
    <w:rsid w:val="41566655"/>
    <w:rsid w:val="41591610"/>
    <w:rsid w:val="415A3663"/>
    <w:rsid w:val="415E375B"/>
    <w:rsid w:val="41605725"/>
    <w:rsid w:val="41625FCF"/>
    <w:rsid w:val="416629EA"/>
    <w:rsid w:val="416679D3"/>
    <w:rsid w:val="416D4B5E"/>
    <w:rsid w:val="4176022B"/>
    <w:rsid w:val="41760AA5"/>
    <w:rsid w:val="41774B95"/>
    <w:rsid w:val="417920A2"/>
    <w:rsid w:val="417B60BB"/>
    <w:rsid w:val="41864551"/>
    <w:rsid w:val="418A33A3"/>
    <w:rsid w:val="418F7DB9"/>
    <w:rsid w:val="41903339"/>
    <w:rsid w:val="419158DF"/>
    <w:rsid w:val="419248B1"/>
    <w:rsid w:val="41961147"/>
    <w:rsid w:val="41970A1B"/>
    <w:rsid w:val="41984EBF"/>
    <w:rsid w:val="41991125"/>
    <w:rsid w:val="419A3D6D"/>
    <w:rsid w:val="419B2F7F"/>
    <w:rsid w:val="419D4ED4"/>
    <w:rsid w:val="41A129EF"/>
    <w:rsid w:val="41A2189A"/>
    <w:rsid w:val="41A2540E"/>
    <w:rsid w:val="41A263F5"/>
    <w:rsid w:val="41A27AEC"/>
    <w:rsid w:val="41A95A33"/>
    <w:rsid w:val="41AE7F1F"/>
    <w:rsid w:val="41B33AA7"/>
    <w:rsid w:val="41BA3087"/>
    <w:rsid w:val="41BB0BAE"/>
    <w:rsid w:val="41BE41FA"/>
    <w:rsid w:val="41BF5E34"/>
    <w:rsid w:val="41C17BF0"/>
    <w:rsid w:val="41C20D4E"/>
    <w:rsid w:val="41C32C44"/>
    <w:rsid w:val="41CC4B94"/>
    <w:rsid w:val="41CF2582"/>
    <w:rsid w:val="41D103D1"/>
    <w:rsid w:val="41D13F2D"/>
    <w:rsid w:val="41D25660"/>
    <w:rsid w:val="41D35EF7"/>
    <w:rsid w:val="41D7355A"/>
    <w:rsid w:val="41D7554B"/>
    <w:rsid w:val="41D8350E"/>
    <w:rsid w:val="41D83760"/>
    <w:rsid w:val="41D94C7C"/>
    <w:rsid w:val="41DC209A"/>
    <w:rsid w:val="41E3261F"/>
    <w:rsid w:val="41E55237"/>
    <w:rsid w:val="41EC6FB9"/>
    <w:rsid w:val="41EF2605"/>
    <w:rsid w:val="41F0614C"/>
    <w:rsid w:val="41F36599"/>
    <w:rsid w:val="41F540C0"/>
    <w:rsid w:val="41F74CE8"/>
    <w:rsid w:val="41FE30EF"/>
    <w:rsid w:val="42000C56"/>
    <w:rsid w:val="42005999"/>
    <w:rsid w:val="42072E21"/>
    <w:rsid w:val="42084379"/>
    <w:rsid w:val="42116A20"/>
    <w:rsid w:val="42165DE4"/>
    <w:rsid w:val="421767B3"/>
    <w:rsid w:val="421C7C8E"/>
    <w:rsid w:val="42202600"/>
    <w:rsid w:val="4221632B"/>
    <w:rsid w:val="422164EF"/>
    <w:rsid w:val="422229DB"/>
    <w:rsid w:val="422357F5"/>
    <w:rsid w:val="42252096"/>
    <w:rsid w:val="42253E56"/>
    <w:rsid w:val="42254279"/>
    <w:rsid w:val="42290E73"/>
    <w:rsid w:val="422C0DC4"/>
    <w:rsid w:val="422E7EC6"/>
    <w:rsid w:val="42311903"/>
    <w:rsid w:val="42324BF0"/>
    <w:rsid w:val="42324DA6"/>
    <w:rsid w:val="423341F6"/>
    <w:rsid w:val="42376BDF"/>
    <w:rsid w:val="423A41C8"/>
    <w:rsid w:val="423B16D9"/>
    <w:rsid w:val="423E0BFD"/>
    <w:rsid w:val="423F17DF"/>
    <w:rsid w:val="42417305"/>
    <w:rsid w:val="42417CBC"/>
    <w:rsid w:val="42424E2B"/>
    <w:rsid w:val="42426BD9"/>
    <w:rsid w:val="42472441"/>
    <w:rsid w:val="424B3CDF"/>
    <w:rsid w:val="424B467E"/>
    <w:rsid w:val="424D3EFC"/>
    <w:rsid w:val="424E057B"/>
    <w:rsid w:val="425061E3"/>
    <w:rsid w:val="4251169C"/>
    <w:rsid w:val="42530DE6"/>
    <w:rsid w:val="42532B36"/>
    <w:rsid w:val="4258437E"/>
    <w:rsid w:val="425D7EB7"/>
    <w:rsid w:val="425E3A32"/>
    <w:rsid w:val="425F44B8"/>
    <w:rsid w:val="426254CD"/>
    <w:rsid w:val="42640ACD"/>
    <w:rsid w:val="42650575"/>
    <w:rsid w:val="4269060A"/>
    <w:rsid w:val="426B3BA2"/>
    <w:rsid w:val="42742392"/>
    <w:rsid w:val="42764575"/>
    <w:rsid w:val="42770F78"/>
    <w:rsid w:val="427A320B"/>
    <w:rsid w:val="42804C4C"/>
    <w:rsid w:val="42822A8D"/>
    <w:rsid w:val="428357C6"/>
    <w:rsid w:val="428365DA"/>
    <w:rsid w:val="42876CE2"/>
    <w:rsid w:val="42897D09"/>
    <w:rsid w:val="428A2851"/>
    <w:rsid w:val="428D254A"/>
    <w:rsid w:val="42927B60"/>
    <w:rsid w:val="429C0D35"/>
    <w:rsid w:val="42A258CA"/>
    <w:rsid w:val="42A74725"/>
    <w:rsid w:val="42A83EAC"/>
    <w:rsid w:val="42A86289"/>
    <w:rsid w:val="42A8653E"/>
    <w:rsid w:val="42A925FC"/>
    <w:rsid w:val="42A96C58"/>
    <w:rsid w:val="42AB0C22"/>
    <w:rsid w:val="42AD499A"/>
    <w:rsid w:val="42AD6748"/>
    <w:rsid w:val="42B04A1B"/>
    <w:rsid w:val="42B36DE9"/>
    <w:rsid w:val="42B4799A"/>
    <w:rsid w:val="42B70645"/>
    <w:rsid w:val="42B74155"/>
    <w:rsid w:val="42B85A83"/>
    <w:rsid w:val="42B9342F"/>
    <w:rsid w:val="42BA0E65"/>
    <w:rsid w:val="42BA70B7"/>
    <w:rsid w:val="42BD3E4D"/>
    <w:rsid w:val="42C41CE4"/>
    <w:rsid w:val="42C56F2E"/>
    <w:rsid w:val="42C64D60"/>
    <w:rsid w:val="42C65A5C"/>
    <w:rsid w:val="42C83582"/>
    <w:rsid w:val="42CA554C"/>
    <w:rsid w:val="42CC5406"/>
    <w:rsid w:val="42D27F5D"/>
    <w:rsid w:val="42D33CD5"/>
    <w:rsid w:val="42D474E2"/>
    <w:rsid w:val="42DA1507"/>
    <w:rsid w:val="42DA4535"/>
    <w:rsid w:val="42DB6632"/>
    <w:rsid w:val="42DF5664"/>
    <w:rsid w:val="42ED4D97"/>
    <w:rsid w:val="42F1200D"/>
    <w:rsid w:val="42F500EF"/>
    <w:rsid w:val="42F51E9D"/>
    <w:rsid w:val="42FC6B92"/>
    <w:rsid w:val="42FE50C5"/>
    <w:rsid w:val="43040332"/>
    <w:rsid w:val="43075564"/>
    <w:rsid w:val="43075A97"/>
    <w:rsid w:val="4308657E"/>
    <w:rsid w:val="43086CB8"/>
    <w:rsid w:val="430D7208"/>
    <w:rsid w:val="430F7AB6"/>
    <w:rsid w:val="43140A2D"/>
    <w:rsid w:val="43145F27"/>
    <w:rsid w:val="431B5DA8"/>
    <w:rsid w:val="431F05DB"/>
    <w:rsid w:val="432218BF"/>
    <w:rsid w:val="43244357"/>
    <w:rsid w:val="43244531"/>
    <w:rsid w:val="43271CFD"/>
    <w:rsid w:val="432946E3"/>
    <w:rsid w:val="432B7169"/>
    <w:rsid w:val="432F3C4E"/>
    <w:rsid w:val="433150C6"/>
    <w:rsid w:val="43317379"/>
    <w:rsid w:val="43362BE2"/>
    <w:rsid w:val="43364990"/>
    <w:rsid w:val="4338236B"/>
    <w:rsid w:val="4339622E"/>
    <w:rsid w:val="43397FDC"/>
    <w:rsid w:val="433C6E2B"/>
    <w:rsid w:val="433D0241"/>
    <w:rsid w:val="433D0FE9"/>
    <w:rsid w:val="433F136A"/>
    <w:rsid w:val="43416B84"/>
    <w:rsid w:val="43470E11"/>
    <w:rsid w:val="434A594E"/>
    <w:rsid w:val="434B2807"/>
    <w:rsid w:val="434D6247"/>
    <w:rsid w:val="434F671B"/>
    <w:rsid w:val="43506CF9"/>
    <w:rsid w:val="43533A7B"/>
    <w:rsid w:val="435624D6"/>
    <w:rsid w:val="43566DE0"/>
    <w:rsid w:val="43566EFA"/>
    <w:rsid w:val="43571729"/>
    <w:rsid w:val="43574906"/>
    <w:rsid w:val="435A7F52"/>
    <w:rsid w:val="43617C59"/>
    <w:rsid w:val="4364501E"/>
    <w:rsid w:val="436722D1"/>
    <w:rsid w:val="436878BA"/>
    <w:rsid w:val="43696F7C"/>
    <w:rsid w:val="43697533"/>
    <w:rsid w:val="436F39FE"/>
    <w:rsid w:val="4371440C"/>
    <w:rsid w:val="43727E24"/>
    <w:rsid w:val="437679CC"/>
    <w:rsid w:val="437B05F4"/>
    <w:rsid w:val="438356FB"/>
    <w:rsid w:val="43855569"/>
    <w:rsid w:val="438F22F2"/>
    <w:rsid w:val="438F571B"/>
    <w:rsid w:val="43900543"/>
    <w:rsid w:val="43900783"/>
    <w:rsid w:val="43902A34"/>
    <w:rsid w:val="43947644"/>
    <w:rsid w:val="43951781"/>
    <w:rsid w:val="439671DC"/>
    <w:rsid w:val="439E0787"/>
    <w:rsid w:val="43A35D9D"/>
    <w:rsid w:val="43A63197"/>
    <w:rsid w:val="43A85162"/>
    <w:rsid w:val="43AA2C88"/>
    <w:rsid w:val="43AA7E93"/>
    <w:rsid w:val="43AB6AF1"/>
    <w:rsid w:val="43B34232"/>
    <w:rsid w:val="43B7148B"/>
    <w:rsid w:val="43B7159B"/>
    <w:rsid w:val="43BB14AC"/>
    <w:rsid w:val="43BB4E95"/>
    <w:rsid w:val="43BF2BD7"/>
    <w:rsid w:val="43C261B1"/>
    <w:rsid w:val="43C401ED"/>
    <w:rsid w:val="43C51E84"/>
    <w:rsid w:val="43C645A9"/>
    <w:rsid w:val="43CA157C"/>
    <w:rsid w:val="43CA7067"/>
    <w:rsid w:val="43D27A55"/>
    <w:rsid w:val="43D34AD5"/>
    <w:rsid w:val="43D441A9"/>
    <w:rsid w:val="43D76E13"/>
    <w:rsid w:val="43D80310"/>
    <w:rsid w:val="43DE5FDB"/>
    <w:rsid w:val="43E17924"/>
    <w:rsid w:val="43E443EC"/>
    <w:rsid w:val="43E71F26"/>
    <w:rsid w:val="43E81443"/>
    <w:rsid w:val="43E97C54"/>
    <w:rsid w:val="43EA37DE"/>
    <w:rsid w:val="43EF3567"/>
    <w:rsid w:val="43F02CAE"/>
    <w:rsid w:val="43F31768"/>
    <w:rsid w:val="43F33806"/>
    <w:rsid w:val="43F403A7"/>
    <w:rsid w:val="43F87E97"/>
    <w:rsid w:val="43F959BD"/>
    <w:rsid w:val="44044A8E"/>
    <w:rsid w:val="44085815"/>
    <w:rsid w:val="440F51E1"/>
    <w:rsid w:val="441B1DD7"/>
    <w:rsid w:val="441B2C89"/>
    <w:rsid w:val="441B3B85"/>
    <w:rsid w:val="441D78FE"/>
    <w:rsid w:val="441F577B"/>
    <w:rsid w:val="4421378E"/>
    <w:rsid w:val="442200BB"/>
    <w:rsid w:val="44231FA6"/>
    <w:rsid w:val="442671C8"/>
    <w:rsid w:val="442944F4"/>
    <w:rsid w:val="442B1BAA"/>
    <w:rsid w:val="442C5D93"/>
    <w:rsid w:val="442E5667"/>
    <w:rsid w:val="44307631"/>
    <w:rsid w:val="44332843"/>
    <w:rsid w:val="44376845"/>
    <w:rsid w:val="44384737"/>
    <w:rsid w:val="443864E5"/>
    <w:rsid w:val="44387F8A"/>
    <w:rsid w:val="443A04B0"/>
    <w:rsid w:val="44440F87"/>
    <w:rsid w:val="44441786"/>
    <w:rsid w:val="44452667"/>
    <w:rsid w:val="444655B7"/>
    <w:rsid w:val="44492038"/>
    <w:rsid w:val="444E3F5B"/>
    <w:rsid w:val="44501A81"/>
    <w:rsid w:val="4450382F"/>
    <w:rsid w:val="44562E10"/>
    <w:rsid w:val="44581EC4"/>
    <w:rsid w:val="445D39F9"/>
    <w:rsid w:val="44613F43"/>
    <w:rsid w:val="44634558"/>
    <w:rsid w:val="44636911"/>
    <w:rsid w:val="4465003C"/>
    <w:rsid w:val="44674BCC"/>
    <w:rsid w:val="44676DCB"/>
    <w:rsid w:val="446A72EE"/>
    <w:rsid w:val="446E4DF2"/>
    <w:rsid w:val="44730AB5"/>
    <w:rsid w:val="447332F0"/>
    <w:rsid w:val="44753296"/>
    <w:rsid w:val="4476157F"/>
    <w:rsid w:val="4476700E"/>
    <w:rsid w:val="447907FE"/>
    <w:rsid w:val="44790D1E"/>
    <w:rsid w:val="447A0492"/>
    <w:rsid w:val="447D214A"/>
    <w:rsid w:val="44802EE5"/>
    <w:rsid w:val="448A0E85"/>
    <w:rsid w:val="448D32C8"/>
    <w:rsid w:val="44937783"/>
    <w:rsid w:val="4497145E"/>
    <w:rsid w:val="449B0EB7"/>
    <w:rsid w:val="44A31EE2"/>
    <w:rsid w:val="44A45929"/>
    <w:rsid w:val="44A75419"/>
    <w:rsid w:val="44A8366B"/>
    <w:rsid w:val="44A967F6"/>
    <w:rsid w:val="44AC133A"/>
    <w:rsid w:val="44AC595F"/>
    <w:rsid w:val="44AE67A8"/>
    <w:rsid w:val="44B00772"/>
    <w:rsid w:val="44B10046"/>
    <w:rsid w:val="44B15043"/>
    <w:rsid w:val="44B26298"/>
    <w:rsid w:val="44B6565C"/>
    <w:rsid w:val="44B65857"/>
    <w:rsid w:val="44B67A77"/>
    <w:rsid w:val="44B738AE"/>
    <w:rsid w:val="44B7553B"/>
    <w:rsid w:val="44B85878"/>
    <w:rsid w:val="44BC7116"/>
    <w:rsid w:val="44BE6747"/>
    <w:rsid w:val="44C1472D"/>
    <w:rsid w:val="44C15265"/>
    <w:rsid w:val="44C33916"/>
    <w:rsid w:val="44C47B2E"/>
    <w:rsid w:val="44CB1108"/>
    <w:rsid w:val="44CD5C33"/>
    <w:rsid w:val="44CE0BF8"/>
    <w:rsid w:val="44D073C1"/>
    <w:rsid w:val="44D22496"/>
    <w:rsid w:val="44D51F86"/>
    <w:rsid w:val="44D53D34"/>
    <w:rsid w:val="44D672CD"/>
    <w:rsid w:val="44D7213A"/>
    <w:rsid w:val="44D73F50"/>
    <w:rsid w:val="44D85BF2"/>
    <w:rsid w:val="44DF0DF1"/>
    <w:rsid w:val="44E0053D"/>
    <w:rsid w:val="44E1092B"/>
    <w:rsid w:val="44E16B7D"/>
    <w:rsid w:val="44E623E5"/>
    <w:rsid w:val="44E65F41"/>
    <w:rsid w:val="44E67AF8"/>
    <w:rsid w:val="44E818A0"/>
    <w:rsid w:val="44E82E6F"/>
    <w:rsid w:val="44E87F0C"/>
    <w:rsid w:val="44E945DF"/>
    <w:rsid w:val="44EB17AA"/>
    <w:rsid w:val="44F07163"/>
    <w:rsid w:val="44F206DC"/>
    <w:rsid w:val="44F71EFD"/>
    <w:rsid w:val="44FA379B"/>
    <w:rsid w:val="44FB1C4C"/>
    <w:rsid w:val="44FC39B7"/>
    <w:rsid w:val="450369D7"/>
    <w:rsid w:val="45036AF3"/>
    <w:rsid w:val="45055092"/>
    <w:rsid w:val="45067F4C"/>
    <w:rsid w:val="45080078"/>
    <w:rsid w:val="4508235C"/>
    <w:rsid w:val="4508410A"/>
    <w:rsid w:val="45085EB8"/>
    <w:rsid w:val="45091C30"/>
    <w:rsid w:val="450A2511"/>
    <w:rsid w:val="450C6D9A"/>
    <w:rsid w:val="450D1720"/>
    <w:rsid w:val="451019E3"/>
    <w:rsid w:val="45113212"/>
    <w:rsid w:val="45135F9D"/>
    <w:rsid w:val="45156C80"/>
    <w:rsid w:val="451707F1"/>
    <w:rsid w:val="45184A81"/>
    <w:rsid w:val="451A3E3D"/>
    <w:rsid w:val="45252F0E"/>
    <w:rsid w:val="45264590"/>
    <w:rsid w:val="45294080"/>
    <w:rsid w:val="453273D9"/>
    <w:rsid w:val="453333A9"/>
    <w:rsid w:val="45360EF3"/>
    <w:rsid w:val="453A344A"/>
    <w:rsid w:val="45401AF6"/>
    <w:rsid w:val="454139C7"/>
    <w:rsid w:val="4541761C"/>
    <w:rsid w:val="45442347"/>
    <w:rsid w:val="4546413B"/>
    <w:rsid w:val="45474DAF"/>
    <w:rsid w:val="45480308"/>
    <w:rsid w:val="454C192C"/>
    <w:rsid w:val="45521829"/>
    <w:rsid w:val="455235D7"/>
    <w:rsid w:val="4552513B"/>
    <w:rsid w:val="45563952"/>
    <w:rsid w:val="45565313"/>
    <w:rsid w:val="455B692F"/>
    <w:rsid w:val="455C6204"/>
    <w:rsid w:val="455E1F7C"/>
    <w:rsid w:val="45613CFB"/>
    <w:rsid w:val="45634BB1"/>
    <w:rsid w:val="456357E4"/>
    <w:rsid w:val="45637592"/>
    <w:rsid w:val="45667082"/>
    <w:rsid w:val="45667FA9"/>
    <w:rsid w:val="4568104C"/>
    <w:rsid w:val="456A7A73"/>
    <w:rsid w:val="456B6447"/>
    <w:rsid w:val="456D1C3D"/>
    <w:rsid w:val="456F406E"/>
    <w:rsid w:val="45717CFB"/>
    <w:rsid w:val="45795008"/>
    <w:rsid w:val="45796B99"/>
    <w:rsid w:val="457A7B12"/>
    <w:rsid w:val="457E261E"/>
    <w:rsid w:val="457F2C83"/>
    <w:rsid w:val="458138DD"/>
    <w:rsid w:val="458336CE"/>
    <w:rsid w:val="45837C34"/>
    <w:rsid w:val="45876384"/>
    <w:rsid w:val="4588090E"/>
    <w:rsid w:val="4588524B"/>
    <w:rsid w:val="45885BCA"/>
    <w:rsid w:val="45886BCF"/>
    <w:rsid w:val="458A21AF"/>
    <w:rsid w:val="458A5784"/>
    <w:rsid w:val="458D2861"/>
    <w:rsid w:val="458D5981"/>
    <w:rsid w:val="458D63FC"/>
    <w:rsid w:val="458E44FE"/>
    <w:rsid w:val="45903DA3"/>
    <w:rsid w:val="45921C25"/>
    <w:rsid w:val="45961716"/>
    <w:rsid w:val="45967968"/>
    <w:rsid w:val="4597723C"/>
    <w:rsid w:val="459D3E18"/>
    <w:rsid w:val="45A63FE7"/>
    <w:rsid w:val="45A64DC3"/>
    <w:rsid w:val="45A675E2"/>
    <w:rsid w:val="45A73113"/>
    <w:rsid w:val="45A858ED"/>
    <w:rsid w:val="45AA6F6F"/>
    <w:rsid w:val="45AF4585"/>
    <w:rsid w:val="45B316DE"/>
    <w:rsid w:val="45B538BC"/>
    <w:rsid w:val="45B933A3"/>
    <w:rsid w:val="45C05FFA"/>
    <w:rsid w:val="45C2075D"/>
    <w:rsid w:val="45C269AF"/>
    <w:rsid w:val="45C54E28"/>
    <w:rsid w:val="45C801A6"/>
    <w:rsid w:val="45C855CA"/>
    <w:rsid w:val="45C862F3"/>
    <w:rsid w:val="45C95632"/>
    <w:rsid w:val="45CA5863"/>
    <w:rsid w:val="45CD0EAF"/>
    <w:rsid w:val="45CE5353"/>
    <w:rsid w:val="45D05E9B"/>
    <w:rsid w:val="45D17464"/>
    <w:rsid w:val="45D77981"/>
    <w:rsid w:val="45D91C8F"/>
    <w:rsid w:val="45DE4E6B"/>
    <w:rsid w:val="45E17142"/>
    <w:rsid w:val="45E42DDE"/>
    <w:rsid w:val="45E529EA"/>
    <w:rsid w:val="45E63B4F"/>
    <w:rsid w:val="45EC7588"/>
    <w:rsid w:val="45F07355"/>
    <w:rsid w:val="45F15A5E"/>
    <w:rsid w:val="45F3102E"/>
    <w:rsid w:val="45F3589E"/>
    <w:rsid w:val="45F35B6A"/>
    <w:rsid w:val="45F428E0"/>
    <w:rsid w:val="45F5362F"/>
    <w:rsid w:val="45F71FF0"/>
    <w:rsid w:val="45FA30D0"/>
    <w:rsid w:val="45FB3C6E"/>
    <w:rsid w:val="45FF0712"/>
    <w:rsid w:val="46027B5A"/>
    <w:rsid w:val="46032B23"/>
    <w:rsid w:val="460A3136"/>
    <w:rsid w:val="460A5C60"/>
    <w:rsid w:val="460C053E"/>
    <w:rsid w:val="460E39A2"/>
    <w:rsid w:val="460F2A0E"/>
    <w:rsid w:val="461101FB"/>
    <w:rsid w:val="46113D93"/>
    <w:rsid w:val="461145B6"/>
    <w:rsid w:val="46127979"/>
    <w:rsid w:val="46142BC8"/>
    <w:rsid w:val="46176F3D"/>
    <w:rsid w:val="461C1430"/>
    <w:rsid w:val="461D5993"/>
    <w:rsid w:val="461D645C"/>
    <w:rsid w:val="461E0EC6"/>
    <w:rsid w:val="461E5035"/>
    <w:rsid w:val="462024ED"/>
    <w:rsid w:val="4622044A"/>
    <w:rsid w:val="46285140"/>
    <w:rsid w:val="46333408"/>
    <w:rsid w:val="46397CA2"/>
    <w:rsid w:val="463A37C2"/>
    <w:rsid w:val="463D6035"/>
    <w:rsid w:val="463F1DAD"/>
    <w:rsid w:val="46470C62"/>
    <w:rsid w:val="46496788"/>
    <w:rsid w:val="464B2C73"/>
    <w:rsid w:val="464C1EC6"/>
    <w:rsid w:val="464E0242"/>
    <w:rsid w:val="46501488"/>
    <w:rsid w:val="4650172C"/>
    <w:rsid w:val="4650789C"/>
    <w:rsid w:val="4651388E"/>
    <w:rsid w:val="465810C1"/>
    <w:rsid w:val="46590ACE"/>
    <w:rsid w:val="465A0995"/>
    <w:rsid w:val="46604DF8"/>
    <w:rsid w:val="46625A9C"/>
    <w:rsid w:val="466510E8"/>
    <w:rsid w:val="46694F98"/>
    <w:rsid w:val="4669643F"/>
    <w:rsid w:val="466A4950"/>
    <w:rsid w:val="466C691A"/>
    <w:rsid w:val="466D7A8A"/>
    <w:rsid w:val="4670640B"/>
    <w:rsid w:val="46713F31"/>
    <w:rsid w:val="46720ACF"/>
    <w:rsid w:val="46722966"/>
    <w:rsid w:val="467252C0"/>
    <w:rsid w:val="46733805"/>
    <w:rsid w:val="46744858"/>
    <w:rsid w:val="467632F5"/>
    <w:rsid w:val="46771813"/>
    <w:rsid w:val="467E6B57"/>
    <w:rsid w:val="467F23F8"/>
    <w:rsid w:val="46853BD3"/>
    <w:rsid w:val="46861DC9"/>
    <w:rsid w:val="46863764"/>
    <w:rsid w:val="468D151A"/>
    <w:rsid w:val="469206A0"/>
    <w:rsid w:val="4693261B"/>
    <w:rsid w:val="46933EA7"/>
    <w:rsid w:val="4698326B"/>
    <w:rsid w:val="469B0FAE"/>
    <w:rsid w:val="469B1418"/>
    <w:rsid w:val="469C7200"/>
    <w:rsid w:val="469F0A9E"/>
    <w:rsid w:val="46A13D98"/>
    <w:rsid w:val="46A236CA"/>
    <w:rsid w:val="46A41C10"/>
    <w:rsid w:val="46A434DB"/>
    <w:rsid w:val="46A53DB6"/>
    <w:rsid w:val="46A71700"/>
    <w:rsid w:val="46A737D4"/>
    <w:rsid w:val="46A75BA4"/>
    <w:rsid w:val="46AF4534"/>
    <w:rsid w:val="46B03E5E"/>
    <w:rsid w:val="46B06807"/>
    <w:rsid w:val="46B16A25"/>
    <w:rsid w:val="46B300A5"/>
    <w:rsid w:val="46B60FA8"/>
    <w:rsid w:val="46B6571B"/>
    <w:rsid w:val="46B671EB"/>
    <w:rsid w:val="46B70BF7"/>
    <w:rsid w:val="46BA1434"/>
    <w:rsid w:val="46BC35D9"/>
    <w:rsid w:val="46C1102A"/>
    <w:rsid w:val="46C41A21"/>
    <w:rsid w:val="46CB1C3E"/>
    <w:rsid w:val="46CD6437"/>
    <w:rsid w:val="46CE1383"/>
    <w:rsid w:val="46CF613A"/>
    <w:rsid w:val="46D02A05"/>
    <w:rsid w:val="46D725B4"/>
    <w:rsid w:val="46D945EF"/>
    <w:rsid w:val="46DE2AC4"/>
    <w:rsid w:val="46E01E15"/>
    <w:rsid w:val="46E46CF4"/>
    <w:rsid w:val="46E537C9"/>
    <w:rsid w:val="46EC38EB"/>
    <w:rsid w:val="46ED2407"/>
    <w:rsid w:val="46F106CB"/>
    <w:rsid w:val="46F56910"/>
    <w:rsid w:val="46F661E4"/>
    <w:rsid w:val="46FA611B"/>
    <w:rsid w:val="46FC0A6C"/>
    <w:rsid w:val="46FF2AAA"/>
    <w:rsid w:val="47002A7F"/>
    <w:rsid w:val="47034CA6"/>
    <w:rsid w:val="470366E9"/>
    <w:rsid w:val="47046B53"/>
    <w:rsid w:val="4707219F"/>
    <w:rsid w:val="470E59CC"/>
    <w:rsid w:val="471051AE"/>
    <w:rsid w:val="4713741A"/>
    <w:rsid w:val="47153174"/>
    <w:rsid w:val="47154451"/>
    <w:rsid w:val="471A45C8"/>
    <w:rsid w:val="471A6376"/>
    <w:rsid w:val="471A7BF2"/>
    <w:rsid w:val="471B6C85"/>
    <w:rsid w:val="471E10ED"/>
    <w:rsid w:val="471E1E95"/>
    <w:rsid w:val="471E2059"/>
    <w:rsid w:val="471E4FF6"/>
    <w:rsid w:val="47230722"/>
    <w:rsid w:val="47233C17"/>
    <w:rsid w:val="472461ED"/>
    <w:rsid w:val="472471F5"/>
    <w:rsid w:val="47256BC5"/>
    <w:rsid w:val="472649FE"/>
    <w:rsid w:val="47266AC9"/>
    <w:rsid w:val="472701DB"/>
    <w:rsid w:val="47370E73"/>
    <w:rsid w:val="473C62ED"/>
    <w:rsid w:val="473E652E"/>
    <w:rsid w:val="47411B55"/>
    <w:rsid w:val="47411C59"/>
    <w:rsid w:val="47412FF1"/>
    <w:rsid w:val="47422765"/>
    <w:rsid w:val="474B4782"/>
    <w:rsid w:val="474B5EAC"/>
    <w:rsid w:val="47507FEA"/>
    <w:rsid w:val="47513C75"/>
    <w:rsid w:val="47525C51"/>
    <w:rsid w:val="47536798"/>
    <w:rsid w:val="47555600"/>
    <w:rsid w:val="475A0483"/>
    <w:rsid w:val="475A6890"/>
    <w:rsid w:val="475F1FDB"/>
    <w:rsid w:val="47613FA5"/>
    <w:rsid w:val="47666BD1"/>
    <w:rsid w:val="47675524"/>
    <w:rsid w:val="47682BEB"/>
    <w:rsid w:val="476E0042"/>
    <w:rsid w:val="476F2A40"/>
    <w:rsid w:val="47727D15"/>
    <w:rsid w:val="47741800"/>
    <w:rsid w:val="4775307B"/>
    <w:rsid w:val="47767A51"/>
    <w:rsid w:val="47777325"/>
    <w:rsid w:val="478A3279"/>
    <w:rsid w:val="478A34FC"/>
    <w:rsid w:val="478A6996"/>
    <w:rsid w:val="478B37AB"/>
    <w:rsid w:val="478D4D9A"/>
    <w:rsid w:val="479003E6"/>
    <w:rsid w:val="47915049"/>
    <w:rsid w:val="47996CB5"/>
    <w:rsid w:val="479C4FDD"/>
    <w:rsid w:val="479F50AC"/>
    <w:rsid w:val="47A00BB3"/>
    <w:rsid w:val="47A06854"/>
    <w:rsid w:val="47A311D0"/>
    <w:rsid w:val="47A3636C"/>
    <w:rsid w:val="47A6175D"/>
    <w:rsid w:val="47A6371A"/>
    <w:rsid w:val="47A7239C"/>
    <w:rsid w:val="47A83982"/>
    <w:rsid w:val="47A878A3"/>
    <w:rsid w:val="47AB5CCD"/>
    <w:rsid w:val="47AC3472"/>
    <w:rsid w:val="47AF4D11"/>
    <w:rsid w:val="47B24801"/>
    <w:rsid w:val="47B265AF"/>
    <w:rsid w:val="47B47B3D"/>
    <w:rsid w:val="47B57547"/>
    <w:rsid w:val="47B65B13"/>
    <w:rsid w:val="47BC567F"/>
    <w:rsid w:val="47C167F2"/>
    <w:rsid w:val="47C47D13"/>
    <w:rsid w:val="47C54534"/>
    <w:rsid w:val="47C6205A"/>
    <w:rsid w:val="47C85DD2"/>
    <w:rsid w:val="47CA38F8"/>
    <w:rsid w:val="47CC4581"/>
    <w:rsid w:val="47D44F36"/>
    <w:rsid w:val="47D53876"/>
    <w:rsid w:val="47D74267"/>
    <w:rsid w:val="47DB78B4"/>
    <w:rsid w:val="47E744AA"/>
    <w:rsid w:val="47EC4AEF"/>
    <w:rsid w:val="47F00E85"/>
    <w:rsid w:val="47F170D7"/>
    <w:rsid w:val="47F210A1"/>
    <w:rsid w:val="47F23F2B"/>
    <w:rsid w:val="47F44E19"/>
    <w:rsid w:val="47F616F3"/>
    <w:rsid w:val="47F91B54"/>
    <w:rsid w:val="47FB5B50"/>
    <w:rsid w:val="47FC5418"/>
    <w:rsid w:val="47FD3CCE"/>
    <w:rsid w:val="480155F8"/>
    <w:rsid w:val="48090F94"/>
    <w:rsid w:val="480A0199"/>
    <w:rsid w:val="480D7C89"/>
    <w:rsid w:val="480E2AC1"/>
    <w:rsid w:val="481132D5"/>
    <w:rsid w:val="48117779"/>
    <w:rsid w:val="481A32B8"/>
    <w:rsid w:val="481B3E57"/>
    <w:rsid w:val="481C1C7A"/>
    <w:rsid w:val="481E1E96"/>
    <w:rsid w:val="481F5F10"/>
    <w:rsid w:val="482101D7"/>
    <w:rsid w:val="48223734"/>
    <w:rsid w:val="48264136"/>
    <w:rsid w:val="48270D4B"/>
    <w:rsid w:val="48274C8F"/>
    <w:rsid w:val="482876B1"/>
    <w:rsid w:val="482B7945"/>
    <w:rsid w:val="482C1D4B"/>
    <w:rsid w:val="482F19AD"/>
    <w:rsid w:val="48360CC5"/>
    <w:rsid w:val="48361EBC"/>
    <w:rsid w:val="483671E0"/>
    <w:rsid w:val="48396CD0"/>
    <w:rsid w:val="483D231C"/>
    <w:rsid w:val="48441767"/>
    <w:rsid w:val="484418FD"/>
    <w:rsid w:val="48484577"/>
    <w:rsid w:val="484A4A39"/>
    <w:rsid w:val="484A67E7"/>
    <w:rsid w:val="484C234A"/>
    <w:rsid w:val="48507547"/>
    <w:rsid w:val="48512886"/>
    <w:rsid w:val="48547E19"/>
    <w:rsid w:val="48561630"/>
    <w:rsid w:val="485633DE"/>
    <w:rsid w:val="4856518C"/>
    <w:rsid w:val="485760B8"/>
    <w:rsid w:val="48581EDB"/>
    <w:rsid w:val="48583D83"/>
    <w:rsid w:val="485B09F4"/>
    <w:rsid w:val="485B5786"/>
    <w:rsid w:val="485B718B"/>
    <w:rsid w:val="485E033F"/>
    <w:rsid w:val="486024AF"/>
    <w:rsid w:val="48605769"/>
    <w:rsid w:val="48630B93"/>
    <w:rsid w:val="48652132"/>
    <w:rsid w:val="4866004B"/>
    <w:rsid w:val="486633BA"/>
    <w:rsid w:val="486C5AE2"/>
    <w:rsid w:val="486F26F2"/>
    <w:rsid w:val="487230E1"/>
    <w:rsid w:val="48724537"/>
    <w:rsid w:val="48735D3E"/>
    <w:rsid w:val="48741AB6"/>
    <w:rsid w:val="48742EFF"/>
    <w:rsid w:val="48757D08"/>
    <w:rsid w:val="487D60DE"/>
    <w:rsid w:val="48802209"/>
    <w:rsid w:val="48810A0D"/>
    <w:rsid w:val="48825526"/>
    <w:rsid w:val="488327AC"/>
    <w:rsid w:val="48857A46"/>
    <w:rsid w:val="48861C35"/>
    <w:rsid w:val="488C32A4"/>
    <w:rsid w:val="488E0DCA"/>
    <w:rsid w:val="488E2B78"/>
    <w:rsid w:val="48945CB4"/>
    <w:rsid w:val="48961607"/>
    <w:rsid w:val="48965ED0"/>
    <w:rsid w:val="48981C49"/>
    <w:rsid w:val="48990EDF"/>
    <w:rsid w:val="489B076C"/>
    <w:rsid w:val="489F2696"/>
    <w:rsid w:val="48A1571F"/>
    <w:rsid w:val="48A203D1"/>
    <w:rsid w:val="48A237EC"/>
    <w:rsid w:val="48A40F65"/>
    <w:rsid w:val="48A4239B"/>
    <w:rsid w:val="48A57EC2"/>
    <w:rsid w:val="48A95C04"/>
    <w:rsid w:val="48AC6340"/>
    <w:rsid w:val="48AE03C2"/>
    <w:rsid w:val="48AE321A"/>
    <w:rsid w:val="48AE65BB"/>
    <w:rsid w:val="48B06F92"/>
    <w:rsid w:val="48B14AB8"/>
    <w:rsid w:val="48B3438D"/>
    <w:rsid w:val="48B56357"/>
    <w:rsid w:val="48B87E46"/>
    <w:rsid w:val="48BC2937"/>
    <w:rsid w:val="48BD520B"/>
    <w:rsid w:val="48BE69C7"/>
    <w:rsid w:val="48BF4674"/>
    <w:rsid w:val="48C14140"/>
    <w:rsid w:val="48C26CC5"/>
    <w:rsid w:val="48C742DC"/>
    <w:rsid w:val="48C77E38"/>
    <w:rsid w:val="48CC2F24"/>
    <w:rsid w:val="48CE5550"/>
    <w:rsid w:val="48CF0740"/>
    <w:rsid w:val="48D013E2"/>
    <w:rsid w:val="48D569F9"/>
    <w:rsid w:val="48DA6F06"/>
    <w:rsid w:val="48DA7B6B"/>
    <w:rsid w:val="48DE348E"/>
    <w:rsid w:val="48DE48B2"/>
    <w:rsid w:val="48E44E8E"/>
    <w:rsid w:val="48E94F23"/>
    <w:rsid w:val="48EE0EFD"/>
    <w:rsid w:val="48EE1869"/>
    <w:rsid w:val="48F34B8E"/>
    <w:rsid w:val="48F350D1"/>
    <w:rsid w:val="48F5045F"/>
    <w:rsid w:val="48F71986"/>
    <w:rsid w:val="48F75E01"/>
    <w:rsid w:val="48F77056"/>
    <w:rsid w:val="48F826E7"/>
    <w:rsid w:val="4901159C"/>
    <w:rsid w:val="49043881"/>
    <w:rsid w:val="49045711"/>
    <w:rsid w:val="49080B7C"/>
    <w:rsid w:val="49090450"/>
    <w:rsid w:val="49094D84"/>
    <w:rsid w:val="490B41C9"/>
    <w:rsid w:val="490C1CEF"/>
    <w:rsid w:val="4914486F"/>
    <w:rsid w:val="491603F6"/>
    <w:rsid w:val="49170DBF"/>
    <w:rsid w:val="49177011"/>
    <w:rsid w:val="491A265E"/>
    <w:rsid w:val="491D1FF9"/>
    <w:rsid w:val="491F7018"/>
    <w:rsid w:val="491F7C74"/>
    <w:rsid w:val="492114BE"/>
    <w:rsid w:val="49235D7F"/>
    <w:rsid w:val="49267254"/>
    <w:rsid w:val="492822E2"/>
    <w:rsid w:val="49282FCC"/>
    <w:rsid w:val="492876D1"/>
    <w:rsid w:val="492A385B"/>
    <w:rsid w:val="492C413F"/>
    <w:rsid w:val="492E0B35"/>
    <w:rsid w:val="49301E81"/>
    <w:rsid w:val="493059DD"/>
    <w:rsid w:val="49315AE0"/>
    <w:rsid w:val="49331857"/>
    <w:rsid w:val="49331971"/>
    <w:rsid w:val="493556E9"/>
    <w:rsid w:val="49396F88"/>
    <w:rsid w:val="493F0316"/>
    <w:rsid w:val="49431385"/>
    <w:rsid w:val="49441489"/>
    <w:rsid w:val="49465201"/>
    <w:rsid w:val="494871CB"/>
    <w:rsid w:val="494B0A69"/>
    <w:rsid w:val="494B240B"/>
    <w:rsid w:val="4958393F"/>
    <w:rsid w:val="49595D88"/>
    <w:rsid w:val="495C7CDB"/>
    <w:rsid w:val="495D0B90"/>
    <w:rsid w:val="495E079C"/>
    <w:rsid w:val="495E69EE"/>
    <w:rsid w:val="495E76CE"/>
    <w:rsid w:val="495F4514"/>
    <w:rsid w:val="495F7B86"/>
    <w:rsid w:val="49606747"/>
    <w:rsid w:val="4961203A"/>
    <w:rsid w:val="496220FD"/>
    <w:rsid w:val="4963478E"/>
    <w:rsid w:val="496438D9"/>
    <w:rsid w:val="496569FC"/>
    <w:rsid w:val="496833C9"/>
    <w:rsid w:val="496D09DF"/>
    <w:rsid w:val="496D0C0D"/>
    <w:rsid w:val="496E4757"/>
    <w:rsid w:val="49707298"/>
    <w:rsid w:val="49784278"/>
    <w:rsid w:val="49785C10"/>
    <w:rsid w:val="497A5B7B"/>
    <w:rsid w:val="4981448B"/>
    <w:rsid w:val="498434BD"/>
    <w:rsid w:val="4984543A"/>
    <w:rsid w:val="49845D29"/>
    <w:rsid w:val="498E6BA8"/>
    <w:rsid w:val="49935F6C"/>
    <w:rsid w:val="499441BE"/>
    <w:rsid w:val="49952D80"/>
    <w:rsid w:val="49956188"/>
    <w:rsid w:val="49961986"/>
    <w:rsid w:val="49973BDF"/>
    <w:rsid w:val="4997557C"/>
    <w:rsid w:val="499A379E"/>
    <w:rsid w:val="499E6DEB"/>
    <w:rsid w:val="499F2B63"/>
    <w:rsid w:val="49A01F26"/>
    <w:rsid w:val="49A14B2D"/>
    <w:rsid w:val="49A2403D"/>
    <w:rsid w:val="49A53F24"/>
    <w:rsid w:val="49A77509"/>
    <w:rsid w:val="49A95790"/>
    <w:rsid w:val="49AB59AC"/>
    <w:rsid w:val="49AD7B9F"/>
    <w:rsid w:val="49AF724A"/>
    <w:rsid w:val="49B02CBC"/>
    <w:rsid w:val="49B04D70"/>
    <w:rsid w:val="49B06B1E"/>
    <w:rsid w:val="49B16106"/>
    <w:rsid w:val="49B27B2C"/>
    <w:rsid w:val="49B41887"/>
    <w:rsid w:val="49B54C1B"/>
    <w:rsid w:val="49B706D0"/>
    <w:rsid w:val="49BD3460"/>
    <w:rsid w:val="49C5081B"/>
    <w:rsid w:val="49C83E68"/>
    <w:rsid w:val="49C936B5"/>
    <w:rsid w:val="49D24CE6"/>
    <w:rsid w:val="49D55940"/>
    <w:rsid w:val="49E16097"/>
    <w:rsid w:val="49E2487A"/>
    <w:rsid w:val="49E40558"/>
    <w:rsid w:val="49E656E9"/>
    <w:rsid w:val="49E71C16"/>
    <w:rsid w:val="49E8450A"/>
    <w:rsid w:val="49EA64D4"/>
    <w:rsid w:val="49EB5DA8"/>
    <w:rsid w:val="49EB7B56"/>
    <w:rsid w:val="49ED4BE8"/>
    <w:rsid w:val="49EE7713"/>
    <w:rsid w:val="49F47A9B"/>
    <w:rsid w:val="49F754CA"/>
    <w:rsid w:val="49F871E7"/>
    <w:rsid w:val="49FD14AF"/>
    <w:rsid w:val="49FD6207"/>
    <w:rsid w:val="49FE4A23"/>
    <w:rsid w:val="4A001853"/>
    <w:rsid w:val="4A002568"/>
    <w:rsid w:val="4A05330E"/>
    <w:rsid w:val="4A056E6A"/>
    <w:rsid w:val="4A057ACA"/>
    <w:rsid w:val="4A06378E"/>
    <w:rsid w:val="4A070E34"/>
    <w:rsid w:val="4A080708"/>
    <w:rsid w:val="4A0A248B"/>
    <w:rsid w:val="4A0B1011"/>
    <w:rsid w:val="4A0B18A6"/>
    <w:rsid w:val="4A0B3629"/>
    <w:rsid w:val="4A0E57F1"/>
    <w:rsid w:val="4A1029EC"/>
    <w:rsid w:val="4A1452FF"/>
    <w:rsid w:val="4A1C701D"/>
    <w:rsid w:val="4A233794"/>
    <w:rsid w:val="4A2714D2"/>
    <w:rsid w:val="4A306FA8"/>
    <w:rsid w:val="4A343BE2"/>
    <w:rsid w:val="4A35072B"/>
    <w:rsid w:val="4A394D65"/>
    <w:rsid w:val="4A3B6D2F"/>
    <w:rsid w:val="4A3C0846"/>
    <w:rsid w:val="4A3D4D1C"/>
    <w:rsid w:val="4A3D76EC"/>
    <w:rsid w:val="4A407EA2"/>
    <w:rsid w:val="4A440551"/>
    <w:rsid w:val="4A492690"/>
    <w:rsid w:val="4A4D62D6"/>
    <w:rsid w:val="4A51180D"/>
    <w:rsid w:val="4A523E3B"/>
    <w:rsid w:val="4A552E56"/>
    <w:rsid w:val="4A556B50"/>
    <w:rsid w:val="4A5676C5"/>
    <w:rsid w:val="4A574864"/>
    <w:rsid w:val="4A5751EC"/>
    <w:rsid w:val="4A5F69CD"/>
    <w:rsid w:val="4A621E0D"/>
    <w:rsid w:val="4A630EAB"/>
    <w:rsid w:val="4A633B90"/>
    <w:rsid w:val="4A642911"/>
    <w:rsid w:val="4A6D535D"/>
    <w:rsid w:val="4A6E0EB3"/>
    <w:rsid w:val="4A702D6F"/>
    <w:rsid w:val="4A7101BF"/>
    <w:rsid w:val="4A7162AD"/>
    <w:rsid w:val="4A761B16"/>
    <w:rsid w:val="4A7638C4"/>
    <w:rsid w:val="4A77763C"/>
    <w:rsid w:val="4A781D1E"/>
    <w:rsid w:val="4A7933B4"/>
    <w:rsid w:val="4A795E74"/>
    <w:rsid w:val="4A7B6861"/>
    <w:rsid w:val="4A7E09F7"/>
    <w:rsid w:val="4A7F1869"/>
    <w:rsid w:val="4A881849"/>
    <w:rsid w:val="4A8B4028"/>
    <w:rsid w:val="4A8E3303"/>
    <w:rsid w:val="4A8F3747"/>
    <w:rsid w:val="4A917B2E"/>
    <w:rsid w:val="4A966ED7"/>
    <w:rsid w:val="4A9A4CB2"/>
    <w:rsid w:val="4A9B77CE"/>
    <w:rsid w:val="4A9C34F6"/>
    <w:rsid w:val="4A9D3A15"/>
    <w:rsid w:val="4A9F3E06"/>
    <w:rsid w:val="4A9F72BE"/>
    <w:rsid w:val="4AA06B93"/>
    <w:rsid w:val="4AA26355"/>
    <w:rsid w:val="4AA448D5"/>
    <w:rsid w:val="4AA50CB3"/>
    <w:rsid w:val="4AA74E0C"/>
    <w:rsid w:val="4AA85A47"/>
    <w:rsid w:val="4AAB3032"/>
    <w:rsid w:val="4AAB4494"/>
    <w:rsid w:val="4AAE4B75"/>
    <w:rsid w:val="4AB12B4E"/>
    <w:rsid w:val="4AB4263E"/>
    <w:rsid w:val="4AB6167A"/>
    <w:rsid w:val="4AB8212E"/>
    <w:rsid w:val="4ABA1E08"/>
    <w:rsid w:val="4ABA6E77"/>
    <w:rsid w:val="4ABD14F2"/>
    <w:rsid w:val="4ABF151C"/>
    <w:rsid w:val="4AC5077F"/>
    <w:rsid w:val="4AC761A9"/>
    <w:rsid w:val="4AC8224B"/>
    <w:rsid w:val="4ACE01A4"/>
    <w:rsid w:val="4ACE3700"/>
    <w:rsid w:val="4AD309EB"/>
    <w:rsid w:val="4AD54A8E"/>
    <w:rsid w:val="4AD92B34"/>
    <w:rsid w:val="4ADD1A9D"/>
    <w:rsid w:val="4ADF3B5F"/>
    <w:rsid w:val="4AE16784"/>
    <w:rsid w:val="4AE65D82"/>
    <w:rsid w:val="4AEA4585"/>
    <w:rsid w:val="4AEE55F3"/>
    <w:rsid w:val="4AEE728D"/>
    <w:rsid w:val="4AF018C8"/>
    <w:rsid w:val="4AF12176"/>
    <w:rsid w:val="4AF3638B"/>
    <w:rsid w:val="4AF60EA8"/>
    <w:rsid w:val="4AF8588C"/>
    <w:rsid w:val="4AF869CF"/>
    <w:rsid w:val="4AF953DC"/>
    <w:rsid w:val="4AFD3FE5"/>
    <w:rsid w:val="4AFF7D5D"/>
    <w:rsid w:val="4B0215FB"/>
    <w:rsid w:val="4B02784D"/>
    <w:rsid w:val="4B0435C5"/>
    <w:rsid w:val="4B067779"/>
    <w:rsid w:val="4B0E31C2"/>
    <w:rsid w:val="4B0E7F30"/>
    <w:rsid w:val="4B120B9C"/>
    <w:rsid w:val="4B1325C4"/>
    <w:rsid w:val="4B1702B6"/>
    <w:rsid w:val="4B1A4B97"/>
    <w:rsid w:val="4B1B12D4"/>
    <w:rsid w:val="4B1B26BD"/>
    <w:rsid w:val="4B1C63FA"/>
    <w:rsid w:val="4B1D6435"/>
    <w:rsid w:val="4B1F0D5C"/>
    <w:rsid w:val="4B2652EA"/>
    <w:rsid w:val="4B2D7116"/>
    <w:rsid w:val="4B2E283F"/>
    <w:rsid w:val="4B2F5A81"/>
    <w:rsid w:val="4B314808"/>
    <w:rsid w:val="4B373E4F"/>
    <w:rsid w:val="4B3774F7"/>
    <w:rsid w:val="4B3A0D95"/>
    <w:rsid w:val="4B3C5387"/>
    <w:rsid w:val="4B40491C"/>
    <w:rsid w:val="4B475260"/>
    <w:rsid w:val="4B493CD4"/>
    <w:rsid w:val="4B4B11F4"/>
    <w:rsid w:val="4B4B5FFB"/>
    <w:rsid w:val="4B4B6AFE"/>
    <w:rsid w:val="4B4C2876"/>
    <w:rsid w:val="4B4C600B"/>
    <w:rsid w:val="4B4E4840"/>
    <w:rsid w:val="4B531E57"/>
    <w:rsid w:val="4B57248F"/>
    <w:rsid w:val="4B594B8D"/>
    <w:rsid w:val="4B5C1243"/>
    <w:rsid w:val="4B5C133C"/>
    <w:rsid w:val="4B5C6F5D"/>
    <w:rsid w:val="4B5D4A84"/>
    <w:rsid w:val="4B5F07FC"/>
    <w:rsid w:val="4B6202EC"/>
    <w:rsid w:val="4B635E4C"/>
    <w:rsid w:val="4B656F3F"/>
    <w:rsid w:val="4B662015"/>
    <w:rsid w:val="4B6A1CE2"/>
    <w:rsid w:val="4B6B0F4E"/>
    <w:rsid w:val="4B6E2E78"/>
    <w:rsid w:val="4B72052F"/>
    <w:rsid w:val="4B727F94"/>
    <w:rsid w:val="4B7A73E4"/>
    <w:rsid w:val="4B7B7ABD"/>
    <w:rsid w:val="4B7C0EE1"/>
    <w:rsid w:val="4B7C13AE"/>
    <w:rsid w:val="4B7D370D"/>
    <w:rsid w:val="4B7E64CC"/>
    <w:rsid w:val="4B80775D"/>
    <w:rsid w:val="4B813CEC"/>
    <w:rsid w:val="4B814C16"/>
    <w:rsid w:val="4B816F53"/>
    <w:rsid w:val="4B86222C"/>
    <w:rsid w:val="4B8F5DA7"/>
    <w:rsid w:val="4B942912"/>
    <w:rsid w:val="4B944128"/>
    <w:rsid w:val="4B9530C4"/>
    <w:rsid w:val="4B9A2CEA"/>
    <w:rsid w:val="4B9B7403"/>
    <w:rsid w:val="4B9D5F03"/>
    <w:rsid w:val="4B9F509C"/>
    <w:rsid w:val="4BA22AF7"/>
    <w:rsid w:val="4BA31DF8"/>
    <w:rsid w:val="4BA45F7F"/>
    <w:rsid w:val="4BA47D7B"/>
    <w:rsid w:val="4BA57E8B"/>
    <w:rsid w:val="4BAF1783"/>
    <w:rsid w:val="4BAF784C"/>
    <w:rsid w:val="4BB26449"/>
    <w:rsid w:val="4BB328F5"/>
    <w:rsid w:val="4BB84560"/>
    <w:rsid w:val="4BB87CDB"/>
    <w:rsid w:val="4BBA0155"/>
    <w:rsid w:val="4BBA3C84"/>
    <w:rsid w:val="4BBD44FC"/>
    <w:rsid w:val="4BBF19D3"/>
    <w:rsid w:val="4BBF7C5C"/>
    <w:rsid w:val="4BC23E1F"/>
    <w:rsid w:val="4BC44B03"/>
    <w:rsid w:val="4BC57951"/>
    <w:rsid w:val="4BC67795"/>
    <w:rsid w:val="4BC71CA7"/>
    <w:rsid w:val="4BCB40E3"/>
    <w:rsid w:val="4BCC5671"/>
    <w:rsid w:val="4BCD427D"/>
    <w:rsid w:val="4BCD6EF2"/>
    <w:rsid w:val="4BCD7E5B"/>
    <w:rsid w:val="4BD22500"/>
    <w:rsid w:val="4BD366EC"/>
    <w:rsid w:val="4BD623FF"/>
    <w:rsid w:val="4BD9235C"/>
    <w:rsid w:val="4BDB773A"/>
    <w:rsid w:val="4BDC1E4C"/>
    <w:rsid w:val="4BDC3BFA"/>
    <w:rsid w:val="4BDD550A"/>
    <w:rsid w:val="4BDE3E16"/>
    <w:rsid w:val="4BDF193C"/>
    <w:rsid w:val="4BE07B8E"/>
    <w:rsid w:val="4BE331DB"/>
    <w:rsid w:val="4BE34981"/>
    <w:rsid w:val="4BE43BF5"/>
    <w:rsid w:val="4BE73BDE"/>
    <w:rsid w:val="4BE807F1"/>
    <w:rsid w:val="4BED3696"/>
    <w:rsid w:val="4BEE0910"/>
    <w:rsid w:val="4BEF7586"/>
    <w:rsid w:val="4BF16DF0"/>
    <w:rsid w:val="4BF2341E"/>
    <w:rsid w:val="4BF275D6"/>
    <w:rsid w:val="4BF33D4C"/>
    <w:rsid w:val="4BF519DD"/>
    <w:rsid w:val="4BF90C50"/>
    <w:rsid w:val="4BF94693"/>
    <w:rsid w:val="4BF947AC"/>
    <w:rsid w:val="4BFD121E"/>
    <w:rsid w:val="4BFD388B"/>
    <w:rsid w:val="4BFE6267"/>
    <w:rsid w:val="4C0835E1"/>
    <w:rsid w:val="4C0D54B0"/>
    <w:rsid w:val="4C101AF6"/>
    <w:rsid w:val="4C110813"/>
    <w:rsid w:val="4C1213DC"/>
    <w:rsid w:val="4C146A9D"/>
    <w:rsid w:val="4C196BFC"/>
    <w:rsid w:val="4C1A6D24"/>
    <w:rsid w:val="4C1A7FB7"/>
    <w:rsid w:val="4C1B2975"/>
    <w:rsid w:val="4C1C049B"/>
    <w:rsid w:val="4C215AB1"/>
    <w:rsid w:val="4C222CC4"/>
    <w:rsid w:val="4C2323E3"/>
    <w:rsid w:val="4C26756B"/>
    <w:rsid w:val="4C2D2900"/>
    <w:rsid w:val="4C2F6420"/>
    <w:rsid w:val="4C3264A0"/>
    <w:rsid w:val="4C343A36"/>
    <w:rsid w:val="4C3B583D"/>
    <w:rsid w:val="4C3E5CAD"/>
    <w:rsid w:val="4C4579F1"/>
    <w:rsid w:val="4C4A5008"/>
    <w:rsid w:val="4C4F1702"/>
    <w:rsid w:val="4C4F6AC2"/>
    <w:rsid w:val="4C5244BF"/>
    <w:rsid w:val="4C547C35"/>
    <w:rsid w:val="4C567E51"/>
    <w:rsid w:val="4C5B2063"/>
    <w:rsid w:val="4C5B7215"/>
    <w:rsid w:val="4C5C5BEE"/>
    <w:rsid w:val="4C5D11DF"/>
    <w:rsid w:val="4C5D5CF6"/>
    <w:rsid w:val="4C5E3D85"/>
    <w:rsid w:val="4C612351"/>
    <w:rsid w:val="4C6164AB"/>
    <w:rsid w:val="4C6448F0"/>
    <w:rsid w:val="4C650094"/>
    <w:rsid w:val="4C6562E6"/>
    <w:rsid w:val="4C673E0C"/>
    <w:rsid w:val="4C6C1422"/>
    <w:rsid w:val="4C6C5B06"/>
    <w:rsid w:val="4C6D56DD"/>
    <w:rsid w:val="4C6F22E2"/>
    <w:rsid w:val="4C740884"/>
    <w:rsid w:val="4C757E0B"/>
    <w:rsid w:val="4C79261D"/>
    <w:rsid w:val="4C8449BE"/>
    <w:rsid w:val="4C871DB8"/>
    <w:rsid w:val="4C873C01"/>
    <w:rsid w:val="4C874E75"/>
    <w:rsid w:val="4C891FD4"/>
    <w:rsid w:val="4C8A7AFA"/>
    <w:rsid w:val="4C8B224F"/>
    <w:rsid w:val="4C8D1398"/>
    <w:rsid w:val="4C8D6530"/>
    <w:rsid w:val="4C8F32D7"/>
    <w:rsid w:val="4C9044C7"/>
    <w:rsid w:val="4C92600E"/>
    <w:rsid w:val="4C985108"/>
    <w:rsid w:val="4CA02E7A"/>
    <w:rsid w:val="4CA02FE5"/>
    <w:rsid w:val="4CA23096"/>
    <w:rsid w:val="4CA41E94"/>
    <w:rsid w:val="4CA64A8D"/>
    <w:rsid w:val="4CAB764B"/>
    <w:rsid w:val="4CAC7C0B"/>
    <w:rsid w:val="4CB038E4"/>
    <w:rsid w:val="4CB132D9"/>
    <w:rsid w:val="4CB2143B"/>
    <w:rsid w:val="4CB56F38"/>
    <w:rsid w:val="4CB61830"/>
    <w:rsid w:val="4CB83E99"/>
    <w:rsid w:val="4CB9218D"/>
    <w:rsid w:val="4CBD57DA"/>
    <w:rsid w:val="4CC0735A"/>
    <w:rsid w:val="4CC44C05"/>
    <w:rsid w:val="4CC57F8B"/>
    <w:rsid w:val="4CC72F10"/>
    <w:rsid w:val="4CD15729"/>
    <w:rsid w:val="4CD44FFC"/>
    <w:rsid w:val="4CDE7F47"/>
    <w:rsid w:val="4CE1674C"/>
    <w:rsid w:val="4CE3088A"/>
    <w:rsid w:val="4CE55FF1"/>
    <w:rsid w:val="4CE76CFB"/>
    <w:rsid w:val="4CE94821"/>
    <w:rsid w:val="4CF0322E"/>
    <w:rsid w:val="4CF17B79"/>
    <w:rsid w:val="4CF3569F"/>
    <w:rsid w:val="4CF50A7A"/>
    <w:rsid w:val="4CF5583A"/>
    <w:rsid w:val="4CF65F33"/>
    <w:rsid w:val="4CF84A64"/>
    <w:rsid w:val="4CF94CB4"/>
    <w:rsid w:val="4CFA0DB7"/>
    <w:rsid w:val="4CFA4C80"/>
    <w:rsid w:val="4CFC484E"/>
    <w:rsid w:val="4CFD651E"/>
    <w:rsid w:val="4CFE5BBD"/>
    <w:rsid w:val="4D007DBC"/>
    <w:rsid w:val="4D0168EF"/>
    <w:rsid w:val="4D0A4797"/>
    <w:rsid w:val="4D0B05B3"/>
    <w:rsid w:val="4D0C075F"/>
    <w:rsid w:val="4D1105A7"/>
    <w:rsid w:val="4D113D78"/>
    <w:rsid w:val="4D140883"/>
    <w:rsid w:val="4D144003"/>
    <w:rsid w:val="4D16313C"/>
    <w:rsid w:val="4D17076E"/>
    <w:rsid w:val="4D177460"/>
    <w:rsid w:val="4D197893"/>
    <w:rsid w:val="4D265AB4"/>
    <w:rsid w:val="4D2770F7"/>
    <w:rsid w:val="4D2951F8"/>
    <w:rsid w:val="4D2F4F07"/>
    <w:rsid w:val="4D322D6F"/>
    <w:rsid w:val="4D333CEE"/>
    <w:rsid w:val="4D340D0A"/>
    <w:rsid w:val="4D350250"/>
    <w:rsid w:val="4D3516F8"/>
    <w:rsid w:val="4D354E86"/>
    <w:rsid w:val="4D361FA8"/>
    <w:rsid w:val="4D3658EE"/>
    <w:rsid w:val="4D382228"/>
    <w:rsid w:val="4D386AA9"/>
    <w:rsid w:val="4D396B4E"/>
    <w:rsid w:val="4D424576"/>
    <w:rsid w:val="4D42778C"/>
    <w:rsid w:val="4D4952BF"/>
    <w:rsid w:val="4D4B54DB"/>
    <w:rsid w:val="4D4B561A"/>
    <w:rsid w:val="4D4C3002"/>
    <w:rsid w:val="4D4C3153"/>
    <w:rsid w:val="4D53613E"/>
    <w:rsid w:val="4D553D98"/>
    <w:rsid w:val="4D571EB3"/>
    <w:rsid w:val="4D571ED4"/>
    <w:rsid w:val="4D5C1497"/>
    <w:rsid w:val="4D5F2D35"/>
    <w:rsid w:val="4D5F5A0E"/>
    <w:rsid w:val="4D610217"/>
    <w:rsid w:val="4D626381"/>
    <w:rsid w:val="4D6408E7"/>
    <w:rsid w:val="4D697710"/>
    <w:rsid w:val="4D6D36A4"/>
    <w:rsid w:val="4D6E11CA"/>
    <w:rsid w:val="4D710D8B"/>
    <w:rsid w:val="4D747043"/>
    <w:rsid w:val="4D786E3D"/>
    <w:rsid w:val="4D7E2762"/>
    <w:rsid w:val="4D8046B5"/>
    <w:rsid w:val="4D806282"/>
    <w:rsid w:val="4D812AEE"/>
    <w:rsid w:val="4D84279B"/>
    <w:rsid w:val="4D862070"/>
    <w:rsid w:val="4D8E6C2B"/>
    <w:rsid w:val="4D8F77C9"/>
    <w:rsid w:val="4D92310A"/>
    <w:rsid w:val="4D93478D"/>
    <w:rsid w:val="4D9A32B2"/>
    <w:rsid w:val="4DA3430D"/>
    <w:rsid w:val="4DAB5F7A"/>
    <w:rsid w:val="4DB278E7"/>
    <w:rsid w:val="4DB35E16"/>
    <w:rsid w:val="4DB37B04"/>
    <w:rsid w:val="4DB52955"/>
    <w:rsid w:val="4DB75DA7"/>
    <w:rsid w:val="4DBC7549"/>
    <w:rsid w:val="4DBE3EFF"/>
    <w:rsid w:val="4DC14ADD"/>
    <w:rsid w:val="4DC25BEF"/>
    <w:rsid w:val="4DC42378"/>
    <w:rsid w:val="4DC8586B"/>
    <w:rsid w:val="4DC86B2C"/>
    <w:rsid w:val="4DCA32CE"/>
    <w:rsid w:val="4DCB4E5A"/>
    <w:rsid w:val="4DCE3A17"/>
    <w:rsid w:val="4DD202C0"/>
    <w:rsid w:val="4DD31AA1"/>
    <w:rsid w:val="4DD5524B"/>
    <w:rsid w:val="4DD76D6F"/>
    <w:rsid w:val="4DD828A2"/>
    <w:rsid w:val="4DD92AE7"/>
    <w:rsid w:val="4DDC4386"/>
    <w:rsid w:val="4DDD3C5A"/>
    <w:rsid w:val="4DE42B2B"/>
    <w:rsid w:val="4DE72856"/>
    <w:rsid w:val="4DE75BA8"/>
    <w:rsid w:val="4DE8173E"/>
    <w:rsid w:val="4DEE1357"/>
    <w:rsid w:val="4DEE6D0F"/>
    <w:rsid w:val="4DF23BA9"/>
    <w:rsid w:val="4DF5539E"/>
    <w:rsid w:val="4DF82FB8"/>
    <w:rsid w:val="4DF94F37"/>
    <w:rsid w:val="4DFC625E"/>
    <w:rsid w:val="4DFC67D6"/>
    <w:rsid w:val="4DFE43F3"/>
    <w:rsid w:val="4E0474A5"/>
    <w:rsid w:val="4E0557BA"/>
    <w:rsid w:val="4E06686F"/>
    <w:rsid w:val="4E083A03"/>
    <w:rsid w:val="4E0A1EFF"/>
    <w:rsid w:val="4E0B54DF"/>
    <w:rsid w:val="4E0C07CA"/>
    <w:rsid w:val="4E0C7695"/>
    <w:rsid w:val="4E0D0668"/>
    <w:rsid w:val="4E11454D"/>
    <w:rsid w:val="4E12486C"/>
    <w:rsid w:val="4E131916"/>
    <w:rsid w:val="4E140C20"/>
    <w:rsid w:val="4E173610"/>
    <w:rsid w:val="4E174E16"/>
    <w:rsid w:val="4E181113"/>
    <w:rsid w:val="4E1B1754"/>
    <w:rsid w:val="4E1E499E"/>
    <w:rsid w:val="4E1F52F5"/>
    <w:rsid w:val="4E1F6CD9"/>
    <w:rsid w:val="4E2125F7"/>
    <w:rsid w:val="4E235B10"/>
    <w:rsid w:val="4E2E0F86"/>
    <w:rsid w:val="4E351802"/>
    <w:rsid w:val="4E357BA5"/>
    <w:rsid w:val="4E3B6CCF"/>
    <w:rsid w:val="4E473EF5"/>
    <w:rsid w:val="4E483F59"/>
    <w:rsid w:val="4E492C2F"/>
    <w:rsid w:val="4E497D56"/>
    <w:rsid w:val="4E4A78AA"/>
    <w:rsid w:val="4E4F71DE"/>
    <w:rsid w:val="4E4F782C"/>
    <w:rsid w:val="4E502893"/>
    <w:rsid w:val="4E5171C9"/>
    <w:rsid w:val="4E54216E"/>
    <w:rsid w:val="4E547E10"/>
    <w:rsid w:val="4E547F03"/>
    <w:rsid w:val="4E5959D6"/>
    <w:rsid w:val="4E597CD0"/>
    <w:rsid w:val="4E5B34FC"/>
    <w:rsid w:val="4E5E2FEC"/>
    <w:rsid w:val="4E604FB7"/>
    <w:rsid w:val="4E69016F"/>
    <w:rsid w:val="4E6D666F"/>
    <w:rsid w:val="4E6E5B4F"/>
    <w:rsid w:val="4E706072"/>
    <w:rsid w:val="4E7068A3"/>
    <w:rsid w:val="4E740A62"/>
    <w:rsid w:val="4E744929"/>
    <w:rsid w:val="4E762ABE"/>
    <w:rsid w:val="4E772229"/>
    <w:rsid w:val="4E796078"/>
    <w:rsid w:val="4E80373E"/>
    <w:rsid w:val="4E811169"/>
    <w:rsid w:val="4E8642F1"/>
    <w:rsid w:val="4E883348"/>
    <w:rsid w:val="4E8C7B5A"/>
    <w:rsid w:val="4E8D38D2"/>
    <w:rsid w:val="4E8F22FA"/>
    <w:rsid w:val="4E90459E"/>
    <w:rsid w:val="4E915170"/>
    <w:rsid w:val="4E922C96"/>
    <w:rsid w:val="4E9407BC"/>
    <w:rsid w:val="4E983AB9"/>
    <w:rsid w:val="4E983EB6"/>
    <w:rsid w:val="4E992277"/>
    <w:rsid w:val="4E9F6D96"/>
    <w:rsid w:val="4EA2112B"/>
    <w:rsid w:val="4EA50C1B"/>
    <w:rsid w:val="4EA57992"/>
    <w:rsid w:val="4EA62018"/>
    <w:rsid w:val="4EA74993"/>
    <w:rsid w:val="4EA9490A"/>
    <w:rsid w:val="4EAB459D"/>
    <w:rsid w:val="4EAF1726"/>
    <w:rsid w:val="4EAF55F6"/>
    <w:rsid w:val="4EB270FD"/>
    <w:rsid w:val="4EB70C58"/>
    <w:rsid w:val="4EBA0473"/>
    <w:rsid w:val="4EBA1B2E"/>
    <w:rsid w:val="4EBA5425"/>
    <w:rsid w:val="4EBE305F"/>
    <w:rsid w:val="4EC05A55"/>
    <w:rsid w:val="4EC156F9"/>
    <w:rsid w:val="4EC2357B"/>
    <w:rsid w:val="4EC45545"/>
    <w:rsid w:val="4EC54E1A"/>
    <w:rsid w:val="4EC56BC8"/>
    <w:rsid w:val="4EC815A0"/>
    <w:rsid w:val="4EC850ED"/>
    <w:rsid w:val="4ECC5CC5"/>
    <w:rsid w:val="4ED0364D"/>
    <w:rsid w:val="4ED20CB0"/>
    <w:rsid w:val="4ED2354B"/>
    <w:rsid w:val="4ED4505D"/>
    <w:rsid w:val="4ED70A9E"/>
    <w:rsid w:val="4ED81F55"/>
    <w:rsid w:val="4ED952B1"/>
    <w:rsid w:val="4EDA1AC9"/>
    <w:rsid w:val="4EDE2348"/>
    <w:rsid w:val="4EDE5EDB"/>
    <w:rsid w:val="4EDE7C89"/>
    <w:rsid w:val="4EE54A46"/>
    <w:rsid w:val="4EE93C23"/>
    <w:rsid w:val="4EEC23A6"/>
    <w:rsid w:val="4EEE25C2"/>
    <w:rsid w:val="4EF37BD9"/>
    <w:rsid w:val="4EF456FF"/>
    <w:rsid w:val="4EF94AC3"/>
    <w:rsid w:val="4F005E52"/>
    <w:rsid w:val="4F016F2F"/>
    <w:rsid w:val="4F073023"/>
    <w:rsid w:val="4F0C2A48"/>
    <w:rsid w:val="4F0C78AF"/>
    <w:rsid w:val="4F0F3D24"/>
    <w:rsid w:val="4F111C86"/>
    <w:rsid w:val="4F123174"/>
    <w:rsid w:val="4F155DA1"/>
    <w:rsid w:val="4F16284A"/>
    <w:rsid w:val="4F1777EB"/>
    <w:rsid w:val="4F19773A"/>
    <w:rsid w:val="4F1A1801"/>
    <w:rsid w:val="4F1D4C56"/>
    <w:rsid w:val="4F1F05ED"/>
    <w:rsid w:val="4F1F277C"/>
    <w:rsid w:val="4F2205E8"/>
    <w:rsid w:val="4F232515"/>
    <w:rsid w:val="4F2411C2"/>
    <w:rsid w:val="4F261597"/>
    <w:rsid w:val="4F275EA2"/>
    <w:rsid w:val="4F2A7373"/>
    <w:rsid w:val="4F2B115B"/>
    <w:rsid w:val="4F2E17C4"/>
    <w:rsid w:val="4F2E35ED"/>
    <w:rsid w:val="4F2F01CE"/>
    <w:rsid w:val="4F325744"/>
    <w:rsid w:val="4F330A1E"/>
    <w:rsid w:val="4F42290E"/>
    <w:rsid w:val="4F443F90"/>
    <w:rsid w:val="4F473A81"/>
    <w:rsid w:val="4F4768DE"/>
    <w:rsid w:val="4F481DB3"/>
    <w:rsid w:val="4F4B1105"/>
    <w:rsid w:val="4F4C553B"/>
    <w:rsid w:val="4F4F3164"/>
    <w:rsid w:val="4F515BD5"/>
    <w:rsid w:val="4F542EE9"/>
    <w:rsid w:val="4F5435BF"/>
    <w:rsid w:val="4F554A5A"/>
    <w:rsid w:val="4F5776DC"/>
    <w:rsid w:val="4F5C097D"/>
    <w:rsid w:val="4F5C1957"/>
    <w:rsid w:val="4F5F701C"/>
    <w:rsid w:val="4F6051EF"/>
    <w:rsid w:val="4F635BE7"/>
    <w:rsid w:val="4F6572FD"/>
    <w:rsid w:val="4F676F3B"/>
    <w:rsid w:val="4F6C798B"/>
    <w:rsid w:val="4F732AC8"/>
    <w:rsid w:val="4F734876"/>
    <w:rsid w:val="4F736D24"/>
    <w:rsid w:val="4F756840"/>
    <w:rsid w:val="4F7776AB"/>
    <w:rsid w:val="4F7A1943"/>
    <w:rsid w:val="4F815A58"/>
    <w:rsid w:val="4F871DD2"/>
    <w:rsid w:val="4F882826"/>
    <w:rsid w:val="4F8847C5"/>
    <w:rsid w:val="4F8D1B06"/>
    <w:rsid w:val="4F8D589F"/>
    <w:rsid w:val="4F913007"/>
    <w:rsid w:val="4F914820"/>
    <w:rsid w:val="4F936CC6"/>
    <w:rsid w:val="4F9473F5"/>
    <w:rsid w:val="4F966803"/>
    <w:rsid w:val="4F980780"/>
    <w:rsid w:val="4F9B059D"/>
    <w:rsid w:val="4F9B28C6"/>
    <w:rsid w:val="4F9C763A"/>
    <w:rsid w:val="4FA10DBA"/>
    <w:rsid w:val="4FA22128"/>
    <w:rsid w:val="4FA2515B"/>
    <w:rsid w:val="4FA25BD4"/>
    <w:rsid w:val="4FA47125"/>
    <w:rsid w:val="4FA93B6D"/>
    <w:rsid w:val="4FAA2BC4"/>
    <w:rsid w:val="4FAC7D88"/>
    <w:rsid w:val="4FAF03DD"/>
    <w:rsid w:val="4FB1539E"/>
    <w:rsid w:val="4FB235F0"/>
    <w:rsid w:val="4FB955B7"/>
    <w:rsid w:val="4FBC37F8"/>
    <w:rsid w:val="4FBE01E7"/>
    <w:rsid w:val="4FC0230D"/>
    <w:rsid w:val="4FC11A85"/>
    <w:rsid w:val="4FC652ED"/>
    <w:rsid w:val="4FC861DA"/>
    <w:rsid w:val="4FD03A76"/>
    <w:rsid w:val="4FD35314"/>
    <w:rsid w:val="4FD75CE1"/>
    <w:rsid w:val="4FDA185F"/>
    <w:rsid w:val="4FDA48F5"/>
    <w:rsid w:val="4FE45773"/>
    <w:rsid w:val="4FE47521"/>
    <w:rsid w:val="4FE516B1"/>
    <w:rsid w:val="4FE5311A"/>
    <w:rsid w:val="4FE94B38"/>
    <w:rsid w:val="4FEC4A24"/>
    <w:rsid w:val="4FEF058B"/>
    <w:rsid w:val="4FF57980"/>
    <w:rsid w:val="4FF8643C"/>
    <w:rsid w:val="4FF9121F"/>
    <w:rsid w:val="4FFD58F5"/>
    <w:rsid w:val="4FFE54CB"/>
    <w:rsid w:val="4FFF262E"/>
    <w:rsid w:val="50010825"/>
    <w:rsid w:val="50011E81"/>
    <w:rsid w:val="50067C12"/>
    <w:rsid w:val="50092637"/>
    <w:rsid w:val="50094B96"/>
    <w:rsid w:val="500A342C"/>
    <w:rsid w:val="500F211F"/>
    <w:rsid w:val="50100316"/>
    <w:rsid w:val="501222E0"/>
    <w:rsid w:val="50131BB5"/>
    <w:rsid w:val="50153B73"/>
    <w:rsid w:val="501549F6"/>
    <w:rsid w:val="501A1195"/>
    <w:rsid w:val="501B1E1C"/>
    <w:rsid w:val="501E0C85"/>
    <w:rsid w:val="50212524"/>
    <w:rsid w:val="502757D6"/>
    <w:rsid w:val="502B0F71"/>
    <w:rsid w:val="502B5150"/>
    <w:rsid w:val="502D2C76"/>
    <w:rsid w:val="502E6984"/>
    <w:rsid w:val="50314CBA"/>
    <w:rsid w:val="50394DF5"/>
    <w:rsid w:val="503A35E5"/>
    <w:rsid w:val="503A61CA"/>
    <w:rsid w:val="503F0BFC"/>
    <w:rsid w:val="504A3AF3"/>
    <w:rsid w:val="504E2060"/>
    <w:rsid w:val="504F47C8"/>
    <w:rsid w:val="505038A9"/>
    <w:rsid w:val="505C17AE"/>
    <w:rsid w:val="505D494A"/>
    <w:rsid w:val="505E1082"/>
    <w:rsid w:val="505E5526"/>
    <w:rsid w:val="50611571"/>
    <w:rsid w:val="50655046"/>
    <w:rsid w:val="506602B6"/>
    <w:rsid w:val="506858AC"/>
    <w:rsid w:val="506F14E1"/>
    <w:rsid w:val="50700D9B"/>
    <w:rsid w:val="50707007"/>
    <w:rsid w:val="507A0E90"/>
    <w:rsid w:val="507C3BFE"/>
    <w:rsid w:val="50815C45"/>
    <w:rsid w:val="5082058D"/>
    <w:rsid w:val="50822E69"/>
    <w:rsid w:val="50836E6F"/>
    <w:rsid w:val="50845DD3"/>
    <w:rsid w:val="50857ECE"/>
    <w:rsid w:val="508807F5"/>
    <w:rsid w:val="50890FCE"/>
    <w:rsid w:val="508A0C46"/>
    <w:rsid w:val="508B2FC8"/>
    <w:rsid w:val="50947199"/>
    <w:rsid w:val="50962F12"/>
    <w:rsid w:val="509947B0"/>
    <w:rsid w:val="509D6FA2"/>
    <w:rsid w:val="509E3B74"/>
    <w:rsid w:val="50A3063C"/>
    <w:rsid w:val="50A6410D"/>
    <w:rsid w:val="50A90D4F"/>
    <w:rsid w:val="50A95B00"/>
    <w:rsid w:val="50AA312A"/>
    <w:rsid w:val="50AD2009"/>
    <w:rsid w:val="50AE1BA0"/>
    <w:rsid w:val="50AF190C"/>
    <w:rsid w:val="50B04181"/>
    <w:rsid w:val="50B05655"/>
    <w:rsid w:val="50B43398"/>
    <w:rsid w:val="50B76522"/>
    <w:rsid w:val="50BA43AB"/>
    <w:rsid w:val="50BD0E26"/>
    <w:rsid w:val="50C04F20"/>
    <w:rsid w:val="50C51890"/>
    <w:rsid w:val="50C730CB"/>
    <w:rsid w:val="50C82040"/>
    <w:rsid w:val="50C92ED7"/>
    <w:rsid w:val="50D06A18"/>
    <w:rsid w:val="50D15CF8"/>
    <w:rsid w:val="50D21A70"/>
    <w:rsid w:val="50D32F88"/>
    <w:rsid w:val="50D5253D"/>
    <w:rsid w:val="50D6330E"/>
    <w:rsid w:val="50D91050"/>
    <w:rsid w:val="50D94BAC"/>
    <w:rsid w:val="50DC36EE"/>
    <w:rsid w:val="50DE0C95"/>
    <w:rsid w:val="50DE6667"/>
    <w:rsid w:val="50DF5A2E"/>
    <w:rsid w:val="50E53551"/>
    <w:rsid w:val="50E56E5F"/>
    <w:rsid w:val="50E65A7F"/>
    <w:rsid w:val="50E963C7"/>
    <w:rsid w:val="50EA500B"/>
    <w:rsid w:val="50F32112"/>
    <w:rsid w:val="50F33EC0"/>
    <w:rsid w:val="50F844F2"/>
    <w:rsid w:val="50F97C41"/>
    <w:rsid w:val="50FB4F07"/>
    <w:rsid w:val="5100038B"/>
    <w:rsid w:val="51010497"/>
    <w:rsid w:val="51031C29"/>
    <w:rsid w:val="51032CF7"/>
    <w:rsid w:val="51062B64"/>
    <w:rsid w:val="51081672"/>
    <w:rsid w:val="51083E00"/>
    <w:rsid w:val="510C4F82"/>
    <w:rsid w:val="510D2AA8"/>
    <w:rsid w:val="510E277F"/>
    <w:rsid w:val="51120433"/>
    <w:rsid w:val="511356C3"/>
    <w:rsid w:val="51167BAE"/>
    <w:rsid w:val="51183927"/>
    <w:rsid w:val="5119144D"/>
    <w:rsid w:val="511C421F"/>
    <w:rsid w:val="5122044E"/>
    <w:rsid w:val="51232C83"/>
    <w:rsid w:val="51234079"/>
    <w:rsid w:val="51247744"/>
    <w:rsid w:val="51255BEA"/>
    <w:rsid w:val="51261AEB"/>
    <w:rsid w:val="51281690"/>
    <w:rsid w:val="512C2345"/>
    <w:rsid w:val="512E4EF8"/>
    <w:rsid w:val="512F779A"/>
    <w:rsid w:val="51312C3A"/>
    <w:rsid w:val="513149E8"/>
    <w:rsid w:val="5133250E"/>
    <w:rsid w:val="51333B81"/>
    <w:rsid w:val="51365893"/>
    <w:rsid w:val="51365A0B"/>
    <w:rsid w:val="513B025F"/>
    <w:rsid w:val="514021AB"/>
    <w:rsid w:val="51410B03"/>
    <w:rsid w:val="51422751"/>
    <w:rsid w:val="51426BF5"/>
    <w:rsid w:val="514E559A"/>
    <w:rsid w:val="515113D8"/>
    <w:rsid w:val="5151441F"/>
    <w:rsid w:val="51516E38"/>
    <w:rsid w:val="515612DE"/>
    <w:rsid w:val="515B1A65"/>
    <w:rsid w:val="515F4D2C"/>
    <w:rsid w:val="515F57BD"/>
    <w:rsid w:val="51600E2A"/>
    <w:rsid w:val="5163037D"/>
    <w:rsid w:val="516A3A56"/>
    <w:rsid w:val="516D1FD0"/>
    <w:rsid w:val="516E13D9"/>
    <w:rsid w:val="51705511"/>
    <w:rsid w:val="51730B5D"/>
    <w:rsid w:val="517555E9"/>
    <w:rsid w:val="51767E81"/>
    <w:rsid w:val="517B5A7B"/>
    <w:rsid w:val="517C19F7"/>
    <w:rsid w:val="518227AA"/>
    <w:rsid w:val="51823496"/>
    <w:rsid w:val="51823D75"/>
    <w:rsid w:val="51825244"/>
    <w:rsid w:val="51856B1B"/>
    <w:rsid w:val="518739F6"/>
    <w:rsid w:val="51890380"/>
    <w:rsid w:val="518C5952"/>
    <w:rsid w:val="518D7071"/>
    <w:rsid w:val="51904476"/>
    <w:rsid w:val="51956D25"/>
    <w:rsid w:val="51965138"/>
    <w:rsid w:val="519B7972"/>
    <w:rsid w:val="519D6402"/>
    <w:rsid w:val="51A3713D"/>
    <w:rsid w:val="51A46F68"/>
    <w:rsid w:val="51A4737F"/>
    <w:rsid w:val="51A60F78"/>
    <w:rsid w:val="51A74CAA"/>
    <w:rsid w:val="51A82AC2"/>
    <w:rsid w:val="51AA5B34"/>
    <w:rsid w:val="51AB39F2"/>
    <w:rsid w:val="51AC22C1"/>
    <w:rsid w:val="51AC406F"/>
    <w:rsid w:val="51B01DB1"/>
    <w:rsid w:val="51B14F30"/>
    <w:rsid w:val="51B3364F"/>
    <w:rsid w:val="51B538DE"/>
    <w:rsid w:val="51B579BE"/>
    <w:rsid w:val="51B65454"/>
    <w:rsid w:val="51BF5ACB"/>
    <w:rsid w:val="51C146D7"/>
    <w:rsid w:val="51C21AE4"/>
    <w:rsid w:val="51C85C16"/>
    <w:rsid w:val="51C94C21"/>
    <w:rsid w:val="51C952F3"/>
    <w:rsid w:val="51CA5D3D"/>
    <w:rsid w:val="51CD4504"/>
    <w:rsid w:val="51CE5011"/>
    <w:rsid w:val="51D569AB"/>
    <w:rsid w:val="51D66CF6"/>
    <w:rsid w:val="51D84E64"/>
    <w:rsid w:val="51D86B36"/>
    <w:rsid w:val="51DB1687"/>
    <w:rsid w:val="51E14DCF"/>
    <w:rsid w:val="51E22EE9"/>
    <w:rsid w:val="51E245A7"/>
    <w:rsid w:val="51E470AB"/>
    <w:rsid w:val="51E47CAD"/>
    <w:rsid w:val="51E97071"/>
    <w:rsid w:val="51EC49E7"/>
    <w:rsid w:val="51ED6B61"/>
    <w:rsid w:val="51EE4687"/>
    <w:rsid w:val="51EE7D82"/>
    <w:rsid w:val="51F003FF"/>
    <w:rsid w:val="51F16987"/>
    <w:rsid w:val="51F2145C"/>
    <w:rsid w:val="51F37EF0"/>
    <w:rsid w:val="51F40DCF"/>
    <w:rsid w:val="51FB33A5"/>
    <w:rsid w:val="51FD48CA"/>
    <w:rsid w:val="51FE1F11"/>
    <w:rsid w:val="51FF4AE6"/>
    <w:rsid w:val="52020133"/>
    <w:rsid w:val="52036385"/>
    <w:rsid w:val="5204189E"/>
    <w:rsid w:val="5205529E"/>
    <w:rsid w:val="52056084"/>
    <w:rsid w:val="5209326F"/>
    <w:rsid w:val="520A512D"/>
    <w:rsid w:val="520A5BE6"/>
    <w:rsid w:val="520B348B"/>
    <w:rsid w:val="520C64CC"/>
    <w:rsid w:val="520D1DD1"/>
    <w:rsid w:val="52104C64"/>
    <w:rsid w:val="5212673E"/>
    <w:rsid w:val="521272BF"/>
    <w:rsid w:val="52145AA0"/>
    <w:rsid w:val="52154AA4"/>
    <w:rsid w:val="52167617"/>
    <w:rsid w:val="52171E30"/>
    <w:rsid w:val="52187956"/>
    <w:rsid w:val="52195BA8"/>
    <w:rsid w:val="521B034E"/>
    <w:rsid w:val="521C71A6"/>
    <w:rsid w:val="521D4F6D"/>
    <w:rsid w:val="52222C8A"/>
    <w:rsid w:val="522328C3"/>
    <w:rsid w:val="522E5507"/>
    <w:rsid w:val="522F68D9"/>
    <w:rsid w:val="5233653E"/>
    <w:rsid w:val="52374081"/>
    <w:rsid w:val="5237602E"/>
    <w:rsid w:val="5238328E"/>
    <w:rsid w:val="52383CD0"/>
    <w:rsid w:val="523C2994"/>
    <w:rsid w:val="523D612D"/>
    <w:rsid w:val="523D7F7E"/>
    <w:rsid w:val="523E0372"/>
    <w:rsid w:val="523E575D"/>
    <w:rsid w:val="523F3135"/>
    <w:rsid w:val="524349D3"/>
    <w:rsid w:val="52434EB9"/>
    <w:rsid w:val="5244074B"/>
    <w:rsid w:val="5245353E"/>
    <w:rsid w:val="52466141"/>
    <w:rsid w:val="524B1ADA"/>
    <w:rsid w:val="524B35FA"/>
    <w:rsid w:val="524F5CF2"/>
    <w:rsid w:val="5257047F"/>
    <w:rsid w:val="525A1D1D"/>
    <w:rsid w:val="525A7F6F"/>
    <w:rsid w:val="525C3CE7"/>
    <w:rsid w:val="525E0C42"/>
    <w:rsid w:val="525E265C"/>
    <w:rsid w:val="52632DAE"/>
    <w:rsid w:val="52662470"/>
    <w:rsid w:val="5266632E"/>
    <w:rsid w:val="52684B1B"/>
    <w:rsid w:val="526850F9"/>
    <w:rsid w:val="526C0611"/>
    <w:rsid w:val="526F3A1A"/>
    <w:rsid w:val="527436A9"/>
    <w:rsid w:val="5276495F"/>
    <w:rsid w:val="52782939"/>
    <w:rsid w:val="527C1C93"/>
    <w:rsid w:val="527F3531"/>
    <w:rsid w:val="52803BEA"/>
    <w:rsid w:val="52816712"/>
    <w:rsid w:val="52847693"/>
    <w:rsid w:val="52860D64"/>
    <w:rsid w:val="52870720"/>
    <w:rsid w:val="528A52DB"/>
    <w:rsid w:val="528D3EA0"/>
    <w:rsid w:val="5290265F"/>
    <w:rsid w:val="5292702A"/>
    <w:rsid w:val="529673ED"/>
    <w:rsid w:val="52994D0A"/>
    <w:rsid w:val="529B6283"/>
    <w:rsid w:val="52A10FF1"/>
    <w:rsid w:val="52A24E17"/>
    <w:rsid w:val="52A65B43"/>
    <w:rsid w:val="52A82A20"/>
    <w:rsid w:val="52A82A88"/>
    <w:rsid w:val="52A94916"/>
    <w:rsid w:val="52A94B7A"/>
    <w:rsid w:val="52AA4A52"/>
    <w:rsid w:val="52AA6800"/>
    <w:rsid w:val="52AE3CC5"/>
    <w:rsid w:val="52B30BA8"/>
    <w:rsid w:val="52B633F7"/>
    <w:rsid w:val="52B7716F"/>
    <w:rsid w:val="52B85B7C"/>
    <w:rsid w:val="52BB0A0D"/>
    <w:rsid w:val="52BB569C"/>
    <w:rsid w:val="52BC6332"/>
    <w:rsid w:val="52BF7DD2"/>
    <w:rsid w:val="52C050CC"/>
    <w:rsid w:val="52C20BBC"/>
    <w:rsid w:val="52C54F5B"/>
    <w:rsid w:val="52C8216A"/>
    <w:rsid w:val="52C94B60"/>
    <w:rsid w:val="52CB49C9"/>
    <w:rsid w:val="52CE57B0"/>
    <w:rsid w:val="52CF270B"/>
    <w:rsid w:val="52D32F70"/>
    <w:rsid w:val="52D3614D"/>
    <w:rsid w:val="52D51FB4"/>
    <w:rsid w:val="52D733C5"/>
    <w:rsid w:val="52D7511B"/>
    <w:rsid w:val="52D852D5"/>
    <w:rsid w:val="52DA14B6"/>
    <w:rsid w:val="52DA30C8"/>
    <w:rsid w:val="52DA7D87"/>
    <w:rsid w:val="52E00474"/>
    <w:rsid w:val="52E009CF"/>
    <w:rsid w:val="52E46A9D"/>
    <w:rsid w:val="52E65221"/>
    <w:rsid w:val="52E7791F"/>
    <w:rsid w:val="52E85001"/>
    <w:rsid w:val="52E85F59"/>
    <w:rsid w:val="52EB05A3"/>
    <w:rsid w:val="52EE35B7"/>
    <w:rsid w:val="52F14805"/>
    <w:rsid w:val="52F60C57"/>
    <w:rsid w:val="52F61A46"/>
    <w:rsid w:val="52F83A10"/>
    <w:rsid w:val="52FC728D"/>
    <w:rsid w:val="52FF7722"/>
    <w:rsid w:val="53033AEF"/>
    <w:rsid w:val="530B202A"/>
    <w:rsid w:val="531121DD"/>
    <w:rsid w:val="531445D8"/>
    <w:rsid w:val="53144943"/>
    <w:rsid w:val="531545BA"/>
    <w:rsid w:val="53157440"/>
    <w:rsid w:val="53163259"/>
    <w:rsid w:val="531904F4"/>
    <w:rsid w:val="531935A4"/>
    <w:rsid w:val="531B2907"/>
    <w:rsid w:val="531D3476"/>
    <w:rsid w:val="53235031"/>
    <w:rsid w:val="53244E6E"/>
    <w:rsid w:val="53255020"/>
    <w:rsid w:val="532A7941"/>
    <w:rsid w:val="532F2BCB"/>
    <w:rsid w:val="53302860"/>
    <w:rsid w:val="53310CD0"/>
    <w:rsid w:val="53316F22"/>
    <w:rsid w:val="53334193"/>
    <w:rsid w:val="53336043"/>
    <w:rsid w:val="53344F23"/>
    <w:rsid w:val="53373650"/>
    <w:rsid w:val="533802B0"/>
    <w:rsid w:val="533A5109"/>
    <w:rsid w:val="533B1B4E"/>
    <w:rsid w:val="533B38FC"/>
    <w:rsid w:val="533D2B81"/>
    <w:rsid w:val="533E31D8"/>
    <w:rsid w:val="53407165"/>
    <w:rsid w:val="5343020F"/>
    <w:rsid w:val="53433C00"/>
    <w:rsid w:val="53446C55"/>
    <w:rsid w:val="53484FFE"/>
    <w:rsid w:val="534D53DE"/>
    <w:rsid w:val="534E2354"/>
    <w:rsid w:val="535202BB"/>
    <w:rsid w:val="53583439"/>
    <w:rsid w:val="53596AA9"/>
    <w:rsid w:val="535B5D4C"/>
    <w:rsid w:val="53630F4A"/>
    <w:rsid w:val="53632AEA"/>
    <w:rsid w:val="536410A5"/>
    <w:rsid w:val="536863BA"/>
    <w:rsid w:val="53691198"/>
    <w:rsid w:val="536D782E"/>
    <w:rsid w:val="536E11E4"/>
    <w:rsid w:val="536F17F8"/>
    <w:rsid w:val="536F35A6"/>
    <w:rsid w:val="53753A92"/>
    <w:rsid w:val="53790872"/>
    <w:rsid w:val="537A2677"/>
    <w:rsid w:val="537A4EDB"/>
    <w:rsid w:val="537B63EF"/>
    <w:rsid w:val="537F5EDF"/>
    <w:rsid w:val="53837051"/>
    <w:rsid w:val="53860CB4"/>
    <w:rsid w:val="53887714"/>
    <w:rsid w:val="538B6799"/>
    <w:rsid w:val="538E0895"/>
    <w:rsid w:val="538E6122"/>
    <w:rsid w:val="538E7ED0"/>
    <w:rsid w:val="538E7F4B"/>
    <w:rsid w:val="53921E55"/>
    <w:rsid w:val="539574B0"/>
    <w:rsid w:val="53957C99"/>
    <w:rsid w:val="53980D4F"/>
    <w:rsid w:val="53984242"/>
    <w:rsid w:val="53987EBC"/>
    <w:rsid w:val="539A6875"/>
    <w:rsid w:val="539B3EAD"/>
    <w:rsid w:val="539B439B"/>
    <w:rsid w:val="539E5F59"/>
    <w:rsid w:val="53A005FF"/>
    <w:rsid w:val="53A2777C"/>
    <w:rsid w:val="53A476F3"/>
    <w:rsid w:val="53A54518"/>
    <w:rsid w:val="53A54DFC"/>
    <w:rsid w:val="53A72D40"/>
    <w:rsid w:val="53A95523"/>
    <w:rsid w:val="53AA2830"/>
    <w:rsid w:val="53AF0986"/>
    <w:rsid w:val="53B22A42"/>
    <w:rsid w:val="53B36CF6"/>
    <w:rsid w:val="53B92A73"/>
    <w:rsid w:val="53BA288A"/>
    <w:rsid w:val="53BA5CF6"/>
    <w:rsid w:val="53BC2CEE"/>
    <w:rsid w:val="53BD33B0"/>
    <w:rsid w:val="53C01CBF"/>
    <w:rsid w:val="53C11BA9"/>
    <w:rsid w:val="53C2401E"/>
    <w:rsid w:val="53C439C2"/>
    <w:rsid w:val="53C5766A"/>
    <w:rsid w:val="53CA4C80"/>
    <w:rsid w:val="53CC09F8"/>
    <w:rsid w:val="53CC67DD"/>
    <w:rsid w:val="53D004E8"/>
    <w:rsid w:val="53D0673A"/>
    <w:rsid w:val="53D068E5"/>
    <w:rsid w:val="53D07000"/>
    <w:rsid w:val="53D61877"/>
    <w:rsid w:val="53DE648D"/>
    <w:rsid w:val="53DF697E"/>
    <w:rsid w:val="53E144E0"/>
    <w:rsid w:val="53E45D42"/>
    <w:rsid w:val="53E47AF0"/>
    <w:rsid w:val="53E63439"/>
    <w:rsid w:val="53E871F7"/>
    <w:rsid w:val="53EC1547"/>
    <w:rsid w:val="53EF74F1"/>
    <w:rsid w:val="53F02939"/>
    <w:rsid w:val="53F1045F"/>
    <w:rsid w:val="53F35F85"/>
    <w:rsid w:val="53F51CFD"/>
    <w:rsid w:val="53FD4338"/>
    <w:rsid w:val="54040192"/>
    <w:rsid w:val="54041F40"/>
    <w:rsid w:val="5404539A"/>
    <w:rsid w:val="5406153F"/>
    <w:rsid w:val="540B7773"/>
    <w:rsid w:val="54106B37"/>
    <w:rsid w:val="54107D69"/>
    <w:rsid w:val="5411531E"/>
    <w:rsid w:val="54162496"/>
    <w:rsid w:val="54177EC5"/>
    <w:rsid w:val="54181E8F"/>
    <w:rsid w:val="54183C3E"/>
    <w:rsid w:val="54186242"/>
    <w:rsid w:val="54206D62"/>
    <w:rsid w:val="54233E40"/>
    <w:rsid w:val="5428123A"/>
    <w:rsid w:val="542D1C54"/>
    <w:rsid w:val="54372316"/>
    <w:rsid w:val="543A021F"/>
    <w:rsid w:val="543A42B8"/>
    <w:rsid w:val="543B1A7F"/>
    <w:rsid w:val="543B6630"/>
    <w:rsid w:val="543C72FE"/>
    <w:rsid w:val="543D2C88"/>
    <w:rsid w:val="543D36A4"/>
    <w:rsid w:val="54413194"/>
    <w:rsid w:val="544206E5"/>
    <w:rsid w:val="54427E9B"/>
    <w:rsid w:val="54446957"/>
    <w:rsid w:val="54481CD5"/>
    <w:rsid w:val="54492049"/>
    <w:rsid w:val="544B17E7"/>
    <w:rsid w:val="5451591F"/>
    <w:rsid w:val="54564027"/>
    <w:rsid w:val="54596730"/>
    <w:rsid w:val="545B7032"/>
    <w:rsid w:val="545C3B2A"/>
    <w:rsid w:val="545E7CBA"/>
    <w:rsid w:val="54613885"/>
    <w:rsid w:val="54646E83"/>
    <w:rsid w:val="54667951"/>
    <w:rsid w:val="546D122E"/>
    <w:rsid w:val="546F6362"/>
    <w:rsid w:val="546F75AD"/>
    <w:rsid w:val="54720882"/>
    <w:rsid w:val="54722609"/>
    <w:rsid w:val="54724115"/>
    <w:rsid w:val="54755FF5"/>
    <w:rsid w:val="54796350"/>
    <w:rsid w:val="54796D38"/>
    <w:rsid w:val="547A48F8"/>
    <w:rsid w:val="547B7631"/>
    <w:rsid w:val="547E0169"/>
    <w:rsid w:val="547E068A"/>
    <w:rsid w:val="547E6196"/>
    <w:rsid w:val="547F7572"/>
    <w:rsid w:val="548B440F"/>
    <w:rsid w:val="548D3B82"/>
    <w:rsid w:val="548D462B"/>
    <w:rsid w:val="54905306"/>
    <w:rsid w:val="54907C6F"/>
    <w:rsid w:val="54932F49"/>
    <w:rsid w:val="5495528E"/>
    <w:rsid w:val="54997E13"/>
    <w:rsid w:val="549A28A4"/>
    <w:rsid w:val="549A3F89"/>
    <w:rsid w:val="549B03E5"/>
    <w:rsid w:val="549C41C1"/>
    <w:rsid w:val="549C661D"/>
    <w:rsid w:val="54A454D1"/>
    <w:rsid w:val="54A83213"/>
    <w:rsid w:val="54A92AE8"/>
    <w:rsid w:val="54AB4AB2"/>
    <w:rsid w:val="54AC69A0"/>
    <w:rsid w:val="54B03E76"/>
    <w:rsid w:val="54B15D92"/>
    <w:rsid w:val="54B22CCC"/>
    <w:rsid w:val="54BA7736"/>
    <w:rsid w:val="54BD357F"/>
    <w:rsid w:val="54BE47E5"/>
    <w:rsid w:val="54C12E33"/>
    <w:rsid w:val="54C16083"/>
    <w:rsid w:val="54C33BA9"/>
    <w:rsid w:val="54C727C9"/>
    <w:rsid w:val="54C82F16"/>
    <w:rsid w:val="54C85664"/>
    <w:rsid w:val="54CC1305"/>
    <w:rsid w:val="54CF209C"/>
    <w:rsid w:val="54D02569"/>
    <w:rsid w:val="54D03085"/>
    <w:rsid w:val="54D630B6"/>
    <w:rsid w:val="54D73AF9"/>
    <w:rsid w:val="54DA7145"/>
    <w:rsid w:val="54DD0812"/>
    <w:rsid w:val="54DE1DAC"/>
    <w:rsid w:val="54EA7388"/>
    <w:rsid w:val="54EF2BF0"/>
    <w:rsid w:val="54F01A73"/>
    <w:rsid w:val="54F0719B"/>
    <w:rsid w:val="54F31C6C"/>
    <w:rsid w:val="54F8061F"/>
    <w:rsid w:val="54FC530D"/>
    <w:rsid w:val="54FE4D41"/>
    <w:rsid w:val="55003F45"/>
    <w:rsid w:val="55085A60"/>
    <w:rsid w:val="550A2B46"/>
    <w:rsid w:val="55114D48"/>
    <w:rsid w:val="5512068D"/>
    <w:rsid w:val="551408A9"/>
    <w:rsid w:val="55197ADB"/>
    <w:rsid w:val="551F26E0"/>
    <w:rsid w:val="55242F2D"/>
    <w:rsid w:val="55264138"/>
    <w:rsid w:val="552705DC"/>
    <w:rsid w:val="552C79A0"/>
    <w:rsid w:val="552D17D9"/>
    <w:rsid w:val="552D585D"/>
    <w:rsid w:val="552E2EBC"/>
    <w:rsid w:val="552E6253"/>
    <w:rsid w:val="55314FB7"/>
    <w:rsid w:val="5531510A"/>
    <w:rsid w:val="55376345"/>
    <w:rsid w:val="55397E65"/>
    <w:rsid w:val="553A156C"/>
    <w:rsid w:val="553B29D4"/>
    <w:rsid w:val="553B5E36"/>
    <w:rsid w:val="553E1482"/>
    <w:rsid w:val="5540021F"/>
    <w:rsid w:val="5546444E"/>
    <w:rsid w:val="55480552"/>
    <w:rsid w:val="55486565"/>
    <w:rsid w:val="55487A04"/>
    <w:rsid w:val="554A4661"/>
    <w:rsid w:val="554D13CE"/>
    <w:rsid w:val="554F4678"/>
    <w:rsid w:val="554F7B33"/>
    <w:rsid w:val="55515B98"/>
    <w:rsid w:val="5552210C"/>
    <w:rsid w:val="55583378"/>
    <w:rsid w:val="55631913"/>
    <w:rsid w:val="5563538C"/>
    <w:rsid w:val="55646FF0"/>
    <w:rsid w:val="55654C60"/>
    <w:rsid w:val="55665B55"/>
    <w:rsid w:val="5568451C"/>
    <w:rsid w:val="556A671B"/>
    <w:rsid w:val="556B6AE1"/>
    <w:rsid w:val="55703126"/>
    <w:rsid w:val="55711857"/>
    <w:rsid w:val="55713605"/>
    <w:rsid w:val="55735875"/>
    <w:rsid w:val="55757AA6"/>
    <w:rsid w:val="557650C0"/>
    <w:rsid w:val="55766E6E"/>
    <w:rsid w:val="55780695"/>
    <w:rsid w:val="55786DF3"/>
    <w:rsid w:val="557936E5"/>
    <w:rsid w:val="557C77CF"/>
    <w:rsid w:val="557E5D22"/>
    <w:rsid w:val="55805F3E"/>
    <w:rsid w:val="558533A4"/>
    <w:rsid w:val="55855303"/>
    <w:rsid w:val="5588393C"/>
    <w:rsid w:val="558960D9"/>
    <w:rsid w:val="55907648"/>
    <w:rsid w:val="55915A56"/>
    <w:rsid w:val="55935C72"/>
    <w:rsid w:val="55942B9B"/>
    <w:rsid w:val="55944C70"/>
    <w:rsid w:val="55971896"/>
    <w:rsid w:val="559E0C6E"/>
    <w:rsid w:val="55A0723D"/>
    <w:rsid w:val="55A54B98"/>
    <w:rsid w:val="55A734CB"/>
    <w:rsid w:val="55A7399A"/>
    <w:rsid w:val="55A83761"/>
    <w:rsid w:val="55AA3CF8"/>
    <w:rsid w:val="55AC31CB"/>
    <w:rsid w:val="55AE4859"/>
    <w:rsid w:val="55AF05D2"/>
    <w:rsid w:val="55B26BF3"/>
    <w:rsid w:val="55B65C29"/>
    <w:rsid w:val="55B80251"/>
    <w:rsid w:val="55B856D8"/>
    <w:rsid w:val="55BA2A60"/>
    <w:rsid w:val="55BE25C3"/>
    <w:rsid w:val="55C220B3"/>
    <w:rsid w:val="55C27722"/>
    <w:rsid w:val="55C74519"/>
    <w:rsid w:val="55C759E4"/>
    <w:rsid w:val="55CE0A58"/>
    <w:rsid w:val="55CF541C"/>
    <w:rsid w:val="55D00CFE"/>
    <w:rsid w:val="55D0719A"/>
    <w:rsid w:val="55D33BFA"/>
    <w:rsid w:val="55D63DB0"/>
    <w:rsid w:val="55DA564E"/>
    <w:rsid w:val="55DC6C16"/>
    <w:rsid w:val="55DD4614"/>
    <w:rsid w:val="55E22755"/>
    <w:rsid w:val="55E24503"/>
    <w:rsid w:val="55E510E2"/>
    <w:rsid w:val="55E8525E"/>
    <w:rsid w:val="55E92A2C"/>
    <w:rsid w:val="55EA175E"/>
    <w:rsid w:val="55EA1E35"/>
    <w:rsid w:val="55EB647F"/>
    <w:rsid w:val="55EC3199"/>
    <w:rsid w:val="55EC35D4"/>
    <w:rsid w:val="55F21E20"/>
    <w:rsid w:val="55F55A45"/>
    <w:rsid w:val="55F634AF"/>
    <w:rsid w:val="55F86516"/>
    <w:rsid w:val="55F93BD0"/>
    <w:rsid w:val="55FA353C"/>
    <w:rsid w:val="56004989"/>
    <w:rsid w:val="56012754"/>
    <w:rsid w:val="560549B3"/>
    <w:rsid w:val="56062989"/>
    <w:rsid w:val="56151416"/>
    <w:rsid w:val="561843C9"/>
    <w:rsid w:val="56186D53"/>
    <w:rsid w:val="56197F4D"/>
    <w:rsid w:val="561B779B"/>
    <w:rsid w:val="561C2B4F"/>
    <w:rsid w:val="56204501"/>
    <w:rsid w:val="56204C34"/>
    <w:rsid w:val="56284136"/>
    <w:rsid w:val="562B5EAA"/>
    <w:rsid w:val="56350D85"/>
    <w:rsid w:val="56351A0D"/>
    <w:rsid w:val="56365C13"/>
    <w:rsid w:val="5637484F"/>
    <w:rsid w:val="563C1642"/>
    <w:rsid w:val="563C42B1"/>
    <w:rsid w:val="56436DEA"/>
    <w:rsid w:val="564718DC"/>
    <w:rsid w:val="56496330"/>
    <w:rsid w:val="564C3099"/>
    <w:rsid w:val="564F2949"/>
    <w:rsid w:val="564F6DD7"/>
    <w:rsid w:val="565005FD"/>
    <w:rsid w:val="565031F4"/>
    <w:rsid w:val="565114C6"/>
    <w:rsid w:val="56535401"/>
    <w:rsid w:val="56536368"/>
    <w:rsid w:val="56541256"/>
    <w:rsid w:val="56551179"/>
    <w:rsid w:val="56582A17"/>
    <w:rsid w:val="565A678F"/>
    <w:rsid w:val="565E627F"/>
    <w:rsid w:val="56605D00"/>
    <w:rsid w:val="566255BA"/>
    <w:rsid w:val="56625644"/>
    <w:rsid w:val="56665134"/>
    <w:rsid w:val="566A2C5C"/>
    <w:rsid w:val="566C201F"/>
    <w:rsid w:val="566F2B50"/>
    <w:rsid w:val="56700341"/>
    <w:rsid w:val="56725887"/>
    <w:rsid w:val="56737851"/>
    <w:rsid w:val="56754B1D"/>
    <w:rsid w:val="567C6182"/>
    <w:rsid w:val="567E1405"/>
    <w:rsid w:val="567F4D0E"/>
    <w:rsid w:val="56821842"/>
    <w:rsid w:val="56837A94"/>
    <w:rsid w:val="5684088C"/>
    <w:rsid w:val="56856B95"/>
    <w:rsid w:val="5688184B"/>
    <w:rsid w:val="568842B1"/>
    <w:rsid w:val="5689497F"/>
    <w:rsid w:val="568E01E7"/>
    <w:rsid w:val="56921A85"/>
    <w:rsid w:val="569272B9"/>
    <w:rsid w:val="56953222"/>
    <w:rsid w:val="569670CA"/>
    <w:rsid w:val="5697709C"/>
    <w:rsid w:val="569E667C"/>
    <w:rsid w:val="569F0436"/>
    <w:rsid w:val="56A45C5C"/>
    <w:rsid w:val="56A65531"/>
    <w:rsid w:val="56A8574D"/>
    <w:rsid w:val="56AA1775"/>
    <w:rsid w:val="56AB2B47"/>
    <w:rsid w:val="56AD2D63"/>
    <w:rsid w:val="56B04F47"/>
    <w:rsid w:val="56B06FAA"/>
    <w:rsid w:val="56B20379"/>
    <w:rsid w:val="56B22127"/>
    <w:rsid w:val="56B22409"/>
    <w:rsid w:val="56B23ED5"/>
    <w:rsid w:val="56B24E98"/>
    <w:rsid w:val="56B710DB"/>
    <w:rsid w:val="56B713E3"/>
    <w:rsid w:val="56B75990"/>
    <w:rsid w:val="56B86142"/>
    <w:rsid w:val="56BA0FDC"/>
    <w:rsid w:val="56BB667D"/>
    <w:rsid w:val="56BC6B02"/>
    <w:rsid w:val="56C02A96"/>
    <w:rsid w:val="56C5524A"/>
    <w:rsid w:val="56C63334"/>
    <w:rsid w:val="56C8194B"/>
    <w:rsid w:val="56C82D84"/>
    <w:rsid w:val="56C97471"/>
    <w:rsid w:val="56CB4F97"/>
    <w:rsid w:val="56CB620C"/>
    <w:rsid w:val="56CE6835"/>
    <w:rsid w:val="56CF59E9"/>
    <w:rsid w:val="56D119C3"/>
    <w:rsid w:val="56D563BC"/>
    <w:rsid w:val="56DA2B26"/>
    <w:rsid w:val="56E15B08"/>
    <w:rsid w:val="56E37D9D"/>
    <w:rsid w:val="56E630ED"/>
    <w:rsid w:val="56E909A3"/>
    <w:rsid w:val="56EA5A26"/>
    <w:rsid w:val="56ED6B21"/>
    <w:rsid w:val="56EE0C86"/>
    <w:rsid w:val="56EF6ED8"/>
    <w:rsid w:val="56F019D0"/>
    <w:rsid w:val="56F24C1A"/>
    <w:rsid w:val="56F65DEB"/>
    <w:rsid w:val="56F97D56"/>
    <w:rsid w:val="56FA587C"/>
    <w:rsid w:val="56FB7AB5"/>
    <w:rsid w:val="56FC15F5"/>
    <w:rsid w:val="56FF52A9"/>
    <w:rsid w:val="570010E5"/>
    <w:rsid w:val="57007563"/>
    <w:rsid w:val="57026058"/>
    <w:rsid w:val="57052631"/>
    <w:rsid w:val="570D3802"/>
    <w:rsid w:val="570E7044"/>
    <w:rsid w:val="57180428"/>
    <w:rsid w:val="571921A6"/>
    <w:rsid w:val="571A6269"/>
    <w:rsid w:val="571B7CCD"/>
    <w:rsid w:val="572009E1"/>
    <w:rsid w:val="57201787"/>
    <w:rsid w:val="57212E09"/>
    <w:rsid w:val="572573DC"/>
    <w:rsid w:val="572648C3"/>
    <w:rsid w:val="57286DB3"/>
    <w:rsid w:val="572877F3"/>
    <w:rsid w:val="572B0FCF"/>
    <w:rsid w:val="573213A4"/>
    <w:rsid w:val="57325016"/>
    <w:rsid w:val="57335623"/>
    <w:rsid w:val="57364B06"/>
    <w:rsid w:val="573963A5"/>
    <w:rsid w:val="573973D3"/>
    <w:rsid w:val="573E1C0D"/>
    <w:rsid w:val="573F4730"/>
    <w:rsid w:val="5740094B"/>
    <w:rsid w:val="5741088C"/>
    <w:rsid w:val="574216FD"/>
    <w:rsid w:val="57427BEF"/>
    <w:rsid w:val="57433BD5"/>
    <w:rsid w:val="57446F13"/>
    <w:rsid w:val="57480949"/>
    <w:rsid w:val="57486D6A"/>
    <w:rsid w:val="574A7346"/>
    <w:rsid w:val="574D00A2"/>
    <w:rsid w:val="574D1E50"/>
    <w:rsid w:val="57516329"/>
    <w:rsid w:val="57521214"/>
    <w:rsid w:val="57524261"/>
    <w:rsid w:val="57550741"/>
    <w:rsid w:val="57593233"/>
    <w:rsid w:val="57597567"/>
    <w:rsid w:val="575B456D"/>
    <w:rsid w:val="575C550F"/>
    <w:rsid w:val="575D6537"/>
    <w:rsid w:val="57634A96"/>
    <w:rsid w:val="57654E4C"/>
    <w:rsid w:val="57656B1C"/>
    <w:rsid w:val="57684EDC"/>
    <w:rsid w:val="576A0C54"/>
    <w:rsid w:val="576A6E58"/>
    <w:rsid w:val="5770275B"/>
    <w:rsid w:val="577477EE"/>
    <w:rsid w:val="57792C45"/>
    <w:rsid w:val="5779377B"/>
    <w:rsid w:val="57794F3B"/>
    <w:rsid w:val="577A298F"/>
    <w:rsid w:val="577B076B"/>
    <w:rsid w:val="577D0987"/>
    <w:rsid w:val="577E34BE"/>
    <w:rsid w:val="57831D16"/>
    <w:rsid w:val="57832294"/>
    <w:rsid w:val="57855A59"/>
    <w:rsid w:val="57875362"/>
    <w:rsid w:val="578D6925"/>
    <w:rsid w:val="578E3640"/>
    <w:rsid w:val="57951319"/>
    <w:rsid w:val="57957E77"/>
    <w:rsid w:val="579655A5"/>
    <w:rsid w:val="579A0034"/>
    <w:rsid w:val="579D2DD8"/>
    <w:rsid w:val="57A001D2"/>
    <w:rsid w:val="57A06022"/>
    <w:rsid w:val="57A061D8"/>
    <w:rsid w:val="57A31A70"/>
    <w:rsid w:val="57AA1051"/>
    <w:rsid w:val="57AC2BE5"/>
    <w:rsid w:val="57AF32DE"/>
    <w:rsid w:val="57AF3BA0"/>
    <w:rsid w:val="57B24F0D"/>
    <w:rsid w:val="57B43C7D"/>
    <w:rsid w:val="57B4426A"/>
    <w:rsid w:val="57B523FD"/>
    <w:rsid w:val="57B60D50"/>
    <w:rsid w:val="57B82700"/>
    <w:rsid w:val="57B85F76"/>
    <w:rsid w:val="57BA272F"/>
    <w:rsid w:val="57BA619E"/>
    <w:rsid w:val="57BB500C"/>
    <w:rsid w:val="57BF2FDF"/>
    <w:rsid w:val="57BF34D5"/>
    <w:rsid w:val="57C02622"/>
    <w:rsid w:val="57C05EA2"/>
    <w:rsid w:val="57C117AF"/>
    <w:rsid w:val="57C31664"/>
    <w:rsid w:val="57C60954"/>
    <w:rsid w:val="57CB2D1D"/>
    <w:rsid w:val="57CC7219"/>
    <w:rsid w:val="57CD0552"/>
    <w:rsid w:val="57D367F9"/>
    <w:rsid w:val="57D4431F"/>
    <w:rsid w:val="57D74EB6"/>
    <w:rsid w:val="57DA4EBD"/>
    <w:rsid w:val="57DB3900"/>
    <w:rsid w:val="57DC6E84"/>
    <w:rsid w:val="57DE0CFA"/>
    <w:rsid w:val="57E47AA3"/>
    <w:rsid w:val="57E5652D"/>
    <w:rsid w:val="57E74053"/>
    <w:rsid w:val="57E84983"/>
    <w:rsid w:val="57E97DCB"/>
    <w:rsid w:val="57EE102A"/>
    <w:rsid w:val="57EF4CB5"/>
    <w:rsid w:val="57F0263A"/>
    <w:rsid w:val="57F10A2D"/>
    <w:rsid w:val="57F12A99"/>
    <w:rsid w:val="57F16C7F"/>
    <w:rsid w:val="57F44CB3"/>
    <w:rsid w:val="57F50669"/>
    <w:rsid w:val="57F66044"/>
    <w:rsid w:val="57F70048"/>
    <w:rsid w:val="57F9783C"/>
    <w:rsid w:val="57FB7AFE"/>
    <w:rsid w:val="57FD50AD"/>
    <w:rsid w:val="57FD67B8"/>
    <w:rsid w:val="57FE314A"/>
    <w:rsid w:val="58044AFC"/>
    <w:rsid w:val="580E7831"/>
    <w:rsid w:val="58120F65"/>
    <w:rsid w:val="5812316E"/>
    <w:rsid w:val="581254C5"/>
    <w:rsid w:val="58171D45"/>
    <w:rsid w:val="58187D78"/>
    <w:rsid w:val="581A2DA8"/>
    <w:rsid w:val="581A7F84"/>
    <w:rsid w:val="581C2EA3"/>
    <w:rsid w:val="581E3101"/>
    <w:rsid w:val="58223CA7"/>
    <w:rsid w:val="58226A99"/>
    <w:rsid w:val="58240E03"/>
    <w:rsid w:val="58286C8D"/>
    <w:rsid w:val="58311772"/>
    <w:rsid w:val="58382B00"/>
    <w:rsid w:val="583B614D"/>
    <w:rsid w:val="583C11A9"/>
    <w:rsid w:val="583C439E"/>
    <w:rsid w:val="583E1337"/>
    <w:rsid w:val="583F058A"/>
    <w:rsid w:val="58407CFE"/>
    <w:rsid w:val="58421289"/>
    <w:rsid w:val="58456220"/>
    <w:rsid w:val="5847787E"/>
    <w:rsid w:val="58493626"/>
    <w:rsid w:val="584B2834"/>
    <w:rsid w:val="585263F1"/>
    <w:rsid w:val="58550FBC"/>
    <w:rsid w:val="585D248A"/>
    <w:rsid w:val="585D2BF7"/>
    <w:rsid w:val="585D4315"/>
    <w:rsid w:val="585F3F16"/>
    <w:rsid w:val="58626415"/>
    <w:rsid w:val="58633935"/>
    <w:rsid w:val="586520BF"/>
    <w:rsid w:val="586607F1"/>
    <w:rsid w:val="58667F89"/>
    <w:rsid w:val="58690E3A"/>
    <w:rsid w:val="586919EE"/>
    <w:rsid w:val="586B6DBF"/>
    <w:rsid w:val="586C31AB"/>
    <w:rsid w:val="586F24D7"/>
    <w:rsid w:val="587632DC"/>
    <w:rsid w:val="5878114F"/>
    <w:rsid w:val="58816255"/>
    <w:rsid w:val="58851527"/>
    <w:rsid w:val="58874971"/>
    <w:rsid w:val="5887607C"/>
    <w:rsid w:val="58883D79"/>
    <w:rsid w:val="5889335C"/>
    <w:rsid w:val="588A3B07"/>
    <w:rsid w:val="588B0E82"/>
    <w:rsid w:val="588D56ED"/>
    <w:rsid w:val="588F74A4"/>
    <w:rsid w:val="58906498"/>
    <w:rsid w:val="58943211"/>
    <w:rsid w:val="589574B9"/>
    <w:rsid w:val="589A10C5"/>
    <w:rsid w:val="589B3EAF"/>
    <w:rsid w:val="589B67A1"/>
    <w:rsid w:val="589C160F"/>
    <w:rsid w:val="589C4857"/>
    <w:rsid w:val="589C50FB"/>
    <w:rsid w:val="58A106A5"/>
    <w:rsid w:val="58A40196"/>
    <w:rsid w:val="58A61E60"/>
    <w:rsid w:val="58A67A6A"/>
    <w:rsid w:val="58A92235"/>
    <w:rsid w:val="58AF5092"/>
    <w:rsid w:val="58B2640F"/>
    <w:rsid w:val="58BD07C6"/>
    <w:rsid w:val="58BF0B2C"/>
    <w:rsid w:val="58C148A4"/>
    <w:rsid w:val="58C56AF2"/>
    <w:rsid w:val="58CA5F8E"/>
    <w:rsid w:val="58CB25A6"/>
    <w:rsid w:val="58CE6FC1"/>
    <w:rsid w:val="58D672D9"/>
    <w:rsid w:val="58D72319"/>
    <w:rsid w:val="58DA1114"/>
    <w:rsid w:val="58DE502E"/>
    <w:rsid w:val="58DF1EFB"/>
    <w:rsid w:val="58E30CBE"/>
    <w:rsid w:val="58E3481A"/>
    <w:rsid w:val="58E56176"/>
    <w:rsid w:val="58E56AAA"/>
    <w:rsid w:val="58E660B8"/>
    <w:rsid w:val="58E93DFA"/>
    <w:rsid w:val="58E95BA9"/>
    <w:rsid w:val="58EC48B5"/>
    <w:rsid w:val="58EC5D11"/>
    <w:rsid w:val="58ED4BF9"/>
    <w:rsid w:val="58F26E9E"/>
    <w:rsid w:val="58F35FA7"/>
    <w:rsid w:val="58F92290"/>
    <w:rsid w:val="58F9403E"/>
    <w:rsid w:val="58FC3B2E"/>
    <w:rsid w:val="58FD6109"/>
    <w:rsid w:val="58FF6819"/>
    <w:rsid w:val="59030E06"/>
    <w:rsid w:val="59056753"/>
    <w:rsid w:val="59084281"/>
    <w:rsid w:val="590C63AF"/>
    <w:rsid w:val="590E45F0"/>
    <w:rsid w:val="59101387"/>
    <w:rsid w:val="59154BEF"/>
    <w:rsid w:val="59162550"/>
    <w:rsid w:val="59164BBB"/>
    <w:rsid w:val="59193C8E"/>
    <w:rsid w:val="59215342"/>
    <w:rsid w:val="59285535"/>
    <w:rsid w:val="5929771A"/>
    <w:rsid w:val="592D3CE7"/>
    <w:rsid w:val="592D6806"/>
    <w:rsid w:val="59301A29"/>
    <w:rsid w:val="593248F0"/>
    <w:rsid w:val="59331DA4"/>
    <w:rsid w:val="59376DAF"/>
    <w:rsid w:val="59391EB1"/>
    <w:rsid w:val="59396B30"/>
    <w:rsid w:val="593C0663"/>
    <w:rsid w:val="593E5EF4"/>
    <w:rsid w:val="594159E5"/>
    <w:rsid w:val="59457283"/>
    <w:rsid w:val="59466C53"/>
    <w:rsid w:val="594724E6"/>
    <w:rsid w:val="594828CF"/>
    <w:rsid w:val="594B23BF"/>
    <w:rsid w:val="594F05FA"/>
    <w:rsid w:val="594F663F"/>
    <w:rsid w:val="59523571"/>
    <w:rsid w:val="59577BD8"/>
    <w:rsid w:val="59584548"/>
    <w:rsid w:val="59594ADC"/>
    <w:rsid w:val="595956A5"/>
    <w:rsid w:val="595B6AA6"/>
    <w:rsid w:val="595C2A03"/>
    <w:rsid w:val="595E6858"/>
    <w:rsid w:val="5961013B"/>
    <w:rsid w:val="59615082"/>
    <w:rsid w:val="59633BAD"/>
    <w:rsid w:val="59647462"/>
    <w:rsid w:val="59663AAD"/>
    <w:rsid w:val="59664C10"/>
    <w:rsid w:val="59665408"/>
    <w:rsid w:val="5967369D"/>
    <w:rsid w:val="59684D1F"/>
    <w:rsid w:val="596B1802"/>
    <w:rsid w:val="596F4DCC"/>
    <w:rsid w:val="597208E5"/>
    <w:rsid w:val="59733306"/>
    <w:rsid w:val="597436C4"/>
    <w:rsid w:val="59777658"/>
    <w:rsid w:val="597C6A1D"/>
    <w:rsid w:val="597F6B1E"/>
    <w:rsid w:val="59804DEB"/>
    <w:rsid w:val="5981071C"/>
    <w:rsid w:val="59811826"/>
    <w:rsid w:val="59837DAB"/>
    <w:rsid w:val="59861649"/>
    <w:rsid w:val="598C7682"/>
    <w:rsid w:val="598D0C2A"/>
    <w:rsid w:val="5996123D"/>
    <w:rsid w:val="59962EA2"/>
    <w:rsid w:val="599757F5"/>
    <w:rsid w:val="5999312B"/>
    <w:rsid w:val="599C0150"/>
    <w:rsid w:val="599D5E47"/>
    <w:rsid w:val="599D7A79"/>
    <w:rsid w:val="599E674F"/>
    <w:rsid w:val="59A0095D"/>
    <w:rsid w:val="59A12331"/>
    <w:rsid w:val="59A435EF"/>
    <w:rsid w:val="59A541C5"/>
    <w:rsid w:val="59A87812"/>
    <w:rsid w:val="59A920C7"/>
    <w:rsid w:val="59AA4EE8"/>
    <w:rsid w:val="59AC6193"/>
    <w:rsid w:val="59AE0637"/>
    <w:rsid w:val="59AF0BA0"/>
    <w:rsid w:val="59AF2CEA"/>
    <w:rsid w:val="59AF6DF2"/>
    <w:rsid w:val="59B27FCE"/>
    <w:rsid w:val="59B3176A"/>
    <w:rsid w:val="59B46420"/>
    <w:rsid w:val="59B85CA7"/>
    <w:rsid w:val="59B91A1F"/>
    <w:rsid w:val="59BE0C13"/>
    <w:rsid w:val="59C83A10"/>
    <w:rsid w:val="59C97EB4"/>
    <w:rsid w:val="59CA3C2C"/>
    <w:rsid w:val="59CB6280"/>
    <w:rsid w:val="59CC52AE"/>
    <w:rsid w:val="59D35957"/>
    <w:rsid w:val="59DF5045"/>
    <w:rsid w:val="59DF76D7"/>
    <w:rsid w:val="59E02B7B"/>
    <w:rsid w:val="59E11752"/>
    <w:rsid w:val="59E32332"/>
    <w:rsid w:val="59E83671"/>
    <w:rsid w:val="59E95187"/>
    <w:rsid w:val="59EC7A8C"/>
    <w:rsid w:val="59EE791A"/>
    <w:rsid w:val="59F02E1D"/>
    <w:rsid w:val="59F36CDF"/>
    <w:rsid w:val="59F64346"/>
    <w:rsid w:val="59F82547"/>
    <w:rsid w:val="59F842F5"/>
    <w:rsid w:val="59FC5C17"/>
    <w:rsid w:val="59FE5684"/>
    <w:rsid w:val="5A033D79"/>
    <w:rsid w:val="5A037476"/>
    <w:rsid w:val="5A06469B"/>
    <w:rsid w:val="5A0872CB"/>
    <w:rsid w:val="5A0C5FF2"/>
    <w:rsid w:val="5A0C607E"/>
    <w:rsid w:val="5A0E1C0B"/>
    <w:rsid w:val="5A1023FA"/>
    <w:rsid w:val="5A117165"/>
    <w:rsid w:val="5A164A1A"/>
    <w:rsid w:val="5A1A070F"/>
    <w:rsid w:val="5A1E5DD4"/>
    <w:rsid w:val="5A1E64AA"/>
    <w:rsid w:val="5A250854"/>
    <w:rsid w:val="5A254097"/>
    <w:rsid w:val="5A2570B4"/>
    <w:rsid w:val="5A2A396D"/>
    <w:rsid w:val="5A2A6479"/>
    <w:rsid w:val="5A2C76FB"/>
    <w:rsid w:val="5A2D00A5"/>
    <w:rsid w:val="5A305956"/>
    <w:rsid w:val="5A326076"/>
    <w:rsid w:val="5A344EA3"/>
    <w:rsid w:val="5A345068"/>
    <w:rsid w:val="5A36306F"/>
    <w:rsid w:val="5A3A490E"/>
    <w:rsid w:val="5A3A602C"/>
    <w:rsid w:val="5A3C158E"/>
    <w:rsid w:val="5A3D5CA5"/>
    <w:rsid w:val="5A3E01AA"/>
    <w:rsid w:val="5A4212B4"/>
    <w:rsid w:val="5A4513C5"/>
    <w:rsid w:val="5A486E32"/>
    <w:rsid w:val="5A494B51"/>
    <w:rsid w:val="5A4A61D5"/>
    <w:rsid w:val="5A4B1573"/>
    <w:rsid w:val="5A4C4641"/>
    <w:rsid w:val="5A500F36"/>
    <w:rsid w:val="5A504131"/>
    <w:rsid w:val="5A540A1E"/>
    <w:rsid w:val="5A545B21"/>
    <w:rsid w:val="5A5569A7"/>
    <w:rsid w:val="5A5654C0"/>
    <w:rsid w:val="5A576F72"/>
    <w:rsid w:val="5A5865B3"/>
    <w:rsid w:val="5A5C627B"/>
    <w:rsid w:val="5A5D2C8E"/>
    <w:rsid w:val="5A5F471A"/>
    <w:rsid w:val="5A625C12"/>
    <w:rsid w:val="5A673229"/>
    <w:rsid w:val="5A685A09"/>
    <w:rsid w:val="5A69459C"/>
    <w:rsid w:val="5A6B71C1"/>
    <w:rsid w:val="5A6D7B41"/>
    <w:rsid w:val="5A710887"/>
    <w:rsid w:val="5A717114"/>
    <w:rsid w:val="5A7720B6"/>
    <w:rsid w:val="5A7A7400"/>
    <w:rsid w:val="5A7F0572"/>
    <w:rsid w:val="5A7F67C4"/>
    <w:rsid w:val="5A7F688E"/>
    <w:rsid w:val="5A821E11"/>
    <w:rsid w:val="5A836C53"/>
    <w:rsid w:val="5A83754C"/>
    <w:rsid w:val="5A84605C"/>
    <w:rsid w:val="5A8B5169"/>
    <w:rsid w:val="5A8B6F17"/>
    <w:rsid w:val="5A8C5871"/>
    <w:rsid w:val="5A8E07B6"/>
    <w:rsid w:val="5A971D60"/>
    <w:rsid w:val="5A9866CB"/>
    <w:rsid w:val="5A9A1546"/>
    <w:rsid w:val="5A9A1850"/>
    <w:rsid w:val="5A9A7C44"/>
    <w:rsid w:val="5A9B1124"/>
    <w:rsid w:val="5A9D6057"/>
    <w:rsid w:val="5A9F29C3"/>
    <w:rsid w:val="5AA12BDF"/>
    <w:rsid w:val="5AA1498D"/>
    <w:rsid w:val="5AA1673B"/>
    <w:rsid w:val="5AA21673"/>
    <w:rsid w:val="5AAE0E58"/>
    <w:rsid w:val="5AAE17E5"/>
    <w:rsid w:val="5AAF6D51"/>
    <w:rsid w:val="5AB126F6"/>
    <w:rsid w:val="5AB775BC"/>
    <w:rsid w:val="5AB83156"/>
    <w:rsid w:val="5ABA3CA0"/>
    <w:rsid w:val="5ABA5A4E"/>
    <w:rsid w:val="5ABE7E1B"/>
    <w:rsid w:val="5ABF6EB9"/>
    <w:rsid w:val="5AC21D24"/>
    <w:rsid w:val="5AC32E47"/>
    <w:rsid w:val="5AC624B2"/>
    <w:rsid w:val="5AC661A1"/>
    <w:rsid w:val="5AC87D7A"/>
    <w:rsid w:val="5ACF7832"/>
    <w:rsid w:val="5AD102F4"/>
    <w:rsid w:val="5AD7215D"/>
    <w:rsid w:val="5AD76451"/>
    <w:rsid w:val="5AD80F59"/>
    <w:rsid w:val="5AD92379"/>
    <w:rsid w:val="5ADD0263"/>
    <w:rsid w:val="5AE222FD"/>
    <w:rsid w:val="5AE86A58"/>
    <w:rsid w:val="5AEA091A"/>
    <w:rsid w:val="5AEA612F"/>
    <w:rsid w:val="5AED1400"/>
    <w:rsid w:val="5AED7BD2"/>
    <w:rsid w:val="5AEE2E78"/>
    <w:rsid w:val="5AF0093B"/>
    <w:rsid w:val="5AF251E8"/>
    <w:rsid w:val="5AF60660"/>
    <w:rsid w:val="5AF62BDB"/>
    <w:rsid w:val="5AF80757"/>
    <w:rsid w:val="5AF8134E"/>
    <w:rsid w:val="5AF90236"/>
    <w:rsid w:val="5AF95C18"/>
    <w:rsid w:val="5AFA22EF"/>
    <w:rsid w:val="5AFA5E4B"/>
    <w:rsid w:val="5AFC7E15"/>
    <w:rsid w:val="5B0373F5"/>
    <w:rsid w:val="5B04539B"/>
    <w:rsid w:val="5B062A42"/>
    <w:rsid w:val="5B072BC8"/>
    <w:rsid w:val="5B081745"/>
    <w:rsid w:val="5B09486A"/>
    <w:rsid w:val="5B0B3E3E"/>
    <w:rsid w:val="5B0D5B7E"/>
    <w:rsid w:val="5B10566E"/>
    <w:rsid w:val="5B1C4013"/>
    <w:rsid w:val="5B1C5428"/>
    <w:rsid w:val="5B1D24B6"/>
    <w:rsid w:val="5B21787C"/>
    <w:rsid w:val="5B280B1F"/>
    <w:rsid w:val="5B2A299B"/>
    <w:rsid w:val="5B2B4256"/>
    <w:rsid w:val="5B320099"/>
    <w:rsid w:val="5B3333CC"/>
    <w:rsid w:val="5B3550D5"/>
    <w:rsid w:val="5B392E17"/>
    <w:rsid w:val="5B397AD4"/>
    <w:rsid w:val="5B3A43BD"/>
    <w:rsid w:val="5B3A6B8F"/>
    <w:rsid w:val="5B3B6725"/>
    <w:rsid w:val="5B3E5F7D"/>
    <w:rsid w:val="5B465534"/>
    <w:rsid w:val="5B471443"/>
    <w:rsid w:val="5B4A4D44"/>
    <w:rsid w:val="5B4A6786"/>
    <w:rsid w:val="5B4C6E83"/>
    <w:rsid w:val="5B506359"/>
    <w:rsid w:val="5B511448"/>
    <w:rsid w:val="5B52241F"/>
    <w:rsid w:val="5B5C0242"/>
    <w:rsid w:val="5B5C4295"/>
    <w:rsid w:val="5B5C4D58"/>
    <w:rsid w:val="5B5D7C55"/>
    <w:rsid w:val="5B6339F0"/>
    <w:rsid w:val="5B647768"/>
    <w:rsid w:val="5B665F9C"/>
    <w:rsid w:val="5B6800B4"/>
    <w:rsid w:val="5B6A7E10"/>
    <w:rsid w:val="5B6D2AC1"/>
    <w:rsid w:val="5B6D486F"/>
    <w:rsid w:val="5B6E1818"/>
    <w:rsid w:val="5B7025B1"/>
    <w:rsid w:val="5B77749C"/>
    <w:rsid w:val="5B7B3668"/>
    <w:rsid w:val="5B7C71A8"/>
    <w:rsid w:val="5B7E6A7C"/>
    <w:rsid w:val="5B8544A8"/>
    <w:rsid w:val="5B947247"/>
    <w:rsid w:val="5B953DC6"/>
    <w:rsid w:val="5B975D90"/>
    <w:rsid w:val="5B9868E1"/>
    <w:rsid w:val="5B9938B6"/>
    <w:rsid w:val="5B993B5A"/>
    <w:rsid w:val="5B9A0A8F"/>
    <w:rsid w:val="5B9E711E"/>
    <w:rsid w:val="5BA02E96"/>
    <w:rsid w:val="5BA077D1"/>
    <w:rsid w:val="5BA5225B"/>
    <w:rsid w:val="5BA74225"/>
    <w:rsid w:val="5BA86AA9"/>
    <w:rsid w:val="5BA97648"/>
    <w:rsid w:val="5BAE7FE7"/>
    <w:rsid w:val="5BAF30D9"/>
    <w:rsid w:val="5BAF6C35"/>
    <w:rsid w:val="5BB10BFF"/>
    <w:rsid w:val="5BB31288"/>
    <w:rsid w:val="5BB575A2"/>
    <w:rsid w:val="5BB61C2D"/>
    <w:rsid w:val="5BB977CC"/>
    <w:rsid w:val="5BBC5BE5"/>
    <w:rsid w:val="5BBD391F"/>
    <w:rsid w:val="5BBD4D2B"/>
    <w:rsid w:val="5BBF7D40"/>
    <w:rsid w:val="5BC07095"/>
    <w:rsid w:val="5BC1526D"/>
    <w:rsid w:val="5BC16426"/>
    <w:rsid w:val="5BC26CB5"/>
    <w:rsid w:val="5BC40FD3"/>
    <w:rsid w:val="5BC503DB"/>
    <w:rsid w:val="5BC5219B"/>
    <w:rsid w:val="5BC70423"/>
    <w:rsid w:val="5BC85F49"/>
    <w:rsid w:val="5BCC3C8B"/>
    <w:rsid w:val="5BCF1086"/>
    <w:rsid w:val="5BD021D7"/>
    <w:rsid w:val="5BD12F11"/>
    <w:rsid w:val="5BD40D92"/>
    <w:rsid w:val="5BD45B5A"/>
    <w:rsid w:val="5BD549A9"/>
    <w:rsid w:val="5BD70E12"/>
    <w:rsid w:val="5BD94682"/>
    <w:rsid w:val="5BEA3F28"/>
    <w:rsid w:val="5BEC1C38"/>
    <w:rsid w:val="5BEE20A9"/>
    <w:rsid w:val="5BEE547A"/>
    <w:rsid w:val="5BEF076A"/>
    <w:rsid w:val="5BEF179D"/>
    <w:rsid w:val="5BF058C0"/>
    <w:rsid w:val="5BF31218"/>
    <w:rsid w:val="5BF94355"/>
    <w:rsid w:val="5BFD3E45"/>
    <w:rsid w:val="5BFE5E0F"/>
    <w:rsid w:val="5BFE7BBD"/>
    <w:rsid w:val="5C02288F"/>
    <w:rsid w:val="5C0320AD"/>
    <w:rsid w:val="5C063963"/>
    <w:rsid w:val="5C083AFC"/>
    <w:rsid w:val="5C0E7259"/>
    <w:rsid w:val="5C0F5926"/>
    <w:rsid w:val="5C1177B7"/>
    <w:rsid w:val="5C1558E7"/>
    <w:rsid w:val="5C1A0524"/>
    <w:rsid w:val="5C1C1864"/>
    <w:rsid w:val="5C1D363C"/>
    <w:rsid w:val="5C2313D1"/>
    <w:rsid w:val="5C273E95"/>
    <w:rsid w:val="5C2869E8"/>
    <w:rsid w:val="5C291828"/>
    <w:rsid w:val="5C294C3A"/>
    <w:rsid w:val="5C2969C9"/>
    <w:rsid w:val="5C2A634B"/>
    <w:rsid w:val="5C2B15A7"/>
    <w:rsid w:val="5C2C297C"/>
    <w:rsid w:val="5C317F92"/>
    <w:rsid w:val="5C323DE8"/>
    <w:rsid w:val="5C386485"/>
    <w:rsid w:val="5C390F4A"/>
    <w:rsid w:val="5C3B671B"/>
    <w:rsid w:val="5C3E620B"/>
    <w:rsid w:val="5C4141AD"/>
    <w:rsid w:val="5C427641"/>
    <w:rsid w:val="5C454D64"/>
    <w:rsid w:val="5C4750C0"/>
    <w:rsid w:val="5C4A4997"/>
    <w:rsid w:val="5C4C0928"/>
    <w:rsid w:val="5C4D05EC"/>
    <w:rsid w:val="5C4E0CA8"/>
    <w:rsid w:val="5C526183"/>
    <w:rsid w:val="5C5720E3"/>
    <w:rsid w:val="5C593045"/>
    <w:rsid w:val="5C5D694C"/>
    <w:rsid w:val="5C5E5B8F"/>
    <w:rsid w:val="5C5F6BAF"/>
    <w:rsid w:val="5C602626"/>
    <w:rsid w:val="5C663AA7"/>
    <w:rsid w:val="5C6653AE"/>
    <w:rsid w:val="5C6739B4"/>
    <w:rsid w:val="5C6A39A1"/>
    <w:rsid w:val="5C730051"/>
    <w:rsid w:val="5C732359"/>
    <w:rsid w:val="5C733286"/>
    <w:rsid w:val="5C74377D"/>
    <w:rsid w:val="5C744E01"/>
    <w:rsid w:val="5C772C6A"/>
    <w:rsid w:val="5C7867CF"/>
    <w:rsid w:val="5C8207EE"/>
    <w:rsid w:val="5C8400C2"/>
    <w:rsid w:val="5C8408F0"/>
    <w:rsid w:val="5C841E70"/>
    <w:rsid w:val="5C88234F"/>
    <w:rsid w:val="5C8A495A"/>
    <w:rsid w:val="5C9140AE"/>
    <w:rsid w:val="5C950521"/>
    <w:rsid w:val="5C9B365E"/>
    <w:rsid w:val="5C9C39F7"/>
    <w:rsid w:val="5C9F314E"/>
    <w:rsid w:val="5CA1201C"/>
    <w:rsid w:val="5CA177CF"/>
    <w:rsid w:val="5CA25EC8"/>
    <w:rsid w:val="5CA442C0"/>
    <w:rsid w:val="5CA66F38"/>
    <w:rsid w:val="5CA70254"/>
    <w:rsid w:val="5CA833C6"/>
    <w:rsid w:val="5CA8355D"/>
    <w:rsid w:val="5CA865A6"/>
    <w:rsid w:val="5CAE513F"/>
    <w:rsid w:val="5CB05518"/>
    <w:rsid w:val="5CB14F9C"/>
    <w:rsid w:val="5CB43292"/>
    <w:rsid w:val="5CB505C7"/>
    <w:rsid w:val="5CB6590F"/>
    <w:rsid w:val="5CB66F29"/>
    <w:rsid w:val="5CB73DDE"/>
    <w:rsid w:val="5CBC0084"/>
    <w:rsid w:val="5CBC1D80"/>
    <w:rsid w:val="5CBF4384"/>
    <w:rsid w:val="5CC40213"/>
    <w:rsid w:val="5CC6692D"/>
    <w:rsid w:val="5CCE3A33"/>
    <w:rsid w:val="5CCE4356"/>
    <w:rsid w:val="5CCE758F"/>
    <w:rsid w:val="5CD526CC"/>
    <w:rsid w:val="5CD85278"/>
    <w:rsid w:val="5CD94E88"/>
    <w:rsid w:val="5CDA369A"/>
    <w:rsid w:val="5CDF5462"/>
    <w:rsid w:val="5CE62B2B"/>
    <w:rsid w:val="5CE634A7"/>
    <w:rsid w:val="5CE70651"/>
    <w:rsid w:val="5CE80664"/>
    <w:rsid w:val="5CEC5C67"/>
    <w:rsid w:val="5CED3EB9"/>
    <w:rsid w:val="5CF05758"/>
    <w:rsid w:val="5CF267CF"/>
    <w:rsid w:val="5CF75A15"/>
    <w:rsid w:val="5CF8285E"/>
    <w:rsid w:val="5CF95C04"/>
    <w:rsid w:val="5CFC7B4F"/>
    <w:rsid w:val="5CFF75F4"/>
    <w:rsid w:val="5D04687A"/>
    <w:rsid w:val="5D0676A3"/>
    <w:rsid w:val="5D0C00B7"/>
    <w:rsid w:val="5D0D6309"/>
    <w:rsid w:val="5D0E2082"/>
    <w:rsid w:val="5D121B72"/>
    <w:rsid w:val="5D123920"/>
    <w:rsid w:val="5D167EF7"/>
    <w:rsid w:val="5D1A4582"/>
    <w:rsid w:val="5D1F603D"/>
    <w:rsid w:val="5D201945"/>
    <w:rsid w:val="5D2100A7"/>
    <w:rsid w:val="5D22030C"/>
    <w:rsid w:val="5D2318A6"/>
    <w:rsid w:val="5D2378DB"/>
    <w:rsid w:val="5D262B63"/>
    <w:rsid w:val="5D272836"/>
    <w:rsid w:val="5D2C7819"/>
    <w:rsid w:val="5D2D2508"/>
    <w:rsid w:val="5D303DA6"/>
    <w:rsid w:val="5D323FC2"/>
    <w:rsid w:val="5D376039"/>
    <w:rsid w:val="5D380EAD"/>
    <w:rsid w:val="5D3B56AE"/>
    <w:rsid w:val="5D3F4259"/>
    <w:rsid w:val="5D3F6EE7"/>
    <w:rsid w:val="5D411C6F"/>
    <w:rsid w:val="5D4543BC"/>
    <w:rsid w:val="5D465377"/>
    <w:rsid w:val="5D485594"/>
    <w:rsid w:val="5D497A61"/>
    <w:rsid w:val="5D4C20FB"/>
    <w:rsid w:val="5D4E698B"/>
    <w:rsid w:val="5D4E7F4D"/>
    <w:rsid w:val="5D530B60"/>
    <w:rsid w:val="5D535CE6"/>
    <w:rsid w:val="5D562CB2"/>
    <w:rsid w:val="5D570B01"/>
    <w:rsid w:val="5D5757D7"/>
    <w:rsid w:val="5D5850AB"/>
    <w:rsid w:val="5D5D0C48"/>
    <w:rsid w:val="5D5E5039"/>
    <w:rsid w:val="5D6A0EC8"/>
    <w:rsid w:val="5D6D4FFA"/>
    <w:rsid w:val="5D730D16"/>
    <w:rsid w:val="5D74225A"/>
    <w:rsid w:val="5D7A6001"/>
    <w:rsid w:val="5D7D5AC3"/>
    <w:rsid w:val="5D7E0FB5"/>
    <w:rsid w:val="5D806DA9"/>
    <w:rsid w:val="5D810AA5"/>
    <w:rsid w:val="5D8714F7"/>
    <w:rsid w:val="5D8A795A"/>
    <w:rsid w:val="5D8B1FAD"/>
    <w:rsid w:val="5D903220"/>
    <w:rsid w:val="5D99194B"/>
    <w:rsid w:val="5D9C768D"/>
    <w:rsid w:val="5D9D4F61"/>
    <w:rsid w:val="5D9E3994"/>
    <w:rsid w:val="5DA04708"/>
    <w:rsid w:val="5DA309D1"/>
    <w:rsid w:val="5DA5748C"/>
    <w:rsid w:val="5DA63D60"/>
    <w:rsid w:val="5DA64068"/>
    <w:rsid w:val="5DA6669A"/>
    <w:rsid w:val="5DA73869"/>
    <w:rsid w:val="5DAA1DAA"/>
    <w:rsid w:val="5DAA3B58"/>
    <w:rsid w:val="5DAB1C97"/>
    <w:rsid w:val="5DAD53F7"/>
    <w:rsid w:val="5DAE78AC"/>
    <w:rsid w:val="5DB26EB1"/>
    <w:rsid w:val="5DB524FD"/>
    <w:rsid w:val="5DBC1ADE"/>
    <w:rsid w:val="5DBD47D0"/>
    <w:rsid w:val="5DC33AD8"/>
    <w:rsid w:val="5DCF35BF"/>
    <w:rsid w:val="5DD575C1"/>
    <w:rsid w:val="5DDA451B"/>
    <w:rsid w:val="5DDB75DD"/>
    <w:rsid w:val="5DDC09E9"/>
    <w:rsid w:val="5DDD0730"/>
    <w:rsid w:val="5DDE730D"/>
    <w:rsid w:val="5DDE7CA6"/>
    <w:rsid w:val="5DE055FE"/>
    <w:rsid w:val="5DE26787"/>
    <w:rsid w:val="5DE476A7"/>
    <w:rsid w:val="5DE74DAC"/>
    <w:rsid w:val="5DEF5A0F"/>
    <w:rsid w:val="5DEF72C7"/>
    <w:rsid w:val="5DF474C9"/>
    <w:rsid w:val="5DF9456B"/>
    <w:rsid w:val="5DF95C82"/>
    <w:rsid w:val="5DF9688E"/>
    <w:rsid w:val="5DFB5764"/>
    <w:rsid w:val="5DFC31B0"/>
    <w:rsid w:val="5DFD224D"/>
    <w:rsid w:val="5DFD2A12"/>
    <w:rsid w:val="5DFD637E"/>
    <w:rsid w:val="5DFD6560"/>
    <w:rsid w:val="5DFD7092"/>
    <w:rsid w:val="5E005722"/>
    <w:rsid w:val="5E0075E7"/>
    <w:rsid w:val="5E025548"/>
    <w:rsid w:val="5E071005"/>
    <w:rsid w:val="5E0771FD"/>
    <w:rsid w:val="5E0A5CF8"/>
    <w:rsid w:val="5E0A6219"/>
    <w:rsid w:val="5E0C4813"/>
    <w:rsid w:val="5E0C56F7"/>
    <w:rsid w:val="5E1216FE"/>
    <w:rsid w:val="5E133E89"/>
    <w:rsid w:val="5E143529"/>
    <w:rsid w:val="5E1601D1"/>
    <w:rsid w:val="5E160ECB"/>
    <w:rsid w:val="5E167B63"/>
    <w:rsid w:val="5E196F30"/>
    <w:rsid w:val="5E1A33A8"/>
    <w:rsid w:val="5E1A33AD"/>
    <w:rsid w:val="5E1D04E3"/>
    <w:rsid w:val="5E1D5B3E"/>
    <w:rsid w:val="5E2211DA"/>
    <w:rsid w:val="5E22791D"/>
    <w:rsid w:val="5E2356B9"/>
    <w:rsid w:val="5E255431"/>
    <w:rsid w:val="5E2624D7"/>
    <w:rsid w:val="5E27164D"/>
    <w:rsid w:val="5E2947C6"/>
    <w:rsid w:val="5E2C1E47"/>
    <w:rsid w:val="5E2F51DB"/>
    <w:rsid w:val="5E31427A"/>
    <w:rsid w:val="5E33621A"/>
    <w:rsid w:val="5E337FF2"/>
    <w:rsid w:val="5E36363E"/>
    <w:rsid w:val="5E366B60"/>
    <w:rsid w:val="5E394EDC"/>
    <w:rsid w:val="5E3A561B"/>
    <w:rsid w:val="5E3C3FA2"/>
    <w:rsid w:val="5E3D26F5"/>
    <w:rsid w:val="5E40270F"/>
    <w:rsid w:val="5E40626B"/>
    <w:rsid w:val="5E4230F4"/>
    <w:rsid w:val="5E437B09"/>
    <w:rsid w:val="5E442AA6"/>
    <w:rsid w:val="5E443FAD"/>
    <w:rsid w:val="5E446D0A"/>
    <w:rsid w:val="5E447596"/>
    <w:rsid w:val="5E463935"/>
    <w:rsid w:val="5E473ECE"/>
    <w:rsid w:val="5E4A533B"/>
    <w:rsid w:val="5E54073A"/>
    <w:rsid w:val="5E541D16"/>
    <w:rsid w:val="5E5B041A"/>
    <w:rsid w:val="5E5D4F0E"/>
    <w:rsid w:val="5E604A71"/>
    <w:rsid w:val="5E60690D"/>
    <w:rsid w:val="5E6373AD"/>
    <w:rsid w:val="5E67429A"/>
    <w:rsid w:val="5E6957C1"/>
    <w:rsid w:val="5E6B1D7E"/>
    <w:rsid w:val="5E6D3270"/>
    <w:rsid w:val="5E7125B0"/>
    <w:rsid w:val="5E7151D4"/>
    <w:rsid w:val="5E733D37"/>
    <w:rsid w:val="5E754BB8"/>
    <w:rsid w:val="5E766130"/>
    <w:rsid w:val="5E781EA8"/>
    <w:rsid w:val="5E7B54F5"/>
    <w:rsid w:val="5E7D126D"/>
    <w:rsid w:val="5E7D74BF"/>
    <w:rsid w:val="5E875C48"/>
    <w:rsid w:val="5E8B6DE2"/>
    <w:rsid w:val="5E8F4AF9"/>
    <w:rsid w:val="5E8F4E6A"/>
    <w:rsid w:val="5E914D18"/>
    <w:rsid w:val="5E92531F"/>
    <w:rsid w:val="5E9345EC"/>
    <w:rsid w:val="5E9D36BD"/>
    <w:rsid w:val="5E9F5687"/>
    <w:rsid w:val="5EA20CD3"/>
    <w:rsid w:val="5EA22A81"/>
    <w:rsid w:val="5EA467FA"/>
    <w:rsid w:val="5EA507C4"/>
    <w:rsid w:val="5EA7453C"/>
    <w:rsid w:val="5EA902B4"/>
    <w:rsid w:val="5EA90CA0"/>
    <w:rsid w:val="5EAC56AE"/>
    <w:rsid w:val="5EAD4EA9"/>
    <w:rsid w:val="5EAD52D1"/>
    <w:rsid w:val="5EAF519E"/>
    <w:rsid w:val="5EB03271"/>
    <w:rsid w:val="5EB05CD7"/>
    <w:rsid w:val="5EB24B3F"/>
    <w:rsid w:val="5EB36DCD"/>
    <w:rsid w:val="5EB5448F"/>
    <w:rsid w:val="5EBA10B2"/>
    <w:rsid w:val="5EBA5F75"/>
    <w:rsid w:val="5EBB0E31"/>
    <w:rsid w:val="5EBD3D5F"/>
    <w:rsid w:val="5EBD65B2"/>
    <w:rsid w:val="5EBD78BB"/>
    <w:rsid w:val="5EBE5BF5"/>
    <w:rsid w:val="5EC24ED2"/>
    <w:rsid w:val="5EC7073A"/>
    <w:rsid w:val="5EC73F4C"/>
    <w:rsid w:val="5ECF0AE7"/>
    <w:rsid w:val="5ED115B9"/>
    <w:rsid w:val="5ED52E57"/>
    <w:rsid w:val="5ED56A95"/>
    <w:rsid w:val="5EDA046D"/>
    <w:rsid w:val="5EDB2FEB"/>
    <w:rsid w:val="5EDD7F5D"/>
    <w:rsid w:val="5EDF192E"/>
    <w:rsid w:val="5EE004CC"/>
    <w:rsid w:val="5EE237C6"/>
    <w:rsid w:val="5EE25574"/>
    <w:rsid w:val="5EE4753E"/>
    <w:rsid w:val="5EEE02B8"/>
    <w:rsid w:val="5EEE3F19"/>
    <w:rsid w:val="5EEF5636"/>
    <w:rsid w:val="5EEF7F00"/>
    <w:rsid w:val="5EF01A3F"/>
    <w:rsid w:val="5EF17565"/>
    <w:rsid w:val="5EF32AEC"/>
    <w:rsid w:val="5EF62DCD"/>
    <w:rsid w:val="5EF86AE2"/>
    <w:rsid w:val="5EFA28BD"/>
    <w:rsid w:val="5EFD7BFF"/>
    <w:rsid w:val="5F0062A4"/>
    <w:rsid w:val="5F0279C4"/>
    <w:rsid w:val="5F0818E4"/>
    <w:rsid w:val="5F097E8F"/>
    <w:rsid w:val="5F0B6879"/>
    <w:rsid w:val="5F0C53C6"/>
    <w:rsid w:val="5F0D41D2"/>
    <w:rsid w:val="5F0D5F64"/>
    <w:rsid w:val="5F0E693E"/>
    <w:rsid w:val="5F0F0A09"/>
    <w:rsid w:val="5F103E8F"/>
    <w:rsid w:val="5F113DF2"/>
    <w:rsid w:val="5F131BD1"/>
    <w:rsid w:val="5F1A05A5"/>
    <w:rsid w:val="5F224370"/>
    <w:rsid w:val="5F224A0B"/>
    <w:rsid w:val="5F2317D9"/>
    <w:rsid w:val="5F272D94"/>
    <w:rsid w:val="5F2913F5"/>
    <w:rsid w:val="5F2F23D3"/>
    <w:rsid w:val="5F3202A9"/>
    <w:rsid w:val="5F330F86"/>
    <w:rsid w:val="5F346F7D"/>
    <w:rsid w:val="5F3B69B2"/>
    <w:rsid w:val="5F3D3949"/>
    <w:rsid w:val="5F3F29C6"/>
    <w:rsid w:val="5F434264"/>
    <w:rsid w:val="5F4369BF"/>
    <w:rsid w:val="5F465B03"/>
    <w:rsid w:val="5F467DB9"/>
    <w:rsid w:val="5F4A45C8"/>
    <w:rsid w:val="5F4B6A33"/>
    <w:rsid w:val="5F5045C0"/>
    <w:rsid w:val="5F526256"/>
    <w:rsid w:val="5F555D46"/>
    <w:rsid w:val="5F5A217E"/>
    <w:rsid w:val="5F5E7096"/>
    <w:rsid w:val="5F603324"/>
    <w:rsid w:val="5F645F89"/>
    <w:rsid w:val="5F6B316B"/>
    <w:rsid w:val="5F6B37BB"/>
    <w:rsid w:val="5F6E6261"/>
    <w:rsid w:val="5F700DD2"/>
    <w:rsid w:val="5F715B41"/>
    <w:rsid w:val="5F720DC5"/>
    <w:rsid w:val="5F781A34"/>
    <w:rsid w:val="5F79713B"/>
    <w:rsid w:val="5F800DD3"/>
    <w:rsid w:val="5F855395"/>
    <w:rsid w:val="5F8672E6"/>
    <w:rsid w:val="5F88611B"/>
    <w:rsid w:val="5F8C02A6"/>
    <w:rsid w:val="5F930E29"/>
    <w:rsid w:val="5F942FDA"/>
    <w:rsid w:val="5F943A1C"/>
    <w:rsid w:val="5F944AC0"/>
    <w:rsid w:val="5F9525E6"/>
    <w:rsid w:val="5F984189"/>
    <w:rsid w:val="5F990328"/>
    <w:rsid w:val="5F9F3808"/>
    <w:rsid w:val="5FA16C3A"/>
    <w:rsid w:val="5FA26564"/>
    <w:rsid w:val="5FA40A7B"/>
    <w:rsid w:val="5FA62A45"/>
    <w:rsid w:val="5FA97E40"/>
    <w:rsid w:val="5FAD5B82"/>
    <w:rsid w:val="5FAF36A8"/>
    <w:rsid w:val="5FB00F1D"/>
    <w:rsid w:val="5FB05AB6"/>
    <w:rsid w:val="5FB26F83"/>
    <w:rsid w:val="5FB3522B"/>
    <w:rsid w:val="5FB40CBE"/>
    <w:rsid w:val="5FB831D0"/>
    <w:rsid w:val="5FBD1FC8"/>
    <w:rsid w:val="5FBF1411"/>
    <w:rsid w:val="5FC058B5"/>
    <w:rsid w:val="5FC30F01"/>
    <w:rsid w:val="5FC73623"/>
    <w:rsid w:val="5FCC63D2"/>
    <w:rsid w:val="5FCD655D"/>
    <w:rsid w:val="5FD2383A"/>
    <w:rsid w:val="5FD3008D"/>
    <w:rsid w:val="5FD70E51"/>
    <w:rsid w:val="5FD73C93"/>
    <w:rsid w:val="5FDC1FC3"/>
    <w:rsid w:val="5FDD7B36"/>
    <w:rsid w:val="5FDE3F8D"/>
    <w:rsid w:val="5FDE66A1"/>
    <w:rsid w:val="5FE175D9"/>
    <w:rsid w:val="5FE64BF0"/>
    <w:rsid w:val="5FE800EC"/>
    <w:rsid w:val="5FE93021"/>
    <w:rsid w:val="5FEA4310"/>
    <w:rsid w:val="5FEA46E0"/>
    <w:rsid w:val="5FEF1CF6"/>
    <w:rsid w:val="5FEF7A2D"/>
    <w:rsid w:val="5FEF7F48"/>
    <w:rsid w:val="5FF02622"/>
    <w:rsid w:val="5FF06501"/>
    <w:rsid w:val="5FF269A5"/>
    <w:rsid w:val="5FF4491A"/>
    <w:rsid w:val="5FFB68ED"/>
    <w:rsid w:val="5FFC4413"/>
    <w:rsid w:val="5FFD1C0A"/>
    <w:rsid w:val="6009765C"/>
    <w:rsid w:val="600D03CE"/>
    <w:rsid w:val="600D78DD"/>
    <w:rsid w:val="600F0D89"/>
    <w:rsid w:val="60100FB5"/>
    <w:rsid w:val="60106FA2"/>
    <w:rsid w:val="60152297"/>
    <w:rsid w:val="60160C5E"/>
    <w:rsid w:val="6016117F"/>
    <w:rsid w:val="6017124D"/>
    <w:rsid w:val="601E082E"/>
    <w:rsid w:val="60200102"/>
    <w:rsid w:val="60222841"/>
    <w:rsid w:val="6022448C"/>
    <w:rsid w:val="6028345A"/>
    <w:rsid w:val="60285208"/>
    <w:rsid w:val="6029439B"/>
    <w:rsid w:val="6029514A"/>
    <w:rsid w:val="602B6AA7"/>
    <w:rsid w:val="602C2E66"/>
    <w:rsid w:val="60335DCE"/>
    <w:rsid w:val="60343BAD"/>
    <w:rsid w:val="60346AF3"/>
    <w:rsid w:val="6034779D"/>
    <w:rsid w:val="603714E0"/>
    <w:rsid w:val="6039442A"/>
    <w:rsid w:val="603B1FF0"/>
    <w:rsid w:val="603B5A47"/>
    <w:rsid w:val="603F12DC"/>
    <w:rsid w:val="60402552"/>
    <w:rsid w:val="6040724B"/>
    <w:rsid w:val="604149EF"/>
    <w:rsid w:val="60487659"/>
    <w:rsid w:val="604B4C22"/>
    <w:rsid w:val="604C720A"/>
    <w:rsid w:val="604E779B"/>
    <w:rsid w:val="605204D7"/>
    <w:rsid w:val="60567FC7"/>
    <w:rsid w:val="60570CCE"/>
    <w:rsid w:val="60583D40"/>
    <w:rsid w:val="605B738C"/>
    <w:rsid w:val="605E6C58"/>
    <w:rsid w:val="60607BB3"/>
    <w:rsid w:val="60636240"/>
    <w:rsid w:val="606453F9"/>
    <w:rsid w:val="606A75CF"/>
    <w:rsid w:val="606C29F4"/>
    <w:rsid w:val="606C3347"/>
    <w:rsid w:val="606D20FD"/>
    <w:rsid w:val="606D74B6"/>
    <w:rsid w:val="607135AF"/>
    <w:rsid w:val="60724CEE"/>
    <w:rsid w:val="60777572"/>
    <w:rsid w:val="607901E9"/>
    <w:rsid w:val="60795A64"/>
    <w:rsid w:val="60874D55"/>
    <w:rsid w:val="608763D3"/>
    <w:rsid w:val="608923F2"/>
    <w:rsid w:val="608B742A"/>
    <w:rsid w:val="609046C4"/>
    <w:rsid w:val="609047A8"/>
    <w:rsid w:val="60915059"/>
    <w:rsid w:val="6092547E"/>
    <w:rsid w:val="60966616"/>
    <w:rsid w:val="609749F5"/>
    <w:rsid w:val="60982B71"/>
    <w:rsid w:val="609A1FCC"/>
    <w:rsid w:val="609A634F"/>
    <w:rsid w:val="609C41A1"/>
    <w:rsid w:val="609D1752"/>
    <w:rsid w:val="609E371C"/>
    <w:rsid w:val="60A041FE"/>
    <w:rsid w:val="60A22309"/>
    <w:rsid w:val="60A26D69"/>
    <w:rsid w:val="60A3309A"/>
    <w:rsid w:val="60A52CFD"/>
    <w:rsid w:val="60A61B01"/>
    <w:rsid w:val="60A704C8"/>
    <w:rsid w:val="60A87566"/>
    <w:rsid w:val="60AA0540"/>
    <w:rsid w:val="60AC035C"/>
    <w:rsid w:val="60AC6176"/>
    <w:rsid w:val="60AE0721"/>
    <w:rsid w:val="60AE4409"/>
    <w:rsid w:val="60B03C64"/>
    <w:rsid w:val="60B44CEE"/>
    <w:rsid w:val="60B47048"/>
    <w:rsid w:val="60B54550"/>
    <w:rsid w:val="60B62419"/>
    <w:rsid w:val="60B74397"/>
    <w:rsid w:val="60B91251"/>
    <w:rsid w:val="60BC2062"/>
    <w:rsid w:val="60BF5933"/>
    <w:rsid w:val="60C2740B"/>
    <w:rsid w:val="60C5436B"/>
    <w:rsid w:val="60C57A73"/>
    <w:rsid w:val="60C74A21"/>
    <w:rsid w:val="60C848A7"/>
    <w:rsid w:val="60CA62C0"/>
    <w:rsid w:val="60D54134"/>
    <w:rsid w:val="60D60260"/>
    <w:rsid w:val="60D84E80"/>
    <w:rsid w:val="60D86C2E"/>
    <w:rsid w:val="60D90D70"/>
    <w:rsid w:val="60DA174A"/>
    <w:rsid w:val="60DB0C1C"/>
    <w:rsid w:val="60E00EB1"/>
    <w:rsid w:val="60E1243D"/>
    <w:rsid w:val="60E12C1B"/>
    <w:rsid w:val="60E174DE"/>
    <w:rsid w:val="60E23609"/>
    <w:rsid w:val="60E27AAD"/>
    <w:rsid w:val="60E455D3"/>
    <w:rsid w:val="60E51BA8"/>
    <w:rsid w:val="60E52B6C"/>
    <w:rsid w:val="60E530F9"/>
    <w:rsid w:val="60E56871"/>
    <w:rsid w:val="60E80567"/>
    <w:rsid w:val="60E90E3C"/>
    <w:rsid w:val="60EA6962"/>
    <w:rsid w:val="60EC0F06"/>
    <w:rsid w:val="60F00007"/>
    <w:rsid w:val="60F375C4"/>
    <w:rsid w:val="60F647D1"/>
    <w:rsid w:val="60FC0FD2"/>
    <w:rsid w:val="60FD6695"/>
    <w:rsid w:val="60FD75AC"/>
    <w:rsid w:val="60FE067F"/>
    <w:rsid w:val="61005930"/>
    <w:rsid w:val="61025A59"/>
    <w:rsid w:val="61063C34"/>
    <w:rsid w:val="610712C2"/>
    <w:rsid w:val="61077514"/>
    <w:rsid w:val="610920D5"/>
    <w:rsid w:val="610B2F63"/>
    <w:rsid w:val="610C1F3F"/>
    <w:rsid w:val="610C27EA"/>
    <w:rsid w:val="610E5973"/>
    <w:rsid w:val="610E6FE2"/>
    <w:rsid w:val="611179E0"/>
    <w:rsid w:val="61133825"/>
    <w:rsid w:val="61135EB8"/>
    <w:rsid w:val="6115205D"/>
    <w:rsid w:val="61167BC6"/>
    <w:rsid w:val="61181721"/>
    <w:rsid w:val="6118527D"/>
    <w:rsid w:val="611A0FF5"/>
    <w:rsid w:val="611B6B1B"/>
    <w:rsid w:val="611E429A"/>
    <w:rsid w:val="6122784A"/>
    <w:rsid w:val="6124191F"/>
    <w:rsid w:val="61245501"/>
    <w:rsid w:val="61282D82"/>
    <w:rsid w:val="6129707A"/>
    <w:rsid w:val="612B3202"/>
    <w:rsid w:val="612B45F3"/>
    <w:rsid w:val="612C2AD6"/>
    <w:rsid w:val="612D346D"/>
    <w:rsid w:val="612E1E0C"/>
    <w:rsid w:val="612F7E5E"/>
    <w:rsid w:val="61306A6A"/>
    <w:rsid w:val="61307EC2"/>
    <w:rsid w:val="613320B7"/>
    <w:rsid w:val="613434EE"/>
    <w:rsid w:val="61357BDD"/>
    <w:rsid w:val="614147D4"/>
    <w:rsid w:val="6142025B"/>
    <w:rsid w:val="6142386F"/>
    <w:rsid w:val="61437501"/>
    <w:rsid w:val="61442F0E"/>
    <w:rsid w:val="6145071A"/>
    <w:rsid w:val="614632BC"/>
    <w:rsid w:val="6149117B"/>
    <w:rsid w:val="614D13CA"/>
    <w:rsid w:val="61502C69"/>
    <w:rsid w:val="61507E15"/>
    <w:rsid w:val="615134CB"/>
    <w:rsid w:val="6155074D"/>
    <w:rsid w:val="615564D1"/>
    <w:rsid w:val="61581B1D"/>
    <w:rsid w:val="61587D6F"/>
    <w:rsid w:val="615C160D"/>
    <w:rsid w:val="615F10FE"/>
    <w:rsid w:val="6163177C"/>
    <w:rsid w:val="61646C3E"/>
    <w:rsid w:val="61647314"/>
    <w:rsid w:val="6166248C"/>
    <w:rsid w:val="61672DB2"/>
    <w:rsid w:val="61673576"/>
    <w:rsid w:val="616E4601"/>
    <w:rsid w:val="61700C15"/>
    <w:rsid w:val="617207DF"/>
    <w:rsid w:val="61725E9A"/>
    <w:rsid w:val="6173581E"/>
    <w:rsid w:val="61776447"/>
    <w:rsid w:val="617A7CE6"/>
    <w:rsid w:val="617E4176"/>
    <w:rsid w:val="617F354E"/>
    <w:rsid w:val="61813F63"/>
    <w:rsid w:val="61816480"/>
    <w:rsid w:val="618A445F"/>
    <w:rsid w:val="618B185A"/>
    <w:rsid w:val="618C46F3"/>
    <w:rsid w:val="618E7ADB"/>
    <w:rsid w:val="618F5A96"/>
    <w:rsid w:val="619012B7"/>
    <w:rsid w:val="61922398"/>
    <w:rsid w:val="61924164"/>
    <w:rsid w:val="6192502F"/>
    <w:rsid w:val="619A2B3B"/>
    <w:rsid w:val="619A3E3C"/>
    <w:rsid w:val="61A11716"/>
    <w:rsid w:val="61A22D98"/>
    <w:rsid w:val="61A33790"/>
    <w:rsid w:val="61A3723C"/>
    <w:rsid w:val="61A466ED"/>
    <w:rsid w:val="61A61DC8"/>
    <w:rsid w:val="61A76334"/>
    <w:rsid w:val="61AC2CB9"/>
    <w:rsid w:val="61B03608"/>
    <w:rsid w:val="61B41B43"/>
    <w:rsid w:val="61B431F8"/>
    <w:rsid w:val="61B90260"/>
    <w:rsid w:val="61BB53E3"/>
    <w:rsid w:val="61BD393C"/>
    <w:rsid w:val="61C67640"/>
    <w:rsid w:val="61C80590"/>
    <w:rsid w:val="61C86AEC"/>
    <w:rsid w:val="61CE2029"/>
    <w:rsid w:val="61D05B58"/>
    <w:rsid w:val="61D11452"/>
    <w:rsid w:val="61D22BDC"/>
    <w:rsid w:val="61D51FCF"/>
    <w:rsid w:val="61D54F1C"/>
    <w:rsid w:val="61D61D20"/>
    <w:rsid w:val="61DA2E84"/>
    <w:rsid w:val="61E3422C"/>
    <w:rsid w:val="61E40F7D"/>
    <w:rsid w:val="61E433B1"/>
    <w:rsid w:val="61E44740"/>
    <w:rsid w:val="61E70FFE"/>
    <w:rsid w:val="61E73B15"/>
    <w:rsid w:val="61E73CF1"/>
    <w:rsid w:val="61E92979"/>
    <w:rsid w:val="61EB0BE3"/>
    <w:rsid w:val="61F061FA"/>
    <w:rsid w:val="61F42CB0"/>
    <w:rsid w:val="61F555BE"/>
    <w:rsid w:val="61F656FB"/>
    <w:rsid w:val="61F77588"/>
    <w:rsid w:val="61F822FC"/>
    <w:rsid w:val="61F9657E"/>
    <w:rsid w:val="61F972B2"/>
    <w:rsid w:val="62037B19"/>
    <w:rsid w:val="62066081"/>
    <w:rsid w:val="620720AE"/>
    <w:rsid w:val="62083543"/>
    <w:rsid w:val="62084815"/>
    <w:rsid w:val="6208709F"/>
    <w:rsid w:val="620B6B90"/>
    <w:rsid w:val="620D0B5A"/>
    <w:rsid w:val="620D3E7C"/>
    <w:rsid w:val="621023F8"/>
    <w:rsid w:val="621168AD"/>
    <w:rsid w:val="62120BFE"/>
    <w:rsid w:val="62141EE8"/>
    <w:rsid w:val="62180977"/>
    <w:rsid w:val="621837A3"/>
    <w:rsid w:val="621B4F7F"/>
    <w:rsid w:val="621E2D67"/>
    <w:rsid w:val="6220088D"/>
    <w:rsid w:val="62210D2E"/>
    <w:rsid w:val="62212760"/>
    <w:rsid w:val="62215048"/>
    <w:rsid w:val="622153B3"/>
    <w:rsid w:val="6225279D"/>
    <w:rsid w:val="62265778"/>
    <w:rsid w:val="62282CC0"/>
    <w:rsid w:val="622D504B"/>
    <w:rsid w:val="622E7610"/>
    <w:rsid w:val="622F0628"/>
    <w:rsid w:val="624431D5"/>
    <w:rsid w:val="62487121"/>
    <w:rsid w:val="624B14CF"/>
    <w:rsid w:val="624C47DF"/>
    <w:rsid w:val="624D0F56"/>
    <w:rsid w:val="624D27B1"/>
    <w:rsid w:val="624F1172"/>
    <w:rsid w:val="624F4CCE"/>
    <w:rsid w:val="62500A46"/>
    <w:rsid w:val="625247BE"/>
    <w:rsid w:val="62546789"/>
    <w:rsid w:val="6256605D"/>
    <w:rsid w:val="625A6BDD"/>
    <w:rsid w:val="625D50F7"/>
    <w:rsid w:val="625D62A0"/>
    <w:rsid w:val="62600C89"/>
    <w:rsid w:val="62614102"/>
    <w:rsid w:val="62614A02"/>
    <w:rsid w:val="6263306E"/>
    <w:rsid w:val="626369CC"/>
    <w:rsid w:val="62664FC1"/>
    <w:rsid w:val="62665162"/>
    <w:rsid w:val="62685D90"/>
    <w:rsid w:val="626A0A2F"/>
    <w:rsid w:val="626D15F8"/>
    <w:rsid w:val="626D33A6"/>
    <w:rsid w:val="62710B4C"/>
    <w:rsid w:val="6271733B"/>
    <w:rsid w:val="62726E69"/>
    <w:rsid w:val="62740596"/>
    <w:rsid w:val="6275798E"/>
    <w:rsid w:val="62782477"/>
    <w:rsid w:val="627A5057"/>
    <w:rsid w:val="627B5AC3"/>
    <w:rsid w:val="627D7A54"/>
    <w:rsid w:val="62804355"/>
    <w:rsid w:val="62814511"/>
    <w:rsid w:val="62814DC9"/>
    <w:rsid w:val="62817A70"/>
    <w:rsid w:val="6287652A"/>
    <w:rsid w:val="62885CDB"/>
    <w:rsid w:val="628A749B"/>
    <w:rsid w:val="628E4DBD"/>
    <w:rsid w:val="628F156F"/>
    <w:rsid w:val="62900F0C"/>
    <w:rsid w:val="6292114A"/>
    <w:rsid w:val="62966DA1"/>
    <w:rsid w:val="629923ED"/>
    <w:rsid w:val="629937AF"/>
    <w:rsid w:val="629D1197"/>
    <w:rsid w:val="62A36DC8"/>
    <w:rsid w:val="62A61AAF"/>
    <w:rsid w:val="62A74B0A"/>
    <w:rsid w:val="62AD10D1"/>
    <w:rsid w:val="62B17D06"/>
    <w:rsid w:val="62B31701"/>
    <w:rsid w:val="62B34B37"/>
    <w:rsid w:val="62B42BA3"/>
    <w:rsid w:val="62B45C87"/>
    <w:rsid w:val="62B9483E"/>
    <w:rsid w:val="62B965EC"/>
    <w:rsid w:val="62BB05B6"/>
    <w:rsid w:val="62BD60DC"/>
    <w:rsid w:val="62C03E1E"/>
    <w:rsid w:val="62C05BCC"/>
    <w:rsid w:val="62C073FA"/>
    <w:rsid w:val="62C30E7C"/>
    <w:rsid w:val="62C56F5C"/>
    <w:rsid w:val="62CD0106"/>
    <w:rsid w:val="62CE28B4"/>
    <w:rsid w:val="62CF16B7"/>
    <w:rsid w:val="62D00439"/>
    <w:rsid w:val="62D170BF"/>
    <w:rsid w:val="62D84CC4"/>
    <w:rsid w:val="62DA3573"/>
    <w:rsid w:val="62DB47B4"/>
    <w:rsid w:val="62DD052C"/>
    <w:rsid w:val="62DE1DC5"/>
    <w:rsid w:val="62DF2184"/>
    <w:rsid w:val="62DF5B36"/>
    <w:rsid w:val="62E273FC"/>
    <w:rsid w:val="62E51240"/>
    <w:rsid w:val="62E6182C"/>
    <w:rsid w:val="62E80C7F"/>
    <w:rsid w:val="62EC6826"/>
    <w:rsid w:val="62F04874"/>
    <w:rsid w:val="62F12229"/>
    <w:rsid w:val="62F1565D"/>
    <w:rsid w:val="62F6339C"/>
    <w:rsid w:val="62F67840"/>
    <w:rsid w:val="62FA7330"/>
    <w:rsid w:val="62FC79D9"/>
    <w:rsid w:val="62FD2FBC"/>
    <w:rsid w:val="6300118D"/>
    <w:rsid w:val="630261E5"/>
    <w:rsid w:val="63027A37"/>
    <w:rsid w:val="63052D88"/>
    <w:rsid w:val="63062FAA"/>
    <w:rsid w:val="630A4404"/>
    <w:rsid w:val="630B32EB"/>
    <w:rsid w:val="630F1B2F"/>
    <w:rsid w:val="63117482"/>
    <w:rsid w:val="631321A0"/>
    <w:rsid w:val="631A352E"/>
    <w:rsid w:val="631D301E"/>
    <w:rsid w:val="631F28F3"/>
    <w:rsid w:val="6325379D"/>
    <w:rsid w:val="63255C5D"/>
    <w:rsid w:val="6327307F"/>
    <w:rsid w:val="6329551F"/>
    <w:rsid w:val="632A189E"/>
    <w:rsid w:val="63302D52"/>
    <w:rsid w:val="6332460F"/>
    <w:rsid w:val="633321A5"/>
    <w:rsid w:val="6335193F"/>
    <w:rsid w:val="6336444B"/>
    <w:rsid w:val="63367C3C"/>
    <w:rsid w:val="633B719E"/>
    <w:rsid w:val="633B7DC3"/>
    <w:rsid w:val="633D71BB"/>
    <w:rsid w:val="63405B3C"/>
    <w:rsid w:val="634342D2"/>
    <w:rsid w:val="63435BFE"/>
    <w:rsid w:val="63461EDE"/>
    <w:rsid w:val="63464323"/>
    <w:rsid w:val="63500CFE"/>
    <w:rsid w:val="635051A2"/>
    <w:rsid w:val="63506F50"/>
    <w:rsid w:val="63513C84"/>
    <w:rsid w:val="63556314"/>
    <w:rsid w:val="635A009E"/>
    <w:rsid w:val="635F3637"/>
    <w:rsid w:val="63602910"/>
    <w:rsid w:val="63620A31"/>
    <w:rsid w:val="636429FB"/>
    <w:rsid w:val="63657FF5"/>
    <w:rsid w:val="636B3D8A"/>
    <w:rsid w:val="636E73D6"/>
    <w:rsid w:val="6370227B"/>
    <w:rsid w:val="637075F2"/>
    <w:rsid w:val="63711839"/>
    <w:rsid w:val="63732A72"/>
    <w:rsid w:val="637569B7"/>
    <w:rsid w:val="637847EE"/>
    <w:rsid w:val="637E512E"/>
    <w:rsid w:val="637E52E4"/>
    <w:rsid w:val="63835017"/>
    <w:rsid w:val="638867D3"/>
    <w:rsid w:val="638C5281"/>
    <w:rsid w:val="638C7FE1"/>
    <w:rsid w:val="638E5CCA"/>
    <w:rsid w:val="638E62D2"/>
    <w:rsid w:val="63911317"/>
    <w:rsid w:val="639257BA"/>
    <w:rsid w:val="63935536"/>
    <w:rsid w:val="63940464"/>
    <w:rsid w:val="63974B7F"/>
    <w:rsid w:val="6397692D"/>
    <w:rsid w:val="63995D3B"/>
    <w:rsid w:val="639B0575"/>
    <w:rsid w:val="639B20E8"/>
    <w:rsid w:val="639C03E7"/>
    <w:rsid w:val="639D0223"/>
    <w:rsid w:val="639D5F0D"/>
    <w:rsid w:val="63A06B71"/>
    <w:rsid w:val="63A454EE"/>
    <w:rsid w:val="63AD3797"/>
    <w:rsid w:val="63AF73D2"/>
    <w:rsid w:val="63B0700D"/>
    <w:rsid w:val="63B1268B"/>
    <w:rsid w:val="63B374DF"/>
    <w:rsid w:val="63B514A9"/>
    <w:rsid w:val="63B647DE"/>
    <w:rsid w:val="63B70D7D"/>
    <w:rsid w:val="63B86B82"/>
    <w:rsid w:val="63C129F6"/>
    <w:rsid w:val="63C143B7"/>
    <w:rsid w:val="63C24F56"/>
    <w:rsid w:val="63C36CE8"/>
    <w:rsid w:val="63C45248"/>
    <w:rsid w:val="63C467ED"/>
    <w:rsid w:val="63C5778C"/>
    <w:rsid w:val="63C92321"/>
    <w:rsid w:val="63C95B50"/>
    <w:rsid w:val="63CA76D5"/>
    <w:rsid w:val="63CC656D"/>
    <w:rsid w:val="63CD67F3"/>
    <w:rsid w:val="63CF5075"/>
    <w:rsid w:val="63D06D7A"/>
    <w:rsid w:val="63D07143"/>
    <w:rsid w:val="63D336DD"/>
    <w:rsid w:val="63D538F9"/>
    <w:rsid w:val="63D57455"/>
    <w:rsid w:val="63D823E5"/>
    <w:rsid w:val="63D866E8"/>
    <w:rsid w:val="63DE39EA"/>
    <w:rsid w:val="63E47698"/>
    <w:rsid w:val="63E50601"/>
    <w:rsid w:val="63E74C1A"/>
    <w:rsid w:val="63E85A47"/>
    <w:rsid w:val="63E94CAF"/>
    <w:rsid w:val="63EB73BE"/>
    <w:rsid w:val="63ED479F"/>
    <w:rsid w:val="63EE1262"/>
    <w:rsid w:val="63EF1A70"/>
    <w:rsid w:val="63F21DB5"/>
    <w:rsid w:val="63F5039C"/>
    <w:rsid w:val="63F518A5"/>
    <w:rsid w:val="63F55D49"/>
    <w:rsid w:val="63F65850"/>
    <w:rsid w:val="63F767ED"/>
    <w:rsid w:val="63FD00F7"/>
    <w:rsid w:val="64034EC5"/>
    <w:rsid w:val="64061D04"/>
    <w:rsid w:val="6407229E"/>
    <w:rsid w:val="64085A7D"/>
    <w:rsid w:val="640E3E73"/>
    <w:rsid w:val="64104931"/>
    <w:rsid w:val="6411213F"/>
    <w:rsid w:val="64127E15"/>
    <w:rsid w:val="64170565"/>
    <w:rsid w:val="641C5084"/>
    <w:rsid w:val="641D1635"/>
    <w:rsid w:val="641E5EAC"/>
    <w:rsid w:val="641F4535"/>
    <w:rsid w:val="64204A24"/>
    <w:rsid w:val="64227230"/>
    <w:rsid w:val="642301C1"/>
    <w:rsid w:val="6424218B"/>
    <w:rsid w:val="64270E7E"/>
    <w:rsid w:val="642D324D"/>
    <w:rsid w:val="642D54E3"/>
    <w:rsid w:val="642E160A"/>
    <w:rsid w:val="642E1C76"/>
    <w:rsid w:val="642E7C43"/>
    <w:rsid w:val="642F289B"/>
    <w:rsid w:val="64346B1A"/>
    <w:rsid w:val="64352145"/>
    <w:rsid w:val="64370110"/>
    <w:rsid w:val="643A3C0F"/>
    <w:rsid w:val="643C74D4"/>
    <w:rsid w:val="643E149E"/>
    <w:rsid w:val="64406BD0"/>
    <w:rsid w:val="64414AEB"/>
    <w:rsid w:val="6447399D"/>
    <w:rsid w:val="64483794"/>
    <w:rsid w:val="644C3BBB"/>
    <w:rsid w:val="644E7533"/>
    <w:rsid w:val="644F0FB6"/>
    <w:rsid w:val="644F3BDE"/>
    <w:rsid w:val="644F48B8"/>
    <w:rsid w:val="644F681B"/>
    <w:rsid w:val="64540922"/>
    <w:rsid w:val="6454486A"/>
    <w:rsid w:val="64556D80"/>
    <w:rsid w:val="645A4B51"/>
    <w:rsid w:val="645C7B76"/>
    <w:rsid w:val="645E679B"/>
    <w:rsid w:val="64601415"/>
    <w:rsid w:val="64610AB4"/>
    <w:rsid w:val="64632CB3"/>
    <w:rsid w:val="64654391"/>
    <w:rsid w:val="64661E02"/>
    <w:rsid w:val="64663759"/>
    <w:rsid w:val="646714E1"/>
    <w:rsid w:val="646A5DEF"/>
    <w:rsid w:val="646E1173"/>
    <w:rsid w:val="646F1658"/>
    <w:rsid w:val="646F3406"/>
    <w:rsid w:val="646F78AA"/>
    <w:rsid w:val="647153D0"/>
    <w:rsid w:val="64722EF6"/>
    <w:rsid w:val="647749B0"/>
    <w:rsid w:val="64791A88"/>
    <w:rsid w:val="647924D6"/>
    <w:rsid w:val="64793590"/>
    <w:rsid w:val="647E189B"/>
    <w:rsid w:val="647E5D3F"/>
    <w:rsid w:val="64835103"/>
    <w:rsid w:val="648455F4"/>
    <w:rsid w:val="64850878"/>
    <w:rsid w:val="64865018"/>
    <w:rsid w:val="648A6492"/>
    <w:rsid w:val="648D4BA6"/>
    <w:rsid w:val="649042D3"/>
    <w:rsid w:val="64917820"/>
    <w:rsid w:val="64921504"/>
    <w:rsid w:val="64992B79"/>
    <w:rsid w:val="649A6F64"/>
    <w:rsid w:val="649B244D"/>
    <w:rsid w:val="649E018F"/>
    <w:rsid w:val="64A16B58"/>
    <w:rsid w:val="64A20E90"/>
    <w:rsid w:val="64A82DBC"/>
    <w:rsid w:val="64A86918"/>
    <w:rsid w:val="64A96E72"/>
    <w:rsid w:val="64AB06D2"/>
    <w:rsid w:val="64AC5DA7"/>
    <w:rsid w:val="64B24152"/>
    <w:rsid w:val="64B452BD"/>
    <w:rsid w:val="64B61035"/>
    <w:rsid w:val="64B81776"/>
    <w:rsid w:val="64BB1481"/>
    <w:rsid w:val="64BC214C"/>
    <w:rsid w:val="64BF6DD7"/>
    <w:rsid w:val="64C01CD5"/>
    <w:rsid w:val="64C03C61"/>
    <w:rsid w:val="64C05E98"/>
    <w:rsid w:val="64C0687F"/>
    <w:rsid w:val="64C3054B"/>
    <w:rsid w:val="64C319A4"/>
    <w:rsid w:val="64C9520C"/>
    <w:rsid w:val="64CA0C2C"/>
    <w:rsid w:val="64CA4AE0"/>
    <w:rsid w:val="64CB7DE6"/>
    <w:rsid w:val="64CC2606"/>
    <w:rsid w:val="64CC32C3"/>
    <w:rsid w:val="64CE285F"/>
    <w:rsid w:val="64CF20F6"/>
    <w:rsid w:val="64CF4D0F"/>
    <w:rsid w:val="64D12312"/>
    <w:rsid w:val="64D23995"/>
    <w:rsid w:val="64D54206"/>
    <w:rsid w:val="64D61FF8"/>
    <w:rsid w:val="64D92F75"/>
    <w:rsid w:val="64DA347E"/>
    <w:rsid w:val="64DA53CA"/>
    <w:rsid w:val="64DE5D5D"/>
    <w:rsid w:val="64E2007C"/>
    <w:rsid w:val="64E21D35"/>
    <w:rsid w:val="64E662AD"/>
    <w:rsid w:val="64E77440"/>
    <w:rsid w:val="64E831B8"/>
    <w:rsid w:val="64E87AD7"/>
    <w:rsid w:val="64EA5182"/>
    <w:rsid w:val="64EC3F88"/>
    <w:rsid w:val="64ED239F"/>
    <w:rsid w:val="64ED4C6E"/>
    <w:rsid w:val="64EF09EB"/>
    <w:rsid w:val="64F14763"/>
    <w:rsid w:val="64F32A42"/>
    <w:rsid w:val="64F474C1"/>
    <w:rsid w:val="64F47DAF"/>
    <w:rsid w:val="64F61D0E"/>
    <w:rsid w:val="64F63B27"/>
    <w:rsid w:val="64F658D5"/>
    <w:rsid w:val="64F93617"/>
    <w:rsid w:val="64FA7C33"/>
    <w:rsid w:val="64FB113D"/>
    <w:rsid w:val="64FD32DA"/>
    <w:rsid w:val="64FD6DAB"/>
    <w:rsid w:val="650049A6"/>
    <w:rsid w:val="65014DD9"/>
    <w:rsid w:val="65037FF2"/>
    <w:rsid w:val="65075A80"/>
    <w:rsid w:val="650C6EA7"/>
    <w:rsid w:val="65143187"/>
    <w:rsid w:val="65156071"/>
    <w:rsid w:val="6515681C"/>
    <w:rsid w:val="65164F59"/>
    <w:rsid w:val="6518584B"/>
    <w:rsid w:val="651D14FF"/>
    <w:rsid w:val="65211318"/>
    <w:rsid w:val="65241F3A"/>
    <w:rsid w:val="65244A44"/>
    <w:rsid w:val="65247369"/>
    <w:rsid w:val="652561BA"/>
    <w:rsid w:val="65257215"/>
    <w:rsid w:val="65293EFC"/>
    <w:rsid w:val="652A38EB"/>
    <w:rsid w:val="652C12F7"/>
    <w:rsid w:val="652C579B"/>
    <w:rsid w:val="652E506F"/>
    <w:rsid w:val="6530489A"/>
    <w:rsid w:val="65333DA2"/>
    <w:rsid w:val="65336423"/>
    <w:rsid w:val="653D1756"/>
    <w:rsid w:val="653D52B2"/>
    <w:rsid w:val="653F727C"/>
    <w:rsid w:val="65402FF4"/>
    <w:rsid w:val="65404DA2"/>
    <w:rsid w:val="65414C11"/>
    <w:rsid w:val="6544184B"/>
    <w:rsid w:val="65442AE4"/>
    <w:rsid w:val="65444892"/>
    <w:rsid w:val="654622C2"/>
    <w:rsid w:val="65476131"/>
    <w:rsid w:val="654C6E68"/>
    <w:rsid w:val="654E019A"/>
    <w:rsid w:val="65542BE7"/>
    <w:rsid w:val="655A2308"/>
    <w:rsid w:val="655B2BE5"/>
    <w:rsid w:val="655D2457"/>
    <w:rsid w:val="65615027"/>
    <w:rsid w:val="65640A91"/>
    <w:rsid w:val="6566736B"/>
    <w:rsid w:val="6567185E"/>
    <w:rsid w:val="656839B7"/>
    <w:rsid w:val="65696725"/>
    <w:rsid w:val="656A47CC"/>
    <w:rsid w:val="656C666D"/>
    <w:rsid w:val="656E5DB3"/>
    <w:rsid w:val="65700ADE"/>
    <w:rsid w:val="65711400"/>
    <w:rsid w:val="65731DA5"/>
    <w:rsid w:val="65757142"/>
    <w:rsid w:val="657607C4"/>
    <w:rsid w:val="6578278E"/>
    <w:rsid w:val="657A0A1E"/>
    <w:rsid w:val="657B402C"/>
    <w:rsid w:val="657C227E"/>
    <w:rsid w:val="657D1B52"/>
    <w:rsid w:val="657D5FF6"/>
    <w:rsid w:val="657F58CB"/>
    <w:rsid w:val="65817895"/>
    <w:rsid w:val="65842EE1"/>
    <w:rsid w:val="65882202"/>
    <w:rsid w:val="658A426F"/>
    <w:rsid w:val="658B50AB"/>
    <w:rsid w:val="658B6F7C"/>
    <w:rsid w:val="65901297"/>
    <w:rsid w:val="65984936"/>
    <w:rsid w:val="65A162D2"/>
    <w:rsid w:val="65A215B9"/>
    <w:rsid w:val="65A25A5D"/>
    <w:rsid w:val="65A308BF"/>
    <w:rsid w:val="65A417D5"/>
    <w:rsid w:val="65A45B7F"/>
    <w:rsid w:val="65A557DC"/>
    <w:rsid w:val="65A674AA"/>
    <w:rsid w:val="65A90B99"/>
    <w:rsid w:val="65A94042"/>
    <w:rsid w:val="65AB1AEF"/>
    <w:rsid w:val="65AB2698"/>
    <w:rsid w:val="65AF62ED"/>
    <w:rsid w:val="65B1194B"/>
    <w:rsid w:val="65B5782C"/>
    <w:rsid w:val="65BF660F"/>
    <w:rsid w:val="65C43C25"/>
    <w:rsid w:val="65C44593"/>
    <w:rsid w:val="65C8316E"/>
    <w:rsid w:val="65C9123C"/>
    <w:rsid w:val="65C94D98"/>
    <w:rsid w:val="65C97596"/>
    <w:rsid w:val="65CE6593"/>
    <w:rsid w:val="65D451A0"/>
    <w:rsid w:val="65D54E70"/>
    <w:rsid w:val="65D57BE0"/>
    <w:rsid w:val="65D73958"/>
    <w:rsid w:val="65D77CF3"/>
    <w:rsid w:val="65E240AB"/>
    <w:rsid w:val="65E52657"/>
    <w:rsid w:val="65E5782A"/>
    <w:rsid w:val="65E87B10"/>
    <w:rsid w:val="65ED656E"/>
    <w:rsid w:val="65EE4B90"/>
    <w:rsid w:val="65F20487"/>
    <w:rsid w:val="65F4277A"/>
    <w:rsid w:val="65F86064"/>
    <w:rsid w:val="65FC2A7A"/>
    <w:rsid w:val="66037F87"/>
    <w:rsid w:val="660414F9"/>
    <w:rsid w:val="66067D9A"/>
    <w:rsid w:val="66081D64"/>
    <w:rsid w:val="660E3933"/>
    <w:rsid w:val="661029C7"/>
    <w:rsid w:val="661038C3"/>
    <w:rsid w:val="66124991"/>
    <w:rsid w:val="66124C93"/>
    <w:rsid w:val="661324B7"/>
    <w:rsid w:val="661631C8"/>
    <w:rsid w:val="66173D55"/>
    <w:rsid w:val="66180A6D"/>
    <w:rsid w:val="6619125E"/>
    <w:rsid w:val="661A55F3"/>
    <w:rsid w:val="661C699C"/>
    <w:rsid w:val="661E1587"/>
    <w:rsid w:val="6621372E"/>
    <w:rsid w:val="66260A32"/>
    <w:rsid w:val="662A7F2C"/>
    <w:rsid w:val="662F21B1"/>
    <w:rsid w:val="6637260C"/>
    <w:rsid w:val="66384398"/>
    <w:rsid w:val="663E5786"/>
    <w:rsid w:val="66413650"/>
    <w:rsid w:val="66427DBB"/>
    <w:rsid w:val="66432D9C"/>
    <w:rsid w:val="66465769"/>
    <w:rsid w:val="6646776C"/>
    <w:rsid w:val="66470F0F"/>
    <w:rsid w:val="664D59C9"/>
    <w:rsid w:val="664D7777"/>
    <w:rsid w:val="664E20E6"/>
    <w:rsid w:val="664E5A00"/>
    <w:rsid w:val="664F7993"/>
    <w:rsid w:val="66525B0B"/>
    <w:rsid w:val="6653636C"/>
    <w:rsid w:val="6659136A"/>
    <w:rsid w:val="665C20B0"/>
    <w:rsid w:val="665D000C"/>
    <w:rsid w:val="665E7BD6"/>
    <w:rsid w:val="666176C6"/>
    <w:rsid w:val="66636F9A"/>
    <w:rsid w:val="6665218B"/>
    <w:rsid w:val="666762E2"/>
    <w:rsid w:val="666E0687"/>
    <w:rsid w:val="666E6460"/>
    <w:rsid w:val="66737B66"/>
    <w:rsid w:val="66743F27"/>
    <w:rsid w:val="667473F9"/>
    <w:rsid w:val="66765F52"/>
    <w:rsid w:val="667B0788"/>
    <w:rsid w:val="667C005C"/>
    <w:rsid w:val="667E0A26"/>
    <w:rsid w:val="66860EDB"/>
    <w:rsid w:val="668A2779"/>
    <w:rsid w:val="66903339"/>
    <w:rsid w:val="669144A6"/>
    <w:rsid w:val="66950DF7"/>
    <w:rsid w:val="66954EA5"/>
    <w:rsid w:val="6696663C"/>
    <w:rsid w:val="669730E8"/>
    <w:rsid w:val="66976C44"/>
    <w:rsid w:val="66983372"/>
    <w:rsid w:val="669910B5"/>
    <w:rsid w:val="66996E60"/>
    <w:rsid w:val="669E4EAC"/>
    <w:rsid w:val="66A11C49"/>
    <w:rsid w:val="66A20321"/>
    <w:rsid w:val="66A95E25"/>
    <w:rsid w:val="66AA4BC9"/>
    <w:rsid w:val="66AD6467"/>
    <w:rsid w:val="66AD6DFD"/>
    <w:rsid w:val="66AE6DBC"/>
    <w:rsid w:val="66AF5467"/>
    <w:rsid w:val="66AF6B39"/>
    <w:rsid w:val="66B22D41"/>
    <w:rsid w:val="66B5181B"/>
    <w:rsid w:val="66B5531C"/>
    <w:rsid w:val="66B92A18"/>
    <w:rsid w:val="66BB2A10"/>
    <w:rsid w:val="66BC5161"/>
    <w:rsid w:val="66C33EDD"/>
    <w:rsid w:val="66CB2AEA"/>
    <w:rsid w:val="66CB4B3F"/>
    <w:rsid w:val="66CF2DC1"/>
    <w:rsid w:val="66CF63DE"/>
    <w:rsid w:val="66D07732"/>
    <w:rsid w:val="66D6776C"/>
    <w:rsid w:val="66D71736"/>
    <w:rsid w:val="66D94F5C"/>
    <w:rsid w:val="66DA3FFA"/>
    <w:rsid w:val="66DB4166"/>
    <w:rsid w:val="66DB5D66"/>
    <w:rsid w:val="66DC0AFB"/>
    <w:rsid w:val="66E2207A"/>
    <w:rsid w:val="66E61293"/>
    <w:rsid w:val="66E63727"/>
    <w:rsid w:val="66E64965"/>
    <w:rsid w:val="66E67CB9"/>
    <w:rsid w:val="66EA1469"/>
    <w:rsid w:val="66EA76BB"/>
    <w:rsid w:val="66EC0D6A"/>
    <w:rsid w:val="66F16F80"/>
    <w:rsid w:val="66F56FBD"/>
    <w:rsid w:val="66F81DD8"/>
    <w:rsid w:val="66F91A48"/>
    <w:rsid w:val="66F978FF"/>
    <w:rsid w:val="66FC20A3"/>
    <w:rsid w:val="66FE3167"/>
    <w:rsid w:val="67002F9B"/>
    <w:rsid w:val="670F6533"/>
    <w:rsid w:val="6712276E"/>
    <w:rsid w:val="67140E96"/>
    <w:rsid w:val="671464E6"/>
    <w:rsid w:val="6716654D"/>
    <w:rsid w:val="67191CD7"/>
    <w:rsid w:val="671A0564"/>
    <w:rsid w:val="671A30F5"/>
    <w:rsid w:val="67204FE0"/>
    <w:rsid w:val="67295B42"/>
    <w:rsid w:val="672F4561"/>
    <w:rsid w:val="67336273"/>
    <w:rsid w:val="67355A47"/>
    <w:rsid w:val="67362416"/>
    <w:rsid w:val="673A3938"/>
    <w:rsid w:val="673D6EF3"/>
    <w:rsid w:val="674047A3"/>
    <w:rsid w:val="67411AF5"/>
    <w:rsid w:val="67413F82"/>
    <w:rsid w:val="67452B44"/>
    <w:rsid w:val="674548F2"/>
    <w:rsid w:val="67463820"/>
    <w:rsid w:val="67472418"/>
    <w:rsid w:val="67497CA7"/>
    <w:rsid w:val="674B3554"/>
    <w:rsid w:val="67502944"/>
    <w:rsid w:val="675114E9"/>
    <w:rsid w:val="675A398D"/>
    <w:rsid w:val="675C3547"/>
    <w:rsid w:val="675D15A7"/>
    <w:rsid w:val="675D470D"/>
    <w:rsid w:val="675E7762"/>
    <w:rsid w:val="675F3C06"/>
    <w:rsid w:val="67605463"/>
    <w:rsid w:val="67630306"/>
    <w:rsid w:val="67635F6F"/>
    <w:rsid w:val="6764121C"/>
    <w:rsid w:val="6769275E"/>
    <w:rsid w:val="676A47C6"/>
    <w:rsid w:val="676A6106"/>
    <w:rsid w:val="676E7248"/>
    <w:rsid w:val="67732AAF"/>
    <w:rsid w:val="67766731"/>
    <w:rsid w:val="67772538"/>
    <w:rsid w:val="67784CC7"/>
    <w:rsid w:val="67787F07"/>
    <w:rsid w:val="677F6056"/>
    <w:rsid w:val="678137AA"/>
    <w:rsid w:val="678216A2"/>
    <w:rsid w:val="6783438D"/>
    <w:rsid w:val="67847C70"/>
    <w:rsid w:val="678673E4"/>
    <w:rsid w:val="678A5A74"/>
    <w:rsid w:val="678C6FED"/>
    <w:rsid w:val="678D429A"/>
    <w:rsid w:val="679058E2"/>
    <w:rsid w:val="67917192"/>
    <w:rsid w:val="67926DC6"/>
    <w:rsid w:val="67937D01"/>
    <w:rsid w:val="67944795"/>
    <w:rsid w:val="67962FFB"/>
    <w:rsid w:val="67963887"/>
    <w:rsid w:val="67972C90"/>
    <w:rsid w:val="679D092C"/>
    <w:rsid w:val="679F04A6"/>
    <w:rsid w:val="67A07D7A"/>
    <w:rsid w:val="67A4786A"/>
    <w:rsid w:val="67A737C8"/>
    <w:rsid w:val="67A91325"/>
    <w:rsid w:val="67AB055F"/>
    <w:rsid w:val="67AE2263"/>
    <w:rsid w:val="67AF7FBD"/>
    <w:rsid w:val="67B16BE3"/>
    <w:rsid w:val="67B359E4"/>
    <w:rsid w:val="67B37DFF"/>
    <w:rsid w:val="67B83316"/>
    <w:rsid w:val="67B86834"/>
    <w:rsid w:val="67BD26DA"/>
    <w:rsid w:val="67BD6B7E"/>
    <w:rsid w:val="67C036F4"/>
    <w:rsid w:val="67C04BAB"/>
    <w:rsid w:val="67C45239"/>
    <w:rsid w:val="67C73559"/>
    <w:rsid w:val="67C972D1"/>
    <w:rsid w:val="67CD5013"/>
    <w:rsid w:val="67D0065F"/>
    <w:rsid w:val="67D16185"/>
    <w:rsid w:val="67D2228B"/>
    <w:rsid w:val="67D22DA1"/>
    <w:rsid w:val="67D27562"/>
    <w:rsid w:val="67D619EE"/>
    <w:rsid w:val="67D75E41"/>
    <w:rsid w:val="67D77C40"/>
    <w:rsid w:val="67DB0DB2"/>
    <w:rsid w:val="67DD018E"/>
    <w:rsid w:val="67DD4B2A"/>
    <w:rsid w:val="67DF611D"/>
    <w:rsid w:val="67E046E8"/>
    <w:rsid w:val="67E14860"/>
    <w:rsid w:val="67E5741A"/>
    <w:rsid w:val="67E626DF"/>
    <w:rsid w:val="67E67E83"/>
    <w:rsid w:val="67E768AA"/>
    <w:rsid w:val="67ED1917"/>
    <w:rsid w:val="67ED5030"/>
    <w:rsid w:val="67F0050E"/>
    <w:rsid w:val="67F563D7"/>
    <w:rsid w:val="67FC3B0F"/>
    <w:rsid w:val="67FD6F7B"/>
    <w:rsid w:val="67FD7B86"/>
    <w:rsid w:val="67FE0A1E"/>
    <w:rsid w:val="67FF2CF3"/>
    <w:rsid w:val="68051D27"/>
    <w:rsid w:val="680B51D4"/>
    <w:rsid w:val="680E1188"/>
    <w:rsid w:val="680F6ECB"/>
    <w:rsid w:val="681373E8"/>
    <w:rsid w:val="681450EA"/>
    <w:rsid w:val="68150768"/>
    <w:rsid w:val="681517DB"/>
    <w:rsid w:val="68164673"/>
    <w:rsid w:val="681744E0"/>
    <w:rsid w:val="68183DB4"/>
    <w:rsid w:val="681C08A2"/>
    <w:rsid w:val="681E3FB6"/>
    <w:rsid w:val="68232E85"/>
    <w:rsid w:val="68282249"/>
    <w:rsid w:val="682C37AA"/>
    <w:rsid w:val="682F08AB"/>
    <w:rsid w:val="683010FE"/>
    <w:rsid w:val="68336E40"/>
    <w:rsid w:val="68336E43"/>
    <w:rsid w:val="68354966"/>
    <w:rsid w:val="68370EA0"/>
    <w:rsid w:val="683A644E"/>
    <w:rsid w:val="683D1F1A"/>
    <w:rsid w:val="683E175F"/>
    <w:rsid w:val="684150B9"/>
    <w:rsid w:val="684771DE"/>
    <w:rsid w:val="684F6624"/>
    <w:rsid w:val="685017A0"/>
    <w:rsid w:val="68525518"/>
    <w:rsid w:val="68550B65"/>
    <w:rsid w:val="685748DD"/>
    <w:rsid w:val="685B1520"/>
    <w:rsid w:val="685C6397"/>
    <w:rsid w:val="685E3D5A"/>
    <w:rsid w:val="68666209"/>
    <w:rsid w:val="686D2352"/>
    <w:rsid w:val="686F60CA"/>
    <w:rsid w:val="686F6EDA"/>
    <w:rsid w:val="68703BF0"/>
    <w:rsid w:val="6871597E"/>
    <w:rsid w:val="68725444"/>
    <w:rsid w:val="6873723D"/>
    <w:rsid w:val="6874548F"/>
    <w:rsid w:val="68774F7F"/>
    <w:rsid w:val="687A05CB"/>
    <w:rsid w:val="687C1FE5"/>
    <w:rsid w:val="688558EE"/>
    <w:rsid w:val="68863414"/>
    <w:rsid w:val="68866B0F"/>
    <w:rsid w:val="688E4077"/>
    <w:rsid w:val="68921DB9"/>
    <w:rsid w:val="689679D2"/>
    <w:rsid w:val="6897250B"/>
    <w:rsid w:val="68985D6E"/>
    <w:rsid w:val="6899295D"/>
    <w:rsid w:val="68993147"/>
    <w:rsid w:val="689B5C8E"/>
    <w:rsid w:val="689B678C"/>
    <w:rsid w:val="689B6EBF"/>
    <w:rsid w:val="689E250C"/>
    <w:rsid w:val="68A33FC6"/>
    <w:rsid w:val="68AA78F2"/>
    <w:rsid w:val="68AF296B"/>
    <w:rsid w:val="68B27D65"/>
    <w:rsid w:val="68B32029"/>
    <w:rsid w:val="68B44F2F"/>
    <w:rsid w:val="68B87B64"/>
    <w:rsid w:val="68BA047D"/>
    <w:rsid w:val="68BA0E02"/>
    <w:rsid w:val="68BF2482"/>
    <w:rsid w:val="68CA50AF"/>
    <w:rsid w:val="68CB0E27"/>
    <w:rsid w:val="68CB4DC8"/>
    <w:rsid w:val="68CC682A"/>
    <w:rsid w:val="68D04DC4"/>
    <w:rsid w:val="68D66149"/>
    <w:rsid w:val="68D91796"/>
    <w:rsid w:val="68D93544"/>
    <w:rsid w:val="68E00D76"/>
    <w:rsid w:val="68E126B1"/>
    <w:rsid w:val="68E14EA2"/>
    <w:rsid w:val="68E343C2"/>
    <w:rsid w:val="68E51EE8"/>
    <w:rsid w:val="68E67B57"/>
    <w:rsid w:val="68E819D9"/>
    <w:rsid w:val="68EA5751"/>
    <w:rsid w:val="68EB069F"/>
    <w:rsid w:val="68EB5C39"/>
    <w:rsid w:val="68EC14C9"/>
    <w:rsid w:val="68EC5939"/>
    <w:rsid w:val="68F05193"/>
    <w:rsid w:val="68F6059A"/>
    <w:rsid w:val="68F66F15"/>
    <w:rsid w:val="68F93287"/>
    <w:rsid w:val="68F95454"/>
    <w:rsid w:val="68FD083B"/>
    <w:rsid w:val="690031C6"/>
    <w:rsid w:val="69034A64"/>
    <w:rsid w:val="69045A19"/>
    <w:rsid w:val="690507DD"/>
    <w:rsid w:val="690540BF"/>
    <w:rsid w:val="69055968"/>
    <w:rsid w:val="690F6F65"/>
    <w:rsid w:val="69103C7F"/>
    <w:rsid w:val="6914116D"/>
    <w:rsid w:val="69141E79"/>
    <w:rsid w:val="6914700F"/>
    <w:rsid w:val="69163370"/>
    <w:rsid w:val="691D60FF"/>
    <w:rsid w:val="6920531C"/>
    <w:rsid w:val="692534D8"/>
    <w:rsid w:val="69286279"/>
    <w:rsid w:val="69290033"/>
    <w:rsid w:val="692A1FF1"/>
    <w:rsid w:val="692C0E45"/>
    <w:rsid w:val="692C5D69"/>
    <w:rsid w:val="692D5055"/>
    <w:rsid w:val="692F561B"/>
    <w:rsid w:val="69305551"/>
    <w:rsid w:val="69333419"/>
    <w:rsid w:val="693410C2"/>
    <w:rsid w:val="69342E70"/>
    <w:rsid w:val="69382960"/>
    <w:rsid w:val="69397B80"/>
    <w:rsid w:val="693B41FE"/>
    <w:rsid w:val="693C76ED"/>
    <w:rsid w:val="693E3CEF"/>
    <w:rsid w:val="693E5EAC"/>
    <w:rsid w:val="69402E55"/>
    <w:rsid w:val="69472BA3"/>
    <w:rsid w:val="69482477"/>
    <w:rsid w:val="694E2184"/>
    <w:rsid w:val="69556EEC"/>
    <w:rsid w:val="6956493C"/>
    <w:rsid w:val="69584481"/>
    <w:rsid w:val="695A3D04"/>
    <w:rsid w:val="695C530E"/>
    <w:rsid w:val="69620955"/>
    <w:rsid w:val="69627768"/>
    <w:rsid w:val="69646056"/>
    <w:rsid w:val="696734A3"/>
    <w:rsid w:val="696939AD"/>
    <w:rsid w:val="696C260A"/>
    <w:rsid w:val="69731BEA"/>
    <w:rsid w:val="69736FFD"/>
    <w:rsid w:val="69766FE4"/>
    <w:rsid w:val="697B284D"/>
    <w:rsid w:val="697D4817"/>
    <w:rsid w:val="697F058F"/>
    <w:rsid w:val="69803AC0"/>
    <w:rsid w:val="69807E63"/>
    <w:rsid w:val="698107BC"/>
    <w:rsid w:val="69823BDB"/>
    <w:rsid w:val="69870A1A"/>
    <w:rsid w:val="698718D7"/>
    <w:rsid w:val="698B1492"/>
    <w:rsid w:val="698F62F8"/>
    <w:rsid w:val="699176FF"/>
    <w:rsid w:val="69925493"/>
    <w:rsid w:val="69937B96"/>
    <w:rsid w:val="699A7988"/>
    <w:rsid w:val="699C7969"/>
    <w:rsid w:val="699E7743"/>
    <w:rsid w:val="699F29DF"/>
    <w:rsid w:val="699F3460"/>
    <w:rsid w:val="69A25671"/>
    <w:rsid w:val="69A33960"/>
    <w:rsid w:val="69A35F61"/>
    <w:rsid w:val="69AD6FD4"/>
    <w:rsid w:val="69AF244E"/>
    <w:rsid w:val="69B108F4"/>
    <w:rsid w:val="69B1233A"/>
    <w:rsid w:val="69B13899"/>
    <w:rsid w:val="69B1626F"/>
    <w:rsid w:val="69B55D5F"/>
    <w:rsid w:val="69BD10B7"/>
    <w:rsid w:val="69BE2FD8"/>
    <w:rsid w:val="69C04704"/>
    <w:rsid w:val="69C621F2"/>
    <w:rsid w:val="69C62A73"/>
    <w:rsid w:val="69C649F9"/>
    <w:rsid w:val="69CA10DE"/>
    <w:rsid w:val="69CC0CF0"/>
    <w:rsid w:val="69CC6B7C"/>
    <w:rsid w:val="69CE7607"/>
    <w:rsid w:val="69D106BF"/>
    <w:rsid w:val="69D232FD"/>
    <w:rsid w:val="69D41F5D"/>
    <w:rsid w:val="69D72179"/>
    <w:rsid w:val="69D81A4D"/>
    <w:rsid w:val="69DC2576"/>
    <w:rsid w:val="69DC6B19"/>
    <w:rsid w:val="69DF0D2D"/>
    <w:rsid w:val="69E20B1E"/>
    <w:rsid w:val="69E4001D"/>
    <w:rsid w:val="69E44896"/>
    <w:rsid w:val="69E53C52"/>
    <w:rsid w:val="69E95D5E"/>
    <w:rsid w:val="69EA2A31"/>
    <w:rsid w:val="69EA30F4"/>
    <w:rsid w:val="69EE301F"/>
    <w:rsid w:val="69FA7C16"/>
    <w:rsid w:val="69FC398E"/>
    <w:rsid w:val="69FD14B4"/>
    <w:rsid w:val="6A013E18"/>
    <w:rsid w:val="6A0406CB"/>
    <w:rsid w:val="6A0A0EDB"/>
    <w:rsid w:val="6A0C24A4"/>
    <w:rsid w:val="6A0D2707"/>
    <w:rsid w:val="6A0E36C1"/>
    <w:rsid w:val="6A113B89"/>
    <w:rsid w:val="6A164924"/>
    <w:rsid w:val="6A1709C7"/>
    <w:rsid w:val="6A18009C"/>
    <w:rsid w:val="6A1A2066"/>
    <w:rsid w:val="6A1B7B8C"/>
    <w:rsid w:val="6A1C1E6E"/>
    <w:rsid w:val="6A1F3D5D"/>
    <w:rsid w:val="6A204DBF"/>
    <w:rsid w:val="6A210732"/>
    <w:rsid w:val="6A264357"/>
    <w:rsid w:val="6A267D81"/>
    <w:rsid w:val="6A271505"/>
    <w:rsid w:val="6A2E6D07"/>
    <w:rsid w:val="6A2F0FA5"/>
    <w:rsid w:val="6A3003EA"/>
    <w:rsid w:val="6A331379"/>
    <w:rsid w:val="6A3458FD"/>
    <w:rsid w:val="6A352F84"/>
    <w:rsid w:val="6A370475"/>
    <w:rsid w:val="6A38073E"/>
    <w:rsid w:val="6A3C13E7"/>
    <w:rsid w:val="6A3F19AC"/>
    <w:rsid w:val="6A420037"/>
    <w:rsid w:val="6A453E89"/>
    <w:rsid w:val="6A4B66C3"/>
    <w:rsid w:val="6A4C30EF"/>
    <w:rsid w:val="6A5406F8"/>
    <w:rsid w:val="6A5409F4"/>
    <w:rsid w:val="6A5D11DA"/>
    <w:rsid w:val="6A603614"/>
    <w:rsid w:val="6A60436C"/>
    <w:rsid w:val="6A641533"/>
    <w:rsid w:val="6A660023"/>
    <w:rsid w:val="6A667059"/>
    <w:rsid w:val="6A7276FA"/>
    <w:rsid w:val="6A740715"/>
    <w:rsid w:val="6A7506A4"/>
    <w:rsid w:val="6A75325D"/>
    <w:rsid w:val="6A7639E9"/>
    <w:rsid w:val="6A7A29C6"/>
    <w:rsid w:val="6A7A33A0"/>
    <w:rsid w:val="6A7A48B2"/>
    <w:rsid w:val="6A7C1FB6"/>
    <w:rsid w:val="6A7D0134"/>
    <w:rsid w:val="6A81158B"/>
    <w:rsid w:val="6A813E48"/>
    <w:rsid w:val="6A815C41"/>
    <w:rsid w:val="6A8167E2"/>
    <w:rsid w:val="6A845073"/>
    <w:rsid w:val="6A883383"/>
    <w:rsid w:val="6A8A48B5"/>
    <w:rsid w:val="6A8B2D2D"/>
    <w:rsid w:val="6A8D3E4B"/>
    <w:rsid w:val="6A8D6CDC"/>
    <w:rsid w:val="6A90057A"/>
    <w:rsid w:val="6A9242F2"/>
    <w:rsid w:val="6A9604EB"/>
    <w:rsid w:val="6A975464"/>
    <w:rsid w:val="6A981687"/>
    <w:rsid w:val="6A9A589E"/>
    <w:rsid w:val="6A9D53A6"/>
    <w:rsid w:val="6AA31111"/>
    <w:rsid w:val="6AAD43DC"/>
    <w:rsid w:val="6AAE200A"/>
    <w:rsid w:val="6AB029CA"/>
    <w:rsid w:val="6AB53B26"/>
    <w:rsid w:val="6AB63143"/>
    <w:rsid w:val="6AB724ED"/>
    <w:rsid w:val="6AB74D3E"/>
    <w:rsid w:val="6AB853DB"/>
    <w:rsid w:val="6AB92FB2"/>
    <w:rsid w:val="6ABA73A5"/>
    <w:rsid w:val="6ABB3AB5"/>
    <w:rsid w:val="6ABC136F"/>
    <w:rsid w:val="6ABC4ECB"/>
    <w:rsid w:val="6ABE25B8"/>
    <w:rsid w:val="6AC076F4"/>
    <w:rsid w:val="6AC42319"/>
    <w:rsid w:val="6AC54658"/>
    <w:rsid w:val="6AC777B0"/>
    <w:rsid w:val="6ACA4C30"/>
    <w:rsid w:val="6ACB4E68"/>
    <w:rsid w:val="6ACC2F49"/>
    <w:rsid w:val="6ACE4BFE"/>
    <w:rsid w:val="6AD2092B"/>
    <w:rsid w:val="6AD46F87"/>
    <w:rsid w:val="6ADA17F5"/>
    <w:rsid w:val="6ADC55BF"/>
    <w:rsid w:val="6ADC67EC"/>
    <w:rsid w:val="6AE13436"/>
    <w:rsid w:val="6AE21582"/>
    <w:rsid w:val="6AE3108D"/>
    <w:rsid w:val="6AE83F12"/>
    <w:rsid w:val="6AEF52A0"/>
    <w:rsid w:val="6AF117EA"/>
    <w:rsid w:val="6AF44665"/>
    <w:rsid w:val="6AF508A8"/>
    <w:rsid w:val="6AF536BB"/>
    <w:rsid w:val="6AF54B40"/>
    <w:rsid w:val="6AF857FE"/>
    <w:rsid w:val="6AF91C7B"/>
    <w:rsid w:val="6AFB15EB"/>
    <w:rsid w:val="6AFB1E97"/>
    <w:rsid w:val="6AFC176B"/>
    <w:rsid w:val="6AFF129D"/>
    <w:rsid w:val="6B030D4C"/>
    <w:rsid w:val="6B064398"/>
    <w:rsid w:val="6B0B7C00"/>
    <w:rsid w:val="6B0C237E"/>
    <w:rsid w:val="6B0E7004"/>
    <w:rsid w:val="6B107944"/>
    <w:rsid w:val="6B110D50"/>
    <w:rsid w:val="6B1368F5"/>
    <w:rsid w:val="6B137D39"/>
    <w:rsid w:val="6B1D7377"/>
    <w:rsid w:val="6B2018FE"/>
    <w:rsid w:val="6B2327C2"/>
    <w:rsid w:val="6B264A3A"/>
    <w:rsid w:val="6B2F38EF"/>
    <w:rsid w:val="6B302522"/>
    <w:rsid w:val="6B3158B9"/>
    <w:rsid w:val="6B374389"/>
    <w:rsid w:val="6B38399B"/>
    <w:rsid w:val="6B39757A"/>
    <w:rsid w:val="6B397A9B"/>
    <w:rsid w:val="6B3B790B"/>
    <w:rsid w:val="6B3C600C"/>
    <w:rsid w:val="6B3F0D35"/>
    <w:rsid w:val="6B460C38"/>
    <w:rsid w:val="6B463763"/>
    <w:rsid w:val="6B4A0587"/>
    <w:rsid w:val="6B4A2979"/>
    <w:rsid w:val="6B4B1A7F"/>
    <w:rsid w:val="6B5059EA"/>
    <w:rsid w:val="6B561D35"/>
    <w:rsid w:val="6B567A44"/>
    <w:rsid w:val="6B570BD3"/>
    <w:rsid w:val="6B575B05"/>
    <w:rsid w:val="6B5E41D4"/>
    <w:rsid w:val="6B60619E"/>
    <w:rsid w:val="6B6270AF"/>
    <w:rsid w:val="6B695F28"/>
    <w:rsid w:val="6B696C8B"/>
    <w:rsid w:val="6B6F018F"/>
    <w:rsid w:val="6B6F2EBA"/>
    <w:rsid w:val="6B701680"/>
    <w:rsid w:val="6B702C90"/>
    <w:rsid w:val="6B712159"/>
    <w:rsid w:val="6B722607"/>
    <w:rsid w:val="6B732952"/>
    <w:rsid w:val="6B735ED1"/>
    <w:rsid w:val="6B740742"/>
    <w:rsid w:val="6B77613C"/>
    <w:rsid w:val="6B79164E"/>
    <w:rsid w:val="6B793E05"/>
    <w:rsid w:val="6B7C052E"/>
    <w:rsid w:val="6B80239C"/>
    <w:rsid w:val="6B826114"/>
    <w:rsid w:val="6B826B3E"/>
    <w:rsid w:val="6B8471F4"/>
    <w:rsid w:val="6B876E7C"/>
    <w:rsid w:val="6B8924FB"/>
    <w:rsid w:val="6B8A1C13"/>
    <w:rsid w:val="6B8C2AEF"/>
    <w:rsid w:val="6B8D30F6"/>
    <w:rsid w:val="6B8F25DF"/>
    <w:rsid w:val="6B8F7255"/>
    <w:rsid w:val="6B903B90"/>
    <w:rsid w:val="6B9145AA"/>
    <w:rsid w:val="6B9419A4"/>
    <w:rsid w:val="6B95409A"/>
    <w:rsid w:val="6B96488E"/>
    <w:rsid w:val="6B96499B"/>
    <w:rsid w:val="6B9D2F4E"/>
    <w:rsid w:val="6B9E5635"/>
    <w:rsid w:val="6BA46BE1"/>
    <w:rsid w:val="6BA71D9C"/>
    <w:rsid w:val="6BAA7419"/>
    <w:rsid w:val="6BAA7544"/>
    <w:rsid w:val="6BAF27FC"/>
    <w:rsid w:val="6BAF4A30"/>
    <w:rsid w:val="6BB30B46"/>
    <w:rsid w:val="6BB32772"/>
    <w:rsid w:val="6BB55411"/>
    <w:rsid w:val="6BB661EC"/>
    <w:rsid w:val="6BBB5226"/>
    <w:rsid w:val="6BBD714D"/>
    <w:rsid w:val="6BBF7101"/>
    <w:rsid w:val="6BC6029D"/>
    <w:rsid w:val="6BC949C2"/>
    <w:rsid w:val="6BCA0950"/>
    <w:rsid w:val="6BCA79DB"/>
    <w:rsid w:val="6BCC3A25"/>
    <w:rsid w:val="6BD14751"/>
    <w:rsid w:val="6BD2201D"/>
    <w:rsid w:val="6BD31ED6"/>
    <w:rsid w:val="6BD57153"/>
    <w:rsid w:val="6BD66460"/>
    <w:rsid w:val="6BD83249"/>
    <w:rsid w:val="6BD91777"/>
    <w:rsid w:val="6BD91AAD"/>
    <w:rsid w:val="6BDA5F51"/>
    <w:rsid w:val="6BDB24DB"/>
    <w:rsid w:val="6BDC73CC"/>
    <w:rsid w:val="6BE04BE9"/>
    <w:rsid w:val="6BE14C5F"/>
    <w:rsid w:val="6BE2035B"/>
    <w:rsid w:val="6BE26BB3"/>
    <w:rsid w:val="6BE42C71"/>
    <w:rsid w:val="6BE65222"/>
    <w:rsid w:val="6BEA5A68"/>
    <w:rsid w:val="6BEF42E3"/>
    <w:rsid w:val="6BF16DF6"/>
    <w:rsid w:val="6BF32B6E"/>
    <w:rsid w:val="6BFA028E"/>
    <w:rsid w:val="6BFA214F"/>
    <w:rsid w:val="6BFA6D45"/>
    <w:rsid w:val="6BFD39ED"/>
    <w:rsid w:val="6BFF1513"/>
    <w:rsid w:val="6BFF5620"/>
    <w:rsid w:val="6C001913"/>
    <w:rsid w:val="6C012D0E"/>
    <w:rsid w:val="6C022DB1"/>
    <w:rsid w:val="6C042FCD"/>
    <w:rsid w:val="6C046B2A"/>
    <w:rsid w:val="6C060AF4"/>
    <w:rsid w:val="6C0846D6"/>
    <w:rsid w:val="6C091574"/>
    <w:rsid w:val="6C092392"/>
    <w:rsid w:val="6C0A765C"/>
    <w:rsid w:val="6C0E79A8"/>
    <w:rsid w:val="6C123BFA"/>
    <w:rsid w:val="6C14068C"/>
    <w:rsid w:val="6C184383"/>
    <w:rsid w:val="6C1906B7"/>
    <w:rsid w:val="6C1A7630"/>
    <w:rsid w:val="6C1B20C5"/>
    <w:rsid w:val="6C1C63A4"/>
    <w:rsid w:val="6C224BFB"/>
    <w:rsid w:val="6C22511C"/>
    <w:rsid w:val="6C256AA0"/>
    <w:rsid w:val="6C292A34"/>
    <w:rsid w:val="6C2B055A"/>
    <w:rsid w:val="6C2B2308"/>
    <w:rsid w:val="6C2E1DF8"/>
    <w:rsid w:val="6C32706D"/>
    <w:rsid w:val="6C382C77"/>
    <w:rsid w:val="6C3A079D"/>
    <w:rsid w:val="6C3C2783"/>
    <w:rsid w:val="6C3D5CAF"/>
    <w:rsid w:val="6C3F1694"/>
    <w:rsid w:val="6C411B2C"/>
    <w:rsid w:val="6C4258A4"/>
    <w:rsid w:val="6C445178"/>
    <w:rsid w:val="6C450AD1"/>
    <w:rsid w:val="6C49302E"/>
    <w:rsid w:val="6C4A7B33"/>
    <w:rsid w:val="6C4E4249"/>
    <w:rsid w:val="6C4F6C96"/>
    <w:rsid w:val="6C5171A8"/>
    <w:rsid w:val="6C523AD2"/>
    <w:rsid w:val="6C5309A3"/>
    <w:rsid w:val="6C5406CC"/>
    <w:rsid w:val="6C5630FD"/>
    <w:rsid w:val="6C591C44"/>
    <w:rsid w:val="6C5A7C87"/>
    <w:rsid w:val="6C5B3329"/>
    <w:rsid w:val="6C5C5F78"/>
    <w:rsid w:val="6C5E604F"/>
    <w:rsid w:val="6C6121CE"/>
    <w:rsid w:val="6C615D2A"/>
    <w:rsid w:val="6C6677E4"/>
    <w:rsid w:val="6C675192"/>
    <w:rsid w:val="6C691082"/>
    <w:rsid w:val="6C6B0755"/>
    <w:rsid w:val="6C737F25"/>
    <w:rsid w:val="6C7508E4"/>
    <w:rsid w:val="6C765230"/>
    <w:rsid w:val="6C77554D"/>
    <w:rsid w:val="6C785867"/>
    <w:rsid w:val="6C785A80"/>
    <w:rsid w:val="6C7C09FD"/>
    <w:rsid w:val="6C7D61B2"/>
    <w:rsid w:val="6C8009CF"/>
    <w:rsid w:val="6C800BEF"/>
    <w:rsid w:val="6C81017A"/>
    <w:rsid w:val="6C816902"/>
    <w:rsid w:val="6C8324C8"/>
    <w:rsid w:val="6C8612C2"/>
    <w:rsid w:val="6C861C34"/>
    <w:rsid w:val="6C865790"/>
    <w:rsid w:val="6C87570F"/>
    <w:rsid w:val="6C876CC3"/>
    <w:rsid w:val="6C882B7F"/>
    <w:rsid w:val="6C8857CF"/>
    <w:rsid w:val="6C895281"/>
    <w:rsid w:val="6C8B72D9"/>
    <w:rsid w:val="6C8D4D71"/>
    <w:rsid w:val="6C8D5870"/>
    <w:rsid w:val="6C911B1F"/>
    <w:rsid w:val="6C9360FF"/>
    <w:rsid w:val="6C9844D2"/>
    <w:rsid w:val="6C9854C4"/>
    <w:rsid w:val="6C985677"/>
    <w:rsid w:val="6C9A748E"/>
    <w:rsid w:val="6C9C3912"/>
    <w:rsid w:val="6C9D4019"/>
    <w:rsid w:val="6CA03DD2"/>
    <w:rsid w:val="6CA125CA"/>
    <w:rsid w:val="6CA40A25"/>
    <w:rsid w:val="6CA51091"/>
    <w:rsid w:val="6CA513FC"/>
    <w:rsid w:val="6CA6730F"/>
    <w:rsid w:val="6CA732C1"/>
    <w:rsid w:val="6CAA72C6"/>
    <w:rsid w:val="6CAD71C1"/>
    <w:rsid w:val="6CAE0D75"/>
    <w:rsid w:val="6CAF118B"/>
    <w:rsid w:val="6CB02F5F"/>
    <w:rsid w:val="6CB03718"/>
    <w:rsid w:val="6CB07BB2"/>
    <w:rsid w:val="6CB22A29"/>
    <w:rsid w:val="6CB322FE"/>
    <w:rsid w:val="6CB34465"/>
    <w:rsid w:val="6CB4334D"/>
    <w:rsid w:val="6CB5473A"/>
    <w:rsid w:val="6CB73B9C"/>
    <w:rsid w:val="6CBF380A"/>
    <w:rsid w:val="6CBF4A49"/>
    <w:rsid w:val="6CC02D85"/>
    <w:rsid w:val="6CC369E5"/>
    <w:rsid w:val="6CCE0573"/>
    <w:rsid w:val="6CCE444C"/>
    <w:rsid w:val="6CD26C28"/>
    <w:rsid w:val="6CD40BF2"/>
    <w:rsid w:val="6CD429A0"/>
    <w:rsid w:val="6CD53F3B"/>
    <w:rsid w:val="6CDA0506"/>
    <w:rsid w:val="6CDB0484"/>
    <w:rsid w:val="6CDD6DE3"/>
    <w:rsid w:val="6CDE381E"/>
    <w:rsid w:val="6CDF1C45"/>
    <w:rsid w:val="6CE07597"/>
    <w:rsid w:val="6CE150BD"/>
    <w:rsid w:val="6CE26A75"/>
    <w:rsid w:val="6CE452C5"/>
    <w:rsid w:val="6CE45AD4"/>
    <w:rsid w:val="6CE4695B"/>
    <w:rsid w:val="6CE61613"/>
    <w:rsid w:val="6CE64481"/>
    <w:rsid w:val="6CE773ED"/>
    <w:rsid w:val="6CEA71EE"/>
    <w:rsid w:val="6CEB5F3B"/>
    <w:rsid w:val="6CEC7CC7"/>
    <w:rsid w:val="6CED3A62"/>
    <w:rsid w:val="6CF450C7"/>
    <w:rsid w:val="6CF7043C"/>
    <w:rsid w:val="6D003795"/>
    <w:rsid w:val="6D040A33"/>
    <w:rsid w:val="6D071CF1"/>
    <w:rsid w:val="6D07661A"/>
    <w:rsid w:val="6D07720E"/>
    <w:rsid w:val="6D083E39"/>
    <w:rsid w:val="6D0843F7"/>
    <w:rsid w:val="6D0B1319"/>
    <w:rsid w:val="6D0F0901"/>
    <w:rsid w:val="6D125276"/>
    <w:rsid w:val="6D154BA7"/>
    <w:rsid w:val="6D182FE5"/>
    <w:rsid w:val="6D184E38"/>
    <w:rsid w:val="6D1946ED"/>
    <w:rsid w:val="6D1F5CB2"/>
    <w:rsid w:val="6D235A60"/>
    <w:rsid w:val="6D237483"/>
    <w:rsid w:val="6D265FA8"/>
    <w:rsid w:val="6D272EC5"/>
    <w:rsid w:val="6D2731B2"/>
    <w:rsid w:val="6D2E426F"/>
    <w:rsid w:val="6D323B6A"/>
    <w:rsid w:val="6D325918"/>
    <w:rsid w:val="6D3901BC"/>
    <w:rsid w:val="6D3C22F3"/>
    <w:rsid w:val="6D3C6797"/>
    <w:rsid w:val="6D437B25"/>
    <w:rsid w:val="6D45389E"/>
    <w:rsid w:val="6D486585"/>
    <w:rsid w:val="6D496027"/>
    <w:rsid w:val="6D4B2536"/>
    <w:rsid w:val="6D4C4C2C"/>
    <w:rsid w:val="6D4D0109"/>
    <w:rsid w:val="6D4D3B49"/>
    <w:rsid w:val="6D4F01FF"/>
    <w:rsid w:val="6D532B4C"/>
    <w:rsid w:val="6D5706E5"/>
    <w:rsid w:val="6D57537F"/>
    <w:rsid w:val="6D5B6F02"/>
    <w:rsid w:val="6D5E04BB"/>
    <w:rsid w:val="6D6016CB"/>
    <w:rsid w:val="6D611D5A"/>
    <w:rsid w:val="6D6303D9"/>
    <w:rsid w:val="6D631F76"/>
    <w:rsid w:val="6D637130"/>
    <w:rsid w:val="6D643DFF"/>
    <w:rsid w:val="6D663C06"/>
    <w:rsid w:val="6D68133A"/>
    <w:rsid w:val="6D6C78D5"/>
    <w:rsid w:val="6D6F32B1"/>
    <w:rsid w:val="6D6F3466"/>
    <w:rsid w:val="6D6F54AA"/>
    <w:rsid w:val="6D747729"/>
    <w:rsid w:val="6D763A57"/>
    <w:rsid w:val="6D765805"/>
    <w:rsid w:val="6D770E1E"/>
    <w:rsid w:val="6D7729A1"/>
    <w:rsid w:val="6D806684"/>
    <w:rsid w:val="6D853C9A"/>
    <w:rsid w:val="6D877A12"/>
    <w:rsid w:val="6D88182A"/>
    <w:rsid w:val="6D8A12B0"/>
    <w:rsid w:val="6D8C327A"/>
    <w:rsid w:val="6D8D2B4F"/>
    <w:rsid w:val="6D8F2D6B"/>
    <w:rsid w:val="6D8F3676"/>
    <w:rsid w:val="6D8F3A0D"/>
    <w:rsid w:val="6D8F61DE"/>
    <w:rsid w:val="6D912FC0"/>
    <w:rsid w:val="6D94212F"/>
    <w:rsid w:val="6D943EDD"/>
    <w:rsid w:val="6D9A6BAF"/>
    <w:rsid w:val="6D9B2372"/>
    <w:rsid w:val="6D9C31F4"/>
    <w:rsid w:val="6D9D0818"/>
    <w:rsid w:val="6D9D5488"/>
    <w:rsid w:val="6DA22804"/>
    <w:rsid w:val="6DA34120"/>
    <w:rsid w:val="6DA34A14"/>
    <w:rsid w:val="6DA71E62"/>
    <w:rsid w:val="6DA751E6"/>
    <w:rsid w:val="6DA86676"/>
    <w:rsid w:val="6DA92C5D"/>
    <w:rsid w:val="6DA93431"/>
    <w:rsid w:val="6DAF6F69"/>
    <w:rsid w:val="6DB13E18"/>
    <w:rsid w:val="6DB14A8F"/>
    <w:rsid w:val="6DB267C0"/>
    <w:rsid w:val="6DB32622"/>
    <w:rsid w:val="6DB53EA8"/>
    <w:rsid w:val="6DB602F7"/>
    <w:rsid w:val="6DB666D6"/>
    <w:rsid w:val="6DB77BCC"/>
    <w:rsid w:val="6DB82CF7"/>
    <w:rsid w:val="6DB91B96"/>
    <w:rsid w:val="6DB9657F"/>
    <w:rsid w:val="6DC61BFF"/>
    <w:rsid w:val="6DC70686"/>
    <w:rsid w:val="6DC7127D"/>
    <w:rsid w:val="6DC72505"/>
    <w:rsid w:val="6DC8082B"/>
    <w:rsid w:val="6DC8738A"/>
    <w:rsid w:val="6DD15131"/>
    <w:rsid w:val="6DD263AF"/>
    <w:rsid w:val="6DD32C57"/>
    <w:rsid w:val="6DD34817"/>
    <w:rsid w:val="6DD538A4"/>
    <w:rsid w:val="6DD6317B"/>
    <w:rsid w:val="6DD864C0"/>
    <w:rsid w:val="6DDC6E78"/>
    <w:rsid w:val="6DDD7632"/>
    <w:rsid w:val="6DE05374"/>
    <w:rsid w:val="6DE2733E"/>
    <w:rsid w:val="6DE620B0"/>
    <w:rsid w:val="6DE8138B"/>
    <w:rsid w:val="6DE94229"/>
    <w:rsid w:val="6DEC5AC7"/>
    <w:rsid w:val="6DEE183F"/>
    <w:rsid w:val="6DEE2B38"/>
    <w:rsid w:val="6DEE6803"/>
    <w:rsid w:val="6DEF7365"/>
    <w:rsid w:val="6DF20188"/>
    <w:rsid w:val="6DF350A8"/>
    <w:rsid w:val="6DF357E6"/>
    <w:rsid w:val="6DF66946"/>
    <w:rsid w:val="6DF97346"/>
    <w:rsid w:val="6DFA4688"/>
    <w:rsid w:val="6DFA6436"/>
    <w:rsid w:val="6DFB21AE"/>
    <w:rsid w:val="6DFB3F5C"/>
    <w:rsid w:val="6DFD7CD4"/>
    <w:rsid w:val="6DFF1C9E"/>
    <w:rsid w:val="6E040E16"/>
    <w:rsid w:val="6E04466E"/>
    <w:rsid w:val="6E0472B5"/>
    <w:rsid w:val="6E06549F"/>
    <w:rsid w:val="6E070B53"/>
    <w:rsid w:val="6E094237"/>
    <w:rsid w:val="6E0A1E00"/>
    <w:rsid w:val="6E0A7D76"/>
    <w:rsid w:val="6E0E5739"/>
    <w:rsid w:val="6E113780"/>
    <w:rsid w:val="6E144E55"/>
    <w:rsid w:val="6E14501E"/>
    <w:rsid w:val="6E1F4845"/>
    <w:rsid w:val="6E226882"/>
    <w:rsid w:val="6E234D39"/>
    <w:rsid w:val="6E25722B"/>
    <w:rsid w:val="6E290AC9"/>
    <w:rsid w:val="6E296D1B"/>
    <w:rsid w:val="6E2B2A93"/>
    <w:rsid w:val="6E30731F"/>
    <w:rsid w:val="6E3213A1"/>
    <w:rsid w:val="6E322B31"/>
    <w:rsid w:val="6E3661C1"/>
    <w:rsid w:val="6E370014"/>
    <w:rsid w:val="6E3738FD"/>
    <w:rsid w:val="6E3A0F28"/>
    <w:rsid w:val="6E4249AF"/>
    <w:rsid w:val="6E4408EB"/>
    <w:rsid w:val="6E443B55"/>
    <w:rsid w:val="6E4753F3"/>
    <w:rsid w:val="6E496D3C"/>
    <w:rsid w:val="6E4A51F2"/>
    <w:rsid w:val="6E4A5A7E"/>
    <w:rsid w:val="6E4A7CF8"/>
    <w:rsid w:val="6E4C0C5C"/>
    <w:rsid w:val="6E4C168B"/>
    <w:rsid w:val="6E4D3B18"/>
    <w:rsid w:val="6E4E1FDB"/>
    <w:rsid w:val="6E4F7FF6"/>
    <w:rsid w:val="6E52077A"/>
    <w:rsid w:val="6E533D98"/>
    <w:rsid w:val="6E5478D1"/>
    <w:rsid w:val="6E56579E"/>
    <w:rsid w:val="6E57633D"/>
    <w:rsid w:val="6E5972F9"/>
    <w:rsid w:val="6E5A6ED5"/>
    <w:rsid w:val="6E6164B5"/>
    <w:rsid w:val="6E6164F3"/>
    <w:rsid w:val="6E643E09"/>
    <w:rsid w:val="6E6C09B6"/>
    <w:rsid w:val="6E6E31AC"/>
    <w:rsid w:val="6E70494A"/>
    <w:rsid w:val="6E737F96"/>
    <w:rsid w:val="6E7744C8"/>
    <w:rsid w:val="6E80678D"/>
    <w:rsid w:val="6E861244"/>
    <w:rsid w:val="6E894212"/>
    <w:rsid w:val="6E8B036B"/>
    <w:rsid w:val="6E8C1058"/>
    <w:rsid w:val="6E8E4DD0"/>
    <w:rsid w:val="6E8F667E"/>
    <w:rsid w:val="6E90674D"/>
    <w:rsid w:val="6E914A54"/>
    <w:rsid w:val="6E95615F"/>
    <w:rsid w:val="6E9B0588"/>
    <w:rsid w:val="6EA12D56"/>
    <w:rsid w:val="6EA57C83"/>
    <w:rsid w:val="6EAE5472"/>
    <w:rsid w:val="6EAE7189"/>
    <w:rsid w:val="6EAF6C69"/>
    <w:rsid w:val="6EB1667F"/>
    <w:rsid w:val="6EB32D5A"/>
    <w:rsid w:val="6EB760D5"/>
    <w:rsid w:val="6EB87848"/>
    <w:rsid w:val="6EB94005"/>
    <w:rsid w:val="6EB9701A"/>
    <w:rsid w:val="6EBC193D"/>
    <w:rsid w:val="6EBD1212"/>
    <w:rsid w:val="6EC05BC6"/>
    <w:rsid w:val="6EC52DE9"/>
    <w:rsid w:val="6ECB1B80"/>
    <w:rsid w:val="6ECC1ED8"/>
    <w:rsid w:val="6ECD53E2"/>
    <w:rsid w:val="6ECD55A7"/>
    <w:rsid w:val="6ED04AFD"/>
    <w:rsid w:val="6ED12C4D"/>
    <w:rsid w:val="6ED33CEA"/>
    <w:rsid w:val="6ED554AF"/>
    <w:rsid w:val="6ED74E66"/>
    <w:rsid w:val="6EDA0016"/>
    <w:rsid w:val="6EDC453B"/>
    <w:rsid w:val="6EE40E94"/>
    <w:rsid w:val="6EE669BA"/>
    <w:rsid w:val="6EE94DB5"/>
    <w:rsid w:val="6EEB2223"/>
    <w:rsid w:val="6EEE3AB2"/>
    <w:rsid w:val="6EEF0092"/>
    <w:rsid w:val="6EF727C3"/>
    <w:rsid w:val="6EF81A16"/>
    <w:rsid w:val="6EF91340"/>
    <w:rsid w:val="6EF92429"/>
    <w:rsid w:val="6EFB44C9"/>
    <w:rsid w:val="6EFB45F9"/>
    <w:rsid w:val="6EFE1F56"/>
    <w:rsid w:val="6F013D03"/>
    <w:rsid w:val="6F0207D4"/>
    <w:rsid w:val="6F043F93"/>
    <w:rsid w:val="6F045092"/>
    <w:rsid w:val="6F0A08FB"/>
    <w:rsid w:val="6F0B4673"/>
    <w:rsid w:val="6F0D120F"/>
    <w:rsid w:val="6F0D3919"/>
    <w:rsid w:val="6F0F591F"/>
    <w:rsid w:val="6F0F7105"/>
    <w:rsid w:val="6F123351"/>
    <w:rsid w:val="6F125A01"/>
    <w:rsid w:val="6F130BA6"/>
    <w:rsid w:val="6F1522E3"/>
    <w:rsid w:val="6F1751E2"/>
    <w:rsid w:val="6F1928EC"/>
    <w:rsid w:val="6F1D1B80"/>
    <w:rsid w:val="6F224530"/>
    <w:rsid w:val="6F23376B"/>
    <w:rsid w:val="6F240C8D"/>
    <w:rsid w:val="6F240E42"/>
    <w:rsid w:val="6F2B0871"/>
    <w:rsid w:val="6F2D283B"/>
    <w:rsid w:val="6F2D2A84"/>
    <w:rsid w:val="6F2D3058"/>
    <w:rsid w:val="6F2F0361"/>
    <w:rsid w:val="6F3455AD"/>
    <w:rsid w:val="6F35349E"/>
    <w:rsid w:val="6F356BC6"/>
    <w:rsid w:val="6F37486C"/>
    <w:rsid w:val="6F391A0C"/>
    <w:rsid w:val="6F394D3C"/>
    <w:rsid w:val="6F397B56"/>
    <w:rsid w:val="6F411698"/>
    <w:rsid w:val="6F415726"/>
    <w:rsid w:val="6F4162E7"/>
    <w:rsid w:val="6F435BBB"/>
    <w:rsid w:val="6F436E43"/>
    <w:rsid w:val="6F4638FD"/>
    <w:rsid w:val="6F474346"/>
    <w:rsid w:val="6F4760D3"/>
    <w:rsid w:val="6F4B2776"/>
    <w:rsid w:val="6F4E5EBB"/>
    <w:rsid w:val="6F50730C"/>
    <w:rsid w:val="6F51652A"/>
    <w:rsid w:val="6F517AAF"/>
    <w:rsid w:val="6F525DFE"/>
    <w:rsid w:val="6F54601A"/>
    <w:rsid w:val="6F570624"/>
    <w:rsid w:val="6F5A347A"/>
    <w:rsid w:val="6F5A3616"/>
    <w:rsid w:val="6F5D2C01"/>
    <w:rsid w:val="6F614293"/>
    <w:rsid w:val="6F6B5112"/>
    <w:rsid w:val="6F6D0E8A"/>
    <w:rsid w:val="6F6D2C38"/>
    <w:rsid w:val="6F7B35A7"/>
    <w:rsid w:val="6F7E4E45"/>
    <w:rsid w:val="6F841F0D"/>
    <w:rsid w:val="6F8A09F4"/>
    <w:rsid w:val="6F8A1A3C"/>
    <w:rsid w:val="6F8B154D"/>
    <w:rsid w:val="6F8B3601"/>
    <w:rsid w:val="6F8C1856"/>
    <w:rsid w:val="6F8C2D69"/>
    <w:rsid w:val="6F8D6400"/>
    <w:rsid w:val="6F8E1DFB"/>
    <w:rsid w:val="6F914B78"/>
    <w:rsid w:val="6F925F92"/>
    <w:rsid w:val="6F936AB6"/>
    <w:rsid w:val="6F943770"/>
    <w:rsid w:val="6F970EF6"/>
    <w:rsid w:val="6F9920B9"/>
    <w:rsid w:val="6F9A7209"/>
    <w:rsid w:val="6F9A78E4"/>
    <w:rsid w:val="6F9E091D"/>
    <w:rsid w:val="6FA0202E"/>
    <w:rsid w:val="6FA348AB"/>
    <w:rsid w:val="6FA67EF8"/>
    <w:rsid w:val="6FA71FF4"/>
    <w:rsid w:val="6FA80114"/>
    <w:rsid w:val="6FA84C02"/>
    <w:rsid w:val="6FAA79E8"/>
    <w:rsid w:val="6FAE58DF"/>
    <w:rsid w:val="6FAF4FFE"/>
    <w:rsid w:val="6FB10D76"/>
    <w:rsid w:val="6FB12124"/>
    <w:rsid w:val="6FB34015"/>
    <w:rsid w:val="6FB34556"/>
    <w:rsid w:val="6FB40867"/>
    <w:rsid w:val="6FB56453"/>
    <w:rsid w:val="6FB6365F"/>
    <w:rsid w:val="6FB70357"/>
    <w:rsid w:val="6FB75A30"/>
    <w:rsid w:val="6FB940CF"/>
    <w:rsid w:val="6FBC5841"/>
    <w:rsid w:val="6FBD3DD5"/>
    <w:rsid w:val="6FBE3A6A"/>
    <w:rsid w:val="6FBF53E0"/>
    <w:rsid w:val="6FC64095"/>
    <w:rsid w:val="6FC7059A"/>
    <w:rsid w:val="6FC767EC"/>
    <w:rsid w:val="6FC8255F"/>
    <w:rsid w:val="6FC96ABC"/>
    <w:rsid w:val="6FCA54D5"/>
    <w:rsid w:val="6FCC5336"/>
    <w:rsid w:val="6FCE3141"/>
    <w:rsid w:val="6FD375FA"/>
    <w:rsid w:val="6FD67543"/>
    <w:rsid w:val="6FD809F9"/>
    <w:rsid w:val="6FE54EC4"/>
    <w:rsid w:val="6FE57F44"/>
    <w:rsid w:val="6FEA64C8"/>
    <w:rsid w:val="6FEB376A"/>
    <w:rsid w:val="6FEC1DAE"/>
    <w:rsid w:val="6FED3293"/>
    <w:rsid w:val="6FEF7AF1"/>
    <w:rsid w:val="6FEF7C11"/>
    <w:rsid w:val="6FF0358B"/>
    <w:rsid w:val="6FF1003D"/>
    <w:rsid w:val="6FF43359"/>
    <w:rsid w:val="6FFA1DE2"/>
    <w:rsid w:val="6FFC0D74"/>
    <w:rsid w:val="6FFD22F7"/>
    <w:rsid w:val="700103A7"/>
    <w:rsid w:val="70074E3A"/>
    <w:rsid w:val="70110177"/>
    <w:rsid w:val="70141305"/>
    <w:rsid w:val="7016507D"/>
    <w:rsid w:val="701C7B4C"/>
    <w:rsid w:val="701E67C4"/>
    <w:rsid w:val="70235E7F"/>
    <w:rsid w:val="702552C0"/>
    <w:rsid w:val="70263260"/>
    <w:rsid w:val="702A0361"/>
    <w:rsid w:val="702B18D5"/>
    <w:rsid w:val="702D04E3"/>
    <w:rsid w:val="703170E4"/>
    <w:rsid w:val="70364534"/>
    <w:rsid w:val="703802C8"/>
    <w:rsid w:val="70381498"/>
    <w:rsid w:val="70385218"/>
    <w:rsid w:val="70386DB6"/>
    <w:rsid w:val="70390FB7"/>
    <w:rsid w:val="70395451"/>
    <w:rsid w:val="70400FD0"/>
    <w:rsid w:val="70416FE8"/>
    <w:rsid w:val="704716DB"/>
    <w:rsid w:val="7047716A"/>
    <w:rsid w:val="704B5D09"/>
    <w:rsid w:val="704C0A9F"/>
    <w:rsid w:val="704C3E40"/>
    <w:rsid w:val="704E09C0"/>
    <w:rsid w:val="7050126D"/>
    <w:rsid w:val="705067E1"/>
    <w:rsid w:val="70512559"/>
    <w:rsid w:val="705377EE"/>
    <w:rsid w:val="7054057E"/>
    <w:rsid w:val="70540CEF"/>
    <w:rsid w:val="70555429"/>
    <w:rsid w:val="70564184"/>
    <w:rsid w:val="70585696"/>
    <w:rsid w:val="705B34F6"/>
    <w:rsid w:val="705B5186"/>
    <w:rsid w:val="705C2D71"/>
    <w:rsid w:val="705F4C76"/>
    <w:rsid w:val="70622071"/>
    <w:rsid w:val="70634D1B"/>
    <w:rsid w:val="7064423E"/>
    <w:rsid w:val="70657DB3"/>
    <w:rsid w:val="706731CF"/>
    <w:rsid w:val="7068713E"/>
    <w:rsid w:val="70691651"/>
    <w:rsid w:val="706A53C9"/>
    <w:rsid w:val="706D2F15"/>
    <w:rsid w:val="706E477E"/>
    <w:rsid w:val="706F1447"/>
    <w:rsid w:val="70711272"/>
    <w:rsid w:val="70720653"/>
    <w:rsid w:val="70741E9B"/>
    <w:rsid w:val="70745B1D"/>
    <w:rsid w:val="70785D38"/>
    <w:rsid w:val="70787AE6"/>
    <w:rsid w:val="707B75D6"/>
    <w:rsid w:val="707D3ABB"/>
    <w:rsid w:val="708B251E"/>
    <w:rsid w:val="708B6A6C"/>
    <w:rsid w:val="70904E30"/>
    <w:rsid w:val="70910BA8"/>
    <w:rsid w:val="70965410"/>
    <w:rsid w:val="70986263"/>
    <w:rsid w:val="70994F41"/>
    <w:rsid w:val="709A3F00"/>
    <w:rsid w:val="709D5D2D"/>
    <w:rsid w:val="709D754D"/>
    <w:rsid w:val="709E387E"/>
    <w:rsid w:val="70A01565"/>
    <w:rsid w:val="70A15B5A"/>
    <w:rsid w:val="70AA48E6"/>
    <w:rsid w:val="70AE175A"/>
    <w:rsid w:val="70AE52B6"/>
    <w:rsid w:val="70B0102E"/>
    <w:rsid w:val="70B07280"/>
    <w:rsid w:val="70B2124A"/>
    <w:rsid w:val="70B4613C"/>
    <w:rsid w:val="70B4771A"/>
    <w:rsid w:val="70B52AE8"/>
    <w:rsid w:val="70B56644"/>
    <w:rsid w:val="70B86135"/>
    <w:rsid w:val="70B9581F"/>
    <w:rsid w:val="70BB79D3"/>
    <w:rsid w:val="70BC5C25"/>
    <w:rsid w:val="70BD7DF8"/>
    <w:rsid w:val="70BE05B1"/>
    <w:rsid w:val="70C65946"/>
    <w:rsid w:val="70C674F3"/>
    <w:rsid w:val="70C8530E"/>
    <w:rsid w:val="70C96594"/>
    <w:rsid w:val="70CB2853"/>
    <w:rsid w:val="70CB3294"/>
    <w:rsid w:val="70CC5F82"/>
    <w:rsid w:val="70CC7418"/>
    <w:rsid w:val="70CF5A83"/>
    <w:rsid w:val="70D016D0"/>
    <w:rsid w:val="70D57F79"/>
    <w:rsid w:val="70D91FB4"/>
    <w:rsid w:val="70DC5E61"/>
    <w:rsid w:val="70DC62C7"/>
    <w:rsid w:val="70DF30E2"/>
    <w:rsid w:val="70DF36C1"/>
    <w:rsid w:val="70E60EF4"/>
    <w:rsid w:val="70E92792"/>
    <w:rsid w:val="70EA3271"/>
    <w:rsid w:val="70F208A3"/>
    <w:rsid w:val="70F33611"/>
    <w:rsid w:val="70F3716D"/>
    <w:rsid w:val="70F53102"/>
    <w:rsid w:val="70F55AF7"/>
    <w:rsid w:val="70F636D3"/>
    <w:rsid w:val="70F74EAF"/>
    <w:rsid w:val="70F829D5"/>
    <w:rsid w:val="70FA22DD"/>
    <w:rsid w:val="70FA499F"/>
    <w:rsid w:val="70FB773A"/>
    <w:rsid w:val="7101188A"/>
    <w:rsid w:val="710366BA"/>
    <w:rsid w:val="710947CA"/>
    <w:rsid w:val="710A33ED"/>
    <w:rsid w:val="710B6BAC"/>
    <w:rsid w:val="710F55AE"/>
    <w:rsid w:val="711374C5"/>
    <w:rsid w:val="71155335"/>
    <w:rsid w:val="71175551"/>
    <w:rsid w:val="711B6B98"/>
    <w:rsid w:val="711D41EA"/>
    <w:rsid w:val="711F7CF9"/>
    <w:rsid w:val="71233EF6"/>
    <w:rsid w:val="71243FE6"/>
    <w:rsid w:val="71297AF0"/>
    <w:rsid w:val="712A5353"/>
    <w:rsid w:val="712F423E"/>
    <w:rsid w:val="713003C1"/>
    <w:rsid w:val="713042C9"/>
    <w:rsid w:val="71311086"/>
    <w:rsid w:val="71357785"/>
    <w:rsid w:val="713729D0"/>
    <w:rsid w:val="713752AB"/>
    <w:rsid w:val="713779A1"/>
    <w:rsid w:val="713952F0"/>
    <w:rsid w:val="713954C7"/>
    <w:rsid w:val="713A1351"/>
    <w:rsid w:val="713F0A23"/>
    <w:rsid w:val="71403FAF"/>
    <w:rsid w:val="714425EE"/>
    <w:rsid w:val="7148395C"/>
    <w:rsid w:val="714874B8"/>
    <w:rsid w:val="714B0200"/>
    <w:rsid w:val="714B53B7"/>
    <w:rsid w:val="714D04D7"/>
    <w:rsid w:val="714D2D21"/>
    <w:rsid w:val="714E029B"/>
    <w:rsid w:val="714E7CAB"/>
    <w:rsid w:val="714F4CEB"/>
    <w:rsid w:val="71525E28"/>
    <w:rsid w:val="71557E27"/>
    <w:rsid w:val="71566079"/>
    <w:rsid w:val="71573B9F"/>
    <w:rsid w:val="715A543E"/>
    <w:rsid w:val="715B38AB"/>
    <w:rsid w:val="71626CB9"/>
    <w:rsid w:val="71671AD6"/>
    <w:rsid w:val="71685DAD"/>
    <w:rsid w:val="716B13F9"/>
    <w:rsid w:val="716B46E4"/>
    <w:rsid w:val="716D5F56"/>
    <w:rsid w:val="716F04D2"/>
    <w:rsid w:val="71710EA0"/>
    <w:rsid w:val="71793B16"/>
    <w:rsid w:val="71797598"/>
    <w:rsid w:val="717A762F"/>
    <w:rsid w:val="717F5AFE"/>
    <w:rsid w:val="718377C5"/>
    <w:rsid w:val="7184779C"/>
    <w:rsid w:val="71871D75"/>
    <w:rsid w:val="718A7AD1"/>
    <w:rsid w:val="71902C0D"/>
    <w:rsid w:val="71922E29"/>
    <w:rsid w:val="71926B20"/>
    <w:rsid w:val="71933DFC"/>
    <w:rsid w:val="719A2526"/>
    <w:rsid w:val="719B24E4"/>
    <w:rsid w:val="71A8419D"/>
    <w:rsid w:val="71A86046"/>
    <w:rsid w:val="71A861A9"/>
    <w:rsid w:val="71A93CA6"/>
    <w:rsid w:val="71AA3CCF"/>
    <w:rsid w:val="71AC3DD2"/>
    <w:rsid w:val="71AD7C63"/>
    <w:rsid w:val="71AE26B0"/>
    <w:rsid w:val="71B0505E"/>
    <w:rsid w:val="71B05423"/>
    <w:rsid w:val="71B21B14"/>
    <w:rsid w:val="71B61485"/>
    <w:rsid w:val="71B70EAA"/>
    <w:rsid w:val="71B92164"/>
    <w:rsid w:val="71B96608"/>
    <w:rsid w:val="71BF5462"/>
    <w:rsid w:val="71C12F3C"/>
    <w:rsid w:val="71C60288"/>
    <w:rsid w:val="71CA4371"/>
    <w:rsid w:val="71CE323A"/>
    <w:rsid w:val="71D05564"/>
    <w:rsid w:val="71D260B4"/>
    <w:rsid w:val="71D62573"/>
    <w:rsid w:val="71D71580"/>
    <w:rsid w:val="71DE58A0"/>
    <w:rsid w:val="71E12343"/>
    <w:rsid w:val="71E4311C"/>
    <w:rsid w:val="71E54313"/>
    <w:rsid w:val="71E847F7"/>
    <w:rsid w:val="71E867AC"/>
    <w:rsid w:val="71E97D85"/>
    <w:rsid w:val="71EB6E5A"/>
    <w:rsid w:val="71EC078C"/>
    <w:rsid w:val="71EE0266"/>
    <w:rsid w:val="71EE2F68"/>
    <w:rsid w:val="71F1492E"/>
    <w:rsid w:val="71F22E33"/>
    <w:rsid w:val="71F81592"/>
    <w:rsid w:val="71F92EA9"/>
    <w:rsid w:val="71FD350D"/>
    <w:rsid w:val="71FD5077"/>
    <w:rsid w:val="71FD64F5"/>
    <w:rsid w:val="720431E5"/>
    <w:rsid w:val="72082F01"/>
    <w:rsid w:val="720F6228"/>
    <w:rsid w:val="7218415A"/>
    <w:rsid w:val="72192C03"/>
    <w:rsid w:val="721B2E1F"/>
    <w:rsid w:val="721B609C"/>
    <w:rsid w:val="721D25EB"/>
    <w:rsid w:val="721E46BD"/>
    <w:rsid w:val="722079FA"/>
    <w:rsid w:val="72225F5B"/>
    <w:rsid w:val="72284130"/>
    <w:rsid w:val="722848F5"/>
    <w:rsid w:val="7229553C"/>
    <w:rsid w:val="722A4E10"/>
    <w:rsid w:val="722C0B88"/>
    <w:rsid w:val="722C2B09"/>
    <w:rsid w:val="722C497F"/>
    <w:rsid w:val="722E4900"/>
    <w:rsid w:val="72313EC3"/>
    <w:rsid w:val="72331F17"/>
    <w:rsid w:val="723637B5"/>
    <w:rsid w:val="723671E1"/>
    <w:rsid w:val="72367553"/>
    <w:rsid w:val="7237112E"/>
    <w:rsid w:val="723F6274"/>
    <w:rsid w:val="7244764E"/>
    <w:rsid w:val="7246348B"/>
    <w:rsid w:val="724834E8"/>
    <w:rsid w:val="724971E4"/>
    <w:rsid w:val="724C0875"/>
    <w:rsid w:val="724D4340"/>
    <w:rsid w:val="724D4387"/>
    <w:rsid w:val="724F4877"/>
    <w:rsid w:val="725105EF"/>
    <w:rsid w:val="72536115"/>
    <w:rsid w:val="725620A9"/>
    <w:rsid w:val="72565C05"/>
    <w:rsid w:val="72580647"/>
    <w:rsid w:val="72587BCF"/>
    <w:rsid w:val="725B146D"/>
    <w:rsid w:val="725B2742"/>
    <w:rsid w:val="725B76BF"/>
    <w:rsid w:val="725C2ACA"/>
    <w:rsid w:val="72621EE9"/>
    <w:rsid w:val="72634067"/>
    <w:rsid w:val="72655737"/>
    <w:rsid w:val="72695538"/>
    <w:rsid w:val="726A2AAA"/>
    <w:rsid w:val="726F620E"/>
    <w:rsid w:val="727067FE"/>
    <w:rsid w:val="727070C6"/>
    <w:rsid w:val="7272062C"/>
    <w:rsid w:val="727416AD"/>
    <w:rsid w:val="727C1161"/>
    <w:rsid w:val="72822E9E"/>
    <w:rsid w:val="728269FA"/>
    <w:rsid w:val="72842772"/>
    <w:rsid w:val="72874010"/>
    <w:rsid w:val="728F1117"/>
    <w:rsid w:val="728F2982"/>
    <w:rsid w:val="728F7B8E"/>
    <w:rsid w:val="729055BB"/>
    <w:rsid w:val="72930C07"/>
    <w:rsid w:val="7298420E"/>
    <w:rsid w:val="7298446F"/>
    <w:rsid w:val="729B5D0E"/>
    <w:rsid w:val="729C0A73"/>
    <w:rsid w:val="729C5033"/>
    <w:rsid w:val="729D4E7D"/>
    <w:rsid w:val="72A17885"/>
    <w:rsid w:val="72A34C12"/>
    <w:rsid w:val="72A577D6"/>
    <w:rsid w:val="72A57DCD"/>
    <w:rsid w:val="72A921D9"/>
    <w:rsid w:val="72AA0ADE"/>
    <w:rsid w:val="72AB5F51"/>
    <w:rsid w:val="72AC67BD"/>
    <w:rsid w:val="72AC7F1B"/>
    <w:rsid w:val="72B03F84"/>
    <w:rsid w:val="72B62B48"/>
    <w:rsid w:val="72B648F6"/>
    <w:rsid w:val="72B664E0"/>
    <w:rsid w:val="72B8066E"/>
    <w:rsid w:val="72C139C6"/>
    <w:rsid w:val="72C1593C"/>
    <w:rsid w:val="72C40DC1"/>
    <w:rsid w:val="72C60CD8"/>
    <w:rsid w:val="72C71ECD"/>
    <w:rsid w:val="72C753C1"/>
    <w:rsid w:val="72C75577"/>
    <w:rsid w:val="72C83D89"/>
    <w:rsid w:val="72CB65F3"/>
    <w:rsid w:val="72CC7EEB"/>
    <w:rsid w:val="72D134DE"/>
    <w:rsid w:val="72D27981"/>
    <w:rsid w:val="72D33085"/>
    <w:rsid w:val="72D94EEC"/>
    <w:rsid w:val="72DA6836"/>
    <w:rsid w:val="72DD00D4"/>
    <w:rsid w:val="72E17BC5"/>
    <w:rsid w:val="72E256EB"/>
    <w:rsid w:val="72E6342D"/>
    <w:rsid w:val="72E66F89"/>
    <w:rsid w:val="72E74AAF"/>
    <w:rsid w:val="72E83DD1"/>
    <w:rsid w:val="72E91C84"/>
    <w:rsid w:val="72F21DD2"/>
    <w:rsid w:val="72F35B4A"/>
    <w:rsid w:val="72F746EB"/>
    <w:rsid w:val="72FC6D7F"/>
    <w:rsid w:val="72FD282B"/>
    <w:rsid w:val="73025471"/>
    <w:rsid w:val="73057B87"/>
    <w:rsid w:val="730613D9"/>
    <w:rsid w:val="73076A09"/>
    <w:rsid w:val="73081ADA"/>
    <w:rsid w:val="730848DB"/>
    <w:rsid w:val="730A1B38"/>
    <w:rsid w:val="730D63F6"/>
    <w:rsid w:val="730F10D1"/>
    <w:rsid w:val="731109F8"/>
    <w:rsid w:val="73117D12"/>
    <w:rsid w:val="73125FD0"/>
    <w:rsid w:val="731631DE"/>
    <w:rsid w:val="7319038C"/>
    <w:rsid w:val="731A6B84"/>
    <w:rsid w:val="731D4975"/>
    <w:rsid w:val="731E3543"/>
    <w:rsid w:val="731F06ED"/>
    <w:rsid w:val="73214465"/>
    <w:rsid w:val="73245D03"/>
    <w:rsid w:val="732710B7"/>
    <w:rsid w:val="732E79AE"/>
    <w:rsid w:val="732F4DF0"/>
    <w:rsid w:val="73342B37"/>
    <w:rsid w:val="7336222B"/>
    <w:rsid w:val="73375A36"/>
    <w:rsid w:val="73397787"/>
    <w:rsid w:val="733B04FD"/>
    <w:rsid w:val="733C0072"/>
    <w:rsid w:val="7344325F"/>
    <w:rsid w:val="734608FB"/>
    <w:rsid w:val="73487C44"/>
    <w:rsid w:val="734B7734"/>
    <w:rsid w:val="7350457E"/>
    <w:rsid w:val="73530396"/>
    <w:rsid w:val="73544A9D"/>
    <w:rsid w:val="73577E87"/>
    <w:rsid w:val="735935F3"/>
    <w:rsid w:val="73602671"/>
    <w:rsid w:val="73614861"/>
    <w:rsid w:val="73662B71"/>
    <w:rsid w:val="7370719A"/>
    <w:rsid w:val="737177F2"/>
    <w:rsid w:val="73722F12"/>
    <w:rsid w:val="7373744D"/>
    <w:rsid w:val="73774085"/>
    <w:rsid w:val="73781BAB"/>
    <w:rsid w:val="73797AA0"/>
    <w:rsid w:val="737A3B75"/>
    <w:rsid w:val="737B14AA"/>
    <w:rsid w:val="737C4FBF"/>
    <w:rsid w:val="737D5EB8"/>
    <w:rsid w:val="738215C4"/>
    <w:rsid w:val="73832A2A"/>
    <w:rsid w:val="73836ECE"/>
    <w:rsid w:val="73844DAE"/>
    <w:rsid w:val="73852C46"/>
    <w:rsid w:val="738549F4"/>
    <w:rsid w:val="7386251A"/>
    <w:rsid w:val="73880040"/>
    <w:rsid w:val="73893B6E"/>
    <w:rsid w:val="738B271B"/>
    <w:rsid w:val="738D4520"/>
    <w:rsid w:val="738E2D3B"/>
    <w:rsid w:val="738F520D"/>
    <w:rsid w:val="739105CB"/>
    <w:rsid w:val="73922C6D"/>
    <w:rsid w:val="73930A62"/>
    <w:rsid w:val="739369E5"/>
    <w:rsid w:val="73942E89"/>
    <w:rsid w:val="73974727"/>
    <w:rsid w:val="739764D5"/>
    <w:rsid w:val="739D7782"/>
    <w:rsid w:val="739F1C55"/>
    <w:rsid w:val="73A105D0"/>
    <w:rsid w:val="73A17354"/>
    <w:rsid w:val="73A40BF2"/>
    <w:rsid w:val="73A429A0"/>
    <w:rsid w:val="73A6496A"/>
    <w:rsid w:val="73A7267D"/>
    <w:rsid w:val="73AE7C9B"/>
    <w:rsid w:val="73B10D33"/>
    <w:rsid w:val="73B36957"/>
    <w:rsid w:val="73B509ED"/>
    <w:rsid w:val="73BA21C4"/>
    <w:rsid w:val="73BF4D47"/>
    <w:rsid w:val="73C31DB1"/>
    <w:rsid w:val="73C32EC1"/>
    <w:rsid w:val="73C3376E"/>
    <w:rsid w:val="73CA2C2F"/>
    <w:rsid w:val="73CB43D1"/>
    <w:rsid w:val="73CB617F"/>
    <w:rsid w:val="73CD5EEC"/>
    <w:rsid w:val="73CE2E42"/>
    <w:rsid w:val="73CF3EC1"/>
    <w:rsid w:val="73D47EC5"/>
    <w:rsid w:val="73D72D76"/>
    <w:rsid w:val="73D82465"/>
    <w:rsid w:val="73D9438B"/>
    <w:rsid w:val="73D94D40"/>
    <w:rsid w:val="73DA2545"/>
    <w:rsid w:val="73DE5015"/>
    <w:rsid w:val="73E13BF4"/>
    <w:rsid w:val="73E60CDB"/>
    <w:rsid w:val="73ED2599"/>
    <w:rsid w:val="73ED57A6"/>
    <w:rsid w:val="73F110DE"/>
    <w:rsid w:val="73F27BAF"/>
    <w:rsid w:val="73F43927"/>
    <w:rsid w:val="73F531FC"/>
    <w:rsid w:val="73F761C2"/>
    <w:rsid w:val="73F80B9D"/>
    <w:rsid w:val="73FC4616"/>
    <w:rsid w:val="73FC73C3"/>
    <w:rsid w:val="740075B9"/>
    <w:rsid w:val="74011743"/>
    <w:rsid w:val="74021514"/>
    <w:rsid w:val="74032172"/>
    <w:rsid w:val="74035260"/>
    <w:rsid w:val="740907C8"/>
    <w:rsid w:val="740C1080"/>
    <w:rsid w:val="740E3D13"/>
    <w:rsid w:val="74100AC5"/>
    <w:rsid w:val="741031B9"/>
    <w:rsid w:val="741144D9"/>
    <w:rsid w:val="74125515"/>
    <w:rsid w:val="74161AF0"/>
    <w:rsid w:val="741713C4"/>
    <w:rsid w:val="741873DE"/>
    <w:rsid w:val="7419513C"/>
    <w:rsid w:val="741D4ECE"/>
    <w:rsid w:val="741E2752"/>
    <w:rsid w:val="741F1B9C"/>
    <w:rsid w:val="7423420D"/>
    <w:rsid w:val="742A559B"/>
    <w:rsid w:val="743106D8"/>
    <w:rsid w:val="74396BCD"/>
    <w:rsid w:val="743C0E2B"/>
    <w:rsid w:val="743E50DD"/>
    <w:rsid w:val="74416441"/>
    <w:rsid w:val="74473390"/>
    <w:rsid w:val="744A3547"/>
    <w:rsid w:val="744A79EB"/>
    <w:rsid w:val="744D0661"/>
    <w:rsid w:val="744F0247"/>
    <w:rsid w:val="74501460"/>
    <w:rsid w:val="74503971"/>
    <w:rsid w:val="74535DBC"/>
    <w:rsid w:val="74566390"/>
    <w:rsid w:val="74586756"/>
    <w:rsid w:val="745A3D0B"/>
    <w:rsid w:val="745C4374"/>
    <w:rsid w:val="745F04EA"/>
    <w:rsid w:val="74624D35"/>
    <w:rsid w:val="74642285"/>
    <w:rsid w:val="746565D3"/>
    <w:rsid w:val="746756BB"/>
    <w:rsid w:val="746A64B4"/>
    <w:rsid w:val="746B23D4"/>
    <w:rsid w:val="746E5488"/>
    <w:rsid w:val="746F26E3"/>
    <w:rsid w:val="74741438"/>
    <w:rsid w:val="747571F2"/>
    <w:rsid w:val="747607E0"/>
    <w:rsid w:val="747800B5"/>
    <w:rsid w:val="74784559"/>
    <w:rsid w:val="747B00E9"/>
    <w:rsid w:val="74865C7E"/>
    <w:rsid w:val="748A0219"/>
    <w:rsid w:val="748B21CA"/>
    <w:rsid w:val="748B453A"/>
    <w:rsid w:val="748C3B60"/>
    <w:rsid w:val="748D0CB4"/>
    <w:rsid w:val="748F6039"/>
    <w:rsid w:val="74953893"/>
    <w:rsid w:val="74996FAB"/>
    <w:rsid w:val="74997316"/>
    <w:rsid w:val="749B4A0F"/>
    <w:rsid w:val="749F7D37"/>
    <w:rsid w:val="74A01EDA"/>
    <w:rsid w:val="74A519A0"/>
    <w:rsid w:val="74AA7E45"/>
    <w:rsid w:val="74B300E5"/>
    <w:rsid w:val="74B547F1"/>
    <w:rsid w:val="74B54AB4"/>
    <w:rsid w:val="74B92901"/>
    <w:rsid w:val="74BA2BA7"/>
    <w:rsid w:val="74BD678C"/>
    <w:rsid w:val="74C459E9"/>
    <w:rsid w:val="74C45FED"/>
    <w:rsid w:val="74C95992"/>
    <w:rsid w:val="74CB0B2C"/>
    <w:rsid w:val="74CC27A6"/>
    <w:rsid w:val="74CF3FAF"/>
    <w:rsid w:val="74D07EF1"/>
    <w:rsid w:val="74D12EF2"/>
    <w:rsid w:val="74D95FC0"/>
    <w:rsid w:val="74DB6895"/>
    <w:rsid w:val="74DD260E"/>
    <w:rsid w:val="74E37FCA"/>
    <w:rsid w:val="74E92D60"/>
    <w:rsid w:val="74EA0572"/>
    <w:rsid w:val="74EE3366"/>
    <w:rsid w:val="74EF5B6E"/>
    <w:rsid w:val="74F04A56"/>
    <w:rsid w:val="74F160B9"/>
    <w:rsid w:val="74F34402"/>
    <w:rsid w:val="74F55BA9"/>
    <w:rsid w:val="74F71921"/>
    <w:rsid w:val="74F8748F"/>
    <w:rsid w:val="74FB50C1"/>
    <w:rsid w:val="75036E13"/>
    <w:rsid w:val="750D36FE"/>
    <w:rsid w:val="7510717F"/>
    <w:rsid w:val="7513602F"/>
    <w:rsid w:val="75157FF9"/>
    <w:rsid w:val="75182C4E"/>
    <w:rsid w:val="75184AEE"/>
    <w:rsid w:val="751B4A5F"/>
    <w:rsid w:val="75247522"/>
    <w:rsid w:val="752975C2"/>
    <w:rsid w:val="752A5D34"/>
    <w:rsid w:val="752B54B7"/>
    <w:rsid w:val="75321E75"/>
    <w:rsid w:val="7535244A"/>
    <w:rsid w:val="753846BF"/>
    <w:rsid w:val="753A7265"/>
    <w:rsid w:val="753B5431"/>
    <w:rsid w:val="753C37D8"/>
    <w:rsid w:val="753C5586"/>
    <w:rsid w:val="753F36F1"/>
    <w:rsid w:val="754200FE"/>
    <w:rsid w:val="754206C3"/>
    <w:rsid w:val="75425809"/>
    <w:rsid w:val="7544443B"/>
    <w:rsid w:val="75481556"/>
    <w:rsid w:val="75485F9F"/>
    <w:rsid w:val="75497CA3"/>
    <w:rsid w:val="754D1541"/>
    <w:rsid w:val="754E0E15"/>
    <w:rsid w:val="75530B22"/>
    <w:rsid w:val="7554137A"/>
    <w:rsid w:val="75570A81"/>
    <w:rsid w:val="75581C94"/>
    <w:rsid w:val="755E034F"/>
    <w:rsid w:val="75630D65"/>
    <w:rsid w:val="75690BA5"/>
    <w:rsid w:val="75695C4F"/>
    <w:rsid w:val="75697EF3"/>
    <w:rsid w:val="756B5246"/>
    <w:rsid w:val="75742F72"/>
    <w:rsid w:val="757840E4"/>
    <w:rsid w:val="75792336"/>
    <w:rsid w:val="757A60AE"/>
    <w:rsid w:val="757C1E26"/>
    <w:rsid w:val="757E5B9F"/>
    <w:rsid w:val="757F5473"/>
    <w:rsid w:val="75802AC1"/>
    <w:rsid w:val="75812F99"/>
    <w:rsid w:val="7581506D"/>
    <w:rsid w:val="75834F63"/>
    <w:rsid w:val="75853EAC"/>
    <w:rsid w:val="75872B9E"/>
    <w:rsid w:val="758B2F20"/>
    <w:rsid w:val="758C16C5"/>
    <w:rsid w:val="758D193E"/>
    <w:rsid w:val="759055A1"/>
    <w:rsid w:val="7592273A"/>
    <w:rsid w:val="75947170"/>
    <w:rsid w:val="75956A44"/>
    <w:rsid w:val="759727BC"/>
    <w:rsid w:val="759A22AD"/>
    <w:rsid w:val="759B75AD"/>
    <w:rsid w:val="759D1CBC"/>
    <w:rsid w:val="759F1CBD"/>
    <w:rsid w:val="75A1188D"/>
    <w:rsid w:val="75A14092"/>
    <w:rsid w:val="75A3561E"/>
    <w:rsid w:val="75A440EE"/>
    <w:rsid w:val="75A86778"/>
    <w:rsid w:val="75A90742"/>
    <w:rsid w:val="75AC0DCF"/>
    <w:rsid w:val="75AF5D58"/>
    <w:rsid w:val="75B46978"/>
    <w:rsid w:val="75B50E95"/>
    <w:rsid w:val="75B601F6"/>
    <w:rsid w:val="75BB03B5"/>
    <w:rsid w:val="75BD300C"/>
    <w:rsid w:val="75BF4A78"/>
    <w:rsid w:val="75C25B04"/>
    <w:rsid w:val="75C41CD2"/>
    <w:rsid w:val="75C5557C"/>
    <w:rsid w:val="75C779C2"/>
    <w:rsid w:val="75C90BC7"/>
    <w:rsid w:val="75CB6EB8"/>
    <w:rsid w:val="75CC6B6B"/>
    <w:rsid w:val="75CC6D56"/>
    <w:rsid w:val="75CF37E0"/>
    <w:rsid w:val="75D20E59"/>
    <w:rsid w:val="75D25EEA"/>
    <w:rsid w:val="75D67789"/>
    <w:rsid w:val="75D9184B"/>
    <w:rsid w:val="75D91A00"/>
    <w:rsid w:val="75DA25A1"/>
    <w:rsid w:val="75DA6B4D"/>
    <w:rsid w:val="75DB7B65"/>
    <w:rsid w:val="75E33C54"/>
    <w:rsid w:val="75E5382F"/>
    <w:rsid w:val="75E666D5"/>
    <w:rsid w:val="75EA6D90"/>
    <w:rsid w:val="75ED6880"/>
    <w:rsid w:val="75EF77BC"/>
    <w:rsid w:val="75F25C45"/>
    <w:rsid w:val="75F75DC3"/>
    <w:rsid w:val="75F96FD3"/>
    <w:rsid w:val="75FB3B4E"/>
    <w:rsid w:val="75FD0BD5"/>
    <w:rsid w:val="76022D28"/>
    <w:rsid w:val="760234D3"/>
    <w:rsid w:val="7603261B"/>
    <w:rsid w:val="76041503"/>
    <w:rsid w:val="760416B8"/>
    <w:rsid w:val="76062E1A"/>
    <w:rsid w:val="76067942"/>
    <w:rsid w:val="76082EC7"/>
    <w:rsid w:val="76083D29"/>
    <w:rsid w:val="7609649E"/>
    <w:rsid w:val="760C05B4"/>
    <w:rsid w:val="760D2A7F"/>
    <w:rsid w:val="761017D5"/>
    <w:rsid w:val="761262E7"/>
    <w:rsid w:val="76131B22"/>
    <w:rsid w:val="7615468D"/>
    <w:rsid w:val="76154905"/>
    <w:rsid w:val="761958C7"/>
    <w:rsid w:val="761B2390"/>
    <w:rsid w:val="761B33ED"/>
    <w:rsid w:val="761C7166"/>
    <w:rsid w:val="762229CE"/>
    <w:rsid w:val="762C1BC5"/>
    <w:rsid w:val="76317661"/>
    <w:rsid w:val="76396804"/>
    <w:rsid w:val="763D406E"/>
    <w:rsid w:val="763E3477"/>
    <w:rsid w:val="76403136"/>
    <w:rsid w:val="764514D8"/>
    <w:rsid w:val="764C17F9"/>
    <w:rsid w:val="76527FAF"/>
    <w:rsid w:val="76530DD9"/>
    <w:rsid w:val="76555A81"/>
    <w:rsid w:val="7657705B"/>
    <w:rsid w:val="765A32BE"/>
    <w:rsid w:val="765A5065"/>
    <w:rsid w:val="765B79F0"/>
    <w:rsid w:val="765E777E"/>
    <w:rsid w:val="765F0633"/>
    <w:rsid w:val="766D599B"/>
    <w:rsid w:val="76710872"/>
    <w:rsid w:val="76746FA2"/>
    <w:rsid w:val="76760624"/>
    <w:rsid w:val="767825EE"/>
    <w:rsid w:val="7679296C"/>
    <w:rsid w:val="767945B8"/>
    <w:rsid w:val="767A7EFC"/>
    <w:rsid w:val="767D46CB"/>
    <w:rsid w:val="7682202F"/>
    <w:rsid w:val="76832D41"/>
    <w:rsid w:val="76841E90"/>
    <w:rsid w:val="76845338"/>
    <w:rsid w:val="76866AB1"/>
    <w:rsid w:val="76872831"/>
    <w:rsid w:val="7687606F"/>
    <w:rsid w:val="768A2321"/>
    <w:rsid w:val="768D7425"/>
    <w:rsid w:val="76937662"/>
    <w:rsid w:val="76990013"/>
    <w:rsid w:val="769907B6"/>
    <w:rsid w:val="769D3E02"/>
    <w:rsid w:val="76A076F1"/>
    <w:rsid w:val="76A1582A"/>
    <w:rsid w:val="76A50F09"/>
    <w:rsid w:val="76AA4771"/>
    <w:rsid w:val="76AC1F79"/>
    <w:rsid w:val="76AC673B"/>
    <w:rsid w:val="76AC7B4F"/>
    <w:rsid w:val="76AF65D6"/>
    <w:rsid w:val="76AF73D6"/>
    <w:rsid w:val="76B30F99"/>
    <w:rsid w:val="76B37ACA"/>
    <w:rsid w:val="76B40922"/>
    <w:rsid w:val="76B70072"/>
    <w:rsid w:val="76BB28DB"/>
    <w:rsid w:val="76C26FED"/>
    <w:rsid w:val="76C375E1"/>
    <w:rsid w:val="76C5117A"/>
    <w:rsid w:val="76C577FD"/>
    <w:rsid w:val="76C70E7F"/>
    <w:rsid w:val="76C84476"/>
    <w:rsid w:val="76C956E3"/>
    <w:rsid w:val="76CA6BC2"/>
    <w:rsid w:val="76CD220E"/>
    <w:rsid w:val="76CE0460"/>
    <w:rsid w:val="76D4652F"/>
    <w:rsid w:val="76D954B5"/>
    <w:rsid w:val="76DE441B"/>
    <w:rsid w:val="76E16AC1"/>
    <w:rsid w:val="76E539FB"/>
    <w:rsid w:val="76E56ABD"/>
    <w:rsid w:val="76E5755F"/>
    <w:rsid w:val="76E901A5"/>
    <w:rsid w:val="76EA791B"/>
    <w:rsid w:val="76EB3533"/>
    <w:rsid w:val="76EC6EC5"/>
    <w:rsid w:val="76EF6628"/>
    <w:rsid w:val="76F01A11"/>
    <w:rsid w:val="76F03C2D"/>
    <w:rsid w:val="76F2762A"/>
    <w:rsid w:val="76F51E90"/>
    <w:rsid w:val="76F5258C"/>
    <w:rsid w:val="76F675FA"/>
    <w:rsid w:val="76F92204"/>
    <w:rsid w:val="76F940D2"/>
    <w:rsid w:val="76FA3CB3"/>
    <w:rsid w:val="76FE7F7B"/>
    <w:rsid w:val="76FF2D0F"/>
    <w:rsid w:val="77020109"/>
    <w:rsid w:val="7702419C"/>
    <w:rsid w:val="77057BFA"/>
    <w:rsid w:val="770737D2"/>
    <w:rsid w:val="770B7532"/>
    <w:rsid w:val="770D3559"/>
    <w:rsid w:val="771238C5"/>
    <w:rsid w:val="771C566F"/>
    <w:rsid w:val="771D4F43"/>
    <w:rsid w:val="77210E54"/>
    <w:rsid w:val="7722224D"/>
    <w:rsid w:val="772269FE"/>
    <w:rsid w:val="77237793"/>
    <w:rsid w:val="772605C7"/>
    <w:rsid w:val="772B3B04"/>
    <w:rsid w:val="772B58B2"/>
    <w:rsid w:val="7730111A"/>
    <w:rsid w:val="77312881"/>
    <w:rsid w:val="77316A3F"/>
    <w:rsid w:val="77370EEF"/>
    <w:rsid w:val="77383B2B"/>
    <w:rsid w:val="773B4930"/>
    <w:rsid w:val="773D6051"/>
    <w:rsid w:val="7743248B"/>
    <w:rsid w:val="77440722"/>
    <w:rsid w:val="77443A25"/>
    <w:rsid w:val="774534FF"/>
    <w:rsid w:val="77461FD7"/>
    <w:rsid w:val="77472401"/>
    <w:rsid w:val="77480B38"/>
    <w:rsid w:val="774B7D02"/>
    <w:rsid w:val="774D0780"/>
    <w:rsid w:val="774F242E"/>
    <w:rsid w:val="77504B81"/>
    <w:rsid w:val="77521091"/>
    <w:rsid w:val="775274E2"/>
    <w:rsid w:val="77533873"/>
    <w:rsid w:val="77564E1C"/>
    <w:rsid w:val="775766A7"/>
    <w:rsid w:val="7758241F"/>
    <w:rsid w:val="77587EE0"/>
    <w:rsid w:val="775E5A5C"/>
    <w:rsid w:val="775F40CE"/>
    <w:rsid w:val="77666E76"/>
    <w:rsid w:val="776C400D"/>
    <w:rsid w:val="776C4EAA"/>
    <w:rsid w:val="776F42E7"/>
    <w:rsid w:val="776F59C7"/>
    <w:rsid w:val="77716ACC"/>
    <w:rsid w:val="77727852"/>
    <w:rsid w:val="77731007"/>
    <w:rsid w:val="77732816"/>
    <w:rsid w:val="77744DB1"/>
    <w:rsid w:val="777B0B7D"/>
    <w:rsid w:val="777C4360"/>
    <w:rsid w:val="777F0D5F"/>
    <w:rsid w:val="77836040"/>
    <w:rsid w:val="77855D5D"/>
    <w:rsid w:val="77865517"/>
    <w:rsid w:val="77866F8C"/>
    <w:rsid w:val="778817D1"/>
    <w:rsid w:val="778925D9"/>
    <w:rsid w:val="778B00FF"/>
    <w:rsid w:val="778F1AA1"/>
    <w:rsid w:val="77901BB9"/>
    <w:rsid w:val="779276DF"/>
    <w:rsid w:val="77931A6B"/>
    <w:rsid w:val="77980A6E"/>
    <w:rsid w:val="77A25C36"/>
    <w:rsid w:val="77A95664"/>
    <w:rsid w:val="77AA69AB"/>
    <w:rsid w:val="77AB3D4D"/>
    <w:rsid w:val="77AE0291"/>
    <w:rsid w:val="77B0302E"/>
    <w:rsid w:val="77B640DF"/>
    <w:rsid w:val="77B77313"/>
    <w:rsid w:val="77B77FF7"/>
    <w:rsid w:val="77BA6C36"/>
    <w:rsid w:val="77BF07B7"/>
    <w:rsid w:val="77C1298F"/>
    <w:rsid w:val="77C6382D"/>
    <w:rsid w:val="77C67389"/>
    <w:rsid w:val="77CC3C2D"/>
    <w:rsid w:val="77CE36ED"/>
    <w:rsid w:val="77CE5B33"/>
    <w:rsid w:val="77CF1FD3"/>
    <w:rsid w:val="77D01FB6"/>
    <w:rsid w:val="77D0645A"/>
    <w:rsid w:val="77D53CE3"/>
    <w:rsid w:val="77D6631D"/>
    <w:rsid w:val="77D75DD4"/>
    <w:rsid w:val="77D818F2"/>
    <w:rsid w:val="77DE2925"/>
    <w:rsid w:val="77E141C3"/>
    <w:rsid w:val="77E34EB2"/>
    <w:rsid w:val="77E471C2"/>
    <w:rsid w:val="77E85551"/>
    <w:rsid w:val="77EE7463"/>
    <w:rsid w:val="77F008AA"/>
    <w:rsid w:val="77F13C27"/>
    <w:rsid w:val="77F2444E"/>
    <w:rsid w:val="77F6495D"/>
    <w:rsid w:val="77F71ACE"/>
    <w:rsid w:val="77FC3E55"/>
    <w:rsid w:val="77FD0015"/>
    <w:rsid w:val="77FF289B"/>
    <w:rsid w:val="78012BEE"/>
    <w:rsid w:val="780340CB"/>
    <w:rsid w:val="78034139"/>
    <w:rsid w:val="78034526"/>
    <w:rsid w:val="78047EB1"/>
    <w:rsid w:val="780776C9"/>
    <w:rsid w:val="780802FA"/>
    <w:rsid w:val="780A196C"/>
    <w:rsid w:val="780A1C30"/>
    <w:rsid w:val="780A5F0F"/>
    <w:rsid w:val="780B56E4"/>
    <w:rsid w:val="780B5731"/>
    <w:rsid w:val="780C11B9"/>
    <w:rsid w:val="780D320A"/>
    <w:rsid w:val="78112CFA"/>
    <w:rsid w:val="78126A72"/>
    <w:rsid w:val="781B3BCE"/>
    <w:rsid w:val="781E6FB1"/>
    <w:rsid w:val="78220D5C"/>
    <w:rsid w:val="782347DB"/>
    <w:rsid w:val="78240802"/>
    <w:rsid w:val="782D1423"/>
    <w:rsid w:val="782D178F"/>
    <w:rsid w:val="782D1944"/>
    <w:rsid w:val="7830329A"/>
    <w:rsid w:val="78310F71"/>
    <w:rsid w:val="78322C70"/>
    <w:rsid w:val="78342545"/>
    <w:rsid w:val="7838032A"/>
    <w:rsid w:val="78395DAD"/>
    <w:rsid w:val="783A38D3"/>
    <w:rsid w:val="783C589D"/>
    <w:rsid w:val="783E33C3"/>
    <w:rsid w:val="783E6F69"/>
    <w:rsid w:val="784309DA"/>
    <w:rsid w:val="78436C2C"/>
    <w:rsid w:val="78454C8A"/>
    <w:rsid w:val="78474694"/>
    <w:rsid w:val="78496FD5"/>
    <w:rsid w:val="784E4535"/>
    <w:rsid w:val="784F4498"/>
    <w:rsid w:val="784F737E"/>
    <w:rsid w:val="78547024"/>
    <w:rsid w:val="785849F1"/>
    <w:rsid w:val="785C1A9B"/>
    <w:rsid w:val="785F1566"/>
    <w:rsid w:val="7863385C"/>
    <w:rsid w:val="786646C8"/>
    <w:rsid w:val="786A240A"/>
    <w:rsid w:val="786C135D"/>
    <w:rsid w:val="786C7316"/>
    <w:rsid w:val="786D60A8"/>
    <w:rsid w:val="786E7B73"/>
    <w:rsid w:val="786E7BCB"/>
    <w:rsid w:val="786F5C73"/>
    <w:rsid w:val="786F7A21"/>
    <w:rsid w:val="7871020C"/>
    <w:rsid w:val="7871654C"/>
    <w:rsid w:val="78743289"/>
    <w:rsid w:val="78746B04"/>
    <w:rsid w:val="78774B27"/>
    <w:rsid w:val="787B4C29"/>
    <w:rsid w:val="787C3CB3"/>
    <w:rsid w:val="787D213D"/>
    <w:rsid w:val="78807066"/>
    <w:rsid w:val="78846D1E"/>
    <w:rsid w:val="78861194"/>
    <w:rsid w:val="788B412F"/>
    <w:rsid w:val="788C5D4F"/>
    <w:rsid w:val="788D434B"/>
    <w:rsid w:val="788F2E8E"/>
    <w:rsid w:val="78912E9A"/>
    <w:rsid w:val="78916D8B"/>
    <w:rsid w:val="78931961"/>
    <w:rsid w:val="7894140D"/>
    <w:rsid w:val="78964FAD"/>
    <w:rsid w:val="78970D25"/>
    <w:rsid w:val="78972AD3"/>
    <w:rsid w:val="78973000"/>
    <w:rsid w:val="789A1E52"/>
    <w:rsid w:val="789D734B"/>
    <w:rsid w:val="78A05E2C"/>
    <w:rsid w:val="78A13E89"/>
    <w:rsid w:val="78A51694"/>
    <w:rsid w:val="78AD0549"/>
    <w:rsid w:val="78AF777E"/>
    <w:rsid w:val="78B10039"/>
    <w:rsid w:val="78B14583"/>
    <w:rsid w:val="78B24B83"/>
    <w:rsid w:val="78BB1024"/>
    <w:rsid w:val="78BB2C66"/>
    <w:rsid w:val="78C0202A"/>
    <w:rsid w:val="78C16F41"/>
    <w:rsid w:val="78C41F41"/>
    <w:rsid w:val="78C6639C"/>
    <w:rsid w:val="78CC4E73"/>
    <w:rsid w:val="78CD62C9"/>
    <w:rsid w:val="78CF04BF"/>
    <w:rsid w:val="78D35C78"/>
    <w:rsid w:val="78D6184E"/>
    <w:rsid w:val="78DA6D60"/>
    <w:rsid w:val="78DE34E0"/>
    <w:rsid w:val="78DF3E8C"/>
    <w:rsid w:val="78E03F5E"/>
    <w:rsid w:val="78E0447A"/>
    <w:rsid w:val="78E55DDF"/>
    <w:rsid w:val="78E636B9"/>
    <w:rsid w:val="78E82CBB"/>
    <w:rsid w:val="78ED1061"/>
    <w:rsid w:val="78EE303B"/>
    <w:rsid w:val="78F0598A"/>
    <w:rsid w:val="78F341AE"/>
    <w:rsid w:val="78F35090"/>
    <w:rsid w:val="78F50C83"/>
    <w:rsid w:val="78F77B82"/>
    <w:rsid w:val="78F8252B"/>
    <w:rsid w:val="78F84FB9"/>
    <w:rsid w:val="78F87A16"/>
    <w:rsid w:val="78F9125E"/>
    <w:rsid w:val="78FA6715"/>
    <w:rsid w:val="78FB4446"/>
    <w:rsid w:val="78FD6DDA"/>
    <w:rsid w:val="78FD7201"/>
    <w:rsid w:val="79004B1D"/>
    <w:rsid w:val="79027FE0"/>
    <w:rsid w:val="7905272B"/>
    <w:rsid w:val="790A599B"/>
    <w:rsid w:val="790C1BC9"/>
    <w:rsid w:val="7912455C"/>
    <w:rsid w:val="79125215"/>
    <w:rsid w:val="791258BC"/>
    <w:rsid w:val="79193B3F"/>
    <w:rsid w:val="791B29B4"/>
    <w:rsid w:val="791B54B2"/>
    <w:rsid w:val="791C1854"/>
    <w:rsid w:val="79202AC9"/>
    <w:rsid w:val="79217B18"/>
    <w:rsid w:val="79252141"/>
    <w:rsid w:val="79263294"/>
    <w:rsid w:val="79294FA2"/>
    <w:rsid w:val="792D7A1C"/>
    <w:rsid w:val="792F0F5E"/>
    <w:rsid w:val="7931117A"/>
    <w:rsid w:val="79327795"/>
    <w:rsid w:val="793427DD"/>
    <w:rsid w:val="79346574"/>
    <w:rsid w:val="793512C3"/>
    <w:rsid w:val="7936053E"/>
    <w:rsid w:val="793842B6"/>
    <w:rsid w:val="79390690"/>
    <w:rsid w:val="7941445D"/>
    <w:rsid w:val="794157FA"/>
    <w:rsid w:val="79464C25"/>
    <w:rsid w:val="79492020"/>
    <w:rsid w:val="794B401A"/>
    <w:rsid w:val="794C2F5D"/>
    <w:rsid w:val="794E4171"/>
    <w:rsid w:val="794E6BD4"/>
    <w:rsid w:val="795135CA"/>
    <w:rsid w:val="7953094A"/>
    <w:rsid w:val="79544C2A"/>
    <w:rsid w:val="79556C16"/>
    <w:rsid w:val="795766F4"/>
    <w:rsid w:val="795804B5"/>
    <w:rsid w:val="795B04EA"/>
    <w:rsid w:val="796230E1"/>
    <w:rsid w:val="7968283B"/>
    <w:rsid w:val="796E36A5"/>
    <w:rsid w:val="797846B3"/>
    <w:rsid w:val="79786AD6"/>
    <w:rsid w:val="797A01B0"/>
    <w:rsid w:val="797A71AD"/>
    <w:rsid w:val="797C1055"/>
    <w:rsid w:val="797D7EE4"/>
    <w:rsid w:val="797D7F1B"/>
    <w:rsid w:val="797E3479"/>
    <w:rsid w:val="797F0137"/>
    <w:rsid w:val="797F5D59"/>
    <w:rsid w:val="79840C9C"/>
    <w:rsid w:val="79842FA7"/>
    <w:rsid w:val="7984409D"/>
    <w:rsid w:val="7984703D"/>
    <w:rsid w:val="798A29F5"/>
    <w:rsid w:val="798B055B"/>
    <w:rsid w:val="798D1B37"/>
    <w:rsid w:val="79915775"/>
    <w:rsid w:val="799327DD"/>
    <w:rsid w:val="799356A1"/>
    <w:rsid w:val="79984B30"/>
    <w:rsid w:val="799A03D0"/>
    <w:rsid w:val="799A6677"/>
    <w:rsid w:val="799B65F3"/>
    <w:rsid w:val="799C2E07"/>
    <w:rsid w:val="799C6FB1"/>
    <w:rsid w:val="79A347B1"/>
    <w:rsid w:val="79A371FF"/>
    <w:rsid w:val="79A4144B"/>
    <w:rsid w:val="79A47B9E"/>
    <w:rsid w:val="79A90CCB"/>
    <w:rsid w:val="79AA0A00"/>
    <w:rsid w:val="79AB74B6"/>
    <w:rsid w:val="79AC3E96"/>
    <w:rsid w:val="79AC4C43"/>
    <w:rsid w:val="79AF1AAC"/>
    <w:rsid w:val="79AF6D5B"/>
    <w:rsid w:val="79B002F1"/>
    <w:rsid w:val="79B00498"/>
    <w:rsid w:val="79B04492"/>
    <w:rsid w:val="79B11037"/>
    <w:rsid w:val="79B17BC5"/>
    <w:rsid w:val="79B37DE1"/>
    <w:rsid w:val="79B575AB"/>
    <w:rsid w:val="79B7167F"/>
    <w:rsid w:val="79B90C96"/>
    <w:rsid w:val="79B926F9"/>
    <w:rsid w:val="79B97062"/>
    <w:rsid w:val="79BC5D3D"/>
    <w:rsid w:val="79BD12D1"/>
    <w:rsid w:val="79BD2A0E"/>
    <w:rsid w:val="79C043FD"/>
    <w:rsid w:val="79C21DD2"/>
    <w:rsid w:val="79C30CA8"/>
    <w:rsid w:val="79C46128"/>
    <w:rsid w:val="79C83406"/>
    <w:rsid w:val="79CA4157"/>
    <w:rsid w:val="79CD0EA3"/>
    <w:rsid w:val="79D1223C"/>
    <w:rsid w:val="79D264B9"/>
    <w:rsid w:val="79D51B05"/>
    <w:rsid w:val="79DA35C0"/>
    <w:rsid w:val="79DA711C"/>
    <w:rsid w:val="79DB4652"/>
    <w:rsid w:val="79DC10E6"/>
    <w:rsid w:val="79DC2509"/>
    <w:rsid w:val="79E5125D"/>
    <w:rsid w:val="79EE2A5F"/>
    <w:rsid w:val="79EE773C"/>
    <w:rsid w:val="79F03AD6"/>
    <w:rsid w:val="79F04B91"/>
    <w:rsid w:val="79FF4DD4"/>
    <w:rsid w:val="79FF6B82"/>
    <w:rsid w:val="7A013357"/>
    <w:rsid w:val="7A014FCF"/>
    <w:rsid w:val="7A0348C4"/>
    <w:rsid w:val="7A041928"/>
    <w:rsid w:val="7A0423EA"/>
    <w:rsid w:val="7A044199"/>
    <w:rsid w:val="7A067F11"/>
    <w:rsid w:val="7A080AFF"/>
    <w:rsid w:val="7A094A17"/>
    <w:rsid w:val="7A0B76AE"/>
    <w:rsid w:val="7A0D188B"/>
    <w:rsid w:val="7A0F16AA"/>
    <w:rsid w:val="7A102B3D"/>
    <w:rsid w:val="7A113E66"/>
    <w:rsid w:val="7A122D59"/>
    <w:rsid w:val="7A130EBF"/>
    <w:rsid w:val="7A15284A"/>
    <w:rsid w:val="7A1563A6"/>
    <w:rsid w:val="7A163BDB"/>
    <w:rsid w:val="7A1D6D42"/>
    <w:rsid w:val="7A2111EE"/>
    <w:rsid w:val="7A260431"/>
    <w:rsid w:val="7A2A2439"/>
    <w:rsid w:val="7A2B3E1B"/>
    <w:rsid w:val="7A301431"/>
    <w:rsid w:val="7A362652"/>
    <w:rsid w:val="7A376627"/>
    <w:rsid w:val="7A394A60"/>
    <w:rsid w:val="7A410F49"/>
    <w:rsid w:val="7A41719B"/>
    <w:rsid w:val="7A42599B"/>
    <w:rsid w:val="7A460355"/>
    <w:rsid w:val="7A4775A8"/>
    <w:rsid w:val="7A48444C"/>
    <w:rsid w:val="7A486646"/>
    <w:rsid w:val="7A50522C"/>
    <w:rsid w:val="7A541090"/>
    <w:rsid w:val="7A5574B6"/>
    <w:rsid w:val="7A5769C5"/>
    <w:rsid w:val="7A594430"/>
    <w:rsid w:val="7A5A101B"/>
    <w:rsid w:val="7A5E1751"/>
    <w:rsid w:val="7A5E7D4D"/>
    <w:rsid w:val="7A602F80"/>
    <w:rsid w:val="7A604484"/>
    <w:rsid w:val="7A644042"/>
    <w:rsid w:val="7A6521ED"/>
    <w:rsid w:val="7A6842AE"/>
    <w:rsid w:val="7A6A37C8"/>
    <w:rsid w:val="7A6C2163"/>
    <w:rsid w:val="7A6F5AB6"/>
    <w:rsid w:val="7A71000D"/>
    <w:rsid w:val="7A715CD2"/>
    <w:rsid w:val="7A7622A9"/>
    <w:rsid w:val="7A7759C9"/>
    <w:rsid w:val="7A7B08FF"/>
    <w:rsid w:val="7A7C4677"/>
    <w:rsid w:val="7A7E42A9"/>
    <w:rsid w:val="7A7E7243"/>
    <w:rsid w:val="7A8157E9"/>
    <w:rsid w:val="7A8523F4"/>
    <w:rsid w:val="7A862C70"/>
    <w:rsid w:val="7A903C7E"/>
    <w:rsid w:val="7A911E35"/>
    <w:rsid w:val="7A911ED0"/>
    <w:rsid w:val="7A9247E8"/>
    <w:rsid w:val="7A940A0B"/>
    <w:rsid w:val="7A950625"/>
    <w:rsid w:val="7A990D85"/>
    <w:rsid w:val="7A9C27D5"/>
    <w:rsid w:val="7A9E639B"/>
    <w:rsid w:val="7AA80F1E"/>
    <w:rsid w:val="7AA82300"/>
    <w:rsid w:val="7AAA5B1D"/>
    <w:rsid w:val="7AAC0AB8"/>
    <w:rsid w:val="7AAC590B"/>
    <w:rsid w:val="7AB06104"/>
    <w:rsid w:val="7AB21E46"/>
    <w:rsid w:val="7AB7745D"/>
    <w:rsid w:val="7AB931D5"/>
    <w:rsid w:val="7ABE07EB"/>
    <w:rsid w:val="7ABE657F"/>
    <w:rsid w:val="7ABE6A3D"/>
    <w:rsid w:val="7AC12A45"/>
    <w:rsid w:val="7AC202DC"/>
    <w:rsid w:val="7AC521D0"/>
    <w:rsid w:val="7AC62FD5"/>
    <w:rsid w:val="7AC83418"/>
    <w:rsid w:val="7ACB268D"/>
    <w:rsid w:val="7ACE224D"/>
    <w:rsid w:val="7ACE4ED2"/>
    <w:rsid w:val="7ACF28D8"/>
    <w:rsid w:val="7ACF6A58"/>
    <w:rsid w:val="7AD04CEA"/>
    <w:rsid w:val="7AD2068A"/>
    <w:rsid w:val="7AD2139B"/>
    <w:rsid w:val="7AD30E37"/>
    <w:rsid w:val="7AD46261"/>
    <w:rsid w:val="7AD65B35"/>
    <w:rsid w:val="7AD7044B"/>
    <w:rsid w:val="7AD7266C"/>
    <w:rsid w:val="7AD85D51"/>
    <w:rsid w:val="7AD95625"/>
    <w:rsid w:val="7AD973D3"/>
    <w:rsid w:val="7ADC6278"/>
    <w:rsid w:val="7ADD22C2"/>
    <w:rsid w:val="7ADE0E8D"/>
    <w:rsid w:val="7ADE49EA"/>
    <w:rsid w:val="7AE01FDA"/>
    <w:rsid w:val="7AE30252"/>
    <w:rsid w:val="7AE40EC8"/>
    <w:rsid w:val="7AE804D8"/>
    <w:rsid w:val="7AE94308"/>
    <w:rsid w:val="7AEA338E"/>
    <w:rsid w:val="7AEC7106"/>
    <w:rsid w:val="7AED71E6"/>
    <w:rsid w:val="7AEE74ED"/>
    <w:rsid w:val="7AF16FF7"/>
    <w:rsid w:val="7AF21BC8"/>
    <w:rsid w:val="7AF34939"/>
    <w:rsid w:val="7AF40ED0"/>
    <w:rsid w:val="7AF44659"/>
    <w:rsid w:val="7AF75AAB"/>
    <w:rsid w:val="7AFE32DE"/>
    <w:rsid w:val="7AFF525F"/>
    <w:rsid w:val="7B00087B"/>
    <w:rsid w:val="7B010C91"/>
    <w:rsid w:val="7B015459"/>
    <w:rsid w:val="7B0333E1"/>
    <w:rsid w:val="7B054C06"/>
    <w:rsid w:val="7B073F40"/>
    <w:rsid w:val="7B094167"/>
    <w:rsid w:val="7B095F8D"/>
    <w:rsid w:val="7B0D0B25"/>
    <w:rsid w:val="7B136D89"/>
    <w:rsid w:val="7B144B32"/>
    <w:rsid w:val="7B145A11"/>
    <w:rsid w:val="7B1B4118"/>
    <w:rsid w:val="7B1E128A"/>
    <w:rsid w:val="7B1E285F"/>
    <w:rsid w:val="7B22117E"/>
    <w:rsid w:val="7B256ABC"/>
    <w:rsid w:val="7B263453"/>
    <w:rsid w:val="7B2745E3"/>
    <w:rsid w:val="7B29572F"/>
    <w:rsid w:val="7B3041B5"/>
    <w:rsid w:val="7B310FBD"/>
    <w:rsid w:val="7B316BDA"/>
    <w:rsid w:val="7B33214E"/>
    <w:rsid w:val="7B340AAD"/>
    <w:rsid w:val="7B38059E"/>
    <w:rsid w:val="7B3A1D2E"/>
    <w:rsid w:val="7B411518"/>
    <w:rsid w:val="7B4131B1"/>
    <w:rsid w:val="7B4156BF"/>
    <w:rsid w:val="7B486307"/>
    <w:rsid w:val="7B4A56E6"/>
    <w:rsid w:val="7B4C4049"/>
    <w:rsid w:val="7B4D0E50"/>
    <w:rsid w:val="7B51102C"/>
    <w:rsid w:val="7B521482"/>
    <w:rsid w:val="7B52214A"/>
    <w:rsid w:val="7B523868"/>
    <w:rsid w:val="7B52550E"/>
    <w:rsid w:val="7B5733CB"/>
    <w:rsid w:val="7B580C40"/>
    <w:rsid w:val="7B583961"/>
    <w:rsid w:val="7B6205F9"/>
    <w:rsid w:val="7B631937"/>
    <w:rsid w:val="7B65510B"/>
    <w:rsid w:val="7B662DB0"/>
    <w:rsid w:val="7B6770D5"/>
    <w:rsid w:val="7B685CCD"/>
    <w:rsid w:val="7B6A5565"/>
    <w:rsid w:val="7B6B4B23"/>
    <w:rsid w:val="7B6C6499"/>
    <w:rsid w:val="7B6D75F1"/>
    <w:rsid w:val="7B6F6F57"/>
    <w:rsid w:val="7B7F441F"/>
    <w:rsid w:val="7B8239E9"/>
    <w:rsid w:val="7B857D92"/>
    <w:rsid w:val="7B863637"/>
    <w:rsid w:val="7B863B58"/>
    <w:rsid w:val="7B890DF9"/>
    <w:rsid w:val="7B8B68F2"/>
    <w:rsid w:val="7B8E046E"/>
    <w:rsid w:val="7B8E6410"/>
    <w:rsid w:val="7B917CAE"/>
    <w:rsid w:val="7B963516"/>
    <w:rsid w:val="7B971668"/>
    <w:rsid w:val="7B9854E0"/>
    <w:rsid w:val="7B9A4DB4"/>
    <w:rsid w:val="7B9A6B62"/>
    <w:rsid w:val="7B9B28DB"/>
    <w:rsid w:val="7B9B3FB4"/>
    <w:rsid w:val="7BA37D65"/>
    <w:rsid w:val="7BA43177"/>
    <w:rsid w:val="7BA62598"/>
    <w:rsid w:val="7BA63759"/>
    <w:rsid w:val="7BAE5F36"/>
    <w:rsid w:val="7BAE6AB2"/>
    <w:rsid w:val="7BAF216C"/>
    <w:rsid w:val="7BB062E7"/>
    <w:rsid w:val="7BB30B9E"/>
    <w:rsid w:val="7BB3142A"/>
    <w:rsid w:val="7BB31795"/>
    <w:rsid w:val="7BB86762"/>
    <w:rsid w:val="7BBA15D2"/>
    <w:rsid w:val="7BBD0AA3"/>
    <w:rsid w:val="7BBE50F3"/>
    <w:rsid w:val="7BBF2A6D"/>
    <w:rsid w:val="7BC167E5"/>
    <w:rsid w:val="7BC22AEF"/>
    <w:rsid w:val="7BC65BA9"/>
    <w:rsid w:val="7BC83CB8"/>
    <w:rsid w:val="7BCE2CB0"/>
    <w:rsid w:val="7BD05D0E"/>
    <w:rsid w:val="7BD170C1"/>
    <w:rsid w:val="7BD75FCA"/>
    <w:rsid w:val="7BD76009"/>
    <w:rsid w:val="7BD77DB7"/>
    <w:rsid w:val="7BDB595A"/>
    <w:rsid w:val="7BDC50D5"/>
    <w:rsid w:val="7BDD7288"/>
    <w:rsid w:val="7BE10BE4"/>
    <w:rsid w:val="7BE443BC"/>
    <w:rsid w:val="7BE83102"/>
    <w:rsid w:val="7BEA5363"/>
    <w:rsid w:val="7BEB3862"/>
    <w:rsid w:val="7BED046F"/>
    <w:rsid w:val="7BEF6DF9"/>
    <w:rsid w:val="7BF16A8F"/>
    <w:rsid w:val="7BF66181"/>
    <w:rsid w:val="7BF73FB5"/>
    <w:rsid w:val="7BF92EEA"/>
    <w:rsid w:val="7BF94168"/>
    <w:rsid w:val="7BFB100C"/>
    <w:rsid w:val="7BFD5CC4"/>
    <w:rsid w:val="7BFF730D"/>
    <w:rsid w:val="7C036DFE"/>
    <w:rsid w:val="7C042B76"/>
    <w:rsid w:val="7C067E69"/>
    <w:rsid w:val="7C07010F"/>
    <w:rsid w:val="7C093CE8"/>
    <w:rsid w:val="7C1412D8"/>
    <w:rsid w:val="7C1424C5"/>
    <w:rsid w:val="7C142DB9"/>
    <w:rsid w:val="7C15268D"/>
    <w:rsid w:val="7C172980"/>
    <w:rsid w:val="7C174657"/>
    <w:rsid w:val="7C1862BF"/>
    <w:rsid w:val="7C1A3D94"/>
    <w:rsid w:val="7C1A5EF5"/>
    <w:rsid w:val="7C1D130F"/>
    <w:rsid w:val="7C1E42A7"/>
    <w:rsid w:val="7C1E6790"/>
    <w:rsid w:val="7C1E70BD"/>
    <w:rsid w:val="7C1F350C"/>
    <w:rsid w:val="7C276AE6"/>
    <w:rsid w:val="7C281644"/>
    <w:rsid w:val="7C291757"/>
    <w:rsid w:val="7C321491"/>
    <w:rsid w:val="7C347CA5"/>
    <w:rsid w:val="7C357871"/>
    <w:rsid w:val="7C365AB3"/>
    <w:rsid w:val="7C3A6597"/>
    <w:rsid w:val="7C3C40BE"/>
    <w:rsid w:val="7C3C7373"/>
    <w:rsid w:val="7C3E04C7"/>
    <w:rsid w:val="7C4111CA"/>
    <w:rsid w:val="7C43544C"/>
    <w:rsid w:val="7C440FFF"/>
    <w:rsid w:val="7C4565A4"/>
    <w:rsid w:val="7C460A98"/>
    <w:rsid w:val="7C49795C"/>
    <w:rsid w:val="7C4A67DB"/>
    <w:rsid w:val="7C4C6DB3"/>
    <w:rsid w:val="7C4D0079"/>
    <w:rsid w:val="7C4F66CD"/>
    <w:rsid w:val="7C504A6E"/>
    <w:rsid w:val="7C507325"/>
    <w:rsid w:val="7C5330B3"/>
    <w:rsid w:val="7C541407"/>
    <w:rsid w:val="7C55373F"/>
    <w:rsid w:val="7C5541CC"/>
    <w:rsid w:val="7C556F2D"/>
    <w:rsid w:val="7C585170"/>
    <w:rsid w:val="7C5A028F"/>
    <w:rsid w:val="7C5E2286"/>
    <w:rsid w:val="7C5F2BF3"/>
    <w:rsid w:val="7C6333F8"/>
    <w:rsid w:val="7C647170"/>
    <w:rsid w:val="7C692381"/>
    <w:rsid w:val="7C6D071B"/>
    <w:rsid w:val="7C6E2D2B"/>
    <w:rsid w:val="7C704FB8"/>
    <w:rsid w:val="7C72188D"/>
    <w:rsid w:val="7C730E76"/>
    <w:rsid w:val="7C741AA9"/>
    <w:rsid w:val="7C75184C"/>
    <w:rsid w:val="7C7523B7"/>
    <w:rsid w:val="7C794EFF"/>
    <w:rsid w:val="7C8056A0"/>
    <w:rsid w:val="7C8066BB"/>
    <w:rsid w:val="7C8141C6"/>
    <w:rsid w:val="7C825AE3"/>
    <w:rsid w:val="7C833A9B"/>
    <w:rsid w:val="7C835849"/>
    <w:rsid w:val="7C851089"/>
    <w:rsid w:val="7C855A65"/>
    <w:rsid w:val="7C8A4E29"/>
    <w:rsid w:val="7C8B077F"/>
    <w:rsid w:val="7C9061B7"/>
    <w:rsid w:val="7C920C6D"/>
    <w:rsid w:val="7C923CDE"/>
    <w:rsid w:val="7C9712F4"/>
    <w:rsid w:val="7C9C4B5C"/>
    <w:rsid w:val="7C9D4F02"/>
    <w:rsid w:val="7CA11E26"/>
    <w:rsid w:val="7CA37C99"/>
    <w:rsid w:val="7CA41D59"/>
    <w:rsid w:val="7CA659DB"/>
    <w:rsid w:val="7CA852AF"/>
    <w:rsid w:val="7CA915F3"/>
    <w:rsid w:val="7CAB4D9F"/>
    <w:rsid w:val="7CAF41D8"/>
    <w:rsid w:val="7CB225D2"/>
    <w:rsid w:val="7CB24380"/>
    <w:rsid w:val="7CB36764"/>
    <w:rsid w:val="7CB4634A"/>
    <w:rsid w:val="7CB73744"/>
    <w:rsid w:val="7CB74D32"/>
    <w:rsid w:val="7CB931D9"/>
    <w:rsid w:val="7CBA3C1C"/>
    <w:rsid w:val="7CBA515F"/>
    <w:rsid w:val="7CBC6FAC"/>
    <w:rsid w:val="7CBD616F"/>
    <w:rsid w:val="7CBF7B02"/>
    <w:rsid w:val="7CC10B8A"/>
    <w:rsid w:val="7CCA16C9"/>
    <w:rsid w:val="7CD127C8"/>
    <w:rsid w:val="7CD21FAA"/>
    <w:rsid w:val="7CD2284F"/>
    <w:rsid w:val="7CD24A22"/>
    <w:rsid w:val="7CD33E4E"/>
    <w:rsid w:val="7CD35FA8"/>
    <w:rsid w:val="7CD40F40"/>
    <w:rsid w:val="7CDA6D17"/>
    <w:rsid w:val="7CDE6F41"/>
    <w:rsid w:val="7CE00EED"/>
    <w:rsid w:val="7CE04A49"/>
    <w:rsid w:val="7CE1124A"/>
    <w:rsid w:val="7CE33FC3"/>
    <w:rsid w:val="7CE51D9D"/>
    <w:rsid w:val="7CE60AEA"/>
    <w:rsid w:val="7CE83366"/>
    <w:rsid w:val="7CE923E9"/>
    <w:rsid w:val="7CEA1D6C"/>
    <w:rsid w:val="7CEB7DFA"/>
    <w:rsid w:val="7CEF4385"/>
    <w:rsid w:val="7CF24DE2"/>
    <w:rsid w:val="7CF9689B"/>
    <w:rsid w:val="7CFC5110"/>
    <w:rsid w:val="7D016812"/>
    <w:rsid w:val="7D02613C"/>
    <w:rsid w:val="7D034BDB"/>
    <w:rsid w:val="7D0A545A"/>
    <w:rsid w:val="7D0A5F6A"/>
    <w:rsid w:val="7D0B583E"/>
    <w:rsid w:val="7D0B61A8"/>
    <w:rsid w:val="7D0C0EBE"/>
    <w:rsid w:val="7D0C1CE2"/>
    <w:rsid w:val="7D0C3D15"/>
    <w:rsid w:val="7D0D3CEA"/>
    <w:rsid w:val="7D0F1BE7"/>
    <w:rsid w:val="7D0F3580"/>
    <w:rsid w:val="7D1110A6"/>
    <w:rsid w:val="7D1465BC"/>
    <w:rsid w:val="7D1B3CD3"/>
    <w:rsid w:val="7D1B66E1"/>
    <w:rsid w:val="7D220717"/>
    <w:rsid w:val="7D22132A"/>
    <w:rsid w:val="7D2749BA"/>
    <w:rsid w:val="7D2834D0"/>
    <w:rsid w:val="7D294C39"/>
    <w:rsid w:val="7D2D1C58"/>
    <w:rsid w:val="7D2F2B3D"/>
    <w:rsid w:val="7D315490"/>
    <w:rsid w:val="7D341239"/>
    <w:rsid w:val="7D364FB1"/>
    <w:rsid w:val="7D380D29"/>
    <w:rsid w:val="7D3B0266"/>
    <w:rsid w:val="7D3B7954"/>
    <w:rsid w:val="7D425704"/>
    <w:rsid w:val="7D440B00"/>
    <w:rsid w:val="7D450DA4"/>
    <w:rsid w:val="7D456FA2"/>
    <w:rsid w:val="7D4968E9"/>
    <w:rsid w:val="7D4C0330"/>
    <w:rsid w:val="7D4E40A8"/>
    <w:rsid w:val="7D4E5A07"/>
    <w:rsid w:val="7D501EA9"/>
    <w:rsid w:val="7D525F3C"/>
    <w:rsid w:val="7D596E7A"/>
    <w:rsid w:val="7D5B24AC"/>
    <w:rsid w:val="7D5F64E3"/>
    <w:rsid w:val="7D60202E"/>
    <w:rsid w:val="7D627B54"/>
    <w:rsid w:val="7D6438CC"/>
    <w:rsid w:val="7D650397"/>
    <w:rsid w:val="7D6C452F"/>
    <w:rsid w:val="7D6F1F0B"/>
    <w:rsid w:val="7D7168B7"/>
    <w:rsid w:val="7D761842"/>
    <w:rsid w:val="7D790FB7"/>
    <w:rsid w:val="7D7B0C16"/>
    <w:rsid w:val="7D7D673C"/>
    <w:rsid w:val="7D850706"/>
    <w:rsid w:val="7D881F5A"/>
    <w:rsid w:val="7D885C6D"/>
    <w:rsid w:val="7D88606A"/>
    <w:rsid w:val="7D891D27"/>
    <w:rsid w:val="7D8C697F"/>
    <w:rsid w:val="7D8D35B5"/>
    <w:rsid w:val="7D8E26F7"/>
    <w:rsid w:val="7D8F7E60"/>
    <w:rsid w:val="7D902916"/>
    <w:rsid w:val="7D910387"/>
    <w:rsid w:val="7D943A85"/>
    <w:rsid w:val="7D951F4E"/>
    <w:rsid w:val="7D9615AC"/>
    <w:rsid w:val="7D9662B8"/>
    <w:rsid w:val="7D9D0B8C"/>
    <w:rsid w:val="7D9D1471"/>
    <w:rsid w:val="7D9F4BF5"/>
    <w:rsid w:val="7DA07FF5"/>
    <w:rsid w:val="7DA261A2"/>
    <w:rsid w:val="7DA270F0"/>
    <w:rsid w:val="7DA4016C"/>
    <w:rsid w:val="7DA40C80"/>
    <w:rsid w:val="7DAA194E"/>
    <w:rsid w:val="7DAB2D81"/>
    <w:rsid w:val="7DAB79B3"/>
    <w:rsid w:val="7DAF0C8C"/>
    <w:rsid w:val="7DB25902"/>
    <w:rsid w:val="7DB30623"/>
    <w:rsid w:val="7DB4431C"/>
    <w:rsid w:val="7DB92B91"/>
    <w:rsid w:val="7DBE3A17"/>
    <w:rsid w:val="7DC14D3B"/>
    <w:rsid w:val="7DC600E3"/>
    <w:rsid w:val="7DC7725A"/>
    <w:rsid w:val="7DCC7E3B"/>
    <w:rsid w:val="7DCE343B"/>
    <w:rsid w:val="7DCE7EBD"/>
    <w:rsid w:val="7DD16A88"/>
    <w:rsid w:val="7DD30A52"/>
    <w:rsid w:val="7DD33735"/>
    <w:rsid w:val="7DD629F7"/>
    <w:rsid w:val="7DDA2B39"/>
    <w:rsid w:val="7DDB3462"/>
    <w:rsid w:val="7DDE2FF4"/>
    <w:rsid w:val="7DE4141D"/>
    <w:rsid w:val="7DE62533"/>
    <w:rsid w:val="7DE64D48"/>
    <w:rsid w:val="7DEC566F"/>
    <w:rsid w:val="7DEE7639"/>
    <w:rsid w:val="7DEF5D7D"/>
    <w:rsid w:val="7DF033B2"/>
    <w:rsid w:val="7DF54524"/>
    <w:rsid w:val="7DF6029C"/>
    <w:rsid w:val="7DF6453D"/>
    <w:rsid w:val="7DF84014"/>
    <w:rsid w:val="7DF9268C"/>
    <w:rsid w:val="7DF958C3"/>
    <w:rsid w:val="7DFA5A83"/>
    <w:rsid w:val="7DFA7AE0"/>
    <w:rsid w:val="7E01111B"/>
    <w:rsid w:val="7E024E93"/>
    <w:rsid w:val="7E064983"/>
    <w:rsid w:val="7E0D5D12"/>
    <w:rsid w:val="7E0E3838"/>
    <w:rsid w:val="7E10124A"/>
    <w:rsid w:val="7E121751"/>
    <w:rsid w:val="7E145CC6"/>
    <w:rsid w:val="7E185273"/>
    <w:rsid w:val="7E18635A"/>
    <w:rsid w:val="7E192908"/>
    <w:rsid w:val="7E1F4E07"/>
    <w:rsid w:val="7E2059AC"/>
    <w:rsid w:val="7E215ECD"/>
    <w:rsid w:val="7E235535"/>
    <w:rsid w:val="7E25348D"/>
    <w:rsid w:val="7E2B34D6"/>
    <w:rsid w:val="7E2B4306"/>
    <w:rsid w:val="7E2B43EA"/>
    <w:rsid w:val="7E2E3EDA"/>
    <w:rsid w:val="7E2E6078"/>
    <w:rsid w:val="7E327BA3"/>
    <w:rsid w:val="7E3405A6"/>
    <w:rsid w:val="7E351DD7"/>
    <w:rsid w:val="7E372D8F"/>
    <w:rsid w:val="7E374B3D"/>
    <w:rsid w:val="7E386556"/>
    <w:rsid w:val="7E3A63DB"/>
    <w:rsid w:val="7E3E094F"/>
    <w:rsid w:val="7E4032E2"/>
    <w:rsid w:val="7E414658"/>
    <w:rsid w:val="7E4352AD"/>
    <w:rsid w:val="7E454144"/>
    <w:rsid w:val="7E464D80"/>
    <w:rsid w:val="7E4F632A"/>
    <w:rsid w:val="7E5020A2"/>
    <w:rsid w:val="7E51336F"/>
    <w:rsid w:val="7E524E9B"/>
    <w:rsid w:val="7E525E1A"/>
    <w:rsid w:val="7E56399B"/>
    <w:rsid w:val="7E594664"/>
    <w:rsid w:val="7E5A082B"/>
    <w:rsid w:val="7E5A4CCF"/>
    <w:rsid w:val="7E614934"/>
    <w:rsid w:val="7E61605D"/>
    <w:rsid w:val="7E635932"/>
    <w:rsid w:val="7E6741B0"/>
    <w:rsid w:val="7E6D055E"/>
    <w:rsid w:val="7E6F5FE6"/>
    <w:rsid w:val="7E7062A0"/>
    <w:rsid w:val="7E725B75"/>
    <w:rsid w:val="7E785BB8"/>
    <w:rsid w:val="7E795155"/>
    <w:rsid w:val="7E7B5F0A"/>
    <w:rsid w:val="7E7E09BD"/>
    <w:rsid w:val="7E861597"/>
    <w:rsid w:val="7E865AC4"/>
    <w:rsid w:val="7E9006F1"/>
    <w:rsid w:val="7E9A2C31"/>
    <w:rsid w:val="7E9C305C"/>
    <w:rsid w:val="7E9C5D99"/>
    <w:rsid w:val="7E9E696A"/>
    <w:rsid w:val="7EA072A8"/>
    <w:rsid w:val="7EA1387F"/>
    <w:rsid w:val="7EA36676"/>
    <w:rsid w:val="7EA41E2C"/>
    <w:rsid w:val="7EA45310"/>
    <w:rsid w:val="7EA45F4A"/>
    <w:rsid w:val="7EA47CF8"/>
    <w:rsid w:val="7EA877E8"/>
    <w:rsid w:val="7EAB1087"/>
    <w:rsid w:val="7EB27F10"/>
    <w:rsid w:val="7EB7089C"/>
    <w:rsid w:val="7EBF4B32"/>
    <w:rsid w:val="7EC108AA"/>
    <w:rsid w:val="7EC16AFC"/>
    <w:rsid w:val="7EC179F8"/>
    <w:rsid w:val="7EC31FF2"/>
    <w:rsid w:val="7EC550D4"/>
    <w:rsid w:val="7EC565EC"/>
    <w:rsid w:val="7EC62CB6"/>
    <w:rsid w:val="7EC87E8B"/>
    <w:rsid w:val="7ED405DD"/>
    <w:rsid w:val="7ED77A85"/>
    <w:rsid w:val="7ED868DD"/>
    <w:rsid w:val="7EE051D4"/>
    <w:rsid w:val="7EE06F82"/>
    <w:rsid w:val="7EE12CFA"/>
    <w:rsid w:val="7EE236AA"/>
    <w:rsid w:val="7EE94CF7"/>
    <w:rsid w:val="7EE979F0"/>
    <w:rsid w:val="7EEF3669"/>
    <w:rsid w:val="7EF02F3D"/>
    <w:rsid w:val="7EF063B9"/>
    <w:rsid w:val="7EF14CDF"/>
    <w:rsid w:val="7EF25407"/>
    <w:rsid w:val="7EF26CB5"/>
    <w:rsid w:val="7EF40C80"/>
    <w:rsid w:val="7EF63CBF"/>
    <w:rsid w:val="7EF667A6"/>
    <w:rsid w:val="7EF7251E"/>
    <w:rsid w:val="7EF85996"/>
    <w:rsid w:val="7F004F8D"/>
    <w:rsid w:val="7F022551"/>
    <w:rsid w:val="7F026D70"/>
    <w:rsid w:val="7F04548E"/>
    <w:rsid w:val="7F095899"/>
    <w:rsid w:val="7F0A04A3"/>
    <w:rsid w:val="7F0E29B0"/>
    <w:rsid w:val="7F0F4344"/>
    <w:rsid w:val="7F0F5070"/>
    <w:rsid w:val="7F10538E"/>
    <w:rsid w:val="7F151ECC"/>
    <w:rsid w:val="7F154D89"/>
    <w:rsid w:val="7F177623"/>
    <w:rsid w:val="7F177CFC"/>
    <w:rsid w:val="7F1906E6"/>
    <w:rsid w:val="7F1960F6"/>
    <w:rsid w:val="7F1C61CC"/>
    <w:rsid w:val="7F1E7AAB"/>
    <w:rsid w:val="7F221B2F"/>
    <w:rsid w:val="7F2C56CF"/>
    <w:rsid w:val="7F2C7EBF"/>
    <w:rsid w:val="7F2D15E3"/>
    <w:rsid w:val="7F2D5B28"/>
    <w:rsid w:val="7F3217A8"/>
    <w:rsid w:val="7F357735"/>
    <w:rsid w:val="7F392B36"/>
    <w:rsid w:val="7F3948E4"/>
    <w:rsid w:val="7F3C1188"/>
    <w:rsid w:val="7F3D71F9"/>
    <w:rsid w:val="7F3E639F"/>
    <w:rsid w:val="7F402117"/>
    <w:rsid w:val="7F41431A"/>
    <w:rsid w:val="7F4179AD"/>
    <w:rsid w:val="7F482AF6"/>
    <w:rsid w:val="7F4B38D6"/>
    <w:rsid w:val="7F4E198B"/>
    <w:rsid w:val="7F511C2E"/>
    <w:rsid w:val="7F524A36"/>
    <w:rsid w:val="7F531E4A"/>
    <w:rsid w:val="7F54734D"/>
    <w:rsid w:val="7F547503"/>
    <w:rsid w:val="7F56348C"/>
    <w:rsid w:val="7F5C05D3"/>
    <w:rsid w:val="7F6000C3"/>
    <w:rsid w:val="7F606B50"/>
    <w:rsid w:val="7F63228D"/>
    <w:rsid w:val="7F67050C"/>
    <w:rsid w:val="7F671451"/>
    <w:rsid w:val="7F6851CA"/>
    <w:rsid w:val="7F6D458E"/>
    <w:rsid w:val="7F6E3AE0"/>
    <w:rsid w:val="7F720FD4"/>
    <w:rsid w:val="7F72702B"/>
    <w:rsid w:val="7F741A01"/>
    <w:rsid w:val="7F765B38"/>
    <w:rsid w:val="7F7922EE"/>
    <w:rsid w:val="7F79313C"/>
    <w:rsid w:val="7F7D0C75"/>
    <w:rsid w:val="7F7D6EC7"/>
    <w:rsid w:val="7F82628B"/>
    <w:rsid w:val="7F8C710A"/>
    <w:rsid w:val="7F914C97"/>
    <w:rsid w:val="7F947D6D"/>
    <w:rsid w:val="7F967F89"/>
    <w:rsid w:val="7F9D30C5"/>
    <w:rsid w:val="7F9F508F"/>
    <w:rsid w:val="7FA036C0"/>
    <w:rsid w:val="7FA23E31"/>
    <w:rsid w:val="7FA36202"/>
    <w:rsid w:val="7FA40F25"/>
    <w:rsid w:val="7FA426A6"/>
    <w:rsid w:val="7FA53143"/>
    <w:rsid w:val="7FA53C32"/>
    <w:rsid w:val="7FAA57E2"/>
    <w:rsid w:val="7FAC155A"/>
    <w:rsid w:val="7FAD5569"/>
    <w:rsid w:val="7FAE2D7E"/>
    <w:rsid w:val="7FB16B71"/>
    <w:rsid w:val="7FB747B0"/>
    <w:rsid w:val="7FB832C4"/>
    <w:rsid w:val="7FBA5396"/>
    <w:rsid w:val="7FBD72C3"/>
    <w:rsid w:val="7FC40652"/>
    <w:rsid w:val="7FC472F7"/>
    <w:rsid w:val="7FC478ED"/>
    <w:rsid w:val="7FC916DD"/>
    <w:rsid w:val="7FD05249"/>
    <w:rsid w:val="7FD075E8"/>
    <w:rsid w:val="7FD12D6F"/>
    <w:rsid w:val="7FD2355F"/>
    <w:rsid w:val="7FD33100"/>
    <w:rsid w:val="7FD52AED"/>
    <w:rsid w:val="7FD71A41"/>
    <w:rsid w:val="7FD85EAB"/>
    <w:rsid w:val="7FE36F83"/>
    <w:rsid w:val="7FE44850"/>
    <w:rsid w:val="7FE82DF8"/>
    <w:rsid w:val="7FE900B8"/>
    <w:rsid w:val="7FF21AA1"/>
    <w:rsid w:val="7FF556E9"/>
    <w:rsid w:val="7FF66A8E"/>
    <w:rsid w:val="7FF8479F"/>
    <w:rsid w:val="7FF9365D"/>
    <w:rsid w:val="7FFA0CBF"/>
    <w:rsid w:val="7FFA0E83"/>
    <w:rsid w:val="7FFB0C93"/>
    <w:rsid w:val="7FFD5538"/>
    <w:rsid w:val="7FFF5B2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iPriority="0" w:name="index 2"/>
    <w:lsdException w:uiPriority="0" w:name="index 3"/>
    <w:lsdException w:uiPriority="0" w:name="index 4"/>
    <w:lsdException w:uiPriority="0" w:name="index 5"/>
    <w:lsdException w:uiPriority="0" w:name="index 6"/>
    <w:lsdException w:uiPriority="0" w:name="index 7"/>
    <w:lsdException w:unhideWhenUsed="0" w:uiPriority="0" w:semiHidden="0" w:name="index 8"/>
    <w:lsdException w:uiPriority="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iPriority="0" w:name="footnote text"/>
    <w:lsdException w:unhideWhenUsed="0" w:uiPriority="0" w:semiHidden="0" w:name="annotation text"/>
    <w:lsdException w:unhideWhenUsed="0" w:uiPriority="0" w:semiHidden="0" w:name="header"/>
    <w:lsdException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nhideWhenUsed="0" w:uiPriority="0" w:semiHidden="0" w:name="footnote reference"/>
    <w:lsdException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nhideWhenUsed="0" w:uiPriority="0" w:semiHidden="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nhideWhenUsed="0" w:uiPriority="0" w:semiHidden="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semiHidden="0" w:name="Default Paragraph Font"/>
    <w:lsdException w:unhideWhenUsed="0" w:uiPriority="0" w:semiHidden="0" w:name="Body Text"/>
    <w:lsdException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iPriority="0" w:name="E-mail Signature"/>
    <w:lsdException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nhideWhenUsed="0" w:uiPriority="0" w:semiHidden="0" w:name="HTML Preformatted"/>
    <w:lsdException w:uiPriority="0" w:name="HTML Sample"/>
    <w:lsdException w:uiPriority="0" w:name="HTML Typewriter"/>
    <w:lsdException w:uiPriority="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nhideWhenUsed="0" w:uiPriority="0" w:semiHidden="0" w:name="Table Grid"/>
    <w:lsdException w:qFormat="1"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360" w:lineRule="auto"/>
      <w:ind w:firstLine="420" w:firstLineChars="200"/>
      <w:jc w:val="both"/>
    </w:pPr>
    <w:rPr>
      <w:rFonts w:ascii="Times New Roman" w:hAnsi="Times New Roman" w:eastAsia="宋体" w:cs="Times New Roman"/>
      <w:kern w:val="2"/>
      <w:sz w:val="24"/>
      <w:szCs w:val="24"/>
      <w:lang w:val="en-US" w:eastAsia="zh-CN" w:bidi="ar-SA"/>
    </w:rPr>
  </w:style>
  <w:style w:type="paragraph" w:styleId="2">
    <w:name w:val="heading 1"/>
    <w:basedOn w:val="1"/>
    <w:next w:val="1"/>
    <w:link w:val="17"/>
    <w:autoRedefine/>
    <w:qFormat/>
    <w:uiPriority w:val="0"/>
    <w:pPr>
      <w:keepNext/>
      <w:snapToGrid/>
      <w:jc w:val="center"/>
      <w:outlineLvl w:val="0"/>
    </w:pPr>
    <w:rPr>
      <w:rFonts w:ascii="Times New Roman" w:hAnsi="Times New Roman" w:eastAsia="黑体"/>
      <w:b/>
      <w:bCs/>
      <w:sz w:val="30"/>
      <w:szCs w:val="30"/>
    </w:rPr>
  </w:style>
  <w:style w:type="paragraph" w:styleId="3">
    <w:name w:val="heading 2"/>
    <w:basedOn w:val="1"/>
    <w:next w:val="1"/>
    <w:link w:val="20"/>
    <w:autoRedefine/>
    <w:qFormat/>
    <w:uiPriority w:val="0"/>
    <w:pPr>
      <w:widowControl/>
      <w:adjustRightInd w:val="0"/>
      <w:spacing w:before="140" w:after="140" w:line="288" w:lineRule="auto"/>
      <w:jc w:val="left"/>
      <w:textAlignment w:val="baseline"/>
      <w:outlineLvl w:val="1"/>
    </w:pPr>
    <w:rPr>
      <w:rFonts w:ascii="Arial" w:hAnsi="Arial" w:eastAsia="黑体"/>
      <w:b/>
      <w:kern w:val="0"/>
      <w:sz w:val="28"/>
      <w:szCs w:val="20"/>
    </w:rPr>
  </w:style>
  <w:style w:type="paragraph" w:styleId="4">
    <w:name w:val="heading 3"/>
    <w:basedOn w:val="1"/>
    <w:next w:val="1"/>
    <w:link w:val="21"/>
    <w:autoRedefine/>
    <w:qFormat/>
    <w:uiPriority w:val="0"/>
    <w:pPr>
      <w:widowControl/>
      <w:adjustRightInd w:val="0"/>
      <w:spacing w:before="40" w:after="40" w:line="288" w:lineRule="auto"/>
      <w:jc w:val="left"/>
      <w:textAlignment w:val="baseline"/>
      <w:outlineLvl w:val="2"/>
    </w:pPr>
    <w:rPr>
      <w:kern w:val="0"/>
      <w:sz w:val="28"/>
      <w:szCs w:val="20"/>
    </w:rPr>
  </w:style>
  <w:style w:type="paragraph" w:styleId="5">
    <w:name w:val="heading 4"/>
    <w:basedOn w:val="1"/>
    <w:next w:val="1"/>
    <w:link w:val="22"/>
    <w:autoRedefine/>
    <w:qFormat/>
    <w:uiPriority w:val="0"/>
    <w:pPr>
      <w:tabs>
        <w:tab w:val="left" w:pos="1680"/>
      </w:tabs>
      <w:outlineLvl w:val="3"/>
    </w:pPr>
  </w:style>
  <w:style w:type="paragraph" w:styleId="6">
    <w:name w:val="heading 5"/>
    <w:basedOn w:val="1"/>
    <w:next w:val="1"/>
    <w:link w:val="23"/>
    <w:autoRedefine/>
    <w:qFormat/>
    <w:uiPriority w:val="0"/>
    <w:pPr>
      <w:keepNext/>
      <w:keepLines/>
      <w:adjustRightInd w:val="0"/>
      <w:spacing w:before="280" w:after="290" w:line="376" w:lineRule="atLeast"/>
      <w:jc w:val="left"/>
      <w:textAlignment w:val="baseline"/>
      <w:outlineLvl w:val="4"/>
    </w:pPr>
    <w:rPr>
      <w:b/>
      <w:kern w:val="0"/>
      <w:sz w:val="28"/>
      <w:szCs w:val="20"/>
    </w:rPr>
  </w:style>
  <w:style w:type="paragraph" w:styleId="7">
    <w:name w:val="heading 6"/>
    <w:basedOn w:val="1"/>
    <w:next w:val="1"/>
    <w:link w:val="24"/>
    <w:autoRedefine/>
    <w:qFormat/>
    <w:uiPriority w:val="0"/>
    <w:pPr>
      <w:keepNext/>
      <w:keepLines/>
      <w:adjustRightInd w:val="0"/>
      <w:spacing w:before="240" w:after="64" w:line="320" w:lineRule="atLeast"/>
      <w:jc w:val="left"/>
      <w:textAlignment w:val="baseline"/>
      <w:outlineLvl w:val="5"/>
    </w:pPr>
    <w:rPr>
      <w:rFonts w:ascii="Arial" w:hAnsi="Arial" w:eastAsia="黑体"/>
      <w:b/>
      <w:kern w:val="0"/>
      <w:sz w:val="24"/>
      <w:szCs w:val="20"/>
    </w:rPr>
  </w:style>
  <w:style w:type="paragraph" w:styleId="8">
    <w:name w:val="heading 7"/>
    <w:basedOn w:val="1"/>
    <w:next w:val="1"/>
    <w:link w:val="18"/>
    <w:autoRedefine/>
    <w:qFormat/>
    <w:uiPriority w:val="0"/>
    <w:pPr>
      <w:keepNext/>
      <w:keepLines/>
      <w:adjustRightInd w:val="0"/>
      <w:spacing w:before="240" w:after="64" w:line="320" w:lineRule="atLeast"/>
      <w:jc w:val="left"/>
      <w:textAlignment w:val="baseline"/>
      <w:outlineLvl w:val="6"/>
    </w:pPr>
    <w:rPr>
      <w:b/>
      <w:kern w:val="0"/>
      <w:sz w:val="24"/>
      <w:szCs w:val="20"/>
    </w:rPr>
  </w:style>
  <w:style w:type="paragraph" w:styleId="9">
    <w:name w:val="heading 8"/>
    <w:basedOn w:val="1"/>
    <w:next w:val="1"/>
    <w:link w:val="25"/>
    <w:autoRedefine/>
    <w:qFormat/>
    <w:uiPriority w:val="0"/>
    <w:pPr>
      <w:keepNext/>
      <w:keepLines/>
      <w:adjustRightInd w:val="0"/>
      <w:spacing w:before="240" w:after="64" w:line="320" w:lineRule="atLeast"/>
      <w:jc w:val="left"/>
      <w:textAlignment w:val="baseline"/>
      <w:outlineLvl w:val="7"/>
    </w:pPr>
    <w:rPr>
      <w:rFonts w:ascii="Arial" w:hAnsi="Arial" w:eastAsia="黑体"/>
      <w:kern w:val="0"/>
      <w:sz w:val="24"/>
      <w:szCs w:val="20"/>
    </w:rPr>
  </w:style>
  <w:style w:type="paragraph" w:styleId="10">
    <w:name w:val="heading 9"/>
    <w:basedOn w:val="1"/>
    <w:next w:val="1"/>
    <w:link w:val="26"/>
    <w:autoRedefine/>
    <w:qFormat/>
    <w:uiPriority w:val="0"/>
    <w:pPr>
      <w:keepNext/>
      <w:keepLines/>
      <w:adjustRightInd w:val="0"/>
      <w:spacing w:before="240" w:after="64" w:line="320" w:lineRule="atLeast"/>
      <w:jc w:val="left"/>
      <w:textAlignment w:val="baseline"/>
      <w:outlineLvl w:val="8"/>
    </w:pPr>
    <w:rPr>
      <w:rFonts w:ascii="Arial" w:hAnsi="Arial" w:eastAsia="黑体"/>
      <w:kern w:val="0"/>
      <w:sz w:val="28"/>
      <w:szCs w:val="20"/>
    </w:rPr>
  </w:style>
  <w:style w:type="character" w:default="1" w:styleId="15">
    <w:name w:val="Default Paragraph Font"/>
    <w:autoRedefine/>
    <w:unhideWhenUsed/>
    <w:qFormat/>
    <w:uiPriority w:val="1"/>
  </w:style>
  <w:style w:type="table" w:default="1" w:styleId="12">
    <w:name w:val="Normal Table"/>
    <w:autoRedefin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11">
    <w:name w:val="Title"/>
    <w:basedOn w:val="1"/>
    <w:next w:val="1"/>
    <w:link w:val="19"/>
    <w:autoRedefine/>
    <w:qFormat/>
    <w:uiPriority w:val="10"/>
    <w:pPr>
      <w:jc w:val="center"/>
      <w:outlineLvl w:val="0"/>
    </w:pPr>
    <w:rPr>
      <w:rFonts w:ascii="Cambria" w:hAnsi="Cambria"/>
      <w:b/>
      <w:bCs/>
      <w:sz w:val="28"/>
      <w:szCs w:val="32"/>
    </w:rPr>
  </w:style>
  <w:style w:type="table" w:styleId="13">
    <w:name w:val="Table Grid"/>
    <w:basedOn w:val="1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14">
    <w:name w:val="Table Theme"/>
    <w:basedOn w:val="12"/>
    <w:autoRedefine/>
    <w:qFormat/>
    <w:uiPriority w:val="0"/>
    <w:pPr>
      <w:widowControl w:val="0"/>
      <w:adjustRightInd w:val="0"/>
      <w:spacing w:line="312" w:lineRule="atLeast"/>
      <w:jc w:val="both"/>
      <w:textAlignment w:val="baseline"/>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page number"/>
    <w:basedOn w:val="15"/>
    <w:autoRedefine/>
    <w:qFormat/>
    <w:uiPriority w:val="0"/>
  </w:style>
  <w:style w:type="character" w:customStyle="1" w:styleId="17">
    <w:name w:val="标题 1 Char"/>
    <w:link w:val="2"/>
    <w:autoRedefine/>
    <w:qFormat/>
    <w:uiPriority w:val="0"/>
    <w:rPr>
      <w:rFonts w:ascii="Times New Roman" w:hAnsi="Times New Roman" w:eastAsia="黑体"/>
      <w:b/>
      <w:bCs/>
      <w:kern w:val="2"/>
      <w:sz w:val="30"/>
      <w:szCs w:val="30"/>
    </w:rPr>
  </w:style>
  <w:style w:type="character" w:customStyle="1" w:styleId="18">
    <w:name w:val="标题 7 Char"/>
    <w:link w:val="8"/>
    <w:autoRedefine/>
    <w:qFormat/>
    <w:uiPriority w:val="0"/>
    <w:rPr>
      <w:b/>
      <w:sz w:val="24"/>
    </w:rPr>
  </w:style>
  <w:style w:type="character" w:customStyle="1" w:styleId="19">
    <w:name w:val="标题 Char"/>
    <w:link w:val="11"/>
    <w:autoRedefine/>
    <w:qFormat/>
    <w:uiPriority w:val="10"/>
    <w:rPr>
      <w:rFonts w:ascii="Cambria" w:hAnsi="Cambria"/>
      <w:b/>
      <w:bCs/>
      <w:kern w:val="2"/>
      <w:sz w:val="28"/>
      <w:szCs w:val="32"/>
    </w:rPr>
  </w:style>
  <w:style w:type="character" w:customStyle="1" w:styleId="20">
    <w:name w:val="标题 2 Char"/>
    <w:link w:val="3"/>
    <w:autoRedefine/>
    <w:qFormat/>
    <w:uiPriority w:val="0"/>
    <w:rPr>
      <w:rFonts w:ascii="Arial" w:hAnsi="Arial" w:eastAsia="黑体"/>
      <w:b/>
      <w:sz w:val="28"/>
    </w:rPr>
  </w:style>
  <w:style w:type="character" w:customStyle="1" w:styleId="21">
    <w:name w:val="标题 3 Char"/>
    <w:link w:val="4"/>
    <w:autoRedefine/>
    <w:qFormat/>
    <w:uiPriority w:val="0"/>
    <w:rPr>
      <w:sz w:val="28"/>
    </w:rPr>
  </w:style>
  <w:style w:type="character" w:customStyle="1" w:styleId="22">
    <w:name w:val="标题 4 Char"/>
    <w:link w:val="5"/>
    <w:autoRedefine/>
    <w:qFormat/>
    <w:uiPriority w:val="0"/>
    <w:rPr>
      <w:sz w:val="28"/>
    </w:rPr>
  </w:style>
  <w:style w:type="character" w:customStyle="1" w:styleId="23">
    <w:name w:val="标题 5 Char"/>
    <w:link w:val="6"/>
    <w:autoRedefine/>
    <w:qFormat/>
    <w:uiPriority w:val="0"/>
    <w:rPr>
      <w:b/>
      <w:sz w:val="28"/>
    </w:rPr>
  </w:style>
  <w:style w:type="character" w:customStyle="1" w:styleId="24">
    <w:name w:val="标题 6 Char"/>
    <w:link w:val="7"/>
    <w:autoRedefine/>
    <w:qFormat/>
    <w:uiPriority w:val="0"/>
    <w:rPr>
      <w:rFonts w:ascii="Arial" w:hAnsi="Arial" w:eastAsia="黑体"/>
      <w:b/>
      <w:sz w:val="24"/>
    </w:rPr>
  </w:style>
  <w:style w:type="character" w:customStyle="1" w:styleId="25">
    <w:name w:val="标题 8 Char"/>
    <w:link w:val="9"/>
    <w:autoRedefine/>
    <w:qFormat/>
    <w:uiPriority w:val="0"/>
    <w:rPr>
      <w:rFonts w:ascii="Arial" w:hAnsi="Arial" w:eastAsia="黑体"/>
      <w:sz w:val="24"/>
    </w:rPr>
  </w:style>
  <w:style w:type="character" w:customStyle="1" w:styleId="26">
    <w:name w:val="标题 9 Char"/>
    <w:link w:val="10"/>
    <w:autoRedefine/>
    <w:qFormat/>
    <w:uiPriority w:val="0"/>
    <w:rPr>
      <w:rFonts w:ascii="Arial" w:hAnsi="Arial" w:eastAsia="黑体"/>
      <w:sz w:val="28"/>
    </w:rPr>
  </w:style>
  <w:style w:type="paragraph" w:customStyle="1" w:styleId="27">
    <w:name w:val="修订1"/>
    <w:autoRedefine/>
    <w:hidden/>
    <w:unhideWhenUsed/>
    <w:qFormat/>
    <w:uiPriority w:val="99"/>
    <w:rPr>
      <w:rFonts w:ascii="Times New Roman" w:hAnsi="Times New Roman" w:eastAsia="宋体" w:cs="Times New Roman"/>
      <w:kern w:val="2"/>
      <w:sz w:val="21"/>
      <w:szCs w:val="24"/>
      <w:lang w:val="en-US" w:eastAsia="zh-CN" w:bidi="ar-SA"/>
    </w:rPr>
  </w:style>
  <w:style w:type="table" w:customStyle="1" w:styleId="28">
    <w:name w:val="表格样式100"/>
    <w:basedOn w:val="13"/>
    <w:autoRedefine/>
    <w:qFormat/>
    <w:locked/>
    <w:uiPriority w:val="0"/>
    <w:pPr>
      <w:overflowPunct w:val="0"/>
      <w:topLinePunct/>
      <w:autoSpaceDE w:val="0"/>
      <w:autoSpaceDN w:val="0"/>
      <w:adjustRightInd w:val="0"/>
      <w:snapToGrid w:val="0"/>
      <w:jc w:val="center"/>
    </w:pPr>
  </w:style>
  <w:style w:type="table" w:customStyle="1" w:styleId="29">
    <w:name w:val="网格型2"/>
    <w:basedOn w:val="12"/>
    <w:autoRedefine/>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0">
    <w:name w:val="Table Normal"/>
    <w:autoRedefine/>
    <w:semiHidden/>
    <w:unhideWhenUsed/>
    <w:qFormat/>
    <w:uiPriority w:val="2"/>
    <w:pPr>
      <w:widowControl w:val="0"/>
    </w:pPr>
    <w:rPr>
      <w:rFonts w:asciiTheme="minorHAnsi" w:hAnsiTheme="minorHAnsi" w:eastAsiaTheme="minorEastAsia" w:cstheme="minorBidi"/>
      <w:sz w:val="22"/>
      <w:szCs w:val="22"/>
      <w:lang w:eastAsia="en-US"/>
    </w:rPr>
    <w:tblPr>
      <w:tblCellMar>
        <w:top w:w="0" w:type="dxa"/>
        <w:left w:w="0" w:type="dxa"/>
        <w:bottom w:w="0" w:type="dxa"/>
        <w:right w:w="0" w:type="dxa"/>
      </w:tblCellMar>
    </w:tblPr>
  </w:style>
  <w:style w:type="paragraph" w:customStyle="1" w:styleId="31">
    <w:name w:val="图表标题"/>
    <w:basedOn w:val="1"/>
    <w:qFormat/>
    <w:uiPriority w:val="0"/>
    <w:pPr>
      <w:spacing w:line="360" w:lineRule="auto"/>
      <w:ind w:firstLine="0" w:firstLineChars="0"/>
      <w:jc w:val="center"/>
    </w:pPr>
    <w:rPr>
      <w:rFonts w:ascii="Times New Roman" w:hAnsi="Times New Roman"/>
      <w:b/>
      <w:bCs/>
      <w:color w:val="auto"/>
      <w:sz w:val="21"/>
      <w:szCs w:val="21"/>
    </w:rPr>
  </w:style>
  <w:style w:type="paragraph" w:customStyle="1" w:styleId="32">
    <w:name w:val="图表"/>
    <w:basedOn w:val="1"/>
    <w:next w:val="1"/>
    <w:qFormat/>
    <w:uiPriority w:val="0"/>
    <w:pPr>
      <w:adjustRightInd w:val="0"/>
      <w:snapToGrid w:val="0"/>
      <w:spacing w:line="240" w:lineRule="auto"/>
      <w:ind w:firstLine="0" w:firstLineChars="0"/>
      <w:jc w:val="center"/>
    </w:pPr>
    <w:rPr>
      <w:rFonts w:hint="eastAsia"/>
      <w:color w:val="auto"/>
    </w:rPr>
  </w:style>
  <w:style w:type="paragraph" w:customStyle="1" w:styleId="33">
    <w:name w:val="标注"/>
    <w:basedOn w:val="1"/>
    <w:next w:val="1"/>
    <w:qFormat/>
    <w:uiPriority w:val="0"/>
    <w:pPr>
      <w:adjustRightInd w:val="0"/>
      <w:snapToGrid w:val="0"/>
      <w:ind w:firstLine="0" w:firstLineChars="0"/>
    </w:pPr>
    <w:rPr>
      <w:rFonts w:hint="eastAsia" w:ascii="Times New Roman" w:hAnsi="Times New Roman" w:eastAsiaTheme="minorEastAsia"/>
      <w:b/>
      <w:bCs/>
      <w:color w:val="auto"/>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1.xml"/><Relationship Id="rId6" Type="http://schemas.openxmlformats.org/officeDocument/2006/relationships/footer" Target="footer2.xml"/><Relationship Id="rId5" Type="http://schemas.openxmlformats.org/officeDocument/2006/relationships/footer" Target="footer1.xml"/><Relationship Id="rId40" Type="http://schemas.openxmlformats.org/officeDocument/2006/relationships/fontTable" Target="fontTable.xml"/><Relationship Id="rId4" Type="http://schemas.openxmlformats.org/officeDocument/2006/relationships/endnotes" Target="endnotes.xml"/><Relationship Id="rId39" Type="http://schemas.openxmlformats.org/officeDocument/2006/relationships/customXml" Target="../customXml/item2.xml"/><Relationship Id="rId38" Type="http://schemas.openxmlformats.org/officeDocument/2006/relationships/customXml" Target="../customXml/item1.xml"/><Relationship Id="rId37" Type="http://schemas.openxmlformats.org/officeDocument/2006/relationships/image" Target="media/image26.png"/><Relationship Id="rId36" Type="http://schemas.openxmlformats.org/officeDocument/2006/relationships/image" Target="media/image25.jpeg"/><Relationship Id="rId35" Type="http://schemas.openxmlformats.org/officeDocument/2006/relationships/image" Target="media/image24.jpeg"/><Relationship Id="rId34" Type="http://schemas.openxmlformats.org/officeDocument/2006/relationships/image" Target="media/image23.jpeg"/><Relationship Id="rId33" Type="http://schemas.openxmlformats.org/officeDocument/2006/relationships/image" Target="media/image22.wmf"/><Relationship Id="rId32" Type="http://schemas.openxmlformats.org/officeDocument/2006/relationships/image" Target="media/image21.png"/><Relationship Id="rId31" Type="http://schemas.openxmlformats.org/officeDocument/2006/relationships/image" Target="media/image20.png"/><Relationship Id="rId30" Type="http://schemas.openxmlformats.org/officeDocument/2006/relationships/image" Target="media/image19.png"/><Relationship Id="rId3" Type="http://schemas.openxmlformats.org/officeDocument/2006/relationships/footnotes" Target="footnotes.xml"/><Relationship Id="rId29" Type="http://schemas.openxmlformats.org/officeDocument/2006/relationships/image" Target="media/image18.png"/><Relationship Id="rId28" Type="http://schemas.openxmlformats.org/officeDocument/2006/relationships/image" Target="media/image17.png"/><Relationship Id="rId27" Type="http://schemas.openxmlformats.org/officeDocument/2006/relationships/image" Target="media/image16.png"/><Relationship Id="rId26" Type="http://schemas.openxmlformats.org/officeDocument/2006/relationships/image" Target="media/image15.png"/><Relationship Id="rId25" Type="http://schemas.openxmlformats.org/officeDocument/2006/relationships/image" Target="media/image14.png"/><Relationship Id="rId24" Type="http://schemas.openxmlformats.org/officeDocument/2006/relationships/image" Target="media/image13.png"/><Relationship Id="rId23" Type="http://schemas.openxmlformats.org/officeDocument/2006/relationships/image" Target="media/image12.png"/><Relationship Id="rId22" Type="http://schemas.openxmlformats.org/officeDocument/2006/relationships/image" Target="media/image11.jpeg"/><Relationship Id="rId21" Type="http://schemas.openxmlformats.org/officeDocument/2006/relationships/image" Target="media/image10.png"/><Relationship Id="rId20" Type="http://schemas.openxmlformats.org/officeDocument/2006/relationships/image" Target="media/image9.png"/><Relationship Id="rId2" Type="http://schemas.openxmlformats.org/officeDocument/2006/relationships/settings" Target="settings.xml"/><Relationship Id="rId19" Type="http://schemas.openxmlformats.org/officeDocument/2006/relationships/image" Target="media/image8.png"/><Relationship Id="rId18" Type="http://schemas.openxmlformats.org/officeDocument/2006/relationships/image" Target="media/image7.wmf"/><Relationship Id="rId17" Type="http://schemas.openxmlformats.org/officeDocument/2006/relationships/oleObject" Target="embeddings/oleObject2.bin"/><Relationship Id="rId16" Type="http://schemas.openxmlformats.org/officeDocument/2006/relationships/image" Target="media/image6.wmf"/><Relationship Id="rId15" Type="http://schemas.openxmlformats.org/officeDocument/2006/relationships/oleObject" Target="embeddings/oleObject1.bin"/><Relationship Id="rId14" Type="http://schemas.openxmlformats.org/officeDocument/2006/relationships/image" Target="media/image5.jpeg"/><Relationship Id="rId13" Type="http://schemas.openxmlformats.org/officeDocument/2006/relationships/image" Target="media/image4.jpeg"/><Relationship Id="rId12" Type="http://schemas.openxmlformats.org/officeDocument/2006/relationships/image" Target="media/image3.jpeg"/><Relationship Id="rId11" Type="http://schemas.openxmlformats.org/officeDocument/2006/relationships/image" Target="media/image2.jpeg"/><Relationship Id="rId10" Type="http://schemas.openxmlformats.org/officeDocument/2006/relationships/image" Target="media/image1.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extobjs>
    <extobj name="ECB019B1-382A-4266-B25C-5B523AA43C14-1">
      <extobjdata type="ECB019B1-382A-4266-B25C-5B523AA43C14" data="ewoJIkZpbGVJZCIgOiAiNDUzNTk3NDU1MDE0IiwKCSJHcm91cElkIiA6ICIzODg1MDgyOTkiLAoJIkltYWdlIiA6ICJpVkJPUncwS0dnb0FBQUFOU1VoRVVnQUFBNWNBQUFOL0NBWUFBQUJLZ2l3S0FBQUFBWE5TUjBJQXJzNGM2UUFBSUFCSlJFRlVlSnpzM1h1Y1hIVjkvL0gzNTh6TWJqWWtnU1FFQmFJRURTWk1rdGs1Wi9BdXhWcXRXQ3MvVWVzZEVPK3RxS0NWS20yMTF0cml0ZDdxWFdzUnZDR0tpRkFGSzRvVkZIYk8yZGxrU1RCbzBJQVNJSUhjMk96T25NL3ZqejFMaDhsdXNwdmR6ZXlHMS9QeDJNZnNuTy9sZkw1TFF1YXozKy81ZmlV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N3Zi9uL1VWaEFoait4OWkwQUFBQUFTVVZPUks1Q1lJST0iLAoJIlRoZW1lIiA6ICIiLAoJIlR5cGUiIDogImZsb3ciLAoJIlVzZXJJZCIgOiAiMzcwMzE0OTQzIiwKCSJWZXJzaW9uIiA6ICIiCn0K"/>
    </extobj>
    <extobj name="ECB019B1-382A-4266-B25C-5B523AA43C14-2">
      <extobjdata type="ECB019B1-382A-4266-B25C-5B523AA43C14" data="ewoJIkZpbGVJZCIgOiAiMzExNjkwNDM0NDAyIiwKCSJHcm91cElkIiA6ICIzODg1MDgyOTkiLAoJIkltYWdlIiA6ICJpVkJPUncwS0dnb0FBQUFOU1VoRVVnQUFBNndBQUFLdkNBWUFBQUJ1MkVKZUFBQUFBWE5TUjBJQXJzNGM2UUFBSUFCSlJFRlVlSnpzM1htY1hFVzVOL0RmVTZkbkpRbGtJR0V4WXNTQndDVFRmYW9hY0VjVVVCRndBYUlpb0NLZ1hsQkJ4ZVdLS0xoY2x5dGU5eFd2Q2xGQlVIQUI4ZFVycUtpNHpLblRQVWtBalRCb2hKQUFDWWxKWmpMZDlieC96T21oMCttWnpDU0JTY0x2Ky9rbzZWT242bFJQZDgrY3AydDVBQ0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SUNsOW44a1BTRjBBbWdvZWdBQUFBQkpSVTVFcmtKZ2dnPT0iLAoJIlRoZW1lIiA6ICIiLAoJIlR5cGUiIDogImZsb3ciLAoJIlVzZXJJZCIgOiAiIiwKCSJWZXJzaW9uIiA6ICIxMDciCn0K"/>
    </extobj>
  </extobj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5AD219D-9BBC-4C81-A723-53B085B8CB8F}">
  <ds:schemaRefs/>
</ds:datastoreItem>
</file>

<file path=docProps/app.xml><?xml version="1.0" encoding="utf-8"?>
<Properties xmlns="http://schemas.openxmlformats.org/officeDocument/2006/extended-properties" xmlns:vt="http://schemas.openxmlformats.org/officeDocument/2006/docPropsVTypes">
  <Template>Normal.dotm</Template>
  <Company>zhjh</Company>
  <Pages>72</Pages>
  <Words>40885</Words>
  <Characters>45805</Characters>
  <Lines>1</Lines>
  <Paragraphs>1</Paragraphs>
  <TotalTime>6</TotalTime>
  <ScaleCrop>false</ScaleCrop>
  <LinksUpToDate>false</LinksUpToDate>
  <CharactersWithSpaces>45908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2015-03-02T05:41:00Z</dcterms:created>
  <dc:creator>zq</dc:creator>
  <cp:lastModifiedBy>拾</cp:lastModifiedBy>
  <cp:lastPrinted>2024-01-22T08:48:00Z</cp:lastPrinted>
  <dcterms:modified xsi:type="dcterms:W3CDTF">2025-10-13T09:28:13Z</dcterms:modified>
  <dc:title>光通信环评</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17E10B243C9A4E22897C1492DE832A28_13</vt:lpwstr>
  </property>
  <property fmtid="{D5CDD505-2E9C-101B-9397-08002B2CF9AE}" pid="4" name="KSOTemplateDocerSaveRecord">
    <vt:lpwstr>eyJoZGlkIjoiYTI4OTQyYWQxMTk4OThiOTA2YzA1YjgxN2IzYjZkMmIiLCJ1c2VySWQiOiIzNzAzMTQ5NDMifQ==</vt:lpwstr>
  </property>
</Properties>
</file>